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7"/>
        <w:keepNext w:val="0"/>
        <w:keepLines w:val="0"/>
        <w:pageBreakBefore w:val="0"/>
        <w:kinsoku/>
        <w:overflowPunct/>
        <w:topLinePunct w:val="0"/>
        <w:bidi w:val="0"/>
        <w:adjustRightInd w:val="0"/>
        <w:snapToGrid w:val="0"/>
        <w:spacing w:after="0" w:line="360" w:lineRule="auto"/>
        <w:ind w:left="0" w:leftChars="0" w:right="0" w:firstLine="0" w:firstLineChars="0"/>
        <w:jc w:val="center"/>
        <w:rPr>
          <w:rFonts w:hint="default" w:ascii="Times New Roman" w:hAnsi="Times New Roman" w:eastAsia="宋体" w:cs="Times New Roman"/>
          <w:b/>
          <w:bCs/>
          <w:sz w:val="30"/>
          <w:szCs w:val="30"/>
          <w:lang w:eastAsia="zh-CN"/>
        </w:rPr>
      </w:pPr>
      <w:r>
        <w:rPr>
          <w:rFonts w:hint="eastAsia" w:ascii="Times New Roman" w:hAnsi="Times New Roman" w:eastAsia="宋体" w:cs="Times New Roman"/>
          <w:b/>
          <w:bCs/>
          <w:sz w:val="30"/>
          <w:szCs w:val="30"/>
          <w:lang w:val="en-US" w:eastAsia="zh-CN"/>
        </w:rPr>
        <w:t>济南迪亚实业有限责任公司济南迪亚双创产业园</w:t>
      </w:r>
    </w:p>
    <w:p>
      <w:pPr>
        <w:pStyle w:val="17"/>
        <w:keepNext w:val="0"/>
        <w:keepLines w:val="0"/>
        <w:pageBreakBefore w:val="0"/>
        <w:widowControl w:val="0"/>
        <w:kinsoku/>
        <w:wordWrap/>
        <w:overflowPunct/>
        <w:topLinePunct w:val="0"/>
        <w:autoSpaceDE/>
        <w:autoSpaceDN/>
        <w:bidi w:val="0"/>
        <w:adjustRightInd w:val="0"/>
        <w:snapToGrid w:val="0"/>
        <w:spacing w:after="0" w:line="360" w:lineRule="auto"/>
        <w:ind w:leftChars="0" w:right="0" w:firstLine="0" w:firstLineChars="0"/>
        <w:textAlignment w:val="auto"/>
        <w:rPr>
          <w:rFonts w:hint="default" w:ascii="Times New Roman" w:hAnsi="Times New Roman" w:eastAsia="宋体" w:cs="Times New Roman"/>
          <w:b/>
          <w:sz w:val="30"/>
          <w:szCs w:val="30"/>
        </w:rPr>
      </w:pPr>
      <w:r>
        <w:rPr>
          <w:rFonts w:hint="default" w:ascii="Times New Roman" w:hAnsi="Times New Roman" w:eastAsia="宋体" w:cs="Times New Roman"/>
          <w:b/>
          <w:bCs/>
          <w:sz w:val="30"/>
          <w:szCs w:val="30"/>
        </w:rPr>
        <w:t>竣工环境保护验收意见</w:t>
      </w:r>
    </w:p>
    <w:p>
      <w:pPr>
        <w:keepNext w:val="0"/>
        <w:keepLines w:val="0"/>
        <w:pageBreakBefore w:val="0"/>
        <w:kinsoku/>
        <w:overflowPunct/>
        <w:topLinePunct w:val="0"/>
        <w:bidi w:val="0"/>
        <w:spacing w:after="0" w:line="360" w:lineRule="auto"/>
        <w:ind w:leftChars="0" w:right="0" w:firstLine="560"/>
        <w:rPr>
          <w:rFonts w:hint="default" w:ascii="Times New Roman" w:hAnsi="Times New Roman" w:eastAsia="宋体" w:cs="Times New Roman"/>
          <w:kern w:val="2"/>
          <w:sz w:val="24"/>
          <w:szCs w:val="24"/>
        </w:rPr>
      </w:pPr>
      <w:r>
        <w:rPr>
          <w:rFonts w:hint="default" w:ascii="Times New Roman" w:hAnsi="Times New Roman" w:eastAsia="宋体" w:cs="Times New Roman"/>
          <w:bCs/>
          <w:kern w:val="2"/>
          <w:sz w:val="24"/>
          <w:szCs w:val="24"/>
        </w:rPr>
        <w:t>根据《建设项目环境保护管理条例》（国务院令第682号）和《建设项目竣工环境保护验收暂行办法》（国环规环评[2017]4号）要</w:t>
      </w:r>
      <w:r>
        <w:rPr>
          <w:rFonts w:hint="default" w:ascii="Times New Roman" w:hAnsi="Times New Roman" w:eastAsia="宋体" w:cs="Times New Roman"/>
          <w:bCs/>
          <w:color w:val="auto"/>
          <w:kern w:val="2"/>
          <w:sz w:val="24"/>
          <w:szCs w:val="24"/>
        </w:rPr>
        <w:t>求，</w:t>
      </w:r>
      <w:r>
        <w:rPr>
          <w:rFonts w:hint="eastAsia" w:ascii="Times New Roman" w:hAnsi="Times New Roman" w:eastAsia="宋体" w:cs="Times New Roman"/>
          <w:bCs/>
          <w:color w:val="auto"/>
          <w:kern w:val="2"/>
          <w:sz w:val="24"/>
          <w:szCs w:val="24"/>
          <w:lang w:eastAsia="zh-CN"/>
        </w:rPr>
        <w:t>202</w:t>
      </w:r>
      <w:r>
        <w:rPr>
          <w:rFonts w:hint="eastAsia" w:ascii="Times New Roman" w:hAnsi="Times New Roman" w:eastAsia="宋体" w:cs="Times New Roman"/>
          <w:bCs/>
          <w:color w:val="auto"/>
          <w:kern w:val="2"/>
          <w:sz w:val="24"/>
          <w:szCs w:val="24"/>
          <w:lang w:val="en-US" w:eastAsia="zh-CN"/>
        </w:rPr>
        <w:t>2</w:t>
      </w:r>
      <w:r>
        <w:rPr>
          <w:rFonts w:hint="eastAsia" w:ascii="Times New Roman" w:hAnsi="Times New Roman" w:eastAsia="宋体" w:cs="Times New Roman"/>
          <w:bCs/>
          <w:color w:val="auto"/>
          <w:kern w:val="2"/>
          <w:sz w:val="24"/>
          <w:szCs w:val="24"/>
          <w:lang w:eastAsia="zh-CN"/>
        </w:rPr>
        <w:t>年</w:t>
      </w:r>
      <w:r>
        <w:rPr>
          <w:rFonts w:hint="eastAsia" w:ascii="Times New Roman" w:hAnsi="Times New Roman" w:eastAsia="宋体" w:cs="Times New Roman"/>
          <w:bCs/>
          <w:color w:val="auto"/>
          <w:kern w:val="2"/>
          <w:sz w:val="24"/>
          <w:szCs w:val="24"/>
          <w:lang w:val="en-US" w:eastAsia="zh-CN"/>
        </w:rPr>
        <w:t>3</w:t>
      </w:r>
      <w:r>
        <w:rPr>
          <w:rFonts w:hint="eastAsia" w:ascii="Times New Roman" w:hAnsi="Times New Roman" w:eastAsia="宋体" w:cs="Times New Roman"/>
          <w:bCs/>
          <w:color w:val="auto"/>
          <w:kern w:val="2"/>
          <w:sz w:val="24"/>
          <w:szCs w:val="24"/>
          <w:lang w:eastAsia="zh-CN"/>
        </w:rPr>
        <w:t>月</w:t>
      </w:r>
      <w:r>
        <w:rPr>
          <w:rFonts w:hint="eastAsia" w:ascii="Times New Roman" w:hAnsi="Times New Roman" w:eastAsia="宋体" w:cs="Times New Roman"/>
          <w:bCs/>
          <w:color w:val="auto"/>
          <w:kern w:val="2"/>
          <w:sz w:val="24"/>
          <w:szCs w:val="24"/>
          <w:lang w:val="en-US" w:eastAsia="zh-CN"/>
        </w:rPr>
        <w:t>8</w:t>
      </w:r>
      <w:r>
        <w:rPr>
          <w:rFonts w:hint="eastAsia" w:ascii="Times New Roman" w:hAnsi="Times New Roman" w:eastAsia="宋体" w:cs="Times New Roman"/>
          <w:bCs/>
          <w:color w:val="auto"/>
          <w:kern w:val="2"/>
          <w:sz w:val="24"/>
          <w:szCs w:val="24"/>
          <w:lang w:eastAsia="zh-CN"/>
        </w:rPr>
        <w:t>日</w:t>
      </w:r>
      <w:r>
        <w:rPr>
          <w:rFonts w:hint="default" w:ascii="Times New Roman" w:hAnsi="Times New Roman" w:eastAsia="宋体" w:cs="Times New Roman"/>
          <w:bCs/>
          <w:color w:val="auto"/>
          <w:kern w:val="2"/>
          <w:sz w:val="24"/>
          <w:szCs w:val="24"/>
        </w:rPr>
        <w:t>，</w:t>
      </w:r>
      <w:r>
        <w:rPr>
          <w:rFonts w:hint="eastAsia" w:ascii="Times New Roman" w:hAnsi="Times New Roman" w:eastAsia="宋体" w:cs="Times New Roman"/>
          <w:bCs/>
          <w:color w:val="auto"/>
          <w:kern w:val="2"/>
          <w:sz w:val="24"/>
          <w:szCs w:val="24"/>
          <w:lang w:eastAsia="zh-CN"/>
        </w:rPr>
        <w:t>济南迪亚实业有限责任公司</w:t>
      </w:r>
      <w:r>
        <w:rPr>
          <w:rFonts w:hint="default" w:ascii="Times New Roman" w:hAnsi="Times New Roman" w:eastAsia="宋体" w:cs="Times New Roman"/>
          <w:bCs/>
          <w:color w:val="auto"/>
          <w:kern w:val="2"/>
          <w:sz w:val="24"/>
          <w:szCs w:val="24"/>
        </w:rPr>
        <w:t>在</w:t>
      </w:r>
      <w:r>
        <w:rPr>
          <w:rFonts w:hint="eastAsia" w:ascii="Times New Roman" w:hAnsi="Times New Roman" w:eastAsia="宋体" w:cs="Times New Roman"/>
          <w:bCs/>
          <w:color w:val="auto"/>
          <w:kern w:val="2"/>
          <w:sz w:val="24"/>
          <w:szCs w:val="24"/>
          <w:lang w:eastAsia="zh-CN"/>
        </w:rPr>
        <w:t>济南迪亚实业有限责任公司</w:t>
      </w:r>
      <w:r>
        <w:rPr>
          <w:rFonts w:hint="default" w:ascii="Times New Roman" w:hAnsi="Times New Roman" w:eastAsia="宋体" w:cs="Times New Roman"/>
          <w:bCs/>
          <w:color w:val="auto"/>
          <w:kern w:val="2"/>
          <w:sz w:val="24"/>
          <w:szCs w:val="24"/>
          <w:lang w:val="zh-CN"/>
        </w:rPr>
        <w:t>会议室内</w:t>
      </w:r>
      <w:r>
        <w:rPr>
          <w:rFonts w:hint="default" w:ascii="Times New Roman" w:hAnsi="Times New Roman" w:eastAsia="宋体" w:cs="Times New Roman"/>
          <w:bCs/>
          <w:color w:val="auto"/>
          <w:kern w:val="2"/>
          <w:sz w:val="24"/>
          <w:szCs w:val="24"/>
        </w:rPr>
        <w:t>召开了</w:t>
      </w:r>
      <w:r>
        <w:rPr>
          <w:rFonts w:hint="eastAsia" w:ascii="Times New Roman" w:hAnsi="Times New Roman" w:eastAsia="宋体" w:cs="Times New Roman"/>
          <w:bCs/>
          <w:color w:val="auto"/>
          <w:kern w:val="2"/>
          <w:sz w:val="24"/>
          <w:szCs w:val="24"/>
          <w:lang w:val="en-US" w:eastAsia="zh-CN"/>
        </w:rPr>
        <w:t>济南迪亚实业有限责任公司济南迪亚双创产业园</w:t>
      </w:r>
      <w:r>
        <w:rPr>
          <w:rFonts w:hint="default" w:ascii="Times New Roman" w:hAnsi="Times New Roman" w:eastAsia="宋体" w:cs="Times New Roman"/>
          <w:bCs/>
          <w:color w:val="auto"/>
          <w:kern w:val="2"/>
          <w:sz w:val="24"/>
          <w:szCs w:val="24"/>
          <w:lang w:eastAsia="zh-CN"/>
        </w:rPr>
        <w:t>竣工环境保护验收会议</w:t>
      </w:r>
      <w:r>
        <w:rPr>
          <w:rFonts w:hint="default" w:ascii="Times New Roman" w:hAnsi="Times New Roman" w:eastAsia="宋体" w:cs="Times New Roman"/>
          <w:bCs/>
          <w:color w:val="auto"/>
          <w:kern w:val="2"/>
          <w:sz w:val="24"/>
          <w:szCs w:val="24"/>
        </w:rPr>
        <w:t>。验收组由建设单位-</w:t>
      </w:r>
      <w:r>
        <w:rPr>
          <w:rFonts w:hint="eastAsia" w:ascii="Times New Roman" w:hAnsi="Times New Roman" w:eastAsia="宋体" w:cs="Times New Roman"/>
          <w:bCs/>
          <w:color w:val="auto"/>
          <w:kern w:val="2"/>
          <w:sz w:val="24"/>
          <w:szCs w:val="24"/>
          <w:lang w:eastAsia="zh-CN"/>
        </w:rPr>
        <w:t>济南迪亚实业有限责任公司</w:t>
      </w:r>
      <w:r>
        <w:rPr>
          <w:rFonts w:hint="default" w:ascii="Times New Roman" w:hAnsi="Times New Roman" w:eastAsia="宋体" w:cs="Times New Roman"/>
          <w:bCs/>
          <w:kern w:val="2"/>
          <w:sz w:val="24"/>
          <w:szCs w:val="24"/>
        </w:rPr>
        <w:t>、</w:t>
      </w:r>
      <w:r>
        <w:rPr>
          <w:rFonts w:hint="default" w:ascii="Times New Roman" w:hAnsi="Times New Roman" w:eastAsia="宋体" w:cs="Times New Roman"/>
          <w:kern w:val="2"/>
          <w:sz w:val="24"/>
          <w:szCs w:val="24"/>
        </w:rPr>
        <w:t>验收监测单</w:t>
      </w:r>
      <w:r>
        <w:rPr>
          <w:rFonts w:hint="default" w:ascii="Times New Roman" w:hAnsi="Times New Roman" w:eastAsia="宋体" w:cs="Times New Roman"/>
          <w:color w:val="auto"/>
          <w:kern w:val="2"/>
          <w:sz w:val="24"/>
          <w:szCs w:val="24"/>
        </w:rPr>
        <w:t>位-</w:t>
      </w:r>
      <w:r>
        <w:rPr>
          <w:rFonts w:hint="default" w:ascii="Times New Roman" w:hAnsi="Times New Roman" w:eastAsia="宋体" w:cs="Times New Roman"/>
          <w:color w:val="auto"/>
          <w:kern w:val="2"/>
          <w:sz w:val="24"/>
          <w:szCs w:val="24"/>
          <w:lang w:eastAsia="zh-CN"/>
        </w:rPr>
        <w:t>山东华晟环境检测有限公司</w:t>
      </w:r>
      <w:r>
        <w:rPr>
          <w:rFonts w:hint="default" w:ascii="Times New Roman" w:hAnsi="Times New Roman" w:eastAsia="宋体" w:cs="Times New Roman"/>
          <w:color w:val="auto"/>
          <w:kern w:val="2"/>
          <w:sz w:val="24"/>
          <w:szCs w:val="24"/>
        </w:rPr>
        <w:t>等单位</w:t>
      </w:r>
      <w:r>
        <w:rPr>
          <w:rFonts w:hint="default" w:ascii="Times New Roman" w:hAnsi="Times New Roman" w:eastAsia="宋体" w:cs="Times New Roman"/>
          <w:kern w:val="2"/>
          <w:sz w:val="24"/>
          <w:szCs w:val="24"/>
        </w:rPr>
        <w:t>的代表</w:t>
      </w:r>
      <w:r>
        <w:rPr>
          <w:rFonts w:hint="default" w:ascii="Times New Roman" w:hAnsi="Times New Roman" w:eastAsia="宋体" w:cs="Times New Roman"/>
          <w:kern w:val="2"/>
          <w:sz w:val="24"/>
          <w:szCs w:val="24"/>
          <w:lang w:eastAsia="zh-CN"/>
        </w:rPr>
        <w:t>组成</w:t>
      </w:r>
      <w:r>
        <w:rPr>
          <w:rFonts w:hint="default" w:ascii="Times New Roman" w:hAnsi="Times New Roman" w:eastAsia="宋体" w:cs="Times New Roman"/>
          <w:kern w:val="2"/>
          <w:sz w:val="24"/>
          <w:szCs w:val="24"/>
        </w:rPr>
        <w:t>（验收组名单附后）。</w:t>
      </w:r>
    </w:p>
    <w:p>
      <w:pPr>
        <w:keepNext w:val="0"/>
        <w:keepLines w:val="0"/>
        <w:pageBreakBefore w:val="0"/>
        <w:kinsoku/>
        <w:overflowPunct/>
        <w:topLinePunct w:val="0"/>
        <w:bidi w:val="0"/>
        <w:spacing w:after="0" w:line="360" w:lineRule="auto"/>
        <w:ind w:leftChars="0" w:right="0" w:firstLine="560"/>
        <w:rPr>
          <w:rFonts w:hint="default" w:ascii="Times New Roman" w:hAnsi="Times New Roman" w:eastAsia="宋体" w:cs="Times New Roman"/>
          <w:sz w:val="24"/>
          <w:szCs w:val="24"/>
        </w:rPr>
      </w:pPr>
      <w:r>
        <w:rPr>
          <w:rFonts w:hint="default" w:ascii="Times New Roman" w:hAnsi="Times New Roman" w:eastAsia="宋体" w:cs="Times New Roman"/>
          <w:kern w:val="2"/>
          <w:sz w:val="24"/>
          <w:szCs w:val="24"/>
        </w:rPr>
        <w:t>验收组听取了该工程环境保护执行情况和竣工环境保护验收监测情况的汇报，对该工程环境保护设施的建设、运行情</w:t>
      </w:r>
      <w:r>
        <w:rPr>
          <w:rFonts w:hint="default" w:ascii="Times New Roman" w:hAnsi="Times New Roman" w:eastAsia="宋体" w:cs="Times New Roman"/>
          <w:bCs/>
          <w:kern w:val="2"/>
          <w:sz w:val="24"/>
          <w:szCs w:val="24"/>
        </w:rPr>
        <w:t>况进行了现场检查，核实了有关资料。</w:t>
      </w:r>
      <w:r>
        <w:rPr>
          <w:rFonts w:hint="default" w:ascii="Times New Roman" w:hAnsi="Times New Roman" w:eastAsia="宋体" w:cs="Times New Roman"/>
          <w:sz w:val="24"/>
          <w:szCs w:val="24"/>
        </w:rPr>
        <w:t>经认真讨论，形成竣工环境保护验收意见如下：</w:t>
      </w:r>
    </w:p>
    <w:p>
      <w:pPr>
        <w:keepNext w:val="0"/>
        <w:keepLines w:val="0"/>
        <w:pageBreakBefore w:val="0"/>
        <w:widowControl w:val="0"/>
        <w:kinsoku/>
        <w:overflowPunct/>
        <w:topLinePunct w:val="0"/>
        <w:bidi w:val="0"/>
        <w:spacing w:after="0" w:line="360" w:lineRule="auto"/>
        <w:ind w:leftChars="0" w:right="0" w:firstLine="560"/>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一、工程建设基本情况</w:t>
      </w:r>
    </w:p>
    <w:p>
      <w:pPr>
        <w:keepNext w:val="0"/>
        <w:keepLines w:val="0"/>
        <w:pageBreakBefore w:val="0"/>
        <w:widowControl w:val="0"/>
        <w:kinsoku/>
        <w:overflowPunct/>
        <w:topLinePunct w:val="0"/>
        <w:bidi w:val="0"/>
        <w:spacing w:after="0" w:afterLines="0" w:line="360" w:lineRule="auto"/>
        <w:ind w:leftChars="0" w:right="0" w:firstLine="56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（一）建设地点、规模、主要建设内容</w:t>
      </w:r>
    </w:p>
    <w:p>
      <w:pPr>
        <w:keepNext w:val="0"/>
        <w:keepLines w:val="0"/>
        <w:pageBreakBefore w:val="0"/>
        <w:kinsoku/>
        <w:overflowPunct/>
        <w:topLinePunct w:val="0"/>
        <w:bidi w:val="0"/>
        <w:spacing w:after="0" w:afterLines="0" w:line="360" w:lineRule="auto"/>
        <w:ind w:leftChars="0" w:right="0" w:firstLine="560"/>
        <w:rPr>
          <w:rFonts w:hint="default" w:ascii="Times New Roman" w:hAnsi="Times New Roman" w:eastAsia="宋体" w:cs="Times New Roman"/>
          <w:b w:val="0"/>
          <w:bCs w:val="0"/>
          <w:kern w:val="2"/>
          <w:sz w:val="24"/>
          <w:szCs w:val="24"/>
          <w:lang w:eastAsia="zh-CN"/>
        </w:rPr>
      </w:pPr>
      <w:r>
        <w:rPr>
          <w:rFonts w:hint="default" w:ascii="Times New Roman" w:hAnsi="Times New Roman" w:eastAsia="宋体" w:cs="Times New Roman"/>
          <w:b w:val="0"/>
          <w:bCs w:val="0"/>
          <w:kern w:val="2"/>
          <w:sz w:val="24"/>
          <w:szCs w:val="24"/>
        </w:rPr>
        <w:t>项目名称：</w:t>
      </w:r>
      <w:r>
        <w:rPr>
          <w:rFonts w:hint="eastAsia" w:ascii="Times New Roman" w:hAnsi="Times New Roman" w:eastAsia="宋体" w:cs="Times New Roman"/>
          <w:bCs/>
          <w:color w:val="auto"/>
          <w:kern w:val="2"/>
          <w:sz w:val="24"/>
          <w:szCs w:val="24"/>
          <w:lang w:val="en-US" w:eastAsia="zh-CN"/>
        </w:rPr>
        <w:t>济南迪亚实业有限责任公司济南迪亚双创产业园</w:t>
      </w:r>
    </w:p>
    <w:p>
      <w:pPr>
        <w:keepNext w:val="0"/>
        <w:keepLines w:val="0"/>
        <w:pageBreakBefore w:val="0"/>
        <w:widowControl w:val="0"/>
        <w:kinsoku/>
        <w:overflowPunct/>
        <w:topLinePunct w:val="0"/>
        <w:bidi w:val="0"/>
        <w:spacing w:after="0" w:afterLines="0" w:line="360" w:lineRule="auto"/>
        <w:ind w:leftChars="0" w:right="0" w:firstLine="560"/>
        <w:rPr>
          <w:rFonts w:hint="default" w:ascii="Times New Roman" w:hAnsi="Times New Roman" w:eastAsia="宋体" w:cs="Times New Roman"/>
          <w:b w:val="0"/>
          <w:bCs w:val="0"/>
          <w:kern w:val="2"/>
          <w:sz w:val="24"/>
          <w:szCs w:val="24"/>
          <w:lang w:eastAsia="zh-CN"/>
        </w:rPr>
      </w:pPr>
      <w:r>
        <w:rPr>
          <w:rFonts w:hint="default" w:ascii="Times New Roman" w:hAnsi="Times New Roman" w:eastAsia="宋体" w:cs="Times New Roman"/>
          <w:b w:val="0"/>
          <w:bCs w:val="0"/>
          <w:kern w:val="2"/>
          <w:sz w:val="24"/>
          <w:szCs w:val="24"/>
        </w:rPr>
        <w:t>建设单位：</w:t>
      </w:r>
      <w:r>
        <w:rPr>
          <w:rFonts w:hint="eastAsia" w:ascii="Times New Roman" w:hAnsi="Times New Roman" w:eastAsia="宋体" w:cs="Times New Roman"/>
          <w:bCs/>
          <w:color w:val="auto"/>
          <w:kern w:val="2"/>
          <w:sz w:val="24"/>
          <w:szCs w:val="24"/>
          <w:lang w:eastAsia="zh-CN"/>
        </w:rPr>
        <w:t>济南迪亚实业有限责任公司</w:t>
      </w:r>
    </w:p>
    <w:p>
      <w:pPr>
        <w:keepNext w:val="0"/>
        <w:keepLines w:val="0"/>
        <w:pageBreakBefore w:val="0"/>
        <w:widowControl w:val="0"/>
        <w:kinsoku/>
        <w:overflowPunct/>
        <w:topLinePunct w:val="0"/>
        <w:bidi w:val="0"/>
        <w:spacing w:after="0" w:afterLines="0" w:line="360" w:lineRule="auto"/>
        <w:ind w:leftChars="0" w:right="0" w:firstLine="560"/>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rPr>
        <w:t>建设性质：</w:t>
      </w:r>
      <w:r>
        <w:rPr>
          <w:rFonts w:hint="eastAsia" w:ascii="Times New Roman" w:hAnsi="Times New Roman" w:eastAsia="宋体" w:cs="Times New Roman"/>
          <w:sz w:val="24"/>
          <w:szCs w:val="24"/>
          <w:lang w:eastAsia="zh-CN"/>
        </w:rPr>
        <w:t>新建</w:t>
      </w:r>
    </w:p>
    <w:p>
      <w:pPr>
        <w:keepNext w:val="0"/>
        <w:keepLines w:val="0"/>
        <w:pageBreakBefore w:val="0"/>
        <w:kinsoku/>
        <w:overflowPunct/>
        <w:topLinePunct w:val="0"/>
        <w:bidi w:val="0"/>
        <w:spacing w:after="0" w:afterLines="0" w:line="360" w:lineRule="auto"/>
        <w:ind w:left="0" w:leftChars="0" w:right="0" w:firstLine="480" w:firstLineChars="200"/>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rPr>
        <w:t>地理位置：</w:t>
      </w:r>
      <w:r>
        <w:rPr>
          <w:rFonts w:hint="eastAsia" w:ascii="Times New Roman" w:hAnsi="Times New Roman" w:eastAsia="宋体" w:cs="Times New Roman"/>
          <w:sz w:val="24"/>
          <w:szCs w:val="24"/>
          <w:lang w:val="en-US" w:eastAsia="zh-CN"/>
        </w:rPr>
        <w:t>山东省济南市高新区技术产业开发区世纪大道以南，科航路以北，规划30号路以西，规划29号路以东，济南迪亚双创产业园</w:t>
      </w:r>
      <w:r>
        <w:rPr>
          <w:rFonts w:hint="default" w:ascii="Times New Roman" w:hAnsi="Times New Roman" w:eastAsia="宋体" w:cs="Times New Roman"/>
          <w:kern w:val="2"/>
          <w:sz w:val="24"/>
          <w:szCs w:val="24"/>
        </w:rPr>
        <w:t>。</w:t>
      </w:r>
    </w:p>
    <w:p>
      <w:pPr>
        <w:keepNext w:val="0"/>
        <w:keepLines w:val="0"/>
        <w:pageBreakBefore w:val="0"/>
        <w:kinsoku/>
        <w:overflowPunct/>
        <w:topLinePunct w:val="0"/>
        <w:bidi w:val="0"/>
        <w:spacing w:after="0" w:afterLines="0" w:line="360" w:lineRule="auto"/>
        <w:ind w:left="0" w:leftChars="0" w:right="0" w:firstLine="480" w:firstLineChars="200"/>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rPr>
        <w:t>建设规模：随着实验室医药研发生产规模不断扩大，为积极响应政府产业园区规范化管理，济南迪亚实业有限责任公司投资105600万元，于山东省济南市高新区技术产业开发区世纪大道以南，科航路以北，规划30号路以西，规划29号路以东，济南迪亚双创产业园，总占地面积69664m</w:t>
      </w:r>
      <w:r>
        <w:rPr>
          <w:rFonts w:hint="default" w:ascii="Times New Roman" w:hAnsi="Times New Roman" w:eastAsia="宋体" w:cs="Times New Roman"/>
          <w:kern w:val="2"/>
          <w:sz w:val="24"/>
          <w:szCs w:val="24"/>
          <w:vertAlign w:val="superscript"/>
        </w:rPr>
        <w:t>2</w:t>
      </w:r>
      <w:r>
        <w:rPr>
          <w:rFonts w:hint="default" w:ascii="Times New Roman" w:hAnsi="Times New Roman" w:eastAsia="宋体" w:cs="Times New Roman"/>
          <w:kern w:val="2"/>
          <w:sz w:val="24"/>
          <w:szCs w:val="24"/>
        </w:rPr>
        <w:t>，总建筑面积175826.53m</w:t>
      </w:r>
      <w:r>
        <w:rPr>
          <w:rFonts w:hint="default" w:ascii="Times New Roman" w:hAnsi="Times New Roman" w:eastAsia="宋体" w:cs="Times New Roman"/>
          <w:kern w:val="2"/>
          <w:sz w:val="24"/>
          <w:szCs w:val="24"/>
          <w:vertAlign w:val="superscript"/>
        </w:rPr>
        <w:t>2</w:t>
      </w:r>
      <w:r>
        <w:rPr>
          <w:rFonts w:hint="default" w:ascii="Times New Roman" w:hAnsi="Times New Roman" w:eastAsia="宋体" w:cs="Times New Roman"/>
          <w:kern w:val="2"/>
          <w:sz w:val="24"/>
          <w:szCs w:val="24"/>
        </w:rPr>
        <w:t>，项目地块成缺角矩形结构，厂区建筑物主要包括建设1栋12F综合楼、14栋5-6F厂房，1F地下车库等相关附属设施，并进行场区绿化和道路硬化等。综合楼位于厂区北部，厂房在厂区内相间分布；厂区东侧设有一个主出入口，便于运输，一个消防出入口。项目职工定员3000人，每天工作8小时，年工作300天，年工作时间2400小时，夜间不生产。</w:t>
      </w:r>
    </w:p>
    <w:p>
      <w:pPr>
        <w:keepNext w:val="0"/>
        <w:keepLines w:val="0"/>
        <w:pageBreakBefore w:val="0"/>
        <w:kinsoku/>
        <w:overflowPunct/>
        <w:topLinePunct w:val="0"/>
        <w:bidi w:val="0"/>
        <w:spacing w:after="0" w:afterLines="0" w:line="360" w:lineRule="auto"/>
        <w:ind w:left="0" w:leftChars="0" w:right="0" w:firstLine="480" w:firstLineChars="200"/>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rPr>
        <w:t>（二）建设过程及环保审批情况</w:t>
      </w:r>
    </w:p>
    <w:p>
      <w:pPr>
        <w:keepNext w:val="0"/>
        <w:keepLines w:val="0"/>
        <w:pageBreakBefore w:val="0"/>
        <w:kinsoku/>
        <w:overflowPunct/>
        <w:topLinePunct w:val="0"/>
        <w:bidi w:val="0"/>
        <w:spacing w:after="0" w:afterLines="0" w:line="360" w:lineRule="auto"/>
        <w:ind w:left="0" w:leftChars="0" w:right="0" w:firstLine="480" w:firstLineChars="200"/>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rPr>
        <w:t>济南迪亚实业有限责任公司2020年5月委托山东国环环保科技有限公司编制完成了《济南迪亚双创产业园环境影响报告表》，并于2020年5月18日经济南市生态环境局审批（济环报告表［2020］G59号）。</w:t>
      </w:r>
    </w:p>
    <w:p>
      <w:pPr>
        <w:keepNext w:val="0"/>
        <w:keepLines w:val="0"/>
        <w:pageBreakBefore w:val="0"/>
        <w:kinsoku/>
        <w:overflowPunct/>
        <w:topLinePunct w:val="0"/>
        <w:bidi w:val="0"/>
        <w:spacing w:after="0" w:afterLines="0" w:line="360" w:lineRule="auto"/>
        <w:ind w:left="0" w:leftChars="0" w:right="0" w:firstLine="480" w:firstLineChars="200"/>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rPr>
        <w:t>济南迪亚实业有限责任公司于2022年2月22日经济南市生态环境局审批（济环建管函〔2022〕G7号）。函复如下：济南迪亚实业有限责任公司济南迪亚双创产业园于2020年5月办理环评手续（济环报告表［2020］G59号），环评审批污水站处理150T/d，现实际建设为50T/d，变更原因为园区招商由医药研发转向医疗器械、电子信息、智能制造等行业，今后不再引进大排量污水企业入驻，现处理能力能达到相关要求。污水处理站处理能力变更后，污水处理站采用的工艺和其他配套建设的环保措施均保持不变。经研究，同意污水处理站由150T/d 变更为50T/d，执行原环评意见，不再办理环评审批手续。</w:t>
      </w:r>
    </w:p>
    <w:p>
      <w:pPr>
        <w:keepNext w:val="0"/>
        <w:keepLines w:val="0"/>
        <w:pageBreakBefore w:val="0"/>
        <w:kinsoku/>
        <w:overflowPunct/>
        <w:topLinePunct w:val="0"/>
        <w:bidi w:val="0"/>
        <w:spacing w:after="0" w:afterLines="0" w:line="360" w:lineRule="auto"/>
        <w:ind w:left="0" w:leftChars="0" w:right="0" w:firstLine="480" w:firstLineChars="200"/>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rPr>
        <w:t>本项目于2020年6月开工建设，2021年3月建成，2021年6月投入试生产阶段，运营期间运行状况良好，环保设施同时进行试运行，具备竣工验收条件。</w:t>
      </w:r>
    </w:p>
    <w:p>
      <w:pPr>
        <w:keepNext w:val="0"/>
        <w:keepLines w:val="0"/>
        <w:pageBreakBefore w:val="0"/>
        <w:widowControl w:val="0"/>
        <w:kinsoku/>
        <w:overflowPunct/>
        <w:topLinePunct w:val="0"/>
        <w:bidi w:val="0"/>
        <w:spacing w:after="0" w:afterLines="0" w:line="360" w:lineRule="auto"/>
        <w:ind w:leftChars="0" w:right="0" w:firstLine="56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（三）验收范围</w:t>
      </w:r>
    </w:p>
    <w:p>
      <w:pPr>
        <w:spacing w:after="0" w:afterLines="0"/>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本次验收内容为</w:t>
      </w:r>
      <w:r>
        <w:rPr>
          <w:rFonts w:hint="eastAsia" w:ascii="Times New Roman" w:hAnsi="Times New Roman" w:eastAsia="宋体" w:cs="Times New Roman"/>
          <w:sz w:val="24"/>
          <w:szCs w:val="24"/>
          <w:lang w:eastAsia="zh-CN"/>
        </w:rPr>
        <w:t>济南迪亚实业有限责任公司济南迪亚双创产业园</w:t>
      </w:r>
      <w:r>
        <w:rPr>
          <w:rFonts w:hint="default" w:ascii="Times New Roman" w:hAnsi="Times New Roman" w:eastAsia="宋体" w:cs="Times New Roman"/>
          <w:sz w:val="24"/>
          <w:szCs w:val="24"/>
          <w:lang w:eastAsia="zh-CN"/>
        </w:rPr>
        <w:t>建成后的全部内容。</w:t>
      </w:r>
    </w:p>
    <w:p>
      <w:pPr>
        <w:keepNext w:val="0"/>
        <w:keepLines w:val="0"/>
        <w:pageBreakBefore w:val="0"/>
        <w:kinsoku/>
        <w:overflowPunct/>
        <w:topLinePunct w:val="0"/>
        <w:bidi w:val="0"/>
        <w:adjustRightInd/>
        <w:spacing w:after="0" w:line="360" w:lineRule="auto"/>
        <w:ind w:leftChars="0" w:right="0" w:firstLine="562"/>
        <w:rPr>
          <w:rFonts w:hint="default" w:ascii="Times New Roman" w:hAnsi="Times New Roman" w:eastAsia="宋体" w:cs="Times New Roman"/>
          <w:b/>
          <w:color w:val="000000"/>
          <w:sz w:val="24"/>
          <w:szCs w:val="24"/>
        </w:rPr>
      </w:pPr>
      <w:r>
        <w:rPr>
          <w:rFonts w:hint="default" w:ascii="Times New Roman" w:hAnsi="Times New Roman" w:eastAsia="宋体" w:cs="Times New Roman"/>
          <w:b/>
          <w:color w:val="000000"/>
          <w:sz w:val="24"/>
          <w:szCs w:val="24"/>
        </w:rPr>
        <w:t>二、工程变动情况</w:t>
      </w:r>
    </w:p>
    <w:p>
      <w:pPr>
        <w:pStyle w:val="2"/>
        <w:numPr>
          <w:ilvl w:val="0"/>
          <w:numId w:val="0"/>
        </w:numPr>
        <w:spacing w:after="0"/>
        <w:ind w:firstLine="480" w:firstLineChars="200"/>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与环评相较，总建筑面积减少；地上建筑面积（厂房（丁类）面积减少，综合楼面积减少，综合楼餐厅、办公面积减少，门卫未建设）；地下建筑面积（地下厂房面积增大1.26%，车库及设备房面积减少）；地上容积率降低；地下容积率降低；建筑密度降低；绿地率增大。该项目实际建设过程中项目的性质、规模、地点、运营工艺等其他内容未发生重大变动，因此项目发生的变动均不属于重大变动。</w:t>
      </w:r>
    </w:p>
    <w:p>
      <w:pPr>
        <w:pStyle w:val="2"/>
        <w:numPr>
          <w:ilvl w:val="0"/>
          <w:numId w:val="0"/>
        </w:numPr>
        <w:spacing w:after="0"/>
        <w:ind w:firstLine="480" w:firstLineChars="200"/>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根据《中华人民共和国环境影响评价法》、《建设项目环境保护管理条例》（国务院令第682号）、《关于印发环评管理中部分行业建设项目重大变动清单的通知》（环办[2015]52号）、《关于印发制浆造纸等十四个行业建设项目重大变动清单的通知》（环办环评[2018]6号）、《关于印发淀粉等五个行业建设项目重大变动清单的通知》（环办环评函[2019]934号）和关于印发《污染影响类建设项目重大变动清单（试行）》的通知（环办环评函[2020]688号）等的有关规定，不属于重大变更，应纳入竣工环境保护验收管理。</w:t>
      </w:r>
    </w:p>
    <w:p>
      <w:pPr>
        <w:keepNext w:val="0"/>
        <w:keepLines w:val="0"/>
        <w:pageBreakBefore w:val="0"/>
        <w:widowControl w:val="0"/>
        <w:kinsoku/>
        <w:overflowPunct/>
        <w:topLinePunct w:val="0"/>
        <w:bidi w:val="0"/>
        <w:spacing w:after="0" w:line="360" w:lineRule="auto"/>
        <w:ind w:leftChars="0" w:right="0" w:firstLine="562"/>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三、环境保护设施建设情况</w:t>
      </w:r>
    </w:p>
    <w:p>
      <w:pPr>
        <w:pStyle w:val="2"/>
        <w:keepNext w:val="0"/>
        <w:keepLines w:val="0"/>
        <w:pageBreakBefore w:val="0"/>
        <w:widowControl w:val="0"/>
        <w:kinsoku/>
        <w:wordWrap/>
        <w:overflowPunct/>
        <w:topLinePunct w:val="0"/>
        <w:autoSpaceDE/>
        <w:autoSpaceDN/>
        <w:bidi w:val="0"/>
        <w:adjustRightInd w:val="0"/>
        <w:snapToGrid w:val="0"/>
        <w:spacing w:after="0"/>
        <w:ind w:firstLine="480" w:firstLineChars="200"/>
        <w:textAlignment w:val="baseline"/>
        <w:outlineLvl w:val="9"/>
        <w:rPr>
          <w:rFonts w:hint="default" w:ascii="Times New Roman" w:hAnsi="Times New Roman" w:eastAsia="宋体" w:cs="Times New Roman"/>
          <w:b w:val="0"/>
          <w:bCs w:val="0"/>
          <w:color w:val="000000"/>
          <w:sz w:val="24"/>
          <w:szCs w:val="24"/>
          <w:highlight w:val="none"/>
          <w:lang w:val="en-US" w:eastAsia="zh-CN"/>
        </w:rPr>
      </w:pPr>
      <w:r>
        <w:rPr>
          <w:rFonts w:hint="default" w:ascii="Times New Roman" w:hAnsi="Times New Roman" w:eastAsia="宋体" w:cs="Times New Roman"/>
          <w:b w:val="0"/>
          <w:bCs w:val="0"/>
          <w:color w:val="000000"/>
          <w:sz w:val="24"/>
          <w:szCs w:val="24"/>
          <w:highlight w:val="none"/>
          <w:lang w:val="en-US" w:eastAsia="zh-CN"/>
        </w:rPr>
        <w:t>1、废气</w:t>
      </w:r>
    </w:p>
    <w:p>
      <w:pPr>
        <w:pStyle w:val="2"/>
        <w:keepNext w:val="0"/>
        <w:keepLines w:val="0"/>
        <w:pageBreakBefore w:val="0"/>
        <w:widowControl w:val="0"/>
        <w:kinsoku/>
        <w:wordWrap/>
        <w:overflowPunct/>
        <w:topLinePunct w:val="0"/>
        <w:autoSpaceDE/>
        <w:autoSpaceDN/>
        <w:bidi w:val="0"/>
        <w:adjustRightInd w:val="0"/>
        <w:snapToGrid w:val="0"/>
        <w:spacing w:after="0"/>
        <w:ind w:firstLine="480" w:firstLineChars="200"/>
        <w:textAlignment w:val="baseline"/>
        <w:outlineLvl w:val="9"/>
        <w:rPr>
          <w:rFonts w:hint="default" w:ascii="Times New Roman" w:hAnsi="Times New Roman" w:eastAsia="宋体" w:cs="Times New Roman"/>
          <w:b w:val="0"/>
          <w:bCs w:val="0"/>
          <w:color w:val="000000"/>
          <w:sz w:val="24"/>
          <w:szCs w:val="24"/>
          <w:highlight w:val="none"/>
          <w:lang w:eastAsia="zh-CN"/>
        </w:rPr>
      </w:pPr>
      <w:r>
        <w:rPr>
          <w:rFonts w:hint="default" w:ascii="Times New Roman" w:hAnsi="Times New Roman" w:eastAsia="宋体" w:cs="Times New Roman"/>
          <w:b w:val="0"/>
          <w:bCs w:val="0"/>
          <w:color w:val="000000"/>
          <w:sz w:val="24"/>
          <w:szCs w:val="24"/>
          <w:highlight w:val="none"/>
          <w:lang w:eastAsia="zh-CN"/>
        </w:rPr>
        <w:t>本项目废气主要为食堂油烟废气和污水处理站运行过程中产生的恶臭气体（氨、硫化氢、臭气）。</w:t>
      </w:r>
    </w:p>
    <w:p>
      <w:pPr>
        <w:pStyle w:val="2"/>
        <w:keepNext w:val="0"/>
        <w:keepLines w:val="0"/>
        <w:pageBreakBefore w:val="0"/>
        <w:widowControl w:val="0"/>
        <w:kinsoku/>
        <w:wordWrap/>
        <w:overflowPunct/>
        <w:topLinePunct w:val="0"/>
        <w:autoSpaceDE/>
        <w:autoSpaceDN/>
        <w:bidi w:val="0"/>
        <w:adjustRightInd w:val="0"/>
        <w:snapToGrid w:val="0"/>
        <w:spacing w:after="0"/>
        <w:ind w:firstLine="480" w:firstLineChars="200"/>
        <w:textAlignment w:val="baseline"/>
        <w:outlineLvl w:val="9"/>
        <w:rPr>
          <w:rFonts w:hint="default" w:ascii="Times New Roman" w:hAnsi="Times New Roman" w:eastAsia="宋体" w:cs="Times New Roman"/>
          <w:b w:val="0"/>
          <w:bCs w:val="0"/>
          <w:color w:val="000000"/>
          <w:sz w:val="24"/>
          <w:szCs w:val="24"/>
          <w:highlight w:val="none"/>
          <w:lang w:eastAsia="zh-CN"/>
        </w:rPr>
      </w:pPr>
      <w:r>
        <w:rPr>
          <w:rFonts w:hint="default" w:ascii="Times New Roman" w:hAnsi="Times New Roman" w:eastAsia="宋体" w:cs="Times New Roman"/>
          <w:b w:val="0"/>
          <w:bCs w:val="0"/>
          <w:color w:val="000000"/>
          <w:sz w:val="24"/>
          <w:szCs w:val="24"/>
          <w:highlight w:val="none"/>
          <w:lang w:eastAsia="zh-CN"/>
        </w:rPr>
        <w:t>本项目采用静电式餐饮业油烟净化设备对食堂油烟废气进行处理，处理后的油烟废气通过1根高出食堂顶部1.5m的排气筒（DA001）排放。</w:t>
      </w:r>
    </w:p>
    <w:p>
      <w:pPr>
        <w:pStyle w:val="2"/>
        <w:keepNext w:val="0"/>
        <w:keepLines w:val="0"/>
        <w:pageBreakBefore w:val="0"/>
        <w:widowControl w:val="0"/>
        <w:kinsoku/>
        <w:wordWrap/>
        <w:overflowPunct/>
        <w:topLinePunct w:val="0"/>
        <w:autoSpaceDE/>
        <w:autoSpaceDN/>
        <w:bidi w:val="0"/>
        <w:adjustRightInd w:val="0"/>
        <w:snapToGrid w:val="0"/>
        <w:spacing w:after="0"/>
        <w:ind w:firstLine="480" w:firstLineChars="200"/>
        <w:textAlignment w:val="baseline"/>
        <w:outlineLvl w:val="9"/>
        <w:rPr>
          <w:rFonts w:hint="default" w:ascii="Times New Roman" w:hAnsi="Times New Roman" w:eastAsia="宋体" w:cs="Times New Roman"/>
          <w:b w:val="0"/>
          <w:bCs w:val="0"/>
          <w:color w:val="000000"/>
          <w:sz w:val="24"/>
          <w:szCs w:val="24"/>
          <w:highlight w:val="none"/>
          <w:lang w:eastAsia="zh-CN"/>
        </w:rPr>
      </w:pPr>
      <w:r>
        <w:rPr>
          <w:rFonts w:hint="default" w:ascii="Times New Roman" w:hAnsi="Times New Roman" w:eastAsia="宋体" w:cs="Times New Roman"/>
          <w:b w:val="0"/>
          <w:bCs w:val="0"/>
          <w:color w:val="000000"/>
          <w:sz w:val="24"/>
          <w:szCs w:val="24"/>
          <w:highlight w:val="none"/>
          <w:lang w:eastAsia="zh-CN"/>
        </w:rPr>
        <w:t>污水处理站运行过程中恶臭气体（氨、硫化氢、臭气），为无组织排放。</w:t>
      </w:r>
    </w:p>
    <w:p>
      <w:pPr>
        <w:keepNext w:val="0"/>
        <w:keepLines w:val="0"/>
        <w:pageBreakBefore w:val="0"/>
        <w:kinsoku/>
        <w:overflowPunct/>
        <w:topLinePunct w:val="0"/>
        <w:bidi w:val="0"/>
        <w:adjustRightInd/>
        <w:spacing w:after="0" w:line="360" w:lineRule="auto"/>
        <w:ind w:right="0"/>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2、废水</w:t>
      </w:r>
    </w:p>
    <w:p>
      <w:pPr>
        <w:pStyle w:val="2"/>
        <w:spacing w:after="0"/>
        <w:jc w:val="both"/>
        <w:rPr>
          <w:rFonts w:hint="default" w:ascii="Times New Roman" w:hAnsi="Times New Roman" w:eastAsia="宋体" w:cs="Times New Roman"/>
          <w:color w:val="000000"/>
          <w:kern w:val="0"/>
          <w:sz w:val="24"/>
          <w:szCs w:val="24"/>
          <w:highlight w:val="none"/>
          <w:lang w:val="en-US" w:eastAsia="zh-CN" w:bidi="ar"/>
        </w:rPr>
      </w:pPr>
      <w:r>
        <w:rPr>
          <w:rFonts w:hint="default" w:ascii="Times New Roman" w:hAnsi="Times New Roman" w:eastAsia="宋体" w:cs="Times New Roman"/>
          <w:color w:val="000000"/>
          <w:kern w:val="0"/>
          <w:sz w:val="24"/>
          <w:szCs w:val="24"/>
          <w:highlight w:val="none"/>
          <w:lang w:val="en-US" w:eastAsia="zh-CN" w:bidi="ar"/>
        </w:rPr>
        <w:t>本项目产生废水为餐饮污水、生活污水和实验废水，其中生活污水与经隔油后的餐饮污水直接排入市政污水管网后由巨野河污水处理厂处理；实验废水收集至园区内污水处理站处理，水质满足《污水排入城镇下水道水质标准（GB/T31962-2015）》A标准和巨野河污水处理厂进水水质要求后，经厂区现有市政污水管网排入巨野河污水处理厂进行集中处理，处理后水质满足《城镇污水处理厂污染物排放标准》（GB18918-2002）一级A标准、济政办字[2011]49号文件要求和济政办字〔2017〕30号文件要求后排入巨野河。</w:t>
      </w:r>
    </w:p>
    <w:p>
      <w:pPr>
        <w:keepNext w:val="0"/>
        <w:keepLines w:val="0"/>
        <w:pageBreakBefore w:val="0"/>
        <w:kinsoku/>
        <w:overflowPunct/>
        <w:topLinePunct w:val="0"/>
        <w:bidi w:val="0"/>
        <w:adjustRightInd/>
        <w:spacing w:after="0" w:line="360" w:lineRule="auto"/>
        <w:ind w:left="0" w:leftChars="0" w:right="0" w:firstLine="480" w:firstLineChars="200"/>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3、噪声</w:t>
      </w:r>
    </w:p>
    <w:p>
      <w:pPr>
        <w:pStyle w:val="2"/>
        <w:spacing w:after="0"/>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本项目噪声源主要为实验设备和风机运转产生的噪声，营运期噪声值在60～80dB（A）之间。本项目设备均布置于室内，采取门窗、墙体隔声，全部设备均选用低噪声设备并采取减振措施。加强管理，经常保养和维护机械设备避免设备在不良状态下运行。</w:t>
      </w:r>
    </w:p>
    <w:p>
      <w:pPr>
        <w:keepNext w:val="0"/>
        <w:keepLines w:val="0"/>
        <w:pageBreakBefore w:val="0"/>
        <w:kinsoku/>
        <w:overflowPunct/>
        <w:topLinePunct w:val="0"/>
        <w:bidi w:val="0"/>
        <w:adjustRightInd/>
        <w:spacing w:after="0" w:line="360" w:lineRule="auto"/>
        <w:ind w:left="0" w:leftChars="0" w:right="0" w:firstLine="480" w:firstLineChars="200"/>
        <w:rPr>
          <w:rFonts w:hint="default" w:ascii="Times New Roman" w:hAnsi="Times New Roman" w:eastAsia="宋体" w:cs="Times New Roman"/>
          <w:b w:val="0"/>
          <w:bCs w:val="0"/>
          <w:kern w:val="2"/>
          <w:sz w:val="24"/>
          <w:szCs w:val="24"/>
          <w:lang w:val="en-US" w:eastAsia="zh-CN"/>
        </w:rPr>
      </w:pPr>
      <w:r>
        <w:rPr>
          <w:rFonts w:hint="default" w:ascii="Times New Roman" w:hAnsi="Times New Roman" w:eastAsia="宋体" w:cs="Times New Roman"/>
          <w:b w:val="0"/>
          <w:bCs w:val="0"/>
          <w:kern w:val="2"/>
          <w:sz w:val="24"/>
          <w:szCs w:val="24"/>
          <w:lang w:val="en-US" w:eastAsia="zh-CN"/>
        </w:rPr>
        <w:t>4、固体废物</w:t>
      </w:r>
    </w:p>
    <w:p>
      <w:pPr>
        <w:pStyle w:val="2"/>
        <w:keepNext w:val="0"/>
        <w:keepLines w:val="0"/>
        <w:pageBreakBefore w:val="0"/>
        <w:widowControl/>
        <w:kinsoku/>
        <w:wordWrap/>
        <w:overflowPunct/>
        <w:topLinePunct w:val="0"/>
        <w:autoSpaceDE/>
        <w:autoSpaceDN/>
        <w:bidi w:val="0"/>
        <w:adjustRightInd/>
        <w:snapToGrid/>
        <w:spacing w:after="0"/>
        <w:ind w:firstLine="480" w:firstLineChars="200"/>
        <w:jc w:val="left"/>
        <w:outlineLvl w:val="9"/>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z w:val="24"/>
          <w:szCs w:val="24"/>
          <w:lang w:val="en-US" w:eastAsia="zh-CN"/>
        </w:rPr>
        <w:t>本项目产生的固体废物主要为员工的生活垃圾、餐厨垃圾以及实验固废（实验固废以入驻企业为主体，根据企业功能定位以及相关国家规定单独进行环境影响评价和竣工环境保护验收）。</w:t>
      </w:r>
    </w:p>
    <w:p>
      <w:pPr>
        <w:pStyle w:val="2"/>
        <w:keepNext w:val="0"/>
        <w:keepLines w:val="0"/>
        <w:pageBreakBefore w:val="0"/>
        <w:widowControl/>
        <w:kinsoku/>
        <w:wordWrap/>
        <w:overflowPunct/>
        <w:topLinePunct w:val="0"/>
        <w:autoSpaceDE/>
        <w:autoSpaceDN/>
        <w:bidi w:val="0"/>
        <w:adjustRightInd/>
        <w:snapToGrid/>
        <w:spacing w:after="0"/>
        <w:ind w:firstLine="480" w:firstLineChars="200"/>
        <w:jc w:val="left"/>
        <w:outlineLvl w:val="9"/>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z w:val="24"/>
          <w:szCs w:val="24"/>
          <w:lang w:val="en-US" w:eastAsia="zh-CN"/>
        </w:rPr>
        <w:t>综合服务楼产生的生活垃圾由各单位收集后，收集至生活垃圾桶，由环卫部门清运，餐厨垃圾委托济南十方固废处理有限公司处置。</w:t>
      </w:r>
    </w:p>
    <w:p>
      <w:pPr>
        <w:keepNext w:val="0"/>
        <w:keepLines w:val="0"/>
        <w:pageBreakBefore w:val="0"/>
        <w:kinsoku/>
        <w:overflowPunct/>
        <w:topLinePunct w:val="0"/>
        <w:bidi w:val="0"/>
        <w:spacing w:after="0" w:line="360" w:lineRule="auto"/>
        <w:ind w:leftChars="0" w:right="0" w:firstLine="562"/>
        <w:rPr>
          <w:rFonts w:hint="default" w:ascii="Times New Roman" w:hAnsi="Times New Roman" w:eastAsia="宋体" w:cs="Times New Roman"/>
          <w:b/>
          <w:color w:val="000000"/>
          <w:sz w:val="24"/>
          <w:szCs w:val="24"/>
        </w:rPr>
      </w:pPr>
      <w:r>
        <w:rPr>
          <w:rFonts w:hint="default" w:ascii="Times New Roman" w:hAnsi="Times New Roman" w:eastAsia="宋体" w:cs="Times New Roman"/>
          <w:b/>
          <w:color w:val="000000"/>
          <w:sz w:val="24"/>
          <w:szCs w:val="24"/>
        </w:rPr>
        <w:t>四、环境保护设施调试效果</w:t>
      </w:r>
    </w:p>
    <w:p>
      <w:pPr>
        <w:keepNext w:val="0"/>
        <w:keepLines w:val="0"/>
        <w:pageBreakBefore w:val="0"/>
        <w:kinsoku/>
        <w:overflowPunct/>
        <w:topLinePunct w:val="0"/>
        <w:bidi w:val="0"/>
        <w:spacing w:after="0" w:afterLines="0" w:line="360" w:lineRule="auto"/>
        <w:ind w:leftChars="0" w:right="0" w:firstLine="560"/>
        <w:rPr>
          <w:rFonts w:hint="default" w:ascii="Times New Roman" w:hAnsi="Times New Roman" w:eastAsia="宋体" w:cs="Times New Roman"/>
          <w:kern w:val="2"/>
          <w:sz w:val="24"/>
          <w:szCs w:val="24"/>
        </w:rPr>
      </w:pPr>
      <w:r>
        <w:rPr>
          <w:rFonts w:hint="default" w:ascii="Times New Roman" w:hAnsi="Times New Roman" w:eastAsia="宋体" w:cs="Times New Roman"/>
          <w:color w:val="auto"/>
          <w:kern w:val="2"/>
          <w:sz w:val="24"/>
          <w:szCs w:val="24"/>
        </w:rPr>
        <w:t>根据《</w:t>
      </w:r>
      <w:r>
        <w:rPr>
          <w:rFonts w:hint="eastAsia" w:ascii="Times New Roman" w:hAnsi="Times New Roman" w:eastAsia="宋体" w:cs="Times New Roman"/>
          <w:sz w:val="24"/>
          <w:szCs w:val="24"/>
          <w:lang w:val="en-US" w:eastAsia="zh-CN"/>
        </w:rPr>
        <w:t>济南迪亚实业有限责任公司济南迪亚双创产业园</w:t>
      </w:r>
      <w:r>
        <w:rPr>
          <w:rFonts w:hint="default" w:ascii="Times New Roman" w:hAnsi="Times New Roman" w:eastAsia="宋体" w:cs="Times New Roman"/>
          <w:color w:val="auto"/>
          <w:kern w:val="2"/>
          <w:sz w:val="24"/>
          <w:szCs w:val="24"/>
        </w:rPr>
        <w:t>竣工环境保护验收</w:t>
      </w:r>
      <w:r>
        <w:rPr>
          <w:rFonts w:hint="default" w:ascii="Times New Roman" w:hAnsi="Times New Roman" w:eastAsia="宋体" w:cs="Times New Roman"/>
          <w:color w:val="auto"/>
          <w:kern w:val="2"/>
          <w:sz w:val="24"/>
          <w:szCs w:val="24"/>
          <w:lang w:eastAsia="zh-CN"/>
        </w:rPr>
        <w:t>检</w:t>
      </w:r>
      <w:r>
        <w:rPr>
          <w:rFonts w:hint="default" w:ascii="Times New Roman" w:hAnsi="Times New Roman" w:eastAsia="宋体" w:cs="Times New Roman"/>
          <w:color w:val="auto"/>
          <w:kern w:val="2"/>
          <w:sz w:val="24"/>
          <w:szCs w:val="24"/>
        </w:rPr>
        <w:t>测报告》</w:t>
      </w:r>
      <w:r>
        <w:rPr>
          <w:rFonts w:hint="default" w:ascii="Times New Roman" w:hAnsi="Times New Roman" w:eastAsia="宋体" w:cs="Times New Roman"/>
          <w:kern w:val="2"/>
          <w:sz w:val="24"/>
          <w:szCs w:val="24"/>
        </w:rPr>
        <w:t>可知：</w:t>
      </w:r>
    </w:p>
    <w:p>
      <w:pPr>
        <w:keepNext w:val="0"/>
        <w:keepLines w:val="0"/>
        <w:pageBreakBefore w:val="0"/>
        <w:kinsoku/>
        <w:overflowPunct/>
        <w:topLinePunct w:val="0"/>
        <w:bidi w:val="0"/>
        <w:spacing w:after="0" w:afterLines="0" w:line="360" w:lineRule="auto"/>
        <w:ind w:leftChars="0" w:right="0" w:firstLine="560"/>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lang w:val="en-US" w:eastAsia="zh-CN"/>
        </w:rPr>
        <w:t>1、</w:t>
      </w:r>
      <w:r>
        <w:rPr>
          <w:rFonts w:hint="default" w:ascii="Times New Roman" w:hAnsi="Times New Roman" w:eastAsia="宋体" w:cs="Times New Roman"/>
          <w:kern w:val="2"/>
          <w:sz w:val="24"/>
          <w:szCs w:val="24"/>
        </w:rPr>
        <w:t>监测期间的生产工况</w:t>
      </w:r>
    </w:p>
    <w:p>
      <w:pPr>
        <w:keepNext w:val="0"/>
        <w:keepLines w:val="0"/>
        <w:pageBreakBefore w:val="0"/>
        <w:kinsoku/>
        <w:overflowPunct/>
        <w:topLinePunct w:val="0"/>
        <w:bidi w:val="0"/>
        <w:spacing w:after="0" w:afterLines="0" w:line="360" w:lineRule="auto"/>
        <w:ind w:leftChars="0" w:right="0" w:firstLine="560"/>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rPr>
        <w:t>监测期间，该企业</w:t>
      </w:r>
      <w:r>
        <w:rPr>
          <w:rFonts w:hint="eastAsia" w:ascii="Times New Roman" w:hAnsi="Times New Roman" w:eastAsia="宋体" w:cs="Times New Roman"/>
          <w:kern w:val="2"/>
          <w:sz w:val="24"/>
          <w:szCs w:val="24"/>
          <w:lang w:eastAsia="zh-CN"/>
        </w:rPr>
        <w:t>运行</w:t>
      </w:r>
      <w:r>
        <w:rPr>
          <w:rFonts w:hint="default" w:ascii="Times New Roman" w:hAnsi="Times New Roman" w:eastAsia="宋体" w:cs="Times New Roman"/>
          <w:kern w:val="2"/>
          <w:sz w:val="24"/>
          <w:szCs w:val="24"/>
        </w:rPr>
        <w:t>正常，工况稳定，满足验收监测技术规范要求。</w:t>
      </w:r>
    </w:p>
    <w:p>
      <w:pPr>
        <w:keepNext w:val="0"/>
        <w:keepLines w:val="0"/>
        <w:pageBreakBefore w:val="0"/>
        <w:kinsoku/>
        <w:overflowPunct/>
        <w:topLinePunct w:val="0"/>
        <w:bidi w:val="0"/>
        <w:spacing w:after="0" w:afterLines="0" w:line="360" w:lineRule="auto"/>
        <w:ind w:leftChars="0" w:right="0" w:firstLine="560"/>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lang w:val="en-US" w:eastAsia="zh-CN"/>
        </w:rPr>
        <w:t>2、</w:t>
      </w:r>
      <w:r>
        <w:rPr>
          <w:rFonts w:hint="default" w:ascii="Times New Roman" w:hAnsi="Times New Roman" w:eastAsia="宋体" w:cs="Times New Roman"/>
          <w:kern w:val="2"/>
          <w:sz w:val="24"/>
          <w:szCs w:val="24"/>
        </w:rPr>
        <w:t>污染物达标排放情况</w:t>
      </w:r>
    </w:p>
    <w:p>
      <w:pPr>
        <w:keepNext w:val="0"/>
        <w:keepLines w:val="0"/>
        <w:pageBreakBefore w:val="0"/>
        <w:kinsoku/>
        <w:overflowPunct/>
        <w:topLinePunct w:val="0"/>
        <w:bidi w:val="0"/>
        <w:spacing w:after="0" w:afterLines="0" w:line="360" w:lineRule="auto"/>
        <w:ind w:leftChars="0" w:right="0" w:firstLine="560"/>
        <w:rPr>
          <w:rFonts w:hint="default" w:ascii="Times New Roman" w:hAnsi="Times New Roman" w:eastAsia="宋体" w:cs="Times New Roman"/>
          <w:b w:val="0"/>
          <w:bCs w:val="0"/>
          <w:color w:val="auto"/>
          <w:sz w:val="24"/>
          <w:szCs w:val="24"/>
          <w:lang w:val="en-US" w:eastAsia="zh-CN"/>
        </w:rPr>
      </w:pPr>
      <w:r>
        <w:rPr>
          <w:rFonts w:hint="default" w:ascii="Times New Roman" w:hAnsi="Times New Roman" w:eastAsia="宋体" w:cs="Times New Roman"/>
          <w:b w:val="0"/>
          <w:bCs w:val="0"/>
          <w:color w:val="auto"/>
          <w:sz w:val="24"/>
          <w:szCs w:val="24"/>
          <w:lang w:val="en-US" w:eastAsia="zh-CN"/>
        </w:rPr>
        <w:t>（1）</w:t>
      </w:r>
      <w:r>
        <w:rPr>
          <w:rFonts w:hint="default" w:ascii="Times New Roman" w:hAnsi="Times New Roman" w:eastAsia="宋体" w:cs="Times New Roman"/>
          <w:kern w:val="2"/>
          <w:sz w:val="24"/>
          <w:szCs w:val="24"/>
          <w:lang w:val="en-US" w:eastAsia="zh-CN"/>
        </w:rPr>
        <w:t>废气：</w:t>
      </w:r>
    </w:p>
    <w:p>
      <w:pPr>
        <w:pStyle w:val="11"/>
        <w:adjustRightInd w:val="0"/>
        <w:snapToGrid w:val="0"/>
        <w:spacing w:after="0" w:line="360" w:lineRule="auto"/>
        <w:ind w:left="0" w:leftChars="0" w:firstLine="480" w:firstLineChars="200"/>
        <w:rPr>
          <w:rFonts w:hint="default" w:ascii="Times New Roman" w:hAnsi="Times New Roman" w:cs="Times New Roman" w:eastAsiaTheme="minorEastAsia"/>
          <w:sz w:val="24"/>
          <w:highlight w:val="none"/>
          <w:lang w:eastAsia="zh-CN"/>
        </w:rPr>
      </w:pPr>
      <w:r>
        <w:rPr>
          <w:rFonts w:hint="default" w:ascii="Times New Roman" w:hAnsi="Times New Roman" w:cs="Times New Roman" w:eastAsiaTheme="minorEastAsia"/>
          <w:sz w:val="24"/>
          <w:szCs w:val="24"/>
          <w:highlight w:val="none"/>
        </w:rPr>
        <w:t>监</w:t>
      </w:r>
      <w:r>
        <w:rPr>
          <w:rFonts w:hint="default" w:ascii="Times New Roman" w:hAnsi="Times New Roman" w:cs="Times New Roman" w:eastAsiaTheme="minorEastAsia"/>
          <w:color w:val="auto"/>
          <w:sz w:val="24"/>
          <w:szCs w:val="24"/>
          <w:highlight w:val="none"/>
        </w:rPr>
        <w:t>测期间，</w:t>
      </w:r>
      <w:r>
        <w:rPr>
          <w:rFonts w:hint="default" w:ascii="Times New Roman" w:hAnsi="Times New Roman" w:cs="Times New Roman" w:eastAsiaTheme="minorEastAsia"/>
          <w:sz w:val="24"/>
          <w:szCs w:val="24"/>
          <w:highlight w:val="none"/>
          <w:lang w:eastAsia="zh-CN"/>
        </w:rPr>
        <w:t>本项目各生产工序</w:t>
      </w:r>
      <w:r>
        <w:rPr>
          <w:rFonts w:hint="default" w:ascii="Times New Roman" w:hAnsi="Times New Roman" w:cs="Times New Roman" w:eastAsiaTheme="minorEastAsia"/>
          <w:sz w:val="24"/>
          <w:highlight w:val="none"/>
          <w:lang w:eastAsia="zh-CN"/>
        </w:rPr>
        <w:t>正常运行，园区食堂油烟排气筒DA001出口油烟</w:t>
      </w:r>
      <w:r>
        <w:rPr>
          <w:rFonts w:hint="default" w:ascii="Times New Roman" w:hAnsi="Times New Roman" w:cs="Times New Roman" w:eastAsiaTheme="minorEastAsia"/>
          <w:sz w:val="24"/>
          <w:highlight w:val="none"/>
          <w:lang w:val="en-US" w:eastAsia="zh-CN"/>
        </w:rPr>
        <w:t>最大排放浓度为0.426mg/m</w:t>
      </w:r>
      <w:r>
        <w:rPr>
          <w:rFonts w:hint="default" w:ascii="Times New Roman" w:hAnsi="Times New Roman" w:cs="Times New Roman" w:eastAsiaTheme="minorEastAsia"/>
          <w:sz w:val="24"/>
          <w:highlight w:val="none"/>
          <w:vertAlign w:val="superscript"/>
          <w:lang w:val="en-US" w:eastAsia="zh-CN"/>
        </w:rPr>
        <w:t>3</w:t>
      </w:r>
      <w:r>
        <w:rPr>
          <w:rFonts w:hint="default" w:ascii="Times New Roman" w:hAnsi="Times New Roman" w:cs="Times New Roman" w:eastAsiaTheme="minorEastAsia"/>
          <w:sz w:val="24"/>
          <w:highlight w:val="none"/>
          <w:lang w:val="en-US" w:eastAsia="zh-CN"/>
        </w:rPr>
        <w:t>，排放速率为6.1×10</w:t>
      </w:r>
      <w:r>
        <w:rPr>
          <w:rFonts w:hint="default" w:ascii="Times New Roman" w:hAnsi="Times New Roman" w:cs="Times New Roman" w:eastAsiaTheme="minorEastAsia"/>
          <w:sz w:val="24"/>
          <w:highlight w:val="none"/>
          <w:vertAlign w:val="superscript"/>
          <w:lang w:val="en-US" w:eastAsia="zh-CN"/>
        </w:rPr>
        <w:t>-3</w:t>
      </w:r>
      <w:r>
        <w:rPr>
          <w:rFonts w:hint="default" w:ascii="Times New Roman" w:hAnsi="Times New Roman" w:cs="Times New Roman" w:eastAsiaTheme="minorEastAsia"/>
          <w:sz w:val="24"/>
          <w:highlight w:val="none"/>
          <w:lang w:val="en-US" w:eastAsia="zh-CN"/>
        </w:rPr>
        <w:t>kg/h。</w:t>
      </w:r>
    </w:p>
    <w:p>
      <w:pPr>
        <w:pStyle w:val="11"/>
        <w:adjustRightInd w:val="0"/>
        <w:snapToGrid w:val="0"/>
        <w:spacing w:after="0" w:line="360" w:lineRule="auto"/>
        <w:ind w:left="0" w:leftChars="0" w:firstLine="480" w:firstLineChars="200"/>
        <w:rPr>
          <w:rFonts w:hint="default" w:ascii="Times New Roman" w:hAnsi="Times New Roman" w:cs="Times New Roman" w:eastAsiaTheme="minorEastAsia"/>
          <w:sz w:val="24"/>
          <w:szCs w:val="24"/>
          <w:lang w:eastAsia="zh-CN"/>
        </w:rPr>
      </w:pPr>
      <w:r>
        <w:rPr>
          <w:rFonts w:hint="default" w:ascii="Times New Roman" w:hAnsi="Times New Roman" w:cs="Times New Roman" w:eastAsiaTheme="minorEastAsia"/>
          <w:sz w:val="24"/>
          <w:szCs w:val="24"/>
          <w:lang w:eastAsia="zh-CN"/>
        </w:rPr>
        <w:t>项目油烟</w:t>
      </w:r>
      <w:r>
        <w:rPr>
          <w:rFonts w:hint="default" w:ascii="Times New Roman" w:hAnsi="Times New Roman" w:cs="Times New Roman" w:eastAsiaTheme="minorEastAsia"/>
          <w:b w:val="0"/>
          <w:bCs w:val="0"/>
          <w:sz w:val="24"/>
          <w:szCs w:val="24"/>
          <w:highlight w:val="none"/>
          <w:lang w:val="en-GB" w:eastAsia="zh-CN"/>
        </w:rPr>
        <w:t>满足</w:t>
      </w:r>
      <w:r>
        <w:rPr>
          <w:rFonts w:hint="default" w:ascii="Times New Roman" w:hAnsi="Times New Roman" w:cs="Times New Roman" w:eastAsiaTheme="minorEastAsia"/>
          <w:sz w:val="24"/>
          <w:szCs w:val="24"/>
        </w:rPr>
        <w:t>《山东省饮食油烟排放标准》（DB37/597-2006）中</w:t>
      </w:r>
      <w:r>
        <w:rPr>
          <w:rFonts w:hint="default" w:ascii="Times New Roman" w:hAnsi="Times New Roman" w:cs="Times New Roman" w:eastAsiaTheme="minorEastAsia"/>
          <w:sz w:val="24"/>
          <w:szCs w:val="24"/>
          <w:lang w:eastAsia="zh-CN"/>
        </w:rPr>
        <w:t>大型饮食单位的油烟最高允许排放浓度（</w:t>
      </w:r>
      <w:r>
        <w:rPr>
          <w:rFonts w:hint="default" w:ascii="Times New Roman" w:hAnsi="Times New Roman" w:cs="Times New Roman" w:eastAsiaTheme="minorEastAsia"/>
          <w:sz w:val="24"/>
          <w:szCs w:val="24"/>
        </w:rPr>
        <w:t>1.</w:t>
      </w:r>
      <w:r>
        <w:rPr>
          <w:rFonts w:hint="default" w:ascii="Times New Roman" w:hAnsi="Times New Roman" w:cs="Times New Roman" w:eastAsiaTheme="minorEastAsia"/>
          <w:sz w:val="24"/>
          <w:szCs w:val="24"/>
          <w:lang w:val="en-US" w:eastAsia="zh-CN"/>
        </w:rPr>
        <w:t>0</w:t>
      </w:r>
      <w:r>
        <w:rPr>
          <w:rFonts w:hint="default" w:ascii="Times New Roman" w:hAnsi="Times New Roman" w:cs="Times New Roman" w:eastAsiaTheme="minorEastAsia"/>
          <w:sz w:val="24"/>
          <w:szCs w:val="24"/>
        </w:rPr>
        <w:t>mg/m</w:t>
      </w:r>
      <w:r>
        <w:rPr>
          <w:rFonts w:hint="default" w:ascii="Times New Roman" w:hAnsi="Times New Roman" w:cs="Times New Roman" w:eastAsiaTheme="minorEastAsia"/>
          <w:sz w:val="24"/>
          <w:szCs w:val="24"/>
          <w:vertAlign w:val="superscript"/>
        </w:rPr>
        <w:t>3</w:t>
      </w:r>
      <w:r>
        <w:rPr>
          <w:rFonts w:hint="default" w:ascii="Times New Roman" w:hAnsi="Times New Roman" w:cs="Times New Roman" w:eastAsiaTheme="minorEastAsia"/>
          <w:sz w:val="24"/>
          <w:szCs w:val="24"/>
          <w:lang w:eastAsia="zh-CN"/>
        </w:rPr>
        <w:t>）。</w:t>
      </w:r>
    </w:p>
    <w:p>
      <w:pPr>
        <w:pStyle w:val="11"/>
        <w:adjustRightInd w:val="0"/>
        <w:snapToGrid w:val="0"/>
        <w:spacing w:after="0" w:line="360" w:lineRule="auto"/>
        <w:ind w:left="0" w:leftChars="0" w:firstLine="480" w:firstLineChars="200"/>
        <w:rPr>
          <w:rFonts w:hint="default" w:ascii="Times New Roman" w:hAnsi="Times New Roman" w:cs="Times New Roman" w:eastAsiaTheme="minorEastAsia"/>
          <w:color w:val="auto"/>
          <w:sz w:val="24"/>
          <w:szCs w:val="24"/>
          <w:highlight w:val="none"/>
          <w:vertAlign w:val="baseline"/>
          <w:lang w:val="en-US" w:eastAsia="zh-CN"/>
        </w:rPr>
      </w:pPr>
      <w:r>
        <w:rPr>
          <w:rFonts w:hint="default" w:ascii="Times New Roman" w:hAnsi="Times New Roman" w:cs="Times New Roman" w:eastAsiaTheme="minorEastAsia"/>
          <w:color w:val="auto"/>
          <w:sz w:val="24"/>
          <w:szCs w:val="24"/>
          <w:highlight w:val="none"/>
        </w:rPr>
        <w:t>监测期间，</w:t>
      </w:r>
      <w:r>
        <w:rPr>
          <w:rFonts w:hint="default" w:ascii="Times New Roman" w:hAnsi="Times New Roman" w:cs="Times New Roman" w:eastAsiaTheme="minorEastAsia"/>
          <w:color w:val="auto"/>
          <w:sz w:val="24"/>
          <w:szCs w:val="24"/>
          <w:highlight w:val="none"/>
          <w:lang w:eastAsia="zh-CN"/>
        </w:rPr>
        <w:t>本项目污水处理站出口下风向1m处氨</w:t>
      </w:r>
      <w:r>
        <w:rPr>
          <w:rFonts w:hint="default" w:ascii="Times New Roman" w:hAnsi="Times New Roman" w:cs="Times New Roman" w:eastAsiaTheme="minorEastAsia"/>
          <w:color w:val="auto"/>
          <w:sz w:val="24"/>
          <w:szCs w:val="24"/>
          <w:highlight w:val="none"/>
        </w:rPr>
        <w:t>浓度最大值为</w:t>
      </w:r>
      <w:r>
        <w:rPr>
          <w:rFonts w:hint="default" w:ascii="Times New Roman" w:hAnsi="Times New Roman" w:cs="Times New Roman" w:eastAsiaTheme="minorEastAsia"/>
          <w:color w:val="auto"/>
          <w:sz w:val="24"/>
          <w:szCs w:val="24"/>
          <w:highlight w:val="none"/>
          <w:lang w:val="en-US" w:eastAsia="zh-CN"/>
        </w:rPr>
        <w:t>0.021mg/m</w:t>
      </w:r>
      <w:r>
        <w:rPr>
          <w:rFonts w:hint="default" w:ascii="Times New Roman" w:hAnsi="Times New Roman" w:cs="Times New Roman" w:eastAsiaTheme="minorEastAsia"/>
          <w:color w:val="auto"/>
          <w:sz w:val="24"/>
          <w:szCs w:val="24"/>
          <w:highlight w:val="none"/>
          <w:vertAlign w:val="superscript"/>
          <w:lang w:val="en-US" w:eastAsia="zh-CN"/>
        </w:rPr>
        <w:t>3</w:t>
      </w:r>
      <w:r>
        <w:rPr>
          <w:rFonts w:hint="default" w:ascii="Times New Roman" w:hAnsi="Times New Roman" w:cs="Times New Roman" w:eastAsiaTheme="minorEastAsia"/>
          <w:color w:val="auto"/>
          <w:sz w:val="24"/>
          <w:szCs w:val="24"/>
          <w:highlight w:val="none"/>
          <w:lang w:eastAsia="zh-CN"/>
        </w:rPr>
        <w:t>；硫化氢为未检出；臭气</w:t>
      </w:r>
      <w:r>
        <w:rPr>
          <w:rFonts w:hint="default" w:ascii="Times New Roman" w:hAnsi="Times New Roman" w:cs="Times New Roman" w:eastAsiaTheme="minorEastAsia"/>
          <w:color w:val="auto"/>
          <w:sz w:val="24"/>
          <w:szCs w:val="24"/>
          <w:highlight w:val="none"/>
        </w:rPr>
        <w:t>浓度最大值为&lt;10</w:t>
      </w:r>
      <w:r>
        <w:rPr>
          <w:rFonts w:hint="default" w:ascii="Times New Roman" w:hAnsi="Times New Roman" w:cs="Times New Roman" w:eastAsiaTheme="minorEastAsia"/>
          <w:color w:val="auto"/>
          <w:sz w:val="24"/>
          <w:szCs w:val="24"/>
          <w:highlight w:val="none"/>
          <w:lang w:eastAsia="zh-CN"/>
        </w:rPr>
        <w:t>（无量纲）</w:t>
      </w:r>
      <w:r>
        <w:rPr>
          <w:rFonts w:hint="default" w:ascii="Times New Roman" w:hAnsi="Times New Roman" w:cs="Times New Roman" w:eastAsiaTheme="minorEastAsia"/>
          <w:color w:val="auto"/>
          <w:sz w:val="24"/>
          <w:szCs w:val="24"/>
          <w:highlight w:val="none"/>
          <w:vertAlign w:val="baseline"/>
          <w:lang w:val="en-US" w:eastAsia="zh-CN"/>
        </w:rPr>
        <w:t>。</w:t>
      </w:r>
    </w:p>
    <w:p>
      <w:pPr>
        <w:pStyle w:val="11"/>
        <w:adjustRightInd w:val="0"/>
        <w:snapToGrid w:val="0"/>
        <w:spacing w:after="0" w:line="360" w:lineRule="auto"/>
        <w:ind w:left="0" w:leftChars="0" w:firstLine="480" w:firstLineChars="200"/>
        <w:rPr>
          <w:rFonts w:hint="default" w:ascii="Times New Roman" w:hAnsi="Times New Roman" w:cs="Times New Roman" w:eastAsiaTheme="minorEastAsia"/>
          <w:sz w:val="24"/>
        </w:rPr>
      </w:pPr>
      <w:r>
        <w:rPr>
          <w:rFonts w:hint="default" w:ascii="Times New Roman" w:hAnsi="Times New Roman" w:cs="Times New Roman" w:eastAsiaTheme="minorEastAsia"/>
          <w:color w:val="auto"/>
          <w:sz w:val="24"/>
          <w:szCs w:val="24"/>
          <w:highlight w:val="none"/>
          <w:vertAlign w:val="baseline"/>
          <w:lang w:val="en-US" w:eastAsia="zh-CN"/>
        </w:rPr>
        <w:t>项目</w:t>
      </w:r>
      <w:r>
        <w:rPr>
          <w:rFonts w:hint="default" w:ascii="Times New Roman" w:hAnsi="Times New Roman" w:cs="Times New Roman" w:eastAsiaTheme="minorEastAsia"/>
          <w:sz w:val="24"/>
        </w:rPr>
        <w:t>无组织</w:t>
      </w:r>
      <w:r>
        <w:rPr>
          <w:rFonts w:hint="default" w:ascii="Times New Roman" w:hAnsi="Times New Roman" w:cs="Times New Roman" w:eastAsiaTheme="minorEastAsia"/>
          <w:sz w:val="24"/>
          <w:lang w:eastAsia="zh-CN"/>
        </w:rPr>
        <w:t>氨、硫化氢、</w:t>
      </w:r>
      <w:r>
        <w:rPr>
          <w:rFonts w:hint="default" w:ascii="Times New Roman" w:hAnsi="Times New Roman" w:cs="Times New Roman" w:eastAsiaTheme="minorEastAsia"/>
          <w:sz w:val="24"/>
        </w:rPr>
        <w:t>臭气浓度</w:t>
      </w:r>
      <w:r>
        <w:rPr>
          <w:rFonts w:hint="default" w:ascii="Times New Roman" w:hAnsi="Times New Roman" w:cs="Times New Roman" w:eastAsiaTheme="minorEastAsia"/>
          <w:sz w:val="24"/>
          <w:lang w:eastAsia="zh-CN"/>
        </w:rPr>
        <w:t>满足</w:t>
      </w:r>
      <w:r>
        <w:rPr>
          <w:rFonts w:hint="default" w:ascii="Times New Roman" w:hAnsi="Times New Roman" w:cs="Times New Roman" w:eastAsiaTheme="minorEastAsia"/>
          <w:sz w:val="24"/>
        </w:rPr>
        <w:t>《城镇污水处理厂污染物排放标准》（GB 18918-2002）臭气浓度二级标准，《恶臭污染物排放标准》（GB14554-93）表1恶臭污染物厂界标准值</w:t>
      </w:r>
      <w:r>
        <w:rPr>
          <w:rFonts w:hint="default" w:ascii="Times New Roman" w:hAnsi="Times New Roman" w:cs="Times New Roman" w:eastAsiaTheme="minorEastAsia"/>
          <w:sz w:val="24"/>
          <w:lang w:eastAsia="zh-CN"/>
        </w:rPr>
        <w:t>（氨</w:t>
      </w:r>
      <w:r>
        <w:rPr>
          <w:rFonts w:hint="default" w:ascii="Times New Roman" w:hAnsi="Times New Roman" w:cs="Times New Roman" w:eastAsiaTheme="minorEastAsia"/>
          <w:sz w:val="24"/>
          <w:lang w:val="en-US" w:eastAsia="zh-CN"/>
        </w:rPr>
        <w:t>1.5mg/m</w:t>
      </w:r>
      <w:r>
        <w:rPr>
          <w:rFonts w:hint="default" w:ascii="Times New Roman" w:hAnsi="Times New Roman" w:cs="Times New Roman" w:eastAsiaTheme="minorEastAsia"/>
          <w:sz w:val="24"/>
          <w:vertAlign w:val="superscript"/>
          <w:lang w:val="en-US" w:eastAsia="zh-CN"/>
        </w:rPr>
        <w:t>3</w:t>
      </w:r>
      <w:r>
        <w:rPr>
          <w:rFonts w:hint="default" w:ascii="Times New Roman" w:hAnsi="Times New Roman" w:cs="Times New Roman" w:eastAsiaTheme="minorEastAsia"/>
          <w:sz w:val="24"/>
          <w:lang w:val="en-US" w:eastAsia="zh-CN"/>
        </w:rPr>
        <w:t>；硫化氢0.06mg/m</w:t>
      </w:r>
      <w:r>
        <w:rPr>
          <w:rFonts w:hint="default" w:ascii="Times New Roman" w:hAnsi="Times New Roman" w:cs="Times New Roman" w:eastAsiaTheme="minorEastAsia"/>
          <w:sz w:val="24"/>
          <w:vertAlign w:val="superscript"/>
          <w:lang w:val="en-US" w:eastAsia="zh-CN"/>
        </w:rPr>
        <w:t>3</w:t>
      </w:r>
      <w:r>
        <w:rPr>
          <w:rFonts w:hint="default" w:ascii="Times New Roman" w:hAnsi="Times New Roman" w:cs="Times New Roman" w:eastAsiaTheme="minorEastAsia"/>
          <w:sz w:val="24"/>
          <w:vertAlign w:val="baseline"/>
          <w:lang w:val="en-US" w:eastAsia="zh-CN"/>
        </w:rPr>
        <w:t>；臭气20（无量纲）</w:t>
      </w:r>
      <w:r>
        <w:rPr>
          <w:rFonts w:hint="default" w:ascii="Times New Roman" w:hAnsi="Times New Roman" w:cs="Times New Roman" w:eastAsiaTheme="minorEastAsia"/>
          <w:sz w:val="24"/>
          <w:lang w:eastAsia="zh-CN"/>
        </w:rPr>
        <w:t>）</w:t>
      </w:r>
      <w:r>
        <w:rPr>
          <w:rFonts w:hint="default" w:ascii="Times New Roman" w:hAnsi="Times New Roman" w:cs="Times New Roman" w:eastAsiaTheme="minorEastAsia"/>
          <w:sz w:val="24"/>
        </w:rPr>
        <w:t>。</w:t>
      </w:r>
    </w:p>
    <w:p>
      <w:pPr>
        <w:keepNext w:val="0"/>
        <w:keepLines w:val="0"/>
        <w:pageBreakBefore w:val="0"/>
        <w:widowControl w:val="0"/>
        <w:numPr>
          <w:ilvl w:val="0"/>
          <w:numId w:val="2"/>
        </w:numPr>
        <w:kinsoku/>
        <w:overflowPunct/>
        <w:topLinePunct w:val="0"/>
        <w:bidi w:val="0"/>
        <w:spacing w:after="0" w:afterLines="0" w:line="360" w:lineRule="auto"/>
        <w:ind w:leftChars="0" w:right="0"/>
        <w:rPr>
          <w:rFonts w:hint="default" w:ascii="Times New Roman" w:hAnsi="Times New Roman" w:eastAsia="宋体" w:cs="Times New Roman"/>
          <w:b w:val="0"/>
          <w:bCs w:val="0"/>
          <w:color w:val="auto"/>
          <w:sz w:val="24"/>
          <w:szCs w:val="24"/>
          <w:lang w:val="en-US" w:eastAsia="zh-CN"/>
        </w:rPr>
      </w:pPr>
      <w:r>
        <w:rPr>
          <w:rFonts w:hint="default" w:ascii="Times New Roman" w:hAnsi="Times New Roman" w:eastAsia="宋体" w:cs="Times New Roman"/>
          <w:b w:val="0"/>
          <w:bCs w:val="0"/>
          <w:color w:val="auto"/>
          <w:sz w:val="24"/>
          <w:szCs w:val="24"/>
          <w:lang w:val="en-US" w:eastAsia="zh-CN"/>
        </w:rPr>
        <w:t>废水：</w:t>
      </w:r>
    </w:p>
    <w:p>
      <w:pPr>
        <w:pStyle w:val="2"/>
        <w:spacing w:after="0"/>
        <w:jc w:val="both"/>
        <w:rPr>
          <w:rFonts w:hint="default" w:ascii="Times New Roman" w:hAnsi="Times New Roman" w:eastAsia="宋体" w:cs="Times New Roman"/>
          <w:color w:val="000000"/>
          <w:kern w:val="0"/>
          <w:sz w:val="24"/>
          <w:szCs w:val="24"/>
          <w:highlight w:val="none"/>
          <w:lang w:val="en-US" w:eastAsia="zh-CN" w:bidi="ar"/>
        </w:rPr>
      </w:pPr>
      <w:r>
        <w:rPr>
          <w:rFonts w:hint="default" w:ascii="Times New Roman" w:hAnsi="Times New Roman" w:eastAsia="宋体" w:cs="Times New Roman"/>
          <w:color w:val="000000"/>
          <w:kern w:val="0"/>
          <w:sz w:val="24"/>
          <w:szCs w:val="24"/>
          <w:highlight w:val="none"/>
          <w:lang w:val="en-US" w:eastAsia="zh-CN" w:bidi="ar"/>
        </w:rPr>
        <w:t>监测期间，厂区污水经园区污水处理站和园区污水总排放口预处理后，出水水质满足《污水排入城镇下水道水质标准》（GB/T31962-2015） 中 A 级标准要求。</w:t>
      </w:r>
    </w:p>
    <w:p>
      <w:pPr>
        <w:keepNext w:val="0"/>
        <w:keepLines w:val="0"/>
        <w:pageBreakBefore w:val="0"/>
        <w:widowControl w:val="0"/>
        <w:numPr>
          <w:ilvl w:val="0"/>
          <w:numId w:val="2"/>
        </w:numPr>
        <w:kinsoku/>
        <w:overflowPunct/>
        <w:topLinePunct w:val="0"/>
        <w:bidi w:val="0"/>
        <w:spacing w:after="0" w:afterLines="0" w:line="360" w:lineRule="auto"/>
        <w:ind w:leftChars="0" w:right="0" w:firstLine="480" w:firstLineChars="200"/>
        <w:rPr>
          <w:rFonts w:hint="default" w:ascii="Times New Roman" w:hAnsi="Times New Roman" w:eastAsia="宋体" w:cs="Times New Roman"/>
          <w:b w:val="0"/>
          <w:bCs w:val="0"/>
          <w:color w:val="auto"/>
          <w:sz w:val="24"/>
          <w:szCs w:val="24"/>
          <w:lang w:val="en-US" w:eastAsia="zh-CN"/>
        </w:rPr>
      </w:pPr>
      <w:r>
        <w:rPr>
          <w:rFonts w:hint="default" w:ascii="Times New Roman" w:hAnsi="Times New Roman" w:eastAsia="宋体" w:cs="Times New Roman"/>
          <w:b w:val="0"/>
          <w:bCs w:val="0"/>
          <w:color w:val="auto"/>
          <w:sz w:val="24"/>
          <w:szCs w:val="24"/>
          <w:lang w:val="en-US" w:eastAsia="zh-CN"/>
        </w:rPr>
        <w:t>噪声：</w:t>
      </w:r>
    </w:p>
    <w:p>
      <w:pPr>
        <w:pStyle w:val="2"/>
        <w:spacing w:after="0"/>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监测期间，项目西、北、南、东厂界监测点昼间噪声最大值分别为55.4dB（A）、57.7dB（A）、56.3dB（A）、57.7dB（A），夜间噪声最大值分别为47.8dB（A）、48.3dB（A）、45.8dB（A）、48.9dB（A），厂界昼间、夜间噪声均满足《工业企业厂界环境噪声排放标准》（GB12348-2008）中2类标准和4a类标准；西徐马村检测点昼间噪声最大值为58.6dB（A），夜间噪声最大值为48.9dB（A），敏感点昼间、夜间噪声均满足《声环境质量标准》（GB3096-2008）中2类标准。</w:t>
      </w:r>
    </w:p>
    <w:p>
      <w:pPr>
        <w:keepNext w:val="0"/>
        <w:keepLines w:val="0"/>
        <w:pageBreakBefore w:val="0"/>
        <w:widowControl w:val="0"/>
        <w:numPr>
          <w:ilvl w:val="0"/>
          <w:numId w:val="0"/>
        </w:numPr>
        <w:kinsoku/>
        <w:overflowPunct/>
        <w:topLinePunct w:val="0"/>
        <w:bidi w:val="0"/>
        <w:spacing w:after="0" w:afterLines="0" w:line="360" w:lineRule="auto"/>
        <w:ind w:leftChars="0" w:right="0" w:firstLine="480" w:firstLineChars="200"/>
        <w:rPr>
          <w:rFonts w:hint="default" w:ascii="Times New Roman" w:hAnsi="Times New Roman" w:eastAsia="宋体" w:cs="Times New Roman"/>
          <w:b w:val="0"/>
          <w:bCs w:val="0"/>
          <w:color w:val="auto"/>
          <w:sz w:val="24"/>
          <w:szCs w:val="24"/>
          <w:lang w:val="en-US" w:eastAsia="zh-CN"/>
        </w:rPr>
      </w:pPr>
      <w:r>
        <w:rPr>
          <w:rFonts w:hint="default" w:ascii="Times New Roman" w:hAnsi="Times New Roman" w:eastAsia="宋体" w:cs="Times New Roman"/>
          <w:b w:val="0"/>
          <w:bCs w:val="0"/>
          <w:color w:val="auto"/>
          <w:sz w:val="24"/>
          <w:szCs w:val="24"/>
          <w:lang w:val="en-US" w:eastAsia="zh-CN"/>
        </w:rPr>
        <w:t>（4）固体废物：</w:t>
      </w:r>
    </w:p>
    <w:p>
      <w:pPr>
        <w:pStyle w:val="2"/>
        <w:keepNext w:val="0"/>
        <w:keepLines w:val="0"/>
        <w:pageBreakBefore w:val="0"/>
        <w:widowControl/>
        <w:kinsoku/>
        <w:wordWrap/>
        <w:overflowPunct/>
        <w:topLinePunct w:val="0"/>
        <w:autoSpaceDE/>
        <w:autoSpaceDN/>
        <w:bidi w:val="0"/>
        <w:adjustRightInd/>
        <w:snapToGrid/>
        <w:spacing w:after="0"/>
        <w:ind w:firstLine="480" w:firstLineChars="200"/>
        <w:jc w:val="left"/>
        <w:outlineLvl w:val="9"/>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z w:val="24"/>
          <w:szCs w:val="24"/>
          <w:lang w:val="en-US" w:eastAsia="zh-CN"/>
        </w:rPr>
        <w:t>本项目产生的固体废物主要为员工的生活垃圾、餐厨垃圾以及实验固废（实验固废以入驻企业为主体，根据企业功能定位以及相关国家规定单独进行环境影响评价和竣工环境保护验收）。</w:t>
      </w:r>
    </w:p>
    <w:p>
      <w:pPr>
        <w:pStyle w:val="2"/>
        <w:keepNext w:val="0"/>
        <w:keepLines w:val="0"/>
        <w:pageBreakBefore w:val="0"/>
        <w:widowControl/>
        <w:kinsoku/>
        <w:wordWrap/>
        <w:overflowPunct/>
        <w:topLinePunct w:val="0"/>
        <w:autoSpaceDE/>
        <w:autoSpaceDN/>
        <w:bidi w:val="0"/>
        <w:adjustRightInd/>
        <w:snapToGrid/>
        <w:spacing w:after="0"/>
        <w:ind w:firstLine="480" w:firstLineChars="200"/>
        <w:jc w:val="left"/>
        <w:outlineLvl w:val="9"/>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z w:val="24"/>
          <w:szCs w:val="24"/>
          <w:lang w:val="en-US" w:eastAsia="zh-CN"/>
        </w:rPr>
        <w:t>综合服务楼产生的生活垃圾由各单位收集后，收集至生活垃圾桶，由环卫部门清运，餐厨垃圾委托济南十方固废处理有限公司处置。</w:t>
      </w:r>
    </w:p>
    <w:p>
      <w:pPr>
        <w:pStyle w:val="2"/>
        <w:keepNext w:val="0"/>
        <w:keepLines w:val="0"/>
        <w:pageBreakBefore w:val="0"/>
        <w:widowControl/>
        <w:kinsoku/>
        <w:wordWrap/>
        <w:overflowPunct/>
        <w:topLinePunct w:val="0"/>
        <w:autoSpaceDE/>
        <w:autoSpaceDN/>
        <w:bidi w:val="0"/>
        <w:adjustRightInd/>
        <w:snapToGrid/>
        <w:spacing w:after="0"/>
        <w:ind w:firstLine="480" w:firstLineChars="200"/>
        <w:jc w:val="both"/>
        <w:outlineLvl w:val="9"/>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z w:val="24"/>
          <w:szCs w:val="24"/>
          <w:lang w:val="en-US" w:eastAsia="zh-CN"/>
        </w:rPr>
        <w:t>一般固废的处置符合《一般工业固体废物贮存和填埋污染控制标准》（GB18599-2020）的要求，危险废物的处理措施和处置方案满足《危险废物贮存污染控制标准》（GB18597-2001）及修改单要求。</w:t>
      </w:r>
    </w:p>
    <w:p>
      <w:pPr>
        <w:keepNext w:val="0"/>
        <w:keepLines w:val="0"/>
        <w:pageBreakBefore w:val="0"/>
        <w:kinsoku/>
        <w:overflowPunct/>
        <w:topLinePunct w:val="0"/>
        <w:bidi w:val="0"/>
        <w:spacing w:after="0" w:line="360" w:lineRule="auto"/>
        <w:ind w:leftChars="0" w:right="0" w:firstLine="562"/>
        <w:rPr>
          <w:rFonts w:hint="default" w:ascii="Times New Roman" w:hAnsi="Times New Roman" w:eastAsia="宋体" w:cs="Times New Roman"/>
          <w:b/>
          <w:color w:val="000000"/>
          <w:sz w:val="24"/>
          <w:szCs w:val="24"/>
        </w:rPr>
      </w:pPr>
      <w:r>
        <w:rPr>
          <w:rFonts w:hint="default" w:ascii="Times New Roman" w:hAnsi="Times New Roman" w:eastAsia="宋体" w:cs="Times New Roman"/>
          <w:b/>
          <w:color w:val="000000"/>
          <w:sz w:val="24"/>
          <w:szCs w:val="24"/>
          <w:lang w:eastAsia="zh-CN"/>
        </w:rPr>
        <w:t>五、</w:t>
      </w:r>
      <w:r>
        <w:rPr>
          <w:rFonts w:hint="default" w:ascii="Times New Roman" w:hAnsi="Times New Roman" w:eastAsia="宋体" w:cs="Times New Roman"/>
          <w:b/>
          <w:color w:val="000000"/>
          <w:sz w:val="24"/>
          <w:szCs w:val="24"/>
        </w:rPr>
        <w:t>工程建设对环境的影响</w:t>
      </w:r>
    </w:p>
    <w:p>
      <w:pPr>
        <w:keepNext w:val="0"/>
        <w:keepLines w:val="0"/>
        <w:pageBreakBefore w:val="0"/>
        <w:numPr>
          <w:ilvl w:val="0"/>
          <w:numId w:val="0"/>
        </w:numPr>
        <w:kinsoku/>
        <w:overflowPunct/>
        <w:topLinePunct w:val="0"/>
        <w:bidi w:val="0"/>
        <w:spacing w:after="0" w:line="360" w:lineRule="auto"/>
        <w:ind w:right="0" w:rightChars="0" w:firstLine="480" w:firstLineChars="200"/>
        <w:rPr>
          <w:rFonts w:hint="default" w:ascii="Times New Roman" w:hAnsi="Times New Roman" w:eastAsia="宋体" w:cs="Times New Roman"/>
          <w:b/>
          <w:color w:val="000000"/>
          <w:sz w:val="24"/>
          <w:szCs w:val="24"/>
        </w:rPr>
      </w:pPr>
      <w:r>
        <w:rPr>
          <w:rFonts w:hint="default" w:ascii="Times New Roman" w:hAnsi="Times New Roman" w:eastAsia="宋体" w:cs="Times New Roman"/>
          <w:color w:val="000000"/>
          <w:sz w:val="24"/>
          <w:szCs w:val="24"/>
          <w:lang w:eastAsia="zh-CN"/>
        </w:rPr>
        <w:t>本项目位于</w:t>
      </w:r>
      <w:r>
        <w:rPr>
          <w:rFonts w:hint="eastAsia" w:ascii="Times New Roman" w:hAnsi="Times New Roman" w:eastAsia="宋体" w:cs="Times New Roman"/>
          <w:color w:val="000000"/>
          <w:sz w:val="24"/>
          <w:szCs w:val="24"/>
          <w:lang w:val="en-US" w:eastAsia="zh-CN"/>
        </w:rPr>
        <w:t>山东省济南市高新区技术产业开发区世纪大道以南，科航路以北，规划30号路以西，规划29号路以东，济南迪亚双创产业园</w:t>
      </w:r>
      <w:r>
        <w:rPr>
          <w:rFonts w:hint="default" w:ascii="Times New Roman" w:hAnsi="Times New Roman" w:eastAsia="宋体" w:cs="Times New Roman"/>
          <w:color w:val="000000"/>
          <w:sz w:val="24"/>
          <w:szCs w:val="24"/>
        </w:rPr>
        <w:t>，监测结果表明，</w:t>
      </w:r>
      <w:r>
        <w:rPr>
          <w:rFonts w:hint="default" w:ascii="Times New Roman" w:hAnsi="Times New Roman" w:eastAsia="宋体" w:cs="Times New Roman"/>
          <w:color w:val="000000"/>
          <w:sz w:val="24"/>
          <w:szCs w:val="24"/>
          <w:lang w:eastAsia="zh-CN"/>
        </w:rPr>
        <w:t>本</w:t>
      </w:r>
      <w:r>
        <w:rPr>
          <w:rFonts w:hint="default" w:ascii="Times New Roman" w:hAnsi="Times New Roman" w:eastAsia="宋体" w:cs="Times New Roman"/>
          <w:color w:val="000000"/>
          <w:sz w:val="24"/>
          <w:szCs w:val="24"/>
        </w:rPr>
        <w:t>项目废气、</w:t>
      </w:r>
      <w:r>
        <w:rPr>
          <w:rFonts w:hint="default" w:ascii="Times New Roman" w:hAnsi="Times New Roman" w:eastAsia="宋体" w:cs="Times New Roman"/>
          <w:color w:val="000000"/>
          <w:sz w:val="24"/>
          <w:szCs w:val="24"/>
          <w:lang w:eastAsia="zh-CN"/>
        </w:rPr>
        <w:t>废水、</w:t>
      </w:r>
      <w:r>
        <w:rPr>
          <w:rFonts w:hint="default" w:ascii="Times New Roman" w:hAnsi="Times New Roman" w:eastAsia="宋体" w:cs="Times New Roman"/>
          <w:color w:val="000000"/>
          <w:sz w:val="24"/>
          <w:szCs w:val="24"/>
        </w:rPr>
        <w:t>噪声均符合国家标准要求，达标排放，</w:t>
      </w:r>
      <w:r>
        <w:rPr>
          <w:rFonts w:hint="default" w:ascii="Times New Roman" w:hAnsi="Times New Roman" w:eastAsia="宋体" w:cs="Times New Roman"/>
          <w:color w:val="000000"/>
          <w:sz w:val="24"/>
          <w:szCs w:val="24"/>
          <w:lang w:eastAsia="zh-CN"/>
        </w:rPr>
        <w:t>固体废物均合理处置，</w:t>
      </w:r>
      <w:r>
        <w:rPr>
          <w:rFonts w:hint="default" w:ascii="Times New Roman" w:hAnsi="Times New Roman" w:eastAsia="宋体" w:cs="Times New Roman"/>
          <w:color w:val="000000"/>
          <w:sz w:val="24"/>
          <w:szCs w:val="24"/>
        </w:rPr>
        <w:t>对周围环境影响</w:t>
      </w:r>
      <w:r>
        <w:rPr>
          <w:rFonts w:hint="default" w:ascii="Times New Roman" w:hAnsi="Times New Roman" w:eastAsia="宋体" w:cs="Times New Roman"/>
          <w:color w:val="000000"/>
          <w:sz w:val="24"/>
          <w:szCs w:val="24"/>
          <w:lang w:eastAsia="zh-CN"/>
        </w:rPr>
        <w:t>较小。</w:t>
      </w:r>
    </w:p>
    <w:p>
      <w:pPr>
        <w:keepNext w:val="0"/>
        <w:keepLines w:val="0"/>
        <w:pageBreakBefore w:val="0"/>
        <w:kinsoku/>
        <w:overflowPunct/>
        <w:topLinePunct w:val="0"/>
        <w:bidi w:val="0"/>
        <w:spacing w:after="0" w:line="360" w:lineRule="auto"/>
        <w:ind w:leftChars="0" w:right="0" w:firstLine="562"/>
        <w:rPr>
          <w:rFonts w:hint="default" w:ascii="Times New Roman" w:hAnsi="Times New Roman" w:eastAsia="宋体" w:cs="Times New Roman"/>
          <w:b/>
          <w:kern w:val="2"/>
          <w:sz w:val="24"/>
          <w:szCs w:val="24"/>
        </w:rPr>
      </w:pPr>
      <w:r>
        <w:rPr>
          <w:rFonts w:hint="default" w:ascii="Times New Roman" w:hAnsi="Times New Roman" w:eastAsia="宋体" w:cs="Times New Roman"/>
          <w:b/>
          <w:color w:val="000000"/>
          <w:sz w:val="24"/>
          <w:szCs w:val="24"/>
        </w:rPr>
        <w:t>六、验收结论</w:t>
      </w:r>
    </w:p>
    <w:p>
      <w:pPr>
        <w:keepNext w:val="0"/>
        <w:keepLines w:val="0"/>
        <w:pageBreakBefore w:val="0"/>
        <w:kinsoku/>
        <w:overflowPunct/>
        <w:topLinePunct w:val="0"/>
        <w:bidi w:val="0"/>
        <w:spacing w:after="0" w:line="360" w:lineRule="auto"/>
        <w:ind w:leftChars="0" w:right="0" w:firstLine="56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根据该项目竣工环境保护验收报告和现场检查，项目环保手续已经完备，技术资料齐全，执行了环境影响评价和</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三同时</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管理制度，基本落实环评报告表及其审批意见所规定的各项环境污染防治措施，各类污染物能够实现达标排放要求，符合竣工环境保护验收条件，验收合格。</w:t>
      </w:r>
    </w:p>
    <w:p>
      <w:pPr>
        <w:keepNext w:val="0"/>
        <w:keepLines w:val="0"/>
        <w:pageBreakBefore w:val="0"/>
        <w:widowControl/>
        <w:kinsoku/>
        <w:overflowPunct/>
        <w:topLinePunct w:val="0"/>
        <w:bidi w:val="0"/>
        <w:adjustRightInd w:val="0"/>
        <w:snapToGrid w:val="0"/>
        <w:spacing w:after="0" w:line="360" w:lineRule="auto"/>
        <w:ind w:leftChars="0" w:right="0" w:firstLine="582"/>
        <w:jc w:val="both"/>
        <w:rPr>
          <w:rFonts w:hint="default" w:ascii="Times New Roman" w:hAnsi="Times New Roman" w:eastAsia="宋体" w:cs="Times New Roman"/>
          <w:b/>
          <w:kern w:val="0"/>
          <w:sz w:val="24"/>
          <w:szCs w:val="24"/>
        </w:rPr>
      </w:pPr>
      <w:r>
        <w:rPr>
          <w:rFonts w:hint="default" w:ascii="Times New Roman" w:hAnsi="Times New Roman" w:eastAsia="宋体" w:cs="Times New Roman"/>
          <w:b/>
          <w:kern w:val="0"/>
          <w:sz w:val="24"/>
          <w:szCs w:val="24"/>
        </w:rPr>
        <w:t>七、建议和后续要求</w:t>
      </w:r>
    </w:p>
    <w:p>
      <w:pPr>
        <w:keepNext w:val="0"/>
        <w:keepLines w:val="0"/>
        <w:pageBreakBefore w:val="0"/>
        <w:widowControl/>
        <w:kinsoku/>
        <w:overflowPunct/>
        <w:topLinePunct w:val="0"/>
        <w:bidi w:val="0"/>
        <w:adjustRightInd w:val="0"/>
        <w:snapToGrid w:val="0"/>
        <w:spacing w:after="0" w:line="360" w:lineRule="auto"/>
        <w:ind w:leftChars="0" w:right="0" w:firstLine="580"/>
        <w:jc w:val="both"/>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w:t>
      </w:r>
      <w:r>
        <w:rPr>
          <w:rFonts w:hint="eastAsia" w:ascii="Times New Roman" w:hAnsi="Times New Roman" w:eastAsia="宋体" w:cs="Times New Roman"/>
          <w:kern w:val="0"/>
          <w:sz w:val="24"/>
          <w:szCs w:val="24"/>
          <w:lang w:val="en-US" w:eastAsia="zh-CN"/>
        </w:rPr>
        <w:t>1</w:t>
      </w:r>
      <w:r>
        <w:rPr>
          <w:rFonts w:hint="default" w:ascii="Times New Roman" w:hAnsi="Times New Roman" w:eastAsia="宋体" w:cs="Times New Roman"/>
          <w:kern w:val="0"/>
          <w:sz w:val="24"/>
          <w:szCs w:val="24"/>
        </w:rPr>
        <w:t>）为保障环保设施</w:t>
      </w:r>
      <w:r>
        <w:rPr>
          <w:rFonts w:hint="default" w:ascii="Times New Roman" w:hAnsi="Times New Roman" w:eastAsia="宋体" w:cs="Times New Roman"/>
          <w:kern w:val="0"/>
          <w:sz w:val="24"/>
          <w:szCs w:val="24"/>
          <w:lang w:eastAsia="zh-CN"/>
        </w:rPr>
        <w:t>正常</w:t>
      </w:r>
      <w:r>
        <w:rPr>
          <w:rFonts w:hint="default" w:ascii="Times New Roman" w:hAnsi="Times New Roman" w:eastAsia="宋体" w:cs="Times New Roman"/>
          <w:kern w:val="0"/>
          <w:sz w:val="24"/>
          <w:szCs w:val="24"/>
        </w:rPr>
        <w:t>运行，日常维护保养和运行需由专人负责，并做好记录。</w:t>
      </w:r>
    </w:p>
    <w:p>
      <w:pPr>
        <w:keepNext w:val="0"/>
        <w:keepLines w:val="0"/>
        <w:pageBreakBefore w:val="0"/>
        <w:widowControl/>
        <w:kinsoku/>
        <w:overflowPunct/>
        <w:topLinePunct w:val="0"/>
        <w:bidi w:val="0"/>
        <w:adjustRightInd w:val="0"/>
        <w:snapToGrid w:val="0"/>
        <w:spacing w:after="0" w:line="360" w:lineRule="auto"/>
        <w:ind w:leftChars="0" w:right="0" w:firstLine="580"/>
        <w:jc w:val="both"/>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w:t>
      </w:r>
      <w:r>
        <w:rPr>
          <w:rFonts w:hint="eastAsia" w:ascii="Times New Roman" w:hAnsi="Times New Roman" w:eastAsia="宋体" w:cs="Times New Roman"/>
          <w:kern w:val="0"/>
          <w:sz w:val="24"/>
          <w:szCs w:val="24"/>
          <w:lang w:val="en-US" w:eastAsia="zh-CN"/>
        </w:rPr>
        <w:t>2</w:t>
      </w:r>
      <w:r>
        <w:rPr>
          <w:rFonts w:hint="default" w:ascii="Times New Roman" w:hAnsi="Times New Roman" w:eastAsia="宋体" w:cs="Times New Roman"/>
          <w:kern w:val="0"/>
          <w:sz w:val="24"/>
          <w:szCs w:val="24"/>
        </w:rPr>
        <w:t>）按照企业自行监测技术指南相关要求开展企业定期自行监测工作，并按照《企事业单位环境信息公开管理办法》要求进行环境信息公开。</w:t>
      </w:r>
    </w:p>
    <w:p>
      <w:pPr>
        <w:keepNext w:val="0"/>
        <w:keepLines w:val="0"/>
        <w:pageBreakBefore w:val="0"/>
        <w:kinsoku/>
        <w:overflowPunct/>
        <w:topLinePunct w:val="0"/>
        <w:bidi w:val="0"/>
        <w:spacing w:after="0" w:line="360" w:lineRule="auto"/>
        <w:ind w:leftChars="0" w:right="0" w:firstLine="560"/>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lang w:eastAsia="zh-CN"/>
        </w:rPr>
        <w:t>（</w:t>
      </w:r>
      <w:r>
        <w:rPr>
          <w:rFonts w:hint="eastAsia" w:ascii="Times New Roman" w:hAnsi="Times New Roman" w:eastAsia="宋体" w:cs="Times New Roman"/>
          <w:kern w:val="0"/>
          <w:sz w:val="24"/>
          <w:szCs w:val="24"/>
          <w:lang w:val="en-US" w:eastAsia="zh-CN"/>
        </w:rPr>
        <w:t>3</w:t>
      </w:r>
      <w:r>
        <w:rPr>
          <w:rFonts w:hint="default" w:ascii="Times New Roman" w:hAnsi="Times New Roman" w:eastAsia="宋体" w:cs="Times New Roman"/>
          <w:kern w:val="0"/>
          <w:sz w:val="24"/>
          <w:szCs w:val="24"/>
          <w:lang w:eastAsia="zh-CN"/>
        </w:rPr>
        <w:t>）</w:t>
      </w:r>
      <w:r>
        <w:rPr>
          <w:rFonts w:hint="default" w:ascii="Times New Roman" w:hAnsi="Times New Roman" w:eastAsia="宋体" w:cs="Times New Roman"/>
          <w:kern w:val="0"/>
          <w:sz w:val="24"/>
          <w:szCs w:val="24"/>
        </w:rPr>
        <w:t>搞好环保知识教育和技术培训，提高公司职工环保素质，完善环保资料的建档和管理。</w:t>
      </w:r>
    </w:p>
    <w:p>
      <w:pPr>
        <w:keepNext w:val="0"/>
        <w:keepLines w:val="0"/>
        <w:pageBreakBefore w:val="0"/>
        <w:kinsoku/>
        <w:overflowPunct/>
        <w:topLinePunct w:val="0"/>
        <w:bidi w:val="0"/>
        <w:spacing w:after="0" w:line="360" w:lineRule="auto"/>
        <w:ind w:leftChars="0" w:right="0" w:firstLine="582"/>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t>八、验收人员信息</w:t>
      </w:r>
    </w:p>
    <w:p>
      <w:pPr>
        <w:keepNext w:val="0"/>
        <w:keepLines w:val="0"/>
        <w:pageBreakBefore w:val="0"/>
        <w:kinsoku/>
        <w:overflowPunct/>
        <w:topLinePunct w:val="0"/>
        <w:bidi w:val="0"/>
        <w:spacing w:after="0" w:line="360" w:lineRule="auto"/>
        <w:ind w:leftChars="0" w:right="0" w:firstLine="560"/>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rPr>
        <w:t>附件</w:t>
      </w:r>
      <w:r>
        <w:rPr>
          <w:rFonts w:hint="eastAsia" w:ascii="Times New Roman" w:hAnsi="Times New Roman" w:eastAsia="宋体" w:cs="Times New Roman"/>
          <w:kern w:val="2"/>
          <w:sz w:val="24"/>
          <w:szCs w:val="24"/>
          <w:lang w:eastAsia="zh-CN"/>
        </w:rPr>
        <w:t>：济南迪亚实业有限责任公司济南迪亚双创产业园竣工环境保护验收名单</w:t>
      </w:r>
      <w:r>
        <w:rPr>
          <w:rFonts w:hint="default" w:ascii="Times New Roman" w:hAnsi="Times New Roman" w:eastAsia="宋体" w:cs="Times New Roman"/>
          <w:kern w:val="2"/>
          <w:sz w:val="24"/>
          <w:szCs w:val="24"/>
        </w:rPr>
        <w:t>。</w:t>
      </w:r>
    </w:p>
    <w:p>
      <w:pPr>
        <w:keepNext w:val="0"/>
        <w:keepLines w:val="0"/>
        <w:pageBreakBefore w:val="0"/>
        <w:widowControl/>
        <w:kinsoku/>
        <w:overflowPunct/>
        <w:topLinePunct w:val="0"/>
        <w:bidi w:val="0"/>
        <w:adjustRightInd w:val="0"/>
        <w:snapToGrid w:val="0"/>
        <w:spacing w:after="0" w:line="360" w:lineRule="auto"/>
        <w:ind w:leftChars="0" w:right="0" w:firstLine="580"/>
        <w:jc w:val="both"/>
        <w:rPr>
          <w:rFonts w:hint="default" w:ascii="Times New Roman" w:hAnsi="Times New Roman" w:eastAsia="宋体" w:cs="Times New Roman"/>
          <w:sz w:val="24"/>
          <w:szCs w:val="24"/>
        </w:rPr>
      </w:pPr>
      <w:r>
        <w:rPr>
          <w:rFonts w:hint="default" w:ascii="Times New Roman" w:hAnsi="Times New Roman" w:eastAsia="宋体" w:cs="Times New Roman"/>
          <w:sz w:val="24"/>
          <w:szCs w:val="24"/>
        </w:rPr>
        <w:t>验收组签字：</w:t>
      </w:r>
    </w:p>
    <w:p>
      <w:pPr>
        <w:pStyle w:val="19"/>
        <w:spacing w:line="360" w:lineRule="auto"/>
        <w:jc w:val="right"/>
        <w:rPr>
          <w:rFonts w:hint="default" w:ascii="Times New Roman" w:hAnsi="Times New Roman" w:eastAsia="宋体" w:cs="Times New Roman"/>
          <w:sz w:val="24"/>
          <w:szCs w:val="24"/>
        </w:rPr>
      </w:pPr>
    </w:p>
    <w:p>
      <w:pPr>
        <w:keepNext w:val="0"/>
        <w:keepLines w:val="0"/>
        <w:pageBreakBefore w:val="0"/>
        <w:widowControl w:val="0"/>
        <w:kinsoku/>
        <w:overflowPunct/>
        <w:topLinePunct w:val="0"/>
        <w:bidi w:val="0"/>
        <w:spacing w:after="0" w:line="360" w:lineRule="auto"/>
        <w:ind w:leftChars="0" w:right="0" w:firstLine="602"/>
        <w:jc w:val="right"/>
        <w:rPr>
          <w:rFonts w:hint="default" w:ascii="Times New Roman" w:hAnsi="Times New Roman" w:eastAsia="宋体" w:cs="Times New Roman"/>
          <w:b/>
          <w:color w:val="auto"/>
          <w:kern w:val="2"/>
          <w:sz w:val="24"/>
          <w:szCs w:val="24"/>
        </w:rPr>
      </w:pPr>
      <w:bookmarkStart w:id="0" w:name="_GoBack"/>
      <w:bookmarkEnd w:id="0"/>
    </w:p>
    <w:p>
      <w:pPr>
        <w:pStyle w:val="19"/>
        <w:rPr>
          <w:rFonts w:hint="default" w:ascii="Times New Roman" w:hAnsi="Times New Roman" w:eastAsia="宋体" w:cs="Times New Roman"/>
          <w:b/>
          <w:color w:val="auto"/>
          <w:kern w:val="2"/>
          <w:sz w:val="24"/>
          <w:szCs w:val="24"/>
        </w:rPr>
      </w:pPr>
    </w:p>
    <w:p>
      <w:pPr>
        <w:rPr>
          <w:rFonts w:hint="default" w:ascii="Times New Roman" w:hAnsi="Times New Roman" w:eastAsia="宋体" w:cs="Times New Roman"/>
          <w:b/>
          <w:color w:val="auto"/>
          <w:kern w:val="2"/>
          <w:sz w:val="24"/>
          <w:szCs w:val="24"/>
        </w:rPr>
      </w:pPr>
    </w:p>
    <w:p>
      <w:pPr>
        <w:rPr>
          <w:rFonts w:hint="default" w:ascii="Times New Roman" w:hAnsi="Times New Roman" w:eastAsia="宋体" w:cs="Times New Roman"/>
          <w:b/>
          <w:color w:val="auto"/>
          <w:kern w:val="2"/>
          <w:sz w:val="24"/>
          <w:szCs w:val="24"/>
        </w:rPr>
      </w:pPr>
    </w:p>
    <w:p>
      <w:pPr>
        <w:pStyle w:val="19"/>
        <w:rPr>
          <w:rFonts w:hint="default"/>
        </w:rPr>
      </w:pPr>
    </w:p>
    <w:p>
      <w:pPr>
        <w:keepNext w:val="0"/>
        <w:keepLines w:val="0"/>
        <w:pageBreakBefore w:val="0"/>
        <w:widowControl/>
        <w:kinsoku/>
        <w:wordWrap/>
        <w:overflowPunct/>
        <w:topLinePunct w:val="0"/>
        <w:bidi w:val="0"/>
        <w:spacing w:after="0" w:line="360" w:lineRule="auto"/>
        <w:ind w:leftChars="0" w:right="0" w:firstLine="580"/>
        <w:jc w:val="right"/>
        <w:rPr>
          <w:rFonts w:hint="default" w:ascii="Times New Roman" w:hAnsi="Times New Roman" w:eastAsia="宋体" w:cs="Times New Roman"/>
          <w:sz w:val="24"/>
          <w:szCs w:val="24"/>
          <w:lang w:eastAsia="zh-CN"/>
        </w:rPr>
      </w:pPr>
      <w:r>
        <w:rPr>
          <w:rFonts w:hint="eastAsia" w:ascii="Times New Roman" w:hAnsi="Times New Roman" w:eastAsia="宋体" w:cs="Times New Roman"/>
          <w:sz w:val="24"/>
          <w:szCs w:val="24"/>
          <w:lang w:eastAsia="zh-CN"/>
        </w:rPr>
        <w:t>济南迪亚实业有限责任公司</w:t>
      </w:r>
    </w:p>
    <w:p>
      <w:pPr>
        <w:widowControl/>
        <w:snapToGrid w:val="0"/>
        <w:ind w:firstLine="580"/>
        <w:jc w:val="right"/>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2022年3月8日</w:t>
      </w:r>
    </w:p>
    <w:p>
      <w:pPr>
        <w:pStyle w:val="19"/>
        <w:rPr>
          <w:rFonts w:hint="eastAsia" w:ascii="Times New Roman" w:hAnsi="Times New Roman" w:eastAsia="宋体" w:cs="Times New Roman"/>
          <w:sz w:val="24"/>
          <w:szCs w:val="24"/>
          <w:lang w:val="en-US" w:eastAsia="zh-CN"/>
        </w:rPr>
      </w:pPr>
    </w:p>
    <w:p>
      <w:pPr>
        <w:rPr>
          <w:rFonts w:hint="default"/>
          <w:lang w:val="en-US" w:eastAsia="zh-CN"/>
        </w:rPr>
        <w:sectPr>
          <w:headerReference r:id="rId5" w:type="default"/>
          <w:footerReference r:id="rId6" w:type="default"/>
          <w:pgSz w:w="11850" w:h="16783"/>
          <w:pgMar w:top="1440" w:right="1423" w:bottom="1440" w:left="1423" w:header="851" w:footer="992" w:gutter="0"/>
          <w:cols w:space="0" w:num="1"/>
          <w:docGrid w:type="lines" w:linePitch="314" w:charSpace="0"/>
        </w:sectPr>
      </w:pPr>
    </w:p>
    <w:p>
      <w:pPr>
        <w:pStyle w:val="24"/>
        <w:ind w:firstLine="0" w:firstLineChars="0"/>
        <w:rPr>
          <w:rFonts w:hint="default" w:ascii="Times New Roman" w:hAnsi="Times New Roman" w:eastAsia="宋体" w:cs="Times New Roman"/>
          <w:sz w:val="24"/>
          <w:szCs w:val="24"/>
          <w:lang w:val="en-US" w:eastAsia="zh-CN"/>
        </w:rPr>
      </w:pPr>
    </w:p>
    <w:p>
      <w:pPr>
        <w:pStyle w:val="19"/>
        <w:rPr>
          <w:rFonts w:hint="default"/>
          <w:lang w:val="en-US" w:eastAsia="zh-CN"/>
        </w:rPr>
      </w:pPr>
    </w:p>
    <w:p>
      <w:pPr>
        <w:pStyle w:val="24"/>
        <w:ind w:firstLine="0" w:firstLineChars="0"/>
        <w:rPr>
          <w:rFonts w:hint="default" w:ascii="Times New Roman" w:hAnsi="Times New Roman" w:eastAsia="宋体" w:cs="Times New Roman"/>
          <w:sz w:val="24"/>
          <w:szCs w:val="24"/>
          <w:lang w:val="en-US" w:eastAsia="zh-CN"/>
        </w:rPr>
      </w:pPr>
    </w:p>
    <w:sectPr>
      <w:pgSz w:w="16783" w:h="11850" w:orient="landscape"/>
      <w:pgMar w:top="1423" w:right="1440" w:bottom="1423" w:left="1440" w:header="851" w:footer="992" w:gutter="0"/>
      <w:cols w:space="0" w:num="1"/>
      <w:docGrid w:type="lines" w:linePitch="314"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40"/>
      </w:pPr>
      <w:r>
        <w:separator/>
      </w:r>
    </w:p>
  </w:endnote>
  <w:endnote w:type="continuationSeparator" w:id="1">
    <w:p>
      <w:pPr>
        <w:spacing w:line="240" w:lineRule="auto"/>
        <w:ind w:firstLine="4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80F3C52" w:usb2="00000016" w:usb3="00000000" w:csb0="0004001F" w:csb1="00000000"/>
  </w:font>
  <w:font w:name="方正小标宋简体">
    <w:altName w:val="微软雅黑"/>
    <w:panose1 w:val="00000000000000000000"/>
    <w:charset w:val="86"/>
    <w:family w:val="auto"/>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60" w:lineRule="auto"/>
        <w:ind w:firstLine="440"/>
      </w:pPr>
      <w:r>
        <w:separator/>
      </w:r>
    </w:p>
  </w:footnote>
  <w:footnote w:type="continuationSeparator" w:id="1">
    <w:p>
      <w:pPr>
        <w:spacing w:before="0" w:after="0" w:line="360" w:lineRule="auto"/>
        <w:ind w:firstLine="44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pBdr>
        <w:bottom w:val="none" w:color="auto" w:sz="0" w:space="0"/>
      </w:pBdr>
      <w:ind w:firstLine="360"/>
      <w:rPr>
        <w:rFonts w:cs="Tahom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C80BCAD"/>
    <w:multiLevelType w:val="singleLevel"/>
    <w:tmpl w:val="FC80BCAD"/>
    <w:lvl w:ilvl="0" w:tentative="0">
      <w:start w:val="1"/>
      <w:numFmt w:val="bullet"/>
      <w:pStyle w:val="14"/>
      <w:lvlText w:val=""/>
      <w:lvlJc w:val="left"/>
      <w:pPr>
        <w:tabs>
          <w:tab w:val="left" w:pos="2040"/>
        </w:tabs>
        <w:ind w:left="2040" w:hanging="360"/>
      </w:pPr>
      <w:rPr>
        <w:rFonts w:hint="default" w:ascii="Wingdings" w:hAnsi="Wingdings"/>
      </w:rPr>
    </w:lvl>
  </w:abstractNum>
  <w:abstractNum w:abstractNumId="1">
    <w:nsid w:val="0B60A679"/>
    <w:multiLevelType w:val="singleLevel"/>
    <w:tmpl w:val="0B60A679"/>
    <w:lvl w:ilvl="0" w:tentative="0">
      <w:start w:val="2"/>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NotTrackMoves/>
  <w:trackRevisions w:val="1"/>
  <w:documentProtection w:enforcement="0"/>
  <w:defaultTabStop w:val="420"/>
  <w:doNotHyphenateCaps/>
  <w:drawingGridVerticalSpacing w:val="157"/>
  <w:displayHorizontalDrawingGridEvery w:val="1"/>
  <w:displayVerticalDrawingGridEvery w:val="1"/>
  <w:noPunctuationKerning w:val="1"/>
  <w:characterSpacingControl w:val="compressPunctuation"/>
  <w:noLineBreaksAfter w:lang="zh-CN" w:val="$([{£¥·‘“〈《「『【〔〖〝﹙﹛﹝＄（．［｛￡￥"/>
  <w:noLineBreaksBefore w:lang="zh-CN" w:val="!%),.:;&gt;?]}¢¨°·ˇˉ―‖’”…‰′″›℃∶、。〃〉》」』】〕〗〞︶︺︾﹀﹄﹚﹜﹞！＂％＇），．：；？］｀｜｝～￠"/>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gxMjNkZDE3NjJiZmU3MzFlNjgxMTIzZjViZDlhMDEifQ=="/>
  </w:docVars>
  <w:rsids>
    <w:rsidRoot w:val="00172A27"/>
    <w:rsid w:val="00035A13"/>
    <w:rsid w:val="0003659E"/>
    <w:rsid w:val="00051171"/>
    <w:rsid w:val="0005571D"/>
    <w:rsid w:val="00082D69"/>
    <w:rsid w:val="000B6AB9"/>
    <w:rsid w:val="000C5950"/>
    <w:rsid w:val="000D22C0"/>
    <w:rsid w:val="000D2C30"/>
    <w:rsid w:val="000E6A6D"/>
    <w:rsid w:val="00100522"/>
    <w:rsid w:val="00100D45"/>
    <w:rsid w:val="00112FCB"/>
    <w:rsid w:val="00123494"/>
    <w:rsid w:val="00123D3F"/>
    <w:rsid w:val="00136E9D"/>
    <w:rsid w:val="001374C9"/>
    <w:rsid w:val="00151430"/>
    <w:rsid w:val="001B2C20"/>
    <w:rsid w:val="001C4038"/>
    <w:rsid w:val="001E3192"/>
    <w:rsid w:val="001F25A9"/>
    <w:rsid w:val="00204BB3"/>
    <w:rsid w:val="00240D08"/>
    <w:rsid w:val="00244A46"/>
    <w:rsid w:val="002801F6"/>
    <w:rsid w:val="002849BC"/>
    <w:rsid w:val="002863EA"/>
    <w:rsid w:val="002874F0"/>
    <w:rsid w:val="002906CD"/>
    <w:rsid w:val="00294FC2"/>
    <w:rsid w:val="002B32BD"/>
    <w:rsid w:val="002F2B00"/>
    <w:rsid w:val="002F4D8C"/>
    <w:rsid w:val="002F5573"/>
    <w:rsid w:val="00304D4E"/>
    <w:rsid w:val="00306497"/>
    <w:rsid w:val="00321DDE"/>
    <w:rsid w:val="00345CAC"/>
    <w:rsid w:val="003A0123"/>
    <w:rsid w:val="003B47BB"/>
    <w:rsid w:val="003C26BC"/>
    <w:rsid w:val="003C3CA8"/>
    <w:rsid w:val="003E1ED5"/>
    <w:rsid w:val="003E323E"/>
    <w:rsid w:val="00411DD0"/>
    <w:rsid w:val="00436EA1"/>
    <w:rsid w:val="00454708"/>
    <w:rsid w:val="00464600"/>
    <w:rsid w:val="00474534"/>
    <w:rsid w:val="00475734"/>
    <w:rsid w:val="00476E07"/>
    <w:rsid w:val="0048437D"/>
    <w:rsid w:val="00493633"/>
    <w:rsid w:val="004A0639"/>
    <w:rsid w:val="004A497C"/>
    <w:rsid w:val="004B7E5F"/>
    <w:rsid w:val="004C36BB"/>
    <w:rsid w:val="004C40B4"/>
    <w:rsid w:val="004E2FE4"/>
    <w:rsid w:val="00522759"/>
    <w:rsid w:val="00532369"/>
    <w:rsid w:val="00587216"/>
    <w:rsid w:val="005A5206"/>
    <w:rsid w:val="005A6685"/>
    <w:rsid w:val="005B00F4"/>
    <w:rsid w:val="005B1BA4"/>
    <w:rsid w:val="005D72B5"/>
    <w:rsid w:val="005E0897"/>
    <w:rsid w:val="005E09DC"/>
    <w:rsid w:val="0060524E"/>
    <w:rsid w:val="00607661"/>
    <w:rsid w:val="0062738C"/>
    <w:rsid w:val="00635C38"/>
    <w:rsid w:val="00656C9A"/>
    <w:rsid w:val="00660B7E"/>
    <w:rsid w:val="006633A9"/>
    <w:rsid w:val="00675801"/>
    <w:rsid w:val="00675B32"/>
    <w:rsid w:val="00676B00"/>
    <w:rsid w:val="00687553"/>
    <w:rsid w:val="006915ED"/>
    <w:rsid w:val="006A00F0"/>
    <w:rsid w:val="006A4004"/>
    <w:rsid w:val="006F79A8"/>
    <w:rsid w:val="00710178"/>
    <w:rsid w:val="007371E6"/>
    <w:rsid w:val="00746AC2"/>
    <w:rsid w:val="0075590D"/>
    <w:rsid w:val="00777542"/>
    <w:rsid w:val="0079354C"/>
    <w:rsid w:val="0079381D"/>
    <w:rsid w:val="00794F0E"/>
    <w:rsid w:val="007B66FA"/>
    <w:rsid w:val="007B7205"/>
    <w:rsid w:val="007C652D"/>
    <w:rsid w:val="007D1C85"/>
    <w:rsid w:val="007F3A23"/>
    <w:rsid w:val="008017AA"/>
    <w:rsid w:val="008047FA"/>
    <w:rsid w:val="008105AC"/>
    <w:rsid w:val="00820E46"/>
    <w:rsid w:val="00827A40"/>
    <w:rsid w:val="00834FAD"/>
    <w:rsid w:val="008515B7"/>
    <w:rsid w:val="00856FE8"/>
    <w:rsid w:val="00860219"/>
    <w:rsid w:val="00876AD0"/>
    <w:rsid w:val="00892B1A"/>
    <w:rsid w:val="00892C76"/>
    <w:rsid w:val="008D1DEF"/>
    <w:rsid w:val="008F6892"/>
    <w:rsid w:val="0091374D"/>
    <w:rsid w:val="009318B7"/>
    <w:rsid w:val="0094565D"/>
    <w:rsid w:val="00987513"/>
    <w:rsid w:val="009A15C6"/>
    <w:rsid w:val="009B41E2"/>
    <w:rsid w:val="009C5305"/>
    <w:rsid w:val="009F29BA"/>
    <w:rsid w:val="00A00D62"/>
    <w:rsid w:val="00A12AFC"/>
    <w:rsid w:val="00A23A98"/>
    <w:rsid w:val="00A263F8"/>
    <w:rsid w:val="00A32939"/>
    <w:rsid w:val="00A57E27"/>
    <w:rsid w:val="00A87D8D"/>
    <w:rsid w:val="00A97E42"/>
    <w:rsid w:val="00AC4896"/>
    <w:rsid w:val="00AE567B"/>
    <w:rsid w:val="00AE7916"/>
    <w:rsid w:val="00B012B2"/>
    <w:rsid w:val="00B04612"/>
    <w:rsid w:val="00B15EB9"/>
    <w:rsid w:val="00B20B7C"/>
    <w:rsid w:val="00B25879"/>
    <w:rsid w:val="00B265CF"/>
    <w:rsid w:val="00B355D4"/>
    <w:rsid w:val="00B419D8"/>
    <w:rsid w:val="00B42638"/>
    <w:rsid w:val="00B50064"/>
    <w:rsid w:val="00B54C75"/>
    <w:rsid w:val="00B8081D"/>
    <w:rsid w:val="00B84B89"/>
    <w:rsid w:val="00B90D5E"/>
    <w:rsid w:val="00B9519E"/>
    <w:rsid w:val="00BA090A"/>
    <w:rsid w:val="00BE053E"/>
    <w:rsid w:val="00BE697B"/>
    <w:rsid w:val="00C273CD"/>
    <w:rsid w:val="00C65C81"/>
    <w:rsid w:val="00C7749F"/>
    <w:rsid w:val="00C82779"/>
    <w:rsid w:val="00C94515"/>
    <w:rsid w:val="00CE5494"/>
    <w:rsid w:val="00CE6E57"/>
    <w:rsid w:val="00D0629A"/>
    <w:rsid w:val="00D16BE8"/>
    <w:rsid w:val="00D27945"/>
    <w:rsid w:val="00D64752"/>
    <w:rsid w:val="00D705C2"/>
    <w:rsid w:val="00D96E1A"/>
    <w:rsid w:val="00DF6E75"/>
    <w:rsid w:val="00DF72AB"/>
    <w:rsid w:val="00E02AB0"/>
    <w:rsid w:val="00E4216C"/>
    <w:rsid w:val="00E46C72"/>
    <w:rsid w:val="00E544C5"/>
    <w:rsid w:val="00E749C3"/>
    <w:rsid w:val="00E770BA"/>
    <w:rsid w:val="00E81432"/>
    <w:rsid w:val="00E81D6E"/>
    <w:rsid w:val="00E852D0"/>
    <w:rsid w:val="00E87B21"/>
    <w:rsid w:val="00EB0F5B"/>
    <w:rsid w:val="00EB33EC"/>
    <w:rsid w:val="00EC287A"/>
    <w:rsid w:val="00ED368E"/>
    <w:rsid w:val="00F1024F"/>
    <w:rsid w:val="00F14097"/>
    <w:rsid w:val="00F14501"/>
    <w:rsid w:val="00F3369D"/>
    <w:rsid w:val="00F33F12"/>
    <w:rsid w:val="00F426D9"/>
    <w:rsid w:val="00F564CC"/>
    <w:rsid w:val="00FA009F"/>
    <w:rsid w:val="00FA255C"/>
    <w:rsid w:val="00FA5F64"/>
    <w:rsid w:val="00FA7250"/>
    <w:rsid w:val="00FB2A45"/>
    <w:rsid w:val="00FE02A1"/>
    <w:rsid w:val="00FE1F4C"/>
    <w:rsid w:val="00FE3872"/>
    <w:rsid w:val="00FF0264"/>
    <w:rsid w:val="00FF4184"/>
    <w:rsid w:val="02874060"/>
    <w:rsid w:val="02C7498E"/>
    <w:rsid w:val="030F2A78"/>
    <w:rsid w:val="03CF05A3"/>
    <w:rsid w:val="04773D02"/>
    <w:rsid w:val="04BD1CF8"/>
    <w:rsid w:val="04F64D61"/>
    <w:rsid w:val="05312C57"/>
    <w:rsid w:val="05982B91"/>
    <w:rsid w:val="06B576B4"/>
    <w:rsid w:val="06DC3814"/>
    <w:rsid w:val="074671CC"/>
    <w:rsid w:val="0766665A"/>
    <w:rsid w:val="07AD0944"/>
    <w:rsid w:val="087B4B2D"/>
    <w:rsid w:val="093B00AF"/>
    <w:rsid w:val="09865549"/>
    <w:rsid w:val="0A5E79C8"/>
    <w:rsid w:val="0AA05173"/>
    <w:rsid w:val="0AE850E5"/>
    <w:rsid w:val="0C793B3D"/>
    <w:rsid w:val="0C850E03"/>
    <w:rsid w:val="0D7C6268"/>
    <w:rsid w:val="0DAD0CD4"/>
    <w:rsid w:val="0E5C0ED0"/>
    <w:rsid w:val="0F0F1371"/>
    <w:rsid w:val="0F76507F"/>
    <w:rsid w:val="106525CA"/>
    <w:rsid w:val="10C304AB"/>
    <w:rsid w:val="10F37360"/>
    <w:rsid w:val="1110472C"/>
    <w:rsid w:val="116A15B6"/>
    <w:rsid w:val="11C86278"/>
    <w:rsid w:val="139A1CD6"/>
    <w:rsid w:val="143A4ACA"/>
    <w:rsid w:val="145A1C25"/>
    <w:rsid w:val="14D33197"/>
    <w:rsid w:val="152E04FB"/>
    <w:rsid w:val="15553DF7"/>
    <w:rsid w:val="15B33D50"/>
    <w:rsid w:val="15DA0777"/>
    <w:rsid w:val="15E81ECB"/>
    <w:rsid w:val="15F26564"/>
    <w:rsid w:val="16881707"/>
    <w:rsid w:val="178E0669"/>
    <w:rsid w:val="184303B5"/>
    <w:rsid w:val="188D7E54"/>
    <w:rsid w:val="1918245D"/>
    <w:rsid w:val="197511F7"/>
    <w:rsid w:val="1A5F31B7"/>
    <w:rsid w:val="1A9B36F6"/>
    <w:rsid w:val="1AD71EA4"/>
    <w:rsid w:val="1CEF7581"/>
    <w:rsid w:val="1D3D2E8E"/>
    <w:rsid w:val="1D417185"/>
    <w:rsid w:val="1DCF6A15"/>
    <w:rsid w:val="1E061AFB"/>
    <w:rsid w:val="1FB0700F"/>
    <w:rsid w:val="1FB60655"/>
    <w:rsid w:val="1FE7169E"/>
    <w:rsid w:val="201D7A42"/>
    <w:rsid w:val="202F4709"/>
    <w:rsid w:val="20EF52E9"/>
    <w:rsid w:val="21081222"/>
    <w:rsid w:val="21B2626F"/>
    <w:rsid w:val="221B3059"/>
    <w:rsid w:val="226D3CFE"/>
    <w:rsid w:val="22D929C4"/>
    <w:rsid w:val="22E97112"/>
    <w:rsid w:val="22FD2DEE"/>
    <w:rsid w:val="2306772B"/>
    <w:rsid w:val="237B1C30"/>
    <w:rsid w:val="24EE055F"/>
    <w:rsid w:val="256D51AD"/>
    <w:rsid w:val="25730E5F"/>
    <w:rsid w:val="25DA358A"/>
    <w:rsid w:val="27183FAE"/>
    <w:rsid w:val="28702BFD"/>
    <w:rsid w:val="287A70C8"/>
    <w:rsid w:val="29E52C04"/>
    <w:rsid w:val="2A7704C9"/>
    <w:rsid w:val="2C5A2F7C"/>
    <w:rsid w:val="2C5B7A7A"/>
    <w:rsid w:val="2C631EE5"/>
    <w:rsid w:val="2D42357D"/>
    <w:rsid w:val="2EC50B19"/>
    <w:rsid w:val="2F30295F"/>
    <w:rsid w:val="2FEE4FC6"/>
    <w:rsid w:val="303B521B"/>
    <w:rsid w:val="30446957"/>
    <w:rsid w:val="31165624"/>
    <w:rsid w:val="31447B17"/>
    <w:rsid w:val="31545D96"/>
    <w:rsid w:val="32181D4B"/>
    <w:rsid w:val="322A6115"/>
    <w:rsid w:val="325E60DB"/>
    <w:rsid w:val="32A4059B"/>
    <w:rsid w:val="3307355C"/>
    <w:rsid w:val="33C81DD3"/>
    <w:rsid w:val="38105541"/>
    <w:rsid w:val="386F3A84"/>
    <w:rsid w:val="39493F69"/>
    <w:rsid w:val="3A262969"/>
    <w:rsid w:val="3B0844DE"/>
    <w:rsid w:val="3BC907C3"/>
    <w:rsid w:val="3C931740"/>
    <w:rsid w:val="3CE227B1"/>
    <w:rsid w:val="3E047166"/>
    <w:rsid w:val="3E083A98"/>
    <w:rsid w:val="3EBD4C50"/>
    <w:rsid w:val="3F307FC6"/>
    <w:rsid w:val="3F3F6175"/>
    <w:rsid w:val="3F5F5D14"/>
    <w:rsid w:val="3F8D744B"/>
    <w:rsid w:val="3FB36297"/>
    <w:rsid w:val="40225A34"/>
    <w:rsid w:val="417D1105"/>
    <w:rsid w:val="41FC7E24"/>
    <w:rsid w:val="420115B3"/>
    <w:rsid w:val="426125CF"/>
    <w:rsid w:val="427E149F"/>
    <w:rsid w:val="44034335"/>
    <w:rsid w:val="4420552A"/>
    <w:rsid w:val="44285812"/>
    <w:rsid w:val="455806CE"/>
    <w:rsid w:val="455B5A78"/>
    <w:rsid w:val="455F2AA3"/>
    <w:rsid w:val="45B544A3"/>
    <w:rsid w:val="45E845F0"/>
    <w:rsid w:val="471E352A"/>
    <w:rsid w:val="47D8037F"/>
    <w:rsid w:val="493E0B7E"/>
    <w:rsid w:val="49506749"/>
    <w:rsid w:val="49C55197"/>
    <w:rsid w:val="49CD6A25"/>
    <w:rsid w:val="4A1168BD"/>
    <w:rsid w:val="4A2F3EE7"/>
    <w:rsid w:val="4A5821EF"/>
    <w:rsid w:val="4B4674D2"/>
    <w:rsid w:val="4B7C5A47"/>
    <w:rsid w:val="4BCC3852"/>
    <w:rsid w:val="4BEB2588"/>
    <w:rsid w:val="4C144871"/>
    <w:rsid w:val="4C345582"/>
    <w:rsid w:val="4CFA33FC"/>
    <w:rsid w:val="4DEA6DA2"/>
    <w:rsid w:val="4E7723EA"/>
    <w:rsid w:val="4E9C001A"/>
    <w:rsid w:val="502B6E83"/>
    <w:rsid w:val="5078219D"/>
    <w:rsid w:val="51142D8E"/>
    <w:rsid w:val="511B243F"/>
    <w:rsid w:val="51AE70CE"/>
    <w:rsid w:val="529B46C0"/>
    <w:rsid w:val="52E349A0"/>
    <w:rsid w:val="52F62681"/>
    <w:rsid w:val="532458E8"/>
    <w:rsid w:val="54970FF4"/>
    <w:rsid w:val="54D041E8"/>
    <w:rsid w:val="55BC4161"/>
    <w:rsid w:val="56937BD7"/>
    <w:rsid w:val="57EE219F"/>
    <w:rsid w:val="586216B7"/>
    <w:rsid w:val="590D7306"/>
    <w:rsid w:val="59366F33"/>
    <w:rsid w:val="59610487"/>
    <w:rsid w:val="599F18F9"/>
    <w:rsid w:val="59A83D85"/>
    <w:rsid w:val="59B92F56"/>
    <w:rsid w:val="59E25E8C"/>
    <w:rsid w:val="5AB94A93"/>
    <w:rsid w:val="5AEA1F97"/>
    <w:rsid w:val="5C0F67ED"/>
    <w:rsid w:val="5C211791"/>
    <w:rsid w:val="5C8439DC"/>
    <w:rsid w:val="5CD62FD7"/>
    <w:rsid w:val="5CDE795B"/>
    <w:rsid w:val="5D2807D4"/>
    <w:rsid w:val="5DC22282"/>
    <w:rsid w:val="5DCC210D"/>
    <w:rsid w:val="5DD23BD9"/>
    <w:rsid w:val="5DF97045"/>
    <w:rsid w:val="5E1637D7"/>
    <w:rsid w:val="5E1F609D"/>
    <w:rsid w:val="5E50770E"/>
    <w:rsid w:val="5E54739E"/>
    <w:rsid w:val="5F190BA3"/>
    <w:rsid w:val="614F11BA"/>
    <w:rsid w:val="621D3446"/>
    <w:rsid w:val="62895E57"/>
    <w:rsid w:val="63113C8D"/>
    <w:rsid w:val="637D3F61"/>
    <w:rsid w:val="63A731B1"/>
    <w:rsid w:val="63AB48A9"/>
    <w:rsid w:val="63D037D4"/>
    <w:rsid w:val="63D41A4D"/>
    <w:rsid w:val="653B3E7E"/>
    <w:rsid w:val="654C556F"/>
    <w:rsid w:val="66306408"/>
    <w:rsid w:val="67115D27"/>
    <w:rsid w:val="682436AA"/>
    <w:rsid w:val="68BD0ABC"/>
    <w:rsid w:val="68D80F78"/>
    <w:rsid w:val="68F1343C"/>
    <w:rsid w:val="6939445F"/>
    <w:rsid w:val="6A1B75A5"/>
    <w:rsid w:val="6AB86025"/>
    <w:rsid w:val="6AD54F6D"/>
    <w:rsid w:val="6B4E204F"/>
    <w:rsid w:val="6BFC5334"/>
    <w:rsid w:val="6CFF7247"/>
    <w:rsid w:val="6E4A4A40"/>
    <w:rsid w:val="6F063E1D"/>
    <w:rsid w:val="6F0E2C27"/>
    <w:rsid w:val="6F4C183A"/>
    <w:rsid w:val="6F812984"/>
    <w:rsid w:val="6FDE4694"/>
    <w:rsid w:val="6FFF6F45"/>
    <w:rsid w:val="70F21638"/>
    <w:rsid w:val="72130C84"/>
    <w:rsid w:val="728263F5"/>
    <w:rsid w:val="72B727BB"/>
    <w:rsid w:val="72D407BC"/>
    <w:rsid w:val="72E31D4B"/>
    <w:rsid w:val="7388340E"/>
    <w:rsid w:val="73AB4460"/>
    <w:rsid w:val="73E63676"/>
    <w:rsid w:val="741A2FF9"/>
    <w:rsid w:val="743F7A11"/>
    <w:rsid w:val="74DD6887"/>
    <w:rsid w:val="750A7806"/>
    <w:rsid w:val="75703EEA"/>
    <w:rsid w:val="75BF4004"/>
    <w:rsid w:val="762228EF"/>
    <w:rsid w:val="77EE65ED"/>
    <w:rsid w:val="79426BD7"/>
    <w:rsid w:val="796A316D"/>
    <w:rsid w:val="798727B4"/>
    <w:rsid w:val="79F51CB5"/>
    <w:rsid w:val="7A5902CD"/>
    <w:rsid w:val="7A7748C0"/>
    <w:rsid w:val="7A971671"/>
    <w:rsid w:val="7A976B94"/>
    <w:rsid w:val="7AD11380"/>
    <w:rsid w:val="7B505291"/>
    <w:rsid w:val="7BDE3D7C"/>
    <w:rsid w:val="7C584461"/>
    <w:rsid w:val="7CB30260"/>
    <w:rsid w:val="7CD21CE4"/>
    <w:rsid w:val="7CEE7D3C"/>
    <w:rsid w:val="7D584F27"/>
    <w:rsid w:val="7DBE38D5"/>
    <w:rsid w:val="7E342880"/>
    <w:rsid w:val="7F0C4BBE"/>
    <w:rsid w:val="7F7C79D4"/>
  </w:rsids>
  <m:mathPr>
    <m:mathFont m:val="Cambria Math"/>
    <m:brkBin m:val="before"/>
    <m:brkBinSub m:val="--"/>
    <m:smallFrac m:val="1"/>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nhideWhenUsed="0" w:uiPriority="0" w:semiHidden="0" w:name="heading 2" w:locked="1"/>
    <w:lsdException w:qFormat="1" w:uiPriority="0" w:name="heading 3" w:locked="1"/>
    <w:lsdException w:qFormat="1" w:unhideWhenUsed="0" w:uiPriority="0" w:semiHidden="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qFormat="1" w:unhideWhenUsed="0" w:uiPriority="0" w:semiHidden="0" w:name="Normal Indent"/>
    <w:lsdException w:uiPriority="99"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qFormat="1" w:uiPriority="99" w:name="List Bullet 5"/>
    <w:lsdException w:uiPriority="99" w:name="List Number 2"/>
    <w:lsdException w:uiPriority="99" w:name="List Number 3"/>
    <w:lsdException w:uiPriority="99" w:name="List Number 4"/>
    <w:lsdException w:uiPriority="99" w:name="List Number 5"/>
    <w:lsdException w:qFormat="1" w:unhideWhenUsed="0" w:uiPriority="99"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qFormat="1" w:unhideWhenUsed="0"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ocked="1"/>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adjustRightInd w:val="0"/>
      <w:snapToGrid w:val="0"/>
      <w:spacing w:after="200" w:line="360" w:lineRule="auto"/>
      <w:ind w:firstLine="200" w:firstLineChars="200"/>
      <w:jc w:val="both"/>
    </w:pPr>
    <w:rPr>
      <w:rFonts w:ascii="Tahoma" w:hAnsi="Tahoma" w:eastAsia="微软雅黑" w:cs="Tahoma"/>
      <w:sz w:val="22"/>
      <w:szCs w:val="22"/>
      <w:lang w:val="en-US" w:eastAsia="zh-CN" w:bidi="ar-SA"/>
    </w:rPr>
  </w:style>
  <w:style w:type="paragraph" w:styleId="3">
    <w:name w:val="heading 1"/>
    <w:basedOn w:val="1"/>
    <w:next w:val="1"/>
    <w:link w:val="38"/>
    <w:qFormat/>
    <w:locked/>
    <w:uiPriority w:val="0"/>
    <w:pPr>
      <w:keepNext/>
      <w:keepLines/>
      <w:spacing w:before="340" w:after="330" w:line="578" w:lineRule="auto"/>
      <w:outlineLvl w:val="0"/>
    </w:pPr>
    <w:rPr>
      <w:b/>
      <w:bCs/>
      <w:kern w:val="44"/>
      <w:sz w:val="44"/>
      <w:szCs w:val="44"/>
    </w:rPr>
  </w:style>
  <w:style w:type="paragraph" w:styleId="4">
    <w:name w:val="heading 2"/>
    <w:basedOn w:val="1"/>
    <w:next w:val="1"/>
    <w:qFormat/>
    <w:locked/>
    <w:uiPriority w:val="0"/>
    <w:pPr>
      <w:keepNext/>
      <w:spacing w:line="360" w:lineRule="auto"/>
      <w:ind w:firstLine="0" w:firstLineChars="0"/>
      <w:outlineLvl w:val="1"/>
    </w:pPr>
    <w:rPr>
      <w:b/>
      <w:bCs/>
      <w:sz w:val="28"/>
    </w:rPr>
  </w:style>
  <w:style w:type="paragraph" w:styleId="5">
    <w:name w:val="heading 4"/>
    <w:basedOn w:val="1"/>
    <w:next w:val="1"/>
    <w:link w:val="36"/>
    <w:qFormat/>
    <w:locked/>
    <w:uiPriority w:val="0"/>
    <w:pPr>
      <w:widowControl w:val="0"/>
      <w:adjustRightInd/>
      <w:snapToGrid/>
      <w:spacing w:beforeLines="50" w:afterLines="50"/>
      <w:outlineLvl w:val="3"/>
    </w:pPr>
    <w:rPr>
      <w:rFonts w:ascii="Times New Roman" w:hAnsi="Times New Roman" w:eastAsia="宋体" w:cs="Times New Roman"/>
      <w:b/>
      <w:kern w:val="2"/>
      <w:sz w:val="28"/>
      <w:szCs w:val="28"/>
    </w:rPr>
  </w:style>
  <w:style w:type="character" w:default="1" w:styleId="22">
    <w:name w:val="Default Paragraph Font"/>
    <w:semiHidden/>
    <w:unhideWhenUsed/>
    <w:qFormat/>
    <w:uiPriority w:val="1"/>
  </w:style>
  <w:style w:type="table" w:default="1" w:styleId="20">
    <w:name w:val="Normal Table"/>
    <w:semiHidden/>
    <w:unhideWhenUsed/>
    <w:qFormat/>
    <w:uiPriority w:val="99"/>
    <w:tblPr>
      <w:tblCellMar>
        <w:top w:w="0" w:type="dxa"/>
        <w:left w:w="108" w:type="dxa"/>
        <w:bottom w:w="0" w:type="dxa"/>
        <w:right w:w="108" w:type="dxa"/>
      </w:tblCellMar>
    </w:tblPr>
  </w:style>
  <w:style w:type="paragraph" w:customStyle="1" w:styleId="2">
    <w:name w:val="样式 样式 样式 样式 小四 左 首行缩进:  2 字符 + 首行缩进:  2 字符 Char + 右  0 字符1 + 首行缩...3"/>
    <w:basedOn w:val="1"/>
    <w:qFormat/>
    <w:uiPriority w:val="0"/>
    <w:pPr>
      <w:ind w:firstLine="480"/>
      <w:jc w:val="left"/>
      <w:textAlignment w:val="baseline"/>
    </w:pPr>
    <w:rPr>
      <w:rFonts w:cs="宋体"/>
      <w:sz w:val="24"/>
      <w:szCs w:val="20"/>
    </w:rPr>
  </w:style>
  <w:style w:type="paragraph" w:styleId="6">
    <w:name w:val="Normal Indent"/>
    <w:basedOn w:val="1"/>
    <w:next w:val="1"/>
    <w:qFormat/>
    <w:uiPriority w:val="0"/>
    <w:pPr>
      <w:ind w:firstLine="420"/>
    </w:pPr>
    <w:rPr>
      <w:szCs w:val="20"/>
    </w:rPr>
  </w:style>
  <w:style w:type="paragraph" w:styleId="7">
    <w:name w:val="Document Map"/>
    <w:basedOn w:val="1"/>
    <w:link w:val="35"/>
    <w:semiHidden/>
    <w:qFormat/>
    <w:uiPriority w:val="99"/>
    <w:rPr>
      <w:rFonts w:ascii="宋体" w:eastAsia="宋体" w:cs="宋体"/>
      <w:sz w:val="18"/>
      <w:szCs w:val="18"/>
    </w:rPr>
  </w:style>
  <w:style w:type="paragraph" w:styleId="8">
    <w:name w:val="annotation text"/>
    <w:basedOn w:val="1"/>
    <w:qFormat/>
    <w:uiPriority w:val="0"/>
    <w:pPr>
      <w:jc w:val="left"/>
    </w:pPr>
  </w:style>
  <w:style w:type="paragraph" w:styleId="9">
    <w:name w:val="Body Text"/>
    <w:basedOn w:val="1"/>
    <w:next w:val="10"/>
    <w:link w:val="30"/>
    <w:qFormat/>
    <w:uiPriority w:val="99"/>
    <w:pPr>
      <w:widowControl w:val="0"/>
      <w:adjustRightInd/>
      <w:snapToGrid/>
      <w:spacing w:after="120"/>
    </w:pPr>
    <w:rPr>
      <w:rFonts w:ascii="Calibri" w:hAnsi="Calibri" w:eastAsia="宋体" w:cs="Times New Roman"/>
      <w:sz w:val="24"/>
      <w:szCs w:val="24"/>
    </w:rPr>
  </w:style>
  <w:style w:type="paragraph" w:customStyle="1" w:styleId="10">
    <w:name w:val="Date1"/>
    <w:basedOn w:val="1"/>
    <w:next w:val="1"/>
    <w:qFormat/>
    <w:uiPriority w:val="0"/>
    <w:rPr>
      <w:sz w:val="21"/>
      <w:szCs w:val="20"/>
    </w:rPr>
  </w:style>
  <w:style w:type="paragraph" w:styleId="11">
    <w:name w:val="Body Text Indent"/>
    <w:basedOn w:val="1"/>
    <w:next w:val="12"/>
    <w:qFormat/>
    <w:uiPriority w:val="0"/>
    <w:pPr>
      <w:spacing w:after="120"/>
      <w:ind w:left="420" w:leftChars="200"/>
    </w:pPr>
    <w:rPr>
      <w:sz w:val="20"/>
      <w:szCs w:val="20"/>
    </w:rPr>
  </w:style>
  <w:style w:type="paragraph" w:customStyle="1" w:styleId="12">
    <w:name w:val="样式 正文文本缩进 + 行距: 1.5 倍行距"/>
    <w:basedOn w:val="13"/>
    <w:next w:val="1"/>
    <w:qFormat/>
    <w:uiPriority w:val="0"/>
    <w:pPr>
      <w:snapToGrid/>
      <w:spacing w:before="0" w:after="120" w:line="360" w:lineRule="auto"/>
      <w:ind w:left="90" w:leftChars="32" w:firstLine="560" w:firstLineChars="200"/>
    </w:pPr>
    <w:rPr>
      <w:rFonts w:ascii="Times New Roman" w:eastAsia="宋体" w:cs="宋体"/>
    </w:rPr>
  </w:style>
  <w:style w:type="paragraph" w:customStyle="1" w:styleId="13">
    <w:name w:val="Body Text Indent"/>
    <w:basedOn w:val="1"/>
    <w:next w:val="12"/>
    <w:qFormat/>
    <w:uiPriority w:val="0"/>
    <w:pPr>
      <w:spacing w:after="120" w:afterLines="0"/>
      <w:ind w:left="420" w:leftChars="200"/>
    </w:pPr>
    <w:rPr>
      <w:rFonts w:ascii="Times New Roman" w:hAnsi="Times New Roman" w:eastAsia="宋体"/>
      <w:sz w:val="24"/>
    </w:rPr>
  </w:style>
  <w:style w:type="paragraph" w:styleId="14">
    <w:name w:val="List Bullet 5"/>
    <w:basedOn w:val="1"/>
    <w:semiHidden/>
    <w:unhideWhenUsed/>
    <w:qFormat/>
    <w:uiPriority w:val="99"/>
    <w:pPr>
      <w:numPr>
        <w:ilvl w:val="0"/>
        <w:numId w:val="1"/>
      </w:numPr>
    </w:pPr>
  </w:style>
  <w:style w:type="paragraph" w:styleId="15">
    <w:name w:val="footer"/>
    <w:basedOn w:val="1"/>
    <w:link w:val="29"/>
    <w:qFormat/>
    <w:uiPriority w:val="99"/>
    <w:pPr>
      <w:widowControl w:val="0"/>
      <w:tabs>
        <w:tab w:val="center" w:pos="4153"/>
        <w:tab w:val="right" w:pos="8306"/>
      </w:tabs>
      <w:adjustRightInd/>
      <w:spacing w:after="0"/>
    </w:pPr>
    <w:rPr>
      <w:rFonts w:ascii="Calibri" w:hAnsi="Calibri" w:eastAsia="宋体" w:cs="Calibri"/>
      <w:kern w:val="2"/>
      <w:sz w:val="18"/>
      <w:szCs w:val="18"/>
    </w:rPr>
  </w:style>
  <w:style w:type="paragraph" w:styleId="16">
    <w:name w:val="header"/>
    <w:basedOn w:val="1"/>
    <w:link w:val="28"/>
    <w:qFormat/>
    <w:uiPriority w:val="99"/>
    <w:pPr>
      <w:widowControl w:val="0"/>
      <w:pBdr>
        <w:bottom w:val="single" w:color="auto" w:sz="6" w:space="1"/>
      </w:pBdr>
      <w:tabs>
        <w:tab w:val="center" w:pos="4153"/>
        <w:tab w:val="right" w:pos="8306"/>
      </w:tabs>
      <w:adjustRightInd/>
      <w:spacing w:after="0"/>
      <w:jc w:val="center"/>
    </w:pPr>
    <w:rPr>
      <w:rFonts w:ascii="Calibri" w:hAnsi="Calibri" w:eastAsia="宋体" w:cs="Calibri"/>
      <w:kern w:val="2"/>
      <w:sz w:val="18"/>
      <w:szCs w:val="18"/>
    </w:rPr>
  </w:style>
  <w:style w:type="paragraph" w:styleId="17">
    <w:name w:val="Title"/>
    <w:basedOn w:val="1"/>
    <w:next w:val="1"/>
    <w:link w:val="34"/>
    <w:qFormat/>
    <w:uiPriority w:val="99"/>
    <w:pPr>
      <w:widowControl w:val="0"/>
      <w:adjustRightInd/>
      <w:snapToGrid/>
      <w:spacing w:after="0"/>
      <w:jc w:val="center"/>
    </w:pPr>
    <w:rPr>
      <w:rFonts w:ascii="方正小标宋简体" w:hAnsi="宋体" w:eastAsia="方正小标宋简体" w:cs="方正小标宋简体"/>
      <w:kern w:val="2"/>
      <w:sz w:val="36"/>
      <w:szCs w:val="36"/>
    </w:rPr>
  </w:style>
  <w:style w:type="paragraph" w:styleId="18">
    <w:name w:val="Body Text First Indent"/>
    <w:basedOn w:val="9"/>
    <w:next w:val="1"/>
    <w:qFormat/>
    <w:uiPriority w:val="0"/>
    <w:pPr>
      <w:spacing w:after="120" w:line="240" w:lineRule="auto"/>
      <w:ind w:firstLine="420" w:firstLineChars="100"/>
    </w:pPr>
    <w:rPr>
      <w:sz w:val="28"/>
      <w:szCs w:val="24"/>
    </w:rPr>
  </w:style>
  <w:style w:type="paragraph" w:styleId="19">
    <w:name w:val="Body Text First Indent 2"/>
    <w:basedOn w:val="11"/>
    <w:next w:val="1"/>
    <w:qFormat/>
    <w:uiPriority w:val="0"/>
    <w:pPr>
      <w:ind w:firstLine="420"/>
    </w:pPr>
    <w:rPr>
      <w:sz w:val="21"/>
    </w:rPr>
  </w:style>
  <w:style w:type="table" w:styleId="21">
    <w:name w:val="Table Grid"/>
    <w:basedOn w:val="20"/>
    <w:qFormat/>
    <w:locked/>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3">
    <w:name w:val="Strong"/>
    <w:basedOn w:val="22"/>
    <w:qFormat/>
    <w:locked/>
    <w:uiPriority w:val="0"/>
    <w:rPr>
      <w:b/>
      <w:bCs/>
    </w:rPr>
  </w:style>
  <w:style w:type="paragraph" w:customStyle="1" w:styleId="24">
    <w:name w:val="Default"/>
    <w:basedOn w:val="25"/>
    <w:next w:val="26"/>
    <w:qFormat/>
    <w:uiPriority w:val="0"/>
    <w:pPr>
      <w:widowControl w:val="0"/>
      <w:autoSpaceDE w:val="0"/>
      <w:autoSpaceDN w:val="0"/>
      <w:adjustRightInd w:val="0"/>
      <w:spacing w:line="360" w:lineRule="auto"/>
      <w:ind w:firstLine="200" w:firstLineChars="200"/>
      <w:jc w:val="both"/>
    </w:pPr>
    <w:rPr>
      <w:rFonts w:ascii="宋体" w:hAnsi="Calibri" w:eastAsia="宋体" w:cs="宋体"/>
      <w:color w:val="000000"/>
      <w:sz w:val="24"/>
      <w:szCs w:val="24"/>
      <w:lang w:val="en-US" w:eastAsia="zh-CN" w:bidi="ar-SA"/>
    </w:rPr>
  </w:style>
  <w:style w:type="paragraph" w:customStyle="1" w:styleId="25">
    <w:name w:val="批注文字1"/>
    <w:qFormat/>
    <w:uiPriority w:val="0"/>
    <w:pPr>
      <w:widowControl w:val="0"/>
    </w:pPr>
    <w:rPr>
      <w:rFonts w:ascii="Times New Roman" w:hAnsi="Times New Roman" w:eastAsia="宋体" w:cs="Times New Roman"/>
      <w:color w:val="000000"/>
      <w:kern w:val="2"/>
      <w:sz w:val="21"/>
      <w:szCs w:val="24"/>
      <w:lang w:val="en-US" w:eastAsia="zh-CN" w:bidi="ar-SA"/>
    </w:rPr>
  </w:style>
  <w:style w:type="paragraph" w:customStyle="1" w:styleId="26">
    <w:name w:val="样式35"/>
    <w:basedOn w:val="1"/>
    <w:next w:val="1"/>
    <w:qFormat/>
    <w:uiPriority w:val="0"/>
    <w:pPr>
      <w:spacing w:line="312" w:lineRule="auto"/>
      <w:ind w:firstLine="567"/>
    </w:pPr>
    <w:rPr>
      <w:rFonts w:ascii="宋体"/>
      <w:sz w:val="28"/>
    </w:rPr>
  </w:style>
  <w:style w:type="paragraph" w:customStyle="1" w:styleId="27">
    <w:name w:val="样式 标题 1一级标题 + 段前: 0.5 行 段后: 0.5 行"/>
    <w:basedOn w:val="3"/>
    <w:qFormat/>
    <w:uiPriority w:val="0"/>
    <w:pPr>
      <w:spacing w:line="320" w:lineRule="exact"/>
      <w:outlineLvl w:val="9"/>
    </w:pPr>
    <w:rPr>
      <w:spacing w:val="-6"/>
      <w:kern w:val="0"/>
      <w:sz w:val="21"/>
      <w:szCs w:val="21"/>
    </w:rPr>
  </w:style>
  <w:style w:type="character" w:customStyle="1" w:styleId="28">
    <w:name w:val="页眉 Char"/>
    <w:link w:val="16"/>
    <w:qFormat/>
    <w:locked/>
    <w:uiPriority w:val="99"/>
    <w:rPr>
      <w:sz w:val="18"/>
      <w:szCs w:val="18"/>
    </w:rPr>
  </w:style>
  <w:style w:type="character" w:customStyle="1" w:styleId="29">
    <w:name w:val="页脚 Char"/>
    <w:link w:val="15"/>
    <w:qFormat/>
    <w:locked/>
    <w:uiPriority w:val="99"/>
    <w:rPr>
      <w:sz w:val="18"/>
      <w:szCs w:val="18"/>
    </w:rPr>
  </w:style>
  <w:style w:type="character" w:customStyle="1" w:styleId="30">
    <w:name w:val="正文文本 Char"/>
    <w:link w:val="9"/>
    <w:qFormat/>
    <w:locked/>
    <w:uiPriority w:val="99"/>
    <w:rPr>
      <w:rFonts w:eastAsia="宋体"/>
      <w:sz w:val="24"/>
      <w:szCs w:val="24"/>
    </w:rPr>
  </w:style>
  <w:style w:type="character" w:customStyle="1" w:styleId="31">
    <w:name w:val="Body Text Char1"/>
    <w:semiHidden/>
    <w:qFormat/>
    <w:uiPriority w:val="99"/>
    <w:rPr>
      <w:rFonts w:ascii="Tahoma" w:hAnsi="Tahoma" w:eastAsia="微软雅黑" w:cs="Tahoma"/>
      <w:kern w:val="0"/>
      <w:sz w:val="22"/>
    </w:rPr>
  </w:style>
  <w:style w:type="character" w:customStyle="1" w:styleId="32">
    <w:name w:val="正文文本 Char1"/>
    <w:semiHidden/>
    <w:qFormat/>
    <w:uiPriority w:val="99"/>
    <w:rPr>
      <w:rFonts w:ascii="Tahoma" w:hAnsi="Tahoma" w:eastAsia="微软雅黑" w:cs="Tahoma"/>
      <w:kern w:val="0"/>
      <w:sz w:val="22"/>
      <w:szCs w:val="22"/>
    </w:rPr>
  </w:style>
  <w:style w:type="paragraph" w:customStyle="1" w:styleId="33">
    <w:name w:val="Normal (Web)1"/>
    <w:basedOn w:val="1"/>
    <w:qFormat/>
    <w:uiPriority w:val="0"/>
    <w:pPr>
      <w:adjustRightInd/>
      <w:snapToGrid/>
      <w:spacing w:before="100" w:beforeAutospacing="1" w:after="100" w:afterAutospacing="1"/>
    </w:pPr>
    <w:rPr>
      <w:rFonts w:ascii="宋体" w:hAnsi="宋体" w:eastAsia="宋体" w:cs="宋体"/>
      <w:sz w:val="24"/>
      <w:szCs w:val="24"/>
    </w:rPr>
  </w:style>
  <w:style w:type="character" w:customStyle="1" w:styleId="34">
    <w:name w:val="标题 Char"/>
    <w:link w:val="17"/>
    <w:qFormat/>
    <w:locked/>
    <w:uiPriority w:val="99"/>
    <w:rPr>
      <w:rFonts w:ascii="方正小标宋简体" w:hAnsi="宋体" w:eastAsia="方正小标宋简体" w:cs="方正小标宋简体"/>
      <w:sz w:val="36"/>
      <w:szCs w:val="36"/>
    </w:rPr>
  </w:style>
  <w:style w:type="character" w:customStyle="1" w:styleId="35">
    <w:name w:val="文档结构图 Char"/>
    <w:link w:val="7"/>
    <w:semiHidden/>
    <w:qFormat/>
    <w:locked/>
    <w:uiPriority w:val="99"/>
    <w:rPr>
      <w:rFonts w:ascii="宋体" w:hAnsi="Tahoma" w:eastAsia="宋体" w:cs="宋体"/>
      <w:kern w:val="0"/>
      <w:sz w:val="18"/>
      <w:szCs w:val="18"/>
    </w:rPr>
  </w:style>
  <w:style w:type="character" w:customStyle="1" w:styleId="36">
    <w:name w:val="标题 4 Char"/>
    <w:basedOn w:val="22"/>
    <w:link w:val="5"/>
    <w:qFormat/>
    <w:uiPriority w:val="0"/>
    <w:rPr>
      <w:rFonts w:ascii="Times New Roman" w:hAnsi="Times New Roman"/>
      <w:b/>
      <w:kern w:val="2"/>
      <w:sz w:val="28"/>
      <w:szCs w:val="28"/>
    </w:rPr>
  </w:style>
  <w:style w:type="paragraph" w:customStyle="1" w:styleId="37">
    <w:name w:val="陈光的正文"/>
    <w:basedOn w:val="1"/>
    <w:qFormat/>
    <w:uiPriority w:val="0"/>
    <w:pPr>
      <w:widowControl w:val="0"/>
      <w:spacing w:beforeLines="10" w:afterLines="10"/>
      <w:ind w:firstLine="560"/>
    </w:pPr>
    <w:rPr>
      <w:rFonts w:ascii="Times New Roman" w:hAnsi="Times New Roman" w:eastAsia="宋体" w:cs="Times New Roman"/>
      <w:kern w:val="2"/>
      <w:sz w:val="28"/>
      <w:szCs w:val="20"/>
    </w:rPr>
  </w:style>
  <w:style w:type="character" w:customStyle="1" w:styleId="38">
    <w:name w:val="标题 1 Char"/>
    <w:basedOn w:val="22"/>
    <w:link w:val="3"/>
    <w:qFormat/>
    <w:uiPriority w:val="9"/>
    <w:rPr>
      <w:rFonts w:ascii="Tahoma" w:hAnsi="Tahoma" w:eastAsia="微软雅黑" w:cs="Tahoma"/>
      <w:b/>
      <w:bCs/>
      <w:kern w:val="44"/>
      <w:sz w:val="44"/>
      <w:szCs w:val="44"/>
    </w:rPr>
  </w:style>
  <w:style w:type="paragraph" w:customStyle="1" w:styleId="39">
    <w:name w:val="文字描述"/>
    <w:basedOn w:val="1"/>
    <w:qFormat/>
    <w:uiPriority w:val="0"/>
    <w:pPr>
      <w:adjustRightInd w:val="0"/>
      <w:snapToGrid w:val="0"/>
      <w:spacing w:line="360" w:lineRule="auto"/>
      <w:ind w:firstLine="200" w:firstLineChars="200"/>
    </w:pPr>
    <w:rPr>
      <w:spacing w:val="-2"/>
      <w:sz w:val="24"/>
      <w:szCs w:val="24"/>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Company</Company>
  <Pages>6</Pages>
  <Words>3468</Words>
  <Characters>3882</Characters>
  <Lines>49</Lines>
  <Paragraphs>13</Paragraphs>
  <TotalTime>3</TotalTime>
  <ScaleCrop>false</ScaleCrop>
  <LinksUpToDate>false</LinksUpToDate>
  <CharactersWithSpaces>3912</CharactersWithSpaces>
  <Application>WPS Office_12.1.0.15336_F1E327BC-269C-435d-A152-05C5408002CA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2017-12-20T07:30:00Z</dcterms:created>
  <dc:creator>fay</dc:creator>
  <cp:lastModifiedBy>六月</cp:lastModifiedBy>
  <cp:lastPrinted>2022-01-13T05:42:00Z</cp:lastPrinted>
  <dcterms:modified xsi:type="dcterms:W3CDTF">2023-08-16T02:10:26Z</dcterms:modified>
  <cp:revision>133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2052-12.1.0.15336</vt:lpwstr>
  </property>
  <property fmtid="{D5CDD505-2E9C-101B-9397-08002B2CF9AE}" pid="3" name="ICV">
    <vt:lpwstr>CB9D0B4038C242BD806CE55AE569A3B2</vt:lpwstr>
  </property>
</Properties>
</file>