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9"/>
        <w:keepNext w:val="0"/>
        <w:keepLines w:val="0"/>
        <w:pageBreakBefore w:val="0"/>
        <w:kinsoku/>
        <w:overflowPunct/>
        <w:topLinePunct w:val="0"/>
        <w:bidi w:val="0"/>
        <w:adjustRightInd w:val="0"/>
        <w:snapToGrid w:val="0"/>
        <w:spacing w:after="0" w:line="360" w:lineRule="auto"/>
        <w:ind w:left="0" w:leftChars="0" w:right="0" w:firstLine="0" w:firstLineChars="0"/>
        <w:jc w:val="center"/>
        <w:rPr>
          <w:rFonts w:hint="default" w:ascii="Times New Roman" w:hAnsi="Times New Roman" w:eastAsia="宋体" w:cs="Times New Roman"/>
          <w:b/>
          <w:bCs/>
          <w:sz w:val="30"/>
          <w:szCs w:val="30"/>
          <w:lang w:eastAsia="zh-CN"/>
        </w:rPr>
      </w:pPr>
      <w:bookmarkStart w:id="0" w:name="_GoBack"/>
      <w:r>
        <w:rPr>
          <w:rFonts w:hint="eastAsia" w:ascii="Times New Roman" w:hAnsi="Times New Roman" w:eastAsia="宋体" w:cs="Times New Roman"/>
          <w:b/>
          <w:bCs/>
          <w:sz w:val="30"/>
          <w:szCs w:val="30"/>
          <w:lang w:val="en-US" w:eastAsia="zh-CN"/>
        </w:rPr>
        <w:t>国信（山东）检验检测中心有限公司实验室建设项目</w:t>
      </w:r>
    </w:p>
    <w:p>
      <w:pPr>
        <w:pStyle w:val="19"/>
        <w:keepNext w:val="0"/>
        <w:keepLines w:val="0"/>
        <w:pageBreakBefore w:val="0"/>
        <w:widowControl w:val="0"/>
        <w:kinsoku/>
        <w:wordWrap/>
        <w:overflowPunct/>
        <w:topLinePunct w:val="0"/>
        <w:autoSpaceDE/>
        <w:autoSpaceDN/>
        <w:bidi w:val="0"/>
        <w:adjustRightInd w:val="0"/>
        <w:snapToGrid w:val="0"/>
        <w:spacing w:after="0" w:line="360" w:lineRule="auto"/>
        <w:ind w:leftChars="0" w:right="0" w:firstLine="0" w:firstLineChars="0"/>
        <w:textAlignment w:val="auto"/>
        <w:rPr>
          <w:rFonts w:hint="default" w:ascii="Times New Roman" w:hAnsi="Times New Roman" w:eastAsia="宋体" w:cs="Times New Roman"/>
          <w:b/>
          <w:sz w:val="30"/>
          <w:szCs w:val="30"/>
        </w:rPr>
      </w:pPr>
      <w:r>
        <w:rPr>
          <w:rFonts w:hint="default" w:ascii="Times New Roman" w:hAnsi="Times New Roman" w:eastAsia="宋体" w:cs="Times New Roman"/>
          <w:b/>
          <w:bCs/>
          <w:sz w:val="30"/>
          <w:szCs w:val="30"/>
        </w:rPr>
        <w:t>竣工环境保护验收意见</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bCs/>
          <w:kern w:val="2"/>
          <w:sz w:val="24"/>
          <w:szCs w:val="24"/>
        </w:rPr>
        <w:t>根据《建设项目环境保护管理条例》（国务院令第682号）和《建设项目竣工环境保护验收暂行办法》（国环规环评[2017]4号）要</w:t>
      </w:r>
      <w:r>
        <w:rPr>
          <w:rFonts w:hint="default" w:ascii="Times New Roman" w:hAnsi="Times New Roman" w:eastAsia="宋体" w:cs="Times New Roman"/>
          <w:bCs/>
          <w:color w:val="auto"/>
          <w:kern w:val="2"/>
          <w:sz w:val="24"/>
          <w:szCs w:val="24"/>
        </w:rPr>
        <w:t>求，</w:t>
      </w:r>
      <w:r>
        <w:rPr>
          <w:rFonts w:hint="eastAsia" w:ascii="Times New Roman" w:hAnsi="Times New Roman" w:eastAsia="宋体" w:cs="Times New Roman"/>
          <w:bCs/>
          <w:color w:val="auto"/>
          <w:kern w:val="2"/>
          <w:sz w:val="24"/>
          <w:szCs w:val="24"/>
          <w:lang w:eastAsia="zh-CN"/>
        </w:rPr>
        <w:t>2022年3月26日</w:t>
      </w:r>
      <w:r>
        <w:rPr>
          <w:rFonts w:hint="default" w:ascii="Times New Roman" w:hAnsi="Times New Roman" w:eastAsia="宋体" w:cs="Times New Roman"/>
          <w:bCs/>
          <w:color w:val="auto"/>
          <w:kern w:val="2"/>
          <w:sz w:val="24"/>
          <w:szCs w:val="24"/>
        </w:rPr>
        <w:t>，</w:t>
      </w:r>
      <w:r>
        <w:rPr>
          <w:rFonts w:hint="eastAsia" w:ascii="Times New Roman" w:hAnsi="Times New Roman" w:eastAsia="宋体" w:cs="Times New Roman"/>
          <w:bCs/>
          <w:color w:val="auto"/>
          <w:kern w:val="2"/>
          <w:sz w:val="24"/>
          <w:szCs w:val="24"/>
          <w:lang w:eastAsia="zh-CN"/>
        </w:rPr>
        <w:t>国信（山东）检验检测中心有限公司</w:t>
      </w:r>
      <w:r>
        <w:rPr>
          <w:rFonts w:hint="default" w:ascii="Times New Roman" w:hAnsi="Times New Roman" w:eastAsia="宋体" w:cs="Times New Roman"/>
          <w:bCs/>
          <w:color w:val="auto"/>
          <w:kern w:val="2"/>
          <w:sz w:val="24"/>
          <w:szCs w:val="24"/>
        </w:rPr>
        <w:t>在</w:t>
      </w:r>
      <w:r>
        <w:rPr>
          <w:rFonts w:hint="eastAsia" w:ascii="Times New Roman" w:hAnsi="Times New Roman" w:eastAsia="宋体" w:cs="Times New Roman"/>
          <w:bCs/>
          <w:color w:val="auto"/>
          <w:kern w:val="2"/>
          <w:sz w:val="24"/>
          <w:szCs w:val="24"/>
          <w:lang w:eastAsia="zh-CN"/>
        </w:rPr>
        <w:t>国信（山东）检验检测中心有限公司</w:t>
      </w:r>
      <w:r>
        <w:rPr>
          <w:rFonts w:hint="default" w:ascii="Times New Roman" w:hAnsi="Times New Roman" w:eastAsia="宋体" w:cs="Times New Roman"/>
          <w:bCs/>
          <w:color w:val="auto"/>
          <w:kern w:val="2"/>
          <w:sz w:val="24"/>
          <w:szCs w:val="24"/>
          <w:lang w:val="zh-CN"/>
        </w:rPr>
        <w:t>会议室内</w:t>
      </w:r>
      <w:r>
        <w:rPr>
          <w:rFonts w:hint="default" w:ascii="Times New Roman" w:hAnsi="Times New Roman" w:eastAsia="宋体" w:cs="Times New Roman"/>
          <w:bCs/>
          <w:color w:val="auto"/>
          <w:kern w:val="2"/>
          <w:sz w:val="24"/>
          <w:szCs w:val="24"/>
        </w:rPr>
        <w:t>召开了</w:t>
      </w:r>
      <w:r>
        <w:rPr>
          <w:rFonts w:hint="eastAsia" w:ascii="Times New Roman" w:hAnsi="Times New Roman" w:eastAsia="宋体" w:cs="Times New Roman"/>
          <w:bCs/>
          <w:color w:val="auto"/>
          <w:kern w:val="2"/>
          <w:sz w:val="24"/>
          <w:szCs w:val="24"/>
          <w:lang w:eastAsia="zh-CN"/>
        </w:rPr>
        <w:t>国信（山东）检验检测中心有限公司实验室建设项目</w:t>
      </w:r>
      <w:r>
        <w:rPr>
          <w:rFonts w:hint="default" w:ascii="Times New Roman" w:hAnsi="Times New Roman" w:eastAsia="宋体" w:cs="Times New Roman"/>
          <w:bCs/>
          <w:color w:val="auto"/>
          <w:kern w:val="2"/>
          <w:sz w:val="24"/>
          <w:szCs w:val="24"/>
          <w:lang w:eastAsia="zh-CN"/>
        </w:rPr>
        <w:t>竣工环境保护验收会议</w:t>
      </w:r>
      <w:r>
        <w:rPr>
          <w:rFonts w:hint="default" w:ascii="Times New Roman" w:hAnsi="Times New Roman" w:eastAsia="宋体" w:cs="Times New Roman"/>
          <w:bCs/>
          <w:color w:val="auto"/>
          <w:kern w:val="2"/>
          <w:sz w:val="24"/>
          <w:szCs w:val="24"/>
        </w:rPr>
        <w:t>。验收组由建设单位-</w:t>
      </w:r>
      <w:r>
        <w:rPr>
          <w:rFonts w:hint="eastAsia" w:ascii="Times New Roman" w:hAnsi="Times New Roman" w:eastAsia="宋体" w:cs="Times New Roman"/>
          <w:bCs/>
          <w:color w:val="auto"/>
          <w:kern w:val="2"/>
          <w:sz w:val="24"/>
          <w:szCs w:val="24"/>
          <w:lang w:eastAsia="zh-CN"/>
        </w:rPr>
        <w:t>国信（山东）检验检测中心有限公司</w:t>
      </w:r>
      <w:r>
        <w:rPr>
          <w:rFonts w:hint="default" w:ascii="Times New Roman" w:hAnsi="Times New Roman" w:eastAsia="宋体" w:cs="Times New Roman"/>
          <w:bCs/>
          <w:kern w:val="2"/>
          <w:sz w:val="24"/>
          <w:szCs w:val="24"/>
        </w:rPr>
        <w:t>、</w:t>
      </w:r>
      <w:r>
        <w:rPr>
          <w:rFonts w:hint="default" w:ascii="Times New Roman" w:hAnsi="Times New Roman" w:eastAsia="宋体" w:cs="Times New Roman"/>
          <w:kern w:val="2"/>
          <w:sz w:val="24"/>
          <w:szCs w:val="24"/>
        </w:rPr>
        <w:t>验收监测单</w:t>
      </w:r>
      <w:r>
        <w:rPr>
          <w:rFonts w:hint="default" w:ascii="Times New Roman" w:hAnsi="Times New Roman" w:eastAsia="宋体" w:cs="Times New Roman"/>
          <w:color w:val="auto"/>
          <w:kern w:val="2"/>
          <w:sz w:val="24"/>
          <w:szCs w:val="24"/>
        </w:rPr>
        <w:t>位-</w:t>
      </w:r>
      <w:r>
        <w:rPr>
          <w:rFonts w:hint="default" w:ascii="Times New Roman" w:hAnsi="Times New Roman" w:eastAsia="宋体" w:cs="Times New Roman"/>
          <w:color w:val="auto"/>
          <w:kern w:val="2"/>
          <w:sz w:val="24"/>
          <w:szCs w:val="24"/>
          <w:lang w:eastAsia="zh-CN"/>
        </w:rPr>
        <w:t>山东华晟环境检测有限公司</w:t>
      </w:r>
      <w:r>
        <w:rPr>
          <w:rFonts w:hint="default" w:ascii="Times New Roman" w:hAnsi="Times New Roman" w:eastAsia="宋体" w:cs="Times New Roman"/>
          <w:color w:val="auto"/>
          <w:kern w:val="2"/>
          <w:sz w:val="24"/>
          <w:szCs w:val="24"/>
        </w:rPr>
        <w:t>等单位</w:t>
      </w:r>
      <w:r>
        <w:rPr>
          <w:rFonts w:hint="default" w:ascii="Times New Roman" w:hAnsi="Times New Roman" w:eastAsia="宋体" w:cs="Times New Roman"/>
          <w:kern w:val="2"/>
          <w:sz w:val="24"/>
          <w:szCs w:val="24"/>
        </w:rPr>
        <w:t>的代表</w:t>
      </w:r>
      <w:r>
        <w:rPr>
          <w:rFonts w:hint="eastAsia" w:ascii="Times New Roman" w:hAnsi="Times New Roman" w:eastAsia="宋体" w:cs="Times New Roman"/>
          <w:kern w:val="2"/>
          <w:sz w:val="24"/>
          <w:szCs w:val="24"/>
          <w:lang w:eastAsia="zh-CN"/>
        </w:rPr>
        <w:t>及特邀专家</w:t>
      </w:r>
      <w:r>
        <w:rPr>
          <w:rFonts w:hint="default" w:ascii="Times New Roman" w:hAnsi="Times New Roman" w:eastAsia="宋体" w:cs="Times New Roman"/>
          <w:kern w:val="2"/>
          <w:sz w:val="24"/>
          <w:szCs w:val="24"/>
          <w:lang w:eastAsia="zh-CN"/>
        </w:rPr>
        <w:t>组成</w:t>
      </w:r>
      <w:r>
        <w:rPr>
          <w:rFonts w:hint="default" w:ascii="Times New Roman" w:hAnsi="Times New Roman" w:eastAsia="宋体" w:cs="Times New Roman"/>
          <w:kern w:val="2"/>
          <w:sz w:val="24"/>
          <w:szCs w:val="24"/>
        </w:rPr>
        <w:t>（验收组名单附后）。</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kern w:val="2"/>
          <w:sz w:val="24"/>
          <w:szCs w:val="24"/>
        </w:rPr>
        <w:t>验收组听取了该工程环境保护执行情况和竣工环境保护验收监测情况的汇报，对该工程环境保护设施的建设、运行情</w:t>
      </w:r>
      <w:r>
        <w:rPr>
          <w:rFonts w:hint="default" w:ascii="Times New Roman" w:hAnsi="Times New Roman" w:eastAsia="宋体" w:cs="Times New Roman"/>
          <w:bCs/>
          <w:kern w:val="2"/>
          <w:sz w:val="24"/>
          <w:szCs w:val="24"/>
        </w:rPr>
        <w:t>况进行了现场检查，核实了有关资料。</w:t>
      </w:r>
      <w:r>
        <w:rPr>
          <w:rFonts w:hint="default" w:ascii="Times New Roman" w:hAnsi="Times New Roman" w:eastAsia="宋体" w:cs="Times New Roman"/>
          <w:sz w:val="24"/>
          <w:szCs w:val="24"/>
        </w:rPr>
        <w:t>经认真讨论，形成竣工环境保护验收意见如下：</w:t>
      </w:r>
    </w:p>
    <w:p>
      <w:pPr>
        <w:keepNext w:val="0"/>
        <w:keepLines w:val="0"/>
        <w:pageBreakBefore w:val="0"/>
        <w:widowControl w:val="0"/>
        <w:kinsoku/>
        <w:overflowPunct/>
        <w:topLinePunct w:val="0"/>
        <w:bidi w:val="0"/>
        <w:spacing w:after="0" w:line="360" w:lineRule="auto"/>
        <w:ind w:leftChars="0" w:right="0" w:firstLine="56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一、工程建设基本情况</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（一）建设地点、规模、主要建设内容</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项目名称：</w:t>
      </w:r>
      <w:r>
        <w:rPr>
          <w:rFonts w:hint="eastAsia" w:ascii="Times New Roman" w:hAnsi="Times New Roman" w:eastAsia="宋体" w:cs="Times New Roman"/>
          <w:bCs/>
          <w:color w:val="auto"/>
          <w:kern w:val="2"/>
          <w:sz w:val="24"/>
          <w:szCs w:val="24"/>
          <w:lang w:val="en-US" w:eastAsia="zh-CN"/>
        </w:rPr>
        <w:t>国信（山东）检验检测中心有限公司实验室建设项目</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建设单位：</w:t>
      </w:r>
      <w:r>
        <w:rPr>
          <w:rFonts w:hint="eastAsia" w:ascii="Times New Roman" w:hAnsi="Times New Roman" w:eastAsia="宋体" w:cs="Times New Roman"/>
          <w:bCs/>
          <w:color w:val="auto"/>
          <w:kern w:val="2"/>
          <w:sz w:val="24"/>
          <w:szCs w:val="24"/>
          <w:lang w:eastAsia="zh-CN"/>
        </w:rPr>
        <w:t>国信（山东）检验检测中心有限公司</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建设性质：</w:t>
      </w:r>
      <w:r>
        <w:rPr>
          <w:rFonts w:hint="eastAsia" w:ascii="Times New Roman" w:hAnsi="Times New Roman" w:eastAsia="宋体" w:cs="Times New Roman"/>
          <w:sz w:val="24"/>
          <w:szCs w:val="24"/>
          <w:lang w:eastAsia="zh-CN"/>
        </w:rPr>
        <w:t>新建</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地理位置：</w:t>
      </w:r>
      <w:r>
        <w:rPr>
          <w:rFonts w:hint="eastAsia" w:ascii="Times New Roman" w:hAnsi="Times New Roman" w:eastAsia="宋体" w:cs="Times New Roman"/>
          <w:sz w:val="24"/>
          <w:szCs w:val="24"/>
          <w:lang w:val="en-US" w:eastAsia="zh-CN"/>
        </w:rPr>
        <w:t>山东省济南市高新区高官寨街道航天大道以北，天玑路以西，中欧智造港2号楼</w:t>
      </w:r>
      <w:r>
        <w:rPr>
          <w:rFonts w:hint="default" w:ascii="Times New Roman" w:hAnsi="Times New Roman" w:eastAsia="宋体" w:cs="Times New Roman"/>
          <w:kern w:val="2"/>
          <w:sz w:val="24"/>
          <w:szCs w:val="24"/>
        </w:rPr>
        <w:t>。</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建设规模：国信（山东）检验检测中心有限公司位于山东省济南市高新区高官寨街道航天大道以北，天玑路以西，中欧智造港2号楼。项目总建筑面积2500.64m</w:t>
      </w:r>
      <w:r>
        <w:rPr>
          <w:rFonts w:hint="default" w:ascii="Times New Roman" w:hAnsi="Times New Roman" w:eastAsia="宋体" w:cs="Times New Roman"/>
          <w:kern w:val="2"/>
          <w:sz w:val="24"/>
          <w:szCs w:val="24"/>
          <w:vertAlign w:val="superscript"/>
        </w:rPr>
        <w:t>2</w:t>
      </w:r>
      <w:r>
        <w:rPr>
          <w:rFonts w:hint="default" w:ascii="Times New Roman" w:hAnsi="Times New Roman" w:eastAsia="宋体" w:cs="Times New Roman"/>
          <w:kern w:val="2"/>
          <w:sz w:val="24"/>
          <w:szCs w:val="24"/>
        </w:rPr>
        <w:t>。建设内容为实验室、办公区及相关配套设施。总投资700万元，其中环保投资30万元，项目职工定员15人，每天工作8小时，年工作255天，年工作时间2040小时，夜间不生产。</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（二）建设过程及环保审批情况</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国信（山东）检验检测中心有限公司2021年11月委托山东国嘉环保科技有限公司编制完成了《实验室建设项目环境影响报告表》，并于2021年12月27日经济南市生态环境局审批（济环报告表［2021］G138号）。</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本项目租赁已建成的厂房，于2022年1月开工装修，2022年1月装修完成并投入试生产阶段，运营期间运行状况良好，环保设施同时进行试运行，具备竣工验收条件。</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（三）验收范围</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ascii="Times New Roman" w:hAnsi="Times New Roman" w:eastAsia="宋体" w:cs="Times New Roman"/>
          <w:color w:val="000000"/>
          <w:spacing w:val="0"/>
          <w:kern w:val="21"/>
          <w:sz w:val="24"/>
          <w:szCs w:val="24"/>
          <w:lang w:eastAsia="zh-CN"/>
        </w:rPr>
        <w:t>国信（山东）检验检测中心有限公司实验室建设项目</w:t>
      </w:r>
      <w:r>
        <w:rPr>
          <w:rFonts w:hint="default" w:ascii="Times New Roman" w:hAnsi="Times New Roman" w:eastAsia="宋体" w:cs="Times New Roman"/>
          <w:color w:val="000000"/>
          <w:spacing w:val="0"/>
          <w:kern w:val="21"/>
          <w:sz w:val="24"/>
          <w:szCs w:val="24"/>
        </w:rPr>
        <w:t>建成后的全部内容。</w:t>
      </w:r>
    </w:p>
    <w:p>
      <w:pPr>
        <w:keepNext w:val="0"/>
        <w:keepLines w:val="0"/>
        <w:pageBreakBefore w:val="0"/>
        <w:kinsoku/>
        <w:overflowPunct/>
        <w:topLinePunct w:val="0"/>
        <w:bidi w:val="0"/>
        <w:adjustRightInd/>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二、工程变动情况</w:t>
      </w:r>
    </w:p>
    <w:p>
      <w:pPr>
        <w:pStyle w:val="2"/>
        <w:numPr>
          <w:ilvl w:val="0"/>
          <w:numId w:val="0"/>
        </w:numPr>
        <w:spacing w:after="0"/>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与环评相较，一层混凝土抗渗室于土工集料室房间位置对换；二层危废间变更为预留间；工具间变更为药品库和危废间，环评规划一间危废间69m</w:t>
      </w:r>
      <w:r>
        <w:rPr>
          <w:rFonts w:hint="default" w:ascii="Times New Roman" w:hAnsi="Times New Roman" w:eastAsia="宋体" w:cs="Times New Roman"/>
          <w:b w:val="0"/>
          <w:bCs w:val="0"/>
          <w:sz w:val="24"/>
          <w:szCs w:val="24"/>
          <w:vertAlign w:val="superscript"/>
          <w:lang w:val="en-US" w:eastAsia="zh-CN"/>
        </w:rPr>
        <w:t>2</w:t>
      </w:r>
      <w:r>
        <w:rPr>
          <w:rFonts w:hint="default" w:ascii="Times New Roman" w:hAnsi="Times New Roman" w:eastAsia="宋体" w:cs="Times New Roman"/>
          <w:b w:val="0"/>
          <w:bCs w:val="0"/>
          <w:sz w:val="24"/>
          <w:szCs w:val="24"/>
          <w:lang w:val="en-US" w:eastAsia="zh-CN"/>
        </w:rPr>
        <w:t>，实际建设中为了方便危废管理，建设2间危废间（1#危废间（废液）建筑面积约10.8m</w:t>
      </w:r>
      <w:r>
        <w:rPr>
          <w:rFonts w:hint="default" w:ascii="Times New Roman" w:hAnsi="Times New Roman" w:eastAsia="宋体" w:cs="Times New Roman"/>
          <w:b w:val="0"/>
          <w:bCs w:val="0"/>
          <w:sz w:val="24"/>
          <w:szCs w:val="24"/>
          <w:vertAlign w:val="superscript"/>
          <w:lang w:val="en-US" w:eastAsia="zh-CN"/>
        </w:rPr>
        <w:t>2</w:t>
      </w:r>
      <w:r>
        <w:rPr>
          <w:rFonts w:hint="default" w:ascii="Times New Roman" w:hAnsi="Times New Roman" w:eastAsia="宋体" w:cs="Times New Roman"/>
          <w:b w:val="0"/>
          <w:bCs w:val="0"/>
          <w:sz w:val="24"/>
          <w:szCs w:val="24"/>
          <w:lang w:val="en-US" w:eastAsia="zh-CN"/>
        </w:rPr>
        <w:t>，2#危废间（固废）建筑面积约26m</w:t>
      </w:r>
      <w:r>
        <w:rPr>
          <w:rFonts w:hint="default" w:ascii="Times New Roman" w:hAnsi="Times New Roman" w:eastAsia="宋体" w:cs="Times New Roman"/>
          <w:b w:val="0"/>
          <w:bCs w:val="0"/>
          <w:sz w:val="24"/>
          <w:szCs w:val="24"/>
          <w:vertAlign w:val="superscript"/>
          <w:lang w:val="en-US" w:eastAsia="zh-CN"/>
        </w:rPr>
        <w:t>2</w:t>
      </w:r>
      <w:r>
        <w:rPr>
          <w:rFonts w:hint="default" w:ascii="Times New Roman" w:hAnsi="Times New Roman" w:eastAsia="宋体" w:cs="Times New Roman"/>
          <w:b w:val="0"/>
          <w:bCs w:val="0"/>
          <w:sz w:val="24"/>
          <w:szCs w:val="24"/>
          <w:lang w:val="en-US" w:eastAsia="zh-CN"/>
        </w:rPr>
        <w:t>）；分析：环评中实验室废液预估量为3.2t/a，实验废物预估量为0.02t/a，废活性炭预估量为0.681t/a，实际运行中实验室废液产生量为2.88t/a，实验废物和废活性炭按环评估算量；固体和液体危险废物进行分开存放之后；现危废间可满足危废量的暂存；运营中危废产生量减少，危险废物每半年转移一次，能满足危废暂存需求；环境防护距离范围内未新增敏感点；该项目实际建设过程中项目的性质、规模、地点、运营工艺等其他内容未发生重大变动，因此项目发生的变动均不属于重大变动。</w:t>
      </w:r>
    </w:p>
    <w:p>
      <w:pPr>
        <w:pStyle w:val="2"/>
        <w:numPr>
          <w:ilvl w:val="0"/>
          <w:numId w:val="0"/>
        </w:numPr>
        <w:spacing w:after="0"/>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根据《中华人民共和国环境影响评价法》、《建设项目环境保护管理条例》（国务院令第682号）、《关于印发环评管理中部分行业建设项目重大变动清单的通知》（环办[2015]52号）和关于印发《污染影响类建设项目重大变动清单（试行）》的通知（环办环评函[2020]688号）等的有关规定，不属于重大变更，应纳入竣工环境保护验收管理。</w:t>
      </w:r>
    </w:p>
    <w:p>
      <w:pPr>
        <w:keepNext w:val="0"/>
        <w:keepLines w:val="0"/>
        <w:pageBreakBefore w:val="0"/>
        <w:widowControl w:val="0"/>
        <w:kinsoku/>
        <w:overflowPunct/>
        <w:topLinePunct w:val="0"/>
        <w:bidi w:val="0"/>
        <w:spacing w:after="0" w:line="360" w:lineRule="auto"/>
        <w:ind w:leftChars="0" w:right="0" w:firstLine="56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三、环境保护设施建设情况</w:t>
      </w:r>
    </w:p>
    <w:p>
      <w:pPr>
        <w:pStyle w:val="2"/>
        <w:keepNext w:val="0"/>
        <w:keepLines w:val="0"/>
        <w:pageBreakBefore w:val="0"/>
        <w:widowControl w:val="0"/>
        <w:kinsoku/>
        <w:wordWrap/>
        <w:overflowPunct/>
        <w:topLinePunct w:val="0"/>
        <w:autoSpaceDE/>
        <w:autoSpaceDN/>
        <w:bidi w:val="0"/>
        <w:adjustRightInd w:val="0"/>
        <w:snapToGrid w:val="0"/>
        <w:spacing w:beforeLines="0" w:after="0"/>
        <w:ind w:firstLine="480" w:firstLineChars="200"/>
        <w:textAlignment w:val="baseline"/>
        <w:outlineLvl w:val="9"/>
        <w:rPr>
          <w:rFonts w:hint="default" w:ascii="Times New Roman" w:hAnsi="Times New Roman" w:cs="Times New Roman" w:eastAsiaTheme="minorEastAsia"/>
          <w:b w:val="0"/>
          <w:bCs w:val="0"/>
          <w:color w:val="000000"/>
          <w:sz w:val="24"/>
          <w:szCs w:val="24"/>
          <w:highlight w:val="none"/>
          <w:lang w:val="en-US" w:eastAsia="zh-CN"/>
        </w:rPr>
      </w:pPr>
      <w:r>
        <w:rPr>
          <w:rFonts w:hint="default" w:ascii="Times New Roman" w:hAnsi="Times New Roman" w:cs="Times New Roman" w:eastAsiaTheme="minorEastAsia"/>
          <w:b w:val="0"/>
          <w:bCs w:val="0"/>
          <w:color w:val="000000"/>
          <w:sz w:val="24"/>
          <w:szCs w:val="24"/>
          <w:highlight w:val="none"/>
          <w:lang w:val="en-US" w:eastAsia="zh-CN"/>
        </w:rPr>
        <w:t>1、废气</w:t>
      </w:r>
    </w:p>
    <w:p>
      <w:pPr>
        <w:pStyle w:val="2"/>
        <w:keepNext w:val="0"/>
        <w:keepLines w:val="0"/>
        <w:pageBreakBefore w:val="0"/>
        <w:widowControl w:val="0"/>
        <w:kinsoku/>
        <w:wordWrap/>
        <w:overflowPunct/>
        <w:topLinePunct w:val="0"/>
        <w:autoSpaceDE/>
        <w:autoSpaceDN/>
        <w:bidi w:val="0"/>
        <w:adjustRightInd w:val="0"/>
        <w:snapToGrid w:val="0"/>
        <w:spacing w:beforeLines="0" w:after="0"/>
        <w:ind w:firstLine="480" w:firstLineChars="200"/>
        <w:textAlignment w:val="baseline"/>
        <w:outlineLvl w:val="9"/>
        <w:rPr>
          <w:rFonts w:hint="default" w:ascii="Times New Roman" w:hAnsi="Times New Roman" w:cs="Times New Roman" w:eastAsiaTheme="minorEastAsia"/>
          <w:color w:val="000000"/>
          <w:szCs w:val="24"/>
          <w:highlight w:val="none"/>
          <w:lang w:val="en-US" w:eastAsia="zh-CN"/>
        </w:rPr>
      </w:pPr>
      <w:r>
        <w:rPr>
          <w:rFonts w:hint="default" w:ascii="Times New Roman" w:hAnsi="Times New Roman" w:cs="Times New Roman" w:eastAsiaTheme="minorEastAsia"/>
          <w:b w:val="0"/>
          <w:bCs w:val="0"/>
          <w:color w:val="000000"/>
          <w:sz w:val="24"/>
          <w:szCs w:val="24"/>
          <w:highlight w:val="none"/>
          <w:lang w:eastAsia="zh-CN"/>
        </w:rPr>
        <w:t>本</w:t>
      </w:r>
      <w:r>
        <w:rPr>
          <w:rFonts w:hint="default" w:ascii="Times New Roman" w:hAnsi="Times New Roman" w:cs="Times New Roman" w:eastAsiaTheme="minorEastAsia"/>
          <w:sz w:val="24"/>
          <w:szCs w:val="24"/>
          <w:highlight w:val="none"/>
          <w:lang w:eastAsia="zh-CN"/>
        </w:rPr>
        <w:t>项目进行保温材料检测过程主要为测试保温材料的燃烧性，保温材料燃烧过程中会产生少量VOCs和少量烟尘，</w:t>
      </w:r>
      <w:r>
        <w:rPr>
          <w:rFonts w:hint="default" w:ascii="Times New Roman" w:hAnsi="Times New Roman" w:cs="Times New Roman" w:eastAsiaTheme="minorEastAsia"/>
          <w:color w:val="auto"/>
          <w:highlight w:val="none"/>
          <w:lang w:val="en-US" w:eastAsia="zh-CN"/>
        </w:rPr>
        <w:t>废气经</w:t>
      </w:r>
      <w:r>
        <w:rPr>
          <w:rFonts w:hint="default" w:ascii="Times New Roman" w:hAnsi="Times New Roman" w:cs="Times New Roman" w:eastAsiaTheme="minorEastAsia"/>
          <w:lang w:eastAsia="zh-CN"/>
        </w:rPr>
        <w:t>集气罩</w:t>
      </w:r>
      <w:r>
        <w:rPr>
          <w:rFonts w:hint="default" w:ascii="Times New Roman" w:hAnsi="Times New Roman" w:cs="Times New Roman" w:eastAsiaTheme="minorEastAsia"/>
        </w:rPr>
        <w:t>收集</w:t>
      </w:r>
      <w:r>
        <w:rPr>
          <w:rFonts w:hint="default" w:ascii="Times New Roman" w:hAnsi="Times New Roman" w:cs="Times New Roman" w:eastAsiaTheme="minorEastAsia"/>
          <w:lang w:eastAsia="zh-CN"/>
        </w:rPr>
        <w:t>后，通过“</w:t>
      </w:r>
      <w:r>
        <w:rPr>
          <w:rFonts w:hint="default" w:ascii="Times New Roman" w:hAnsi="Times New Roman" w:cs="Times New Roman" w:eastAsiaTheme="minorEastAsia"/>
          <w:bCs/>
          <w:sz w:val="24"/>
          <w:szCs w:val="24"/>
          <w:lang w:val="en-US" w:eastAsia="zh-CN"/>
        </w:rPr>
        <w:t>滤筒除尘器+活性炭</w:t>
      </w:r>
      <w:r>
        <w:rPr>
          <w:rFonts w:hint="default" w:ascii="Times New Roman" w:hAnsi="Times New Roman" w:cs="Times New Roman" w:eastAsiaTheme="minorEastAsia"/>
          <w:lang w:eastAsia="zh-CN"/>
        </w:rPr>
        <w:t>”</w:t>
      </w:r>
      <w:r>
        <w:rPr>
          <w:rFonts w:hint="default" w:ascii="Times New Roman" w:hAnsi="Times New Roman" w:cs="Times New Roman" w:eastAsiaTheme="minorEastAsia"/>
          <w:szCs w:val="21"/>
          <w:lang w:eastAsia="zh-CN"/>
        </w:rPr>
        <w:t>处理</w:t>
      </w:r>
      <w:r>
        <w:rPr>
          <w:rFonts w:hint="default" w:ascii="Times New Roman" w:hAnsi="Times New Roman" w:cs="Times New Roman" w:eastAsiaTheme="minorEastAsia"/>
          <w:color w:val="000000"/>
          <w:szCs w:val="24"/>
          <w:highlight w:val="none"/>
          <w:lang w:eastAsia="zh-CN"/>
        </w:rPr>
        <w:t>后，由</w:t>
      </w:r>
      <w:r>
        <w:rPr>
          <w:rFonts w:hint="default" w:ascii="Times New Roman" w:hAnsi="Times New Roman" w:cs="Times New Roman" w:eastAsiaTheme="minorEastAsia"/>
          <w:color w:val="000000"/>
          <w:szCs w:val="24"/>
          <w:highlight w:val="none"/>
          <w:lang w:val="en-US" w:eastAsia="zh-CN"/>
        </w:rPr>
        <w:t>1根21m的</w:t>
      </w:r>
      <w:r>
        <w:rPr>
          <w:rFonts w:hint="default" w:ascii="Times New Roman" w:hAnsi="Times New Roman" w:cs="Times New Roman" w:eastAsiaTheme="minorEastAsia"/>
          <w:color w:val="000000"/>
          <w:szCs w:val="24"/>
          <w:highlight w:val="none"/>
        </w:rPr>
        <w:t>排气筒</w:t>
      </w:r>
      <w:r>
        <w:rPr>
          <w:rFonts w:hint="default" w:ascii="Times New Roman" w:hAnsi="Times New Roman" w:cs="Times New Roman" w:eastAsiaTheme="minorEastAsia"/>
          <w:color w:val="000000"/>
          <w:szCs w:val="24"/>
          <w:highlight w:val="none"/>
          <w:lang w:eastAsia="zh-CN"/>
        </w:rPr>
        <w:t>（</w:t>
      </w:r>
      <w:r>
        <w:rPr>
          <w:rFonts w:hint="default" w:ascii="Times New Roman" w:hAnsi="Times New Roman" w:cs="Times New Roman" w:eastAsiaTheme="minorEastAsia"/>
          <w:color w:val="000000"/>
          <w:szCs w:val="24"/>
          <w:highlight w:val="none"/>
          <w:lang w:val="en-US" w:eastAsia="zh-CN"/>
        </w:rPr>
        <w:t>DA001</w:t>
      </w:r>
      <w:r>
        <w:rPr>
          <w:rFonts w:hint="default" w:ascii="Times New Roman" w:hAnsi="Times New Roman" w:cs="Times New Roman" w:eastAsiaTheme="minorEastAsia"/>
          <w:color w:val="000000"/>
          <w:szCs w:val="24"/>
          <w:highlight w:val="none"/>
          <w:lang w:eastAsia="zh-CN"/>
        </w:rPr>
        <w:t>）</w:t>
      </w:r>
      <w:r>
        <w:rPr>
          <w:rFonts w:hint="default" w:ascii="Times New Roman" w:hAnsi="Times New Roman" w:cs="Times New Roman" w:eastAsiaTheme="minorEastAsia"/>
          <w:color w:val="000000"/>
          <w:szCs w:val="24"/>
          <w:highlight w:val="none"/>
        </w:rPr>
        <w:t>排放</w:t>
      </w:r>
      <w:r>
        <w:rPr>
          <w:rFonts w:hint="default" w:ascii="Times New Roman" w:hAnsi="Times New Roman" w:cs="Times New Roman" w:eastAsiaTheme="minorEastAsia"/>
          <w:color w:val="000000"/>
          <w:szCs w:val="24"/>
          <w:highlight w:val="none"/>
          <w:lang w:val="en-US" w:eastAsia="zh-CN"/>
        </w:rPr>
        <w:t>。</w:t>
      </w:r>
    </w:p>
    <w:p>
      <w:pPr>
        <w:keepNext w:val="0"/>
        <w:keepLines w:val="0"/>
        <w:pageBreakBefore w:val="0"/>
        <w:kinsoku/>
        <w:overflowPunct/>
        <w:topLinePunct w:val="0"/>
        <w:bidi w:val="0"/>
        <w:adjustRightInd/>
        <w:spacing w:after="0" w:line="360" w:lineRule="auto"/>
        <w:ind w:right="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2、废水</w:t>
      </w:r>
    </w:p>
    <w:p>
      <w:pPr>
        <w:pStyle w:val="2"/>
        <w:spacing w:after="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本项目产生的废水主要是生活污水、实验室废液。生活污水经化粪池处理后委托环卫部门清运处理，不外排；实验室废液经收集后委托德州泉润环境资源有限公司处理。</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3、噪声</w:t>
      </w:r>
    </w:p>
    <w:p>
      <w:pPr>
        <w:pStyle w:val="2"/>
        <w:spacing w:after="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项目噪声源主要为检测设备等噪声，营运期噪声值在60～80dB（A）之间。本项目设备均布置于室内，采取门窗、墙体隔声，全部设备均选用低噪声设备并采取减振措施。加强管理，经常保养和维护机械设备避免设备在不良状态下运行。</w:t>
      </w:r>
    </w:p>
    <w:p>
      <w:pPr>
        <w:keepNext w:val="0"/>
        <w:keepLines w:val="0"/>
        <w:pageBreakBefore w:val="0"/>
        <w:numPr>
          <w:ilvl w:val="0"/>
          <w:numId w:val="2"/>
        </w:numPr>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kern w:val="2"/>
          <w:sz w:val="24"/>
          <w:szCs w:val="24"/>
          <w:lang w:val="en-US" w:eastAsia="zh-CN"/>
        </w:rPr>
      </w:pPr>
      <w:r>
        <w:rPr>
          <w:rFonts w:hint="default" w:ascii="Times New Roman" w:hAnsi="Times New Roman" w:eastAsia="宋体" w:cs="Times New Roman"/>
          <w:b w:val="0"/>
          <w:bCs w:val="0"/>
          <w:kern w:val="2"/>
          <w:sz w:val="24"/>
          <w:szCs w:val="24"/>
          <w:lang w:val="en-US" w:eastAsia="zh-CN"/>
        </w:rPr>
        <w:t>固体废物</w:t>
      </w:r>
    </w:p>
    <w:p>
      <w:pPr>
        <w:pStyle w:val="26"/>
        <w:numPr>
          <w:ilvl w:val="-1"/>
          <w:numId w:val="0"/>
        </w:numPr>
        <w:ind w:firstLine="480" w:firstLineChars="200"/>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本项目生产过程中产生的固体废物包括危险废物和一般固废。一般固体废物：生活垃圾、检测废料（废装饰材料、废金属材料、废保温材料、废涂料及结构胶材料、废防水材料、废墙体材料、废砂石和水泥）、除尘器集尘；危险废物：实验室废液、实验废物、废活性炭。</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四、环境保护设施调试效果</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color w:val="auto"/>
          <w:kern w:val="2"/>
          <w:sz w:val="24"/>
          <w:szCs w:val="24"/>
        </w:rPr>
        <w:t>根据《</w:t>
      </w:r>
      <w:r>
        <w:rPr>
          <w:rFonts w:hint="eastAsia" w:ascii="Times New Roman" w:hAnsi="Times New Roman" w:eastAsia="宋体" w:cs="Times New Roman"/>
          <w:sz w:val="24"/>
          <w:szCs w:val="24"/>
          <w:lang w:val="en-US" w:eastAsia="zh-CN"/>
        </w:rPr>
        <w:t>国信（山东）检验检测中心有限公司实验室建设项目</w:t>
      </w:r>
      <w:r>
        <w:rPr>
          <w:rFonts w:hint="default" w:ascii="Times New Roman" w:hAnsi="Times New Roman" w:eastAsia="宋体" w:cs="Times New Roman"/>
          <w:color w:val="auto"/>
          <w:kern w:val="2"/>
          <w:sz w:val="24"/>
          <w:szCs w:val="24"/>
        </w:rPr>
        <w:t>竣工环境保护验收</w:t>
      </w:r>
      <w:r>
        <w:rPr>
          <w:rFonts w:hint="default" w:ascii="Times New Roman" w:hAnsi="Times New Roman" w:eastAsia="宋体" w:cs="Times New Roman"/>
          <w:color w:val="auto"/>
          <w:kern w:val="2"/>
          <w:sz w:val="24"/>
          <w:szCs w:val="24"/>
          <w:lang w:eastAsia="zh-CN"/>
        </w:rPr>
        <w:t>检</w:t>
      </w:r>
      <w:r>
        <w:rPr>
          <w:rFonts w:hint="default" w:ascii="Times New Roman" w:hAnsi="Times New Roman" w:eastAsia="宋体" w:cs="Times New Roman"/>
          <w:color w:val="auto"/>
          <w:kern w:val="2"/>
          <w:sz w:val="24"/>
          <w:szCs w:val="24"/>
        </w:rPr>
        <w:t>测报告》</w:t>
      </w:r>
      <w:r>
        <w:rPr>
          <w:rFonts w:hint="default" w:ascii="Times New Roman" w:hAnsi="Times New Roman" w:eastAsia="宋体" w:cs="Times New Roman"/>
          <w:kern w:val="2"/>
          <w:sz w:val="24"/>
          <w:szCs w:val="24"/>
        </w:rPr>
        <w:t>可知：</w:t>
      </w:r>
    </w:p>
    <w:p>
      <w:pPr>
        <w:keepNext w:val="0"/>
        <w:keepLines w:val="0"/>
        <w:pageBreakBefore w:val="0"/>
        <w:numPr>
          <w:ilvl w:val="-1"/>
          <w:numId w:val="0"/>
        </w:numPr>
        <w:kinsoku/>
        <w:overflowPunct/>
        <w:topLinePunct w:val="0"/>
        <w:bidi w:val="0"/>
        <w:spacing w:after="0" w:afterLines="0" w:line="360" w:lineRule="auto"/>
        <w:ind w:leftChars="200" w:right="0" w:firstLine="0" w:firstLineChars="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1、</w:t>
      </w:r>
      <w:r>
        <w:rPr>
          <w:rFonts w:hint="default" w:ascii="Times New Roman" w:hAnsi="Times New Roman" w:eastAsia="宋体" w:cs="Times New Roman"/>
          <w:kern w:val="2"/>
          <w:sz w:val="24"/>
          <w:szCs w:val="24"/>
        </w:rPr>
        <w:t>监测期间的生产工况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监测期间，该企业</w:t>
      </w:r>
      <w:r>
        <w:rPr>
          <w:rFonts w:hint="eastAsia" w:ascii="Times New Roman" w:hAnsi="Times New Roman" w:eastAsia="宋体" w:cs="Times New Roman"/>
          <w:kern w:val="2"/>
          <w:sz w:val="24"/>
          <w:szCs w:val="24"/>
          <w:lang w:eastAsia="zh-CN"/>
        </w:rPr>
        <w:t>运行</w:t>
      </w:r>
      <w:r>
        <w:rPr>
          <w:rFonts w:hint="default" w:ascii="Times New Roman" w:hAnsi="Times New Roman" w:eastAsia="宋体" w:cs="Times New Roman"/>
          <w:kern w:val="2"/>
          <w:sz w:val="24"/>
          <w:szCs w:val="24"/>
        </w:rPr>
        <w:t>正常，工况稳定，满足验收监测技术规范要求。</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2、</w:t>
      </w:r>
      <w:r>
        <w:rPr>
          <w:rFonts w:hint="default" w:ascii="Times New Roman" w:hAnsi="Times New Roman" w:eastAsia="宋体" w:cs="Times New Roman"/>
          <w:kern w:val="2"/>
          <w:sz w:val="24"/>
          <w:szCs w:val="24"/>
        </w:rPr>
        <w:t>污染物达标排放情况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（1）</w:t>
      </w:r>
      <w:r>
        <w:rPr>
          <w:rFonts w:hint="default" w:ascii="Times New Roman" w:hAnsi="Times New Roman" w:eastAsia="宋体" w:cs="Times New Roman"/>
          <w:kern w:val="2"/>
          <w:sz w:val="24"/>
          <w:szCs w:val="24"/>
          <w:lang w:val="en-US" w:eastAsia="zh-CN"/>
        </w:rPr>
        <w:t>废气：</w:t>
      </w:r>
    </w:p>
    <w:p>
      <w:pPr>
        <w:pStyle w:val="2"/>
        <w:widowControl w:val="0"/>
        <w:adjustRightInd w:val="0"/>
        <w:snapToGrid w:val="0"/>
        <w:spacing w:beforeLines="0" w:after="0" w:line="360" w:lineRule="auto"/>
        <w:ind w:firstLine="480" w:firstLineChars="200"/>
        <w:textAlignment w:val="baseline"/>
        <w:outlineLvl w:val="9"/>
        <w:rPr>
          <w:rFonts w:hint="default" w:ascii="Times New Roman" w:hAnsi="Times New Roman" w:cs="Times New Roman" w:eastAsiaTheme="minorEastAsia"/>
          <w:color w:val="000000"/>
          <w:sz w:val="24"/>
          <w:szCs w:val="24"/>
          <w:highlight w:val="none"/>
          <w:lang w:val="en-US" w:eastAsia="zh-CN"/>
        </w:rPr>
      </w:pPr>
      <w:r>
        <w:rPr>
          <w:rFonts w:hint="default" w:ascii="Times New Roman" w:hAnsi="Times New Roman" w:cs="Times New Roman" w:eastAsiaTheme="minorEastAsia"/>
          <w:color w:val="000000"/>
          <w:sz w:val="24"/>
          <w:szCs w:val="24"/>
          <w:highlight w:val="none"/>
        </w:rPr>
        <w:t>监测期间，</w:t>
      </w:r>
      <w:r>
        <w:rPr>
          <w:rFonts w:hint="default" w:ascii="Times New Roman" w:hAnsi="Times New Roman" w:cs="Times New Roman" w:eastAsiaTheme="minorEastAsia"/>
          <w:color w:val="000000"/>
          <w:sz w:val="24"/>
          <w:szCs w:val="24"/>
          <w:highlight w:val="none"/>
          <w:lang w:eastAsia="zh-CN"/>
        </w:rPr>
        <w:t>本项目各生产工序正常运行，保温材料燃烧废气排气筒</w:t>
      </w:r>
      <w:r>
        <w:rPr>
          <w:rFonts w:hint="default" w:ascii="Times New Roman" w:hAnsi="Times New Roman" w:cs="Times New Roman" w:eastAsiaTheme="minorEastAsia"/>
          <w:color w:val="000000"/>
          <w:sz w:val="24"/>
          <w:szCs w:val="24"/>
          <w:highlight w:val="none"/>
          <w:lang w:val="en-US" w:eastAsia="zh-CN"/>
        </w:rPr>
        <w:t>DA001进口</w:t>
      </w:r>
      <w:r>
        <w:rPr>
          <w:rFonts w:hint="default" w:ascii="Times New Roman" w:hAnsi="Times New Roman" w:cs="Times New Roman" w:eastAsiaTheme="minorEastAsia"/>
          <w:sz w:val="24"/>
          <w:highlight w:val="none"/>
          <w:lang w:val="en-US" w:eastAsia="zh-CN"/>
        </w:rPr>
        <w:t>VOCs（非甲烷总烃）最大排放浓度为31.4mg/m</w:t>
      </w:r>
      <w:r>
        <w:rPr>
          <w:rFonts w:hint="default" w:ascii="Times New Roman" w:hAnsi="Times New Roman" w:cs="Times New Roman" w:eastAsiaTheme="minorEastAsia"/>
          <w:sz w:val="24"/>
          <w:highlight w:val="none"/>
          <w:vertAlign w:val="superscript"/>
          <w:lang w:val="en-US" w:eastAsia="zh-CN"/>
        </w:rPr>
        <w:t>3</w:t>
      </w:r>
      <w:r>
        <w:rPr>
          <w:rFonts w:hint="default" w:ascii="Times New Roman" w:hAnsi="Times New Roman" w:cs="Times New Roman" w:eastAsiaTheme="minorEastAsia"/>
          <w:sz w:val="24"/>
          <w:highlight w:val="none"/>
          <w:lang w:val="en-US" w:eastAsia="zh-CN"/>
        </w:rPr>
        <w:t>，排放速率为0.119kg/h；颗粒物最大排放浓度为20.5mg/m</w:t>
      </w:r>
      <w:r>
        <w:rPr>
          <w:rFonts w:hint="default" w:ascii="Times New Roman" w:hAnsi="Times New Roman" w:cs="Times New Roman" w:eastAsiaTheme="minorEastAsia"/>
          <w:sz w:val="24"/>
          <w:highlight w:val="none"/>
          <w:vertAlign w:val="superscript"/>
          <w:lang w:val="en-US" w:eastAsia="zh-CN"/>
        </w:rPr>
        <w:t>3</w:t>
      </w:r>
      <w:r>
        <w:rPr>
          <w:rFonts w:hint="default" w:ascii="Times New Roman" w:hAnsi="Times New Roman" w:cs="Times New Roman" w:eastAsiaTheme="minorEastAsia"/>
          <w:sz w:val="24"/>
          <w:highlight w:val="none"/>
          <w:lang w:val="en-US" w:eastAsia="zh-CN"/>
        </w:rPr>
        <w:t>，排放速率为0.078kg/h。</w:t>
      </w:r>
      <w:r>
        <w:rPr>
          <w:rFonts w:hint="default" w:ascii="Times New Roman" w:hAnsi="Times New Roman" w:cs="Times New Roman" w:eastAsiaTheme="minorEastAsia"/>
          <w:sz w:val="24"/>
          <w:szCs w:val="24"/>
          <w:highlight w:val="none"/>
          <w:lang w:eastAsia="zh-CN"/>
        </w:rPr>
        <w:t>保温材料燃烧废气</w:t>
      </w:r>
      <w:r>
        <w:rPr>
          <w:rFonts w:hint="default" w:ascii="Times New Roman" w:hAnsi="Times New Roman" w:cs="Times New Roman" w:eastAsiaTheme="minorEastAsia"/>
          <w:sz w:val="24"/>
          <w:highlight w:val="none"/>
          <w:lang w:eastAsia="zh-CN"/>
        </w:rPr>
        <w:t>排气筒</w:t>
      </w:r>
      <w:r>
        <w:rPr>
          <w:rFonts w:hint="default" w:ascii="Times New Roman" w:hAnsi="Times New Roman" w:cs="Times New Roman" w:eastAsiaTheme="minorEastAsia"/>
          <w:sz w:val="24"/>
          <w:highlight w:val="none"/>
          <w:lang w:val="en-US" w:eastAsia="zh-CN"/>
        </w:rPr>
        <w:t>DA001出口VOCs（非甲烷总烃）最大排放浓度为2.97mg/m</w:t>
      </w:r>
      <w:r>
        <w:rPr>
          <w:rFonts w:hint="default" w:ascii="Times New Roman" w:hAnsi="Times New Roman" w:cs="Times New Roman" w:eastAsiaTheme="minorEastAsia"/>
          <w:sz w:val="24"/>
          <w:highlight w:val="none"/>
          <w:vertAlign w:val="superscript"/>
          <w:lang w:val="en-US" w:eastAsia="zh-CN"/>
        </w:rPr>
        <w:t>3</w:t>
      </w:r>
      <w:r>
        <w:rPr>
          <w:rFonts w:hint="default" w:ascii="Times New Roman" w:hAnsi="Times New Roman" w:cs="Times New Roman" w:eastAsiaTheme="minorEastAsia"/>
          <w:sz w:val="24"/>
          <w:highlight w:val="none"/>
          <w:lang w:val="en-US" w:eastAsia="zh-CN"/>
        </w:rPr>
        <w:t>，排放速率为0.011kg/h；颗粒物最大</w:t>
      </w:r>
      <w:r>
        <w:rPr>
          <w:rFonts w:hint="default" w:ascii="Times New Roman" w:hAnsi="Times New Roman" w:cs="Times New Roman" w:eastAsiaTheme="minorEastAsia"/>
          <w:color w:val="000000"/>
          <w:sz w:val="24"/>
          <w:szCs w:val="24"/>
          <w:highlight w:val="none"/>
          <w:lang w:val="en-US" w:eastAsia="zh-CN"/>
        </w:rPr>
        <w:t>排放浓度为2.5mg/m</w:t>
      </w:r>
      <w:r>
        <w:rPr>
          <w:rFonts w:hint="default" w:ascii="Times New Roman" w:hAnsi="Times New Roman" w:cs="Times New Roman" w:eastAsiaTheme="minorEastAsia"/>
          <w:color w:val="000000"/>
          <w:sz w:val="24"/>
          <w:szCs w:val="24"/>
          <w:highlight w:val="none"/>
          <w:vertAlign w:val="superscript"/>
          <w:lang w:val="en-US" w:eastAsia="zh-CN"/>
        </w:rPr>
        <w:t>3</w:t>
      </w:r>
      <w:r>
        <w:rPr>
          <w:rFonts w:hint="default" w:ascii="Times New Roman" w:hAnsi="Times New Roman" w:cs="Times New Roman" w:eastAsiaTheme="minorEastAsia"/>
          <w:color w:val="000000"/>
          <w:sz w:val="24"/>
          <w:szCs w:val="24"/>
          <w:highlight w:val="none"/>
          <w:lang w:val="en-US" w:eastAsia="zh-CN"/>
        </w:rPr>
        <w:t>，排放速率为0.010kg/h。</w:t>
      </w:r>
    </w:p>
    <w:p>
      <w:pPr>
        <w:pStyle w:val="2"/>
        <w:keepNext w:val="0"/>
        <w:keepLines w:val="0"/>
        <w:pageBreakBefore w:val="0"/>
        <w:widowControl w:val="0"/>
        <w:kinsoku/>
        <w:wordWrap/>
        <w:overflowPunct/>
        <w:topLinePunct w:val="0"/>
        <w:autoSpaceDE/>
        <w:autoSpaceDN/>
        <w:bidi w:val="0"/>
        <w:adjustRightInd w:val="0"/>
        <w:snapToGrid w:val="0"/>
        <w:spacing w:beforeLines="0" w:after="0" w:line="360" w:lineRule="auto"/>
        <w:ind w:firstLine="480" w:firstLineChars="200"/>
        <w:jc w:val="both"/>
        <w:textAlignment w:val="baseline"/>
        <w:outlineLvl w:val="9"/>
        <w:rPr>
          <w:rFonts w:hint="default" w:ascii="Times New Roman" w:hAnsi="Times New Roman" w:cs="Times New Roman" w:eastAsiaTheme="minorEastAsia"/>
          <w:b w:val="0"/>
          <w:bCs/>
          <w:color w:val="auto"/>
          <w:sz w:val="24"/>
          <w:szCs w:val="22"/>
          <w:highlight w:val="none"/>
          <w:lang w:val="en-US" w:eastAsia="zh-CN"/>
        </w:rPr>
      </w:pPr>
      <w:r>
        <w:rPr>
          <w:rFonts w:hint="default" w:ascii="Times New Roman" w:hAnsi="Times New Roman" w:cs="Times New Roman" w:eastAsiaTheme="minorEastAsia"/>
          <w:b w:val="0"/>
          <w:bCs w:val="0"/>
          <w:color w:val="000000"/>
          <w:sz w:val="24"/>
          <w:szCs w:val="24"/>
          <w:highlight w:val="none"/>
          <w:lang w:eastAsia="zh-CN"/>
        </w:rPr>
        <w:t>项目有组织颗粒物</w:t>
      </w:r>
      <w:r>
        <w:rPr>
          <w:rFonts w:hint="default" w:ascii="Times New Roman" w:hAnsi="Times New Roman" w:cs="Times New Roman" w:eastAsiaTheme="minorEastAsia"/>
          <w:b w:val="0"/>
          <w:bCs w:val="0"/>
          <w:color w:val="000000"/>
          <w:sz w:val="24"/>
          <w:szCs w:val="24"/>
          <w:highlight w:val="none"/>
          <w:lang w:val="en-US" w:eastAsia="zh-CN"/>
        </w:rPr>
        <w:t>排放浓度</w:t>
      </w:r>
      <w:r>
        <w:rPr>
          <w:rFonts w:hint="default" w:ascii="Times New Roman" w:hAnsi="Times New Roman" w:cs="Times New Roman" w:eastAsiaTheme="minorEastAsia"/>
          <w:b w:val="0"/>
          <w:bCs w:val="0"/>
          <w:color w:val="000000"/>
          <w:sz w:val="24"/>
          <w:szCs w:val="24"/>
          <w:highlight w:val="none"/>
          <w:lang w:eastAsia="zh-CN"/>
        </w:rPr>
        <w:t>满足山东省《区域性大气污染物综合排放标准》</w:t>
      </w:r>
      <w:r>
        <w:rPr>
          <w:rFonts w:hint="default" w:ascii="Times New Roman" w:hAnsi="Times New Roman" w:cs="Times New Roman" w:eastAsiaTheme="minorEastAsia"/>
          <w:b w:val="0"/>
          <w:bCs/>
          <w:color w:val="auto"/>
          <w:sz w:val="24"/>
          <w:szCs w:val="22"/>
          <w:highlight w:val="none"/>
          <w:lang w:eastAsia="zh-CN"/>
        </w:rPr>
        <w:t>（DB37/2376-2019）表1</w:t>
      </w:r>
      <w:r>
        <w:rPr>
          <w:rFonts w:hint="default" w:ascii="Times New Roman" w:hAnsi="Times New Roman" w:cs="Times New Roman" w:eastAsiaTheme="minorEastAsia"/>
          <w:b w:val="0"/>
          <w:bCs/>
          <w:color w:val="auto"/>
          <w:sz w:val="24"/>
          <w:szCs w:val="22"/>
          <w:highlight w:val="none"/>
          <w:shd w:val="clear" w:color="auto" w:fill="auto"/>
          <w:lang w:eastAsia="zh-CN"/>
        </w:rPr>
        <w:t>重点控制区标准</w:t>
      </w:r>
      <w:r>
        <w:rPr>
          <w:rFonts w:hint="default" w:ascii="Times New Roman" w:hAnsi="Times New Roman" w:cs="Times New Roman" w:eastAsiaTheme="minorEastAsia"/>
          <w:b w:val="0"/>
          <w:bCs/>
          <w:color w:val="auto"/>
          <w:sz w:val="24"/>
          <w:szCs w:val="22"/>
          <w:highlight w:val="none"/>
          <w:lang w:eastAsia="zh-CN"/>
        </w:rPr>
        <w:t>，</w:t>
      </w:r>
      <w:r>
        <w:rPr>
          <w:rFonts w:hint="default" w:ascii="Times New Roman" w:hAnsi="Times New Roman" w:cs="Times New Roman" w:eastAsiaTheme="minorEastAsia"/>
          <w:color w:val="auto"/>
          <w:sz w:val="24"/>
          <w:szCs w:val="24"/>
          <w:highlight w:val="none"/>
        </w:rPr>
        <w:t>排放速率</w:t>
      </w:r>
      <w:r>
        <w:rPr>
          <w:rFonts w:hint="default" w:ascii="Times New Roman" w:hAnsi="Times New Roman" w:cs="Times New Roman" w:eastAsiaTheme="minorEastAsia"/>
          <w:color w:val="auto"/>
          <w:sz w:val="24"/>
          <w:szCs w:val="24"/>
          <w:highlight w:val="none"/>
          <w:lang w:eastAsia="zh-CN"/>
        </w:rPr>
        <w:t>满足</w:t>
      </w:r>
      <w:r>
        <w:rPr>
          <w:rFonts w:hint="default" w:ascii="Times New Roman" w:hAnsi="Times New Roman" w:cs="Times New Roman" w:eastAsiaTheme="minorEastAsia"/>
          <w:color w:val="auto"/>
          <w:sz w:val="24"/>
          <w:szCs w:val="24"/>
          <w:highlight w:val="none"/>
        </w:rPr>
        <w:t>《</w:t>
      </w:r>
      <w:r>
        <w:rPr>
          <w:rFonts w:hint="default" w:ascii="Times New Roman" w:hAnsi="Times New Roman" w:cs="Times New Roman" w:eastAsiaTheme="minorEastAsia"/>
          <w:color w:val="auto"/>
          <w:sz w:val="24"/>
          <w:highlight w:val="none"/>
        </w:rPr>
        <w:t>大气污染物综合排放标准》（GB16297-1996）中二级标准要求</w:t>
      </w:r>
      <w:r>
        <w:rPr>
          <w:rFonts w:hint="default" w:ascii="Times New Roman" w:hAnsi="Times New Roman" w:cs="Times New Roman" w:eastAsiaTheme="minorEastAsia"/>
          <w:color w:val="auto"/>
          <w:sz w:val="24"/>
          <w:highlight w:val="none"/>
          <w:lang w:eastAsia="zh-CN"/>
        </w:rPr>
        <w:t>（颗粒物</w:t>
      </w:r>
      <w:r>
        <w:rPr>
          <w:rFonts w:hint="default" w:ascii="Times New Roman" w:hAnsi="Times New Roman" w:cs="Times New Roman" w:eastAsiaTheme="minorEastAsia"/>
          <w:color w:val="auto"/>
          <w:sz w:val="24"/>
          <w:highlight w:val="none"/>
          <w:lang w:val="en-US" w:eastAsia="zh-CN"/>
        </w:rPr>
        <w:t>10mg/m</w:t>
      </w:r>
      <w:r>
        <w:rPr>
          <w:rFonts w:hint="default" w:ascii="Times New Roman" w:hAnsi="Times New Roman" w:cs="Times New Roman" w:eastAsiaTheme="minorEastAsia"/>
          <w:color w:val="auto"/>
          <w:sz w:val="24"/>
          <w:highlight w:val="none"/>
          <w:vertAlign w:val="superscript"/>
          <w:lang w:val="en-US" w:eastAsia="zh-CN"/>
        </w:rPr>
        <w:t>3</w:t>
      </w:r>
      <w:r>
        <w:rPr>
          <w:rFonts w:hint="default" w:ascii="Times New Roman" w:hAnsi="Times New Roman" w:cs="Times New Roman" w:eastAsiaTheme="minorEastAsia"/>
          <w:color w:val="auto"/>
          <w:sz w:val="24"/>
          <w:highlight w:val="none"/>
          <w:vertAlign w:val="baseline"/>
          <w:lang w:val="en-US" w:eastAsia="zh-CN"/>
        </w:rPr>
        <w:t>，</w:t>
      </w:r>
      <w:r>
        <w:rPr>
          <w:rFonts w:hint="default" w:ascii="Times New Roman" w:hAnsi="Times New Roman" w:cs="Times New Roman" w:eastAsiaTheme="minorEastAsia"/>
          <w:color w:val="auto"/>
          <w:sz w:val="24"/>
          <w:highlight w:val="none"/>
          <w:lang w:val="en-US" w:eastAsia="zh-CN"/>
        </w:rPr>
        <w:t>5.9kg/h</w:t>
      </w:r>
      <w:r>
        <w:rPr>
          <w:rFonts w:hint="default" w:ascii="Times New Roman" w:hAnsi="Times New Roman" w:cs="Times New Roman" w:eastAsiaTheme="minorEastAsia"/>
          <w:color w:val="auto"/>
          <w:sz w:val="24"/>
          <w:highlight w:val="none"/>
          <w:lang w:eastAsia="zh-CN"/>
        </w:rPr>
        <w:t>）</w:t>
      </w:r>
      <w:r>
        <w:rPr>
          <w:rFonts w:hint="default" w:ascii="Times New Roman" w:hAnsi="Times New Roman" w:cs="Times New Roman" w:eastAsiaTheme="minorEastAsia"/>
          <w:b w:val="0"/>
          <w:bCs/>
          <w:color w:val="auto"/>
          <w:sz w:val="24"/>
          <w:szCs w:val="22"/>
          <w:highlight w:val="none"/>
          <w:lang w:val="en-US" w:eastAsia="zh-CN"/>
        </w:rPr>
        <w:t>；有组织VOCs排放浓度及排放速率满足《挥发性有机物排放标准 第7部分：其他行业》（DB37/2801.7—2019）表1 II时段非重点行业标准要求（VOCs60mg/m</w:t>
      </w:r>
      <w:r>
        <w:rPr>
          <w:rFonts w:hint="default" w:ascii="Times New Roman" w:hAnsi="Times New Roman" w:cs="Times New Roman" w:eastAsiaTheme="minorEastAsia"/>
          <w:b w:val="0"/>
          <w:bCs/>
          <w:color w:val="auto"/>
          <w:sz w:val="24"/>
          <w:szCs w:val="22"/>
          <w:highlight w:val="none"/>
          <w:vertAlign w:val="superscript"/>
          <w:lang w:val="en-US" w:eastAsia="zh-CN"/>
        </w:rPr>
        <w:t>3</w:t>
      </w:r>
      <w:r>
        <w:rPr>
          <w:rFonts w:hint="default" w:ascii="Times New Roman" w:hAnsi="Times New Roman" w:cs="Times New Roman" w:eastAsiaTheme="minorEastAsia"/>
          <w:b w:val="0"/>
          <w:bCs/>
          <w:color w:val="auto"/>
          <w:sz w:val="24"/>
          <w:szCs w:val="22"/>
          <w:highlight w:val="none"/>
          <w:lang w:val="en-US" w:eastAsia="zh-CN"/>
        </w:rPr>
        <w:t>，6kg/h）。</w:t>
      </w:r>
    </w:p>
    <w:p>
      <w:pPr>
        <w:pStyle w:val="2"/>
        <w:widowControl w:val="0"/>
        <w:adjustRightInd w:val="0"/>
        <w:snapToGrid w:val="0"/>
        <w:spacing w:beforeLines="0" w:after="0" w:line="360" w:lineRule="auto"/>
        <w:ind w:firstLine="480" w:firstLineChars="200"/>
        <w:textAlignment w:val="baseline"/>
        <w:outlineLvl w:val="9"/>
        <w:rPr>
          <w:rFonts w:hint="default" w:ascii="Times New Roman" w:hAnsi="Times New Roman" w:cs="Times New Roman" w:eastAsiaTheme="minorEastAsia"/>
          <w:color w:val="000000"/>
          <w:sz w:val="24"/>
          <w:szCs w:val="24"/>
          <w:highlight w:val="none"/>
          <w:vertAlign w:val="baseline"/>
          <w:lang w:val="en-US" w:eastAsia="zh-CN"/>
        </w:rPr>
      </w:pPr>
      <w:r>
        <w:rPr>
          <w:rFonts w:hint="default" w:ascii="Times New Roman" w:hAnsi="Times New Roman" w:cs="Times New Roman" w:eastAsiaTheme="minorEastAsia"/>
          <w:color w:val="auto"/>
          <w:sz w:val="24"/>
          <w:szCs w:val="24"/>
          <w:highlight w:val="none"/>
        </w:rPr>
        <w:t>监测期间，</w:t>
      </w:r>
      <w:r>
        <w:rPr>
          <w:rFonts w:hint="default" w:ascii="Times New Roman" w:hAnsi="Times New Roman" w:cs="Times New Roman" w:eastAsiaTheme="minorEastAsia"/>
          <w:color w:val="auto"/>
          <w:sz w:val="24"/>
          <w:szCs w:val="24"/>
          <w:highlight w:val="none"/>
          <w:lang w:eastAsia="zh-CN"/>
        </w:rPr>
        <w:t>本项目VOCs（非甲烷总烃）</w:t>
      </w:r>
      <w:r>
        <w:rPr>
          <w:rFonts w:hint="default" w:ascii="Times New Roman" w:hAnsi="Times New Roman" w:cs="Times New Roman" w:eastAsiaTheme="minorEastAsia"/>
          <w:color w:val="auto"/>
          <w:sz w:val="24"/>
          <w:szCs w:val="24"/>
          <w:highlight w:val="none"/>
        </w:rPr>
        <w:t>厂界浓度最大值为</w:t>
      </w:r>
      <w:r>
        <w:rPr>
          <w:rFonts w:hint="default" w:ascii="Times New Roman" w:hAnsi="Times New Roman" w:cs="Times New Roman" w:eastAsiaTheme="minorEastAsia"/>
          <w:color w:val="auto"/>
          <w:sz w:val="24"/>
          <w:szCs w:val="24"/>
          <w:highlight w:val="none"/>
          <w:lang w:val="en-US" w:eastAsia="zh-CN"/>
        </w:rPr>
        <w:t>1.32mg/m</w:t>
      </w:r>
      <w:r>
        <w:rPr>
          <w:rFonts w:hint="default" w:ascii="Times New Roman" w:hAnsi="Times New Roman" w:cs="Times New Roman" w:eastAsiaTheme="minorEastAsia"/>
          <w:color w:val="auto"/>
          <w:sz w:val="24"/>
          <w:szCs w:val="24"/>
          <w:highlight w:val="none"/>
          <w:vertAlign w:val="superscript"/>
          <w:lang w:val="en-US" w:eastAsia="zh-CN"/>
        </w:rPr>
        <w:t>3</w:t>
      </w:r>
      <w:r>
        <w:rPr>
          <w:rFonts w:hint="default" w:ascii="Times New Roman" w:hAnsi="Times New Roman" w:cs="Times New Roman" w:eastAsiaTheme="minorEastAsia"/>
          <w:color w:val="auto"/>
          <w:sz w:val="24"/>
          <w:szCs w:val="24"/>
          <w:highlight w:val="none"/>
          <w:lang w:eastAsia="zh-CN"/>
        </w:rPr>
        <w:t>；颗粒物</w:t>
      </w:r>
      <w:r>
        <w:rPr>
          <w:rFonts w:hint="default" w:ascii="Times New Roman" w:hAnsi="Times New Roman" w:cs="Times New Roman" w:eastAsiaTheme="minorEastAsia"/>
          <w:color w:val="auto"/>
          <w:sz w:val="24"/>
          <w:szCs w:val="24"/>
          <w:highlight w:val="none"/>
        </w:rPr>
        <w:t>厂</w:t>
      </w:r>
      <w:r>
        <w:rPr>
          <w:rFonts w:hint="default" w:ascii="Times New Roman" w:hAnsi="Times New Roman" w:cs="Times New Roman" w:eastAsiaTheme="minorEastAsia"/>
          <w:color w:val="000000"/>
          <w:sz w:val="24"/>
          <w:szCs w:val="24"/>
          <w:highlight w:val="none"/>
        </w:rPr>
        <w:t>界浓度最大值为</w:t>
      </w:r>
      <w:r>
        <w:rPr>
          <w:rFonts w:hint="default" w:ascii="Times New Roman" w:hAnsi="Times New Roman" w:cs="Times New Roman" w:eastAsiaTheme="minorEastAsia"/>
          <w:color w:val="000000"/>
          <w:sz w:val="24"/>
          <w:szCs w:val="24"/>
          <w:highlight w:val="none"/>
          <w:lang w:val="en-US" w:eastAsia="zh-CN"/>
        </w:rPr>
        <w:t>230μg/m</w:t>
      </w:r>
      <w:r>
        <w:rPr>
          <w:rFonts w:hint="default" w:ascii="Times New Roman" w:hAnsi="Times New Roman" w:cs="Times New Roman" w:eastAsiaTheme="minorEastAsia"/>
          <w:color w:val="000000"/>
          <w:sz w:val="24"/>
          <w:szCs w:val="24"/>
          <w:highlight w:val="none"/>
          <w:vertAlign w:val="superscript"/>
          <w:lang w:val="en-US" w:eastAsia="zh-CN"/>
        </w:rPr>
        <w:t>3</w:t>
      </w:r>
      <w:r>
        <w:rPr>
          <w:rFonts w:hint="default" w:ascii="Times New Roman" w:hAnsi="Times New Roman" w:cs="Times New Roman" w:eastAsiaTheme="minorEastAsia"/>
          <w:color w:val="000000"/>
          <w:sz w:val="24"/>
          <w:szCs w:val="24"/>
          <w:highlight w:val="none"/>
          <w:vertAlign w:val="baseline"/>
          <w:lang w:val="en-US" w:eastAsia="zh-CN"/>
        </w:rPr>
        <w:t>。</w:t>
      </w:r>
    </w:p>
    <w:p>
      <w:pPr>
        <w:pStyle w:val="2"/>
        <w:widowControl w:val="0"/>
        <w:adjustRightInd w:val="0"/>
        <w:snapToGrid w:val="0"/>
        <w:spacing w:before="0" w:beforeLines="0" w:after="0" w:line="360" w:lineRule="auto"/>
        <w:ind w:firstLine="480" w:firstLineChars="200"/>
        <w:jc w:val="both"/>
        <w:textAlignment w:val="baseline"/>
        <w:outlineLvl w:val="9"/>
        <w:rPr>
          <w:rFonts w:hint="default" w:ascii="Times New Roman" w:hAnsi="Times New Roman" w:cs="Times New Roman" w:eastAsiaTheme="minorEastAsia"/>
          <w:b/>
          <w:snapToGrid w:val="0"/>
          <w:kern w:val="0"/>
          <w:sz w:val="24"/>
        </w:rPr>
      </w:pPr>
      <w:r>
        <w:rPr>
          <w:rFonts w:hint="default" w:ascii="Times New Roman" w:hAnsi="Times New Roman" w:cs="Times New Roman" w:eastAsiaTheme="minorEastAsia"/>
          <w:color w:val="000000"/>
          <w:sz w:val="24"/>
          <w:szCs w:val="24"/>
          <w:highlight w:val="none"/>
          <w:vertAlign w:val="baseline"/>
          <w:lang w:val="en-US" w:eastAsia="zh-CN"/>
        </w:rPr>
        <w:t>项目</w:t>
      </w:r>
      <w:r>
        <w:rPr>
          <w:rFonts w:hint="default" w:ascii="Times New Roman" w:hAnsi="Times New Roman" w:cs="Times New Roman" w:eastAsiaTheme="minorEastAsia"/>
          <w:b w:val="0"/>
          <w:bCs w:val="0"/>
          <w:color w:val="000000"/>
          <w:sz w:val="24"/>
          <w:szCs w:val="24"/>
          <w:highlight w:val="none"/>
          <w:lang w:eastAsia="zh-CN"/>
        </w:rPr>
        <w:t>无组织</w:t>
      </w:r>
      <w:r>
        <w:rPr>
          <w:rFonts w:hint="default" w:ascii="Times New Roman" w:hAnsi="Times New Roman" w:cs="Times New Roman" w:eastAsiaTheme="minorEastAsia"/>
          <w:b w:val="0"/>
          <w:bCs w:val="0"/>
          <w:color w:val="000000"/>
          <w:sz w:val="24"/>
          <w:szCs w:val="24"/>
          <w:highlight w:val="none"/>
          <w:lang w:val="en-US" w:eastAsia="zh-CN"/>
        </w:rPr>
        <w:t>颗粒物厂界浓度</w:t>
      </w:r>
      <w:r>
        <w:rPr>
          <w:rFonts w:hint="default" w:ascii="Times New Roman" w:hAnsi="Times New Roman" w:cs="Times New Roman" w:eastAsiaTheme="minorEastAsia"/>
          <w:b w:val="0"/>
          <w:bCs w:val="0"/>
          <w:color w:val="000000"/>
          <w:sz w:val="24"/>
          <w:szCs w:val="24"/>
          <w:highlight w:val="none"/>
          <w:lang w:eastAsia="zh-CN"/>
        </w:rPr>
        <w:t>满足《大气污染物综合排放标准》（GB16297-1996）</w:t>
      </w:r>
      <w:r>
        <w:rPr>
          <w:rFonts w:hint="default" w:ascii="Times New Roman" w:hAnsi="Times New Roman" w:cs="Times New Roman" w:eastAsiaTheme="minorEastAsia"/>
          <w:b w:val="0"/>
          <w:bCs/>
          <w:color w:val="auto"/>
          <w:sz w:val="24"/>
          <w:szCs w:val="22"/>
          <w:highlight w:val="none"/>
          <w:lang w:eastAsia="zh-CN"/>
        </w:rPr>
        <w:t>表2中无组织排放监控浓度限值要求（</w:t>
      </w:r>
      <w:r>
        <w:rPr>
          <w:rFonts w:hint="default" w:ascii="Times New Roman" w:hAnsi="Times New Roman" w:cs="Times New Roman" w:eastAsiaTheme="minorEastAsia"/>
          <w:b w:val="0"/>
          <w:bCs/>
          <w:color w:val="auto"/>
          <w:sz w:val="24"/>
          <w:szCs w:val="22"/>
          <w:highlight w:val="none"/>
          <w:lang w:val="en-US" w:eastAsia="zh-CN"/>
        </w:rPr>
        <w:t>1.0</w:t>
      </w:r>
      <w:r>
        <w:rPr>
          <w:rFonts w:hint="default" w:ascii="Times New Roman" w:hAnsi="Times New Roman" w:cs="Times New Roman" w:eastAsiaTheme="minorEastAsia"/>
          <w:color w:val="auto"/>
          <w:sz w:val="24"/>
          <w:highlight w:val="none"/>
          <w:lang w:val="en-US" w:eastAsia="zh-CN"/>
        </w:rPr>
        <w:t>mg/m</w:t>
      </w:r>
      <w:r>
        <w:rPr>
          <w:rFonts w:hint="default" w:ascii="Times New Roman" w:hAnsi="Times New Roman" w:cs="Times New Roman" w:eastAsiaTheme="minorEastAsia"/>
          <w:color w:val="auto"/>
          <w:sz w:val="24"/>
          <w:highlight w:val="none"/>
          <w:vertAlign w:val="superscript"/>
          <w:lang w:val="en-US" w:eastAsia="zh-CN"/>
        </w:rPr>
        <w:t>3</w:t>
      </w:r>
      <w:r>
        <w:rPr>
          <w:rFonts w:hint="default" w:ascii="Times New Roman" w:hAnsi="Times New Roman" w:cs="Times New Roman" w:eastAsiaTheme="minorEastAsia"/>
          <w:b w:val="0"/>
          <w:bCs/>
          <w:color w:val="auto"/>
          <w:sz w:val="24"/>
          <w:szCs w:val="22"/>
          <w:highlight w:val="none"/>
          <w:lang w:eastAsia="zh-CN"/>
        </w:rPr>
        <w:t>）；无组织VOCs排放浓度满足《挥发性有机物排放标准 第7部分：其他行业》（DB37/2801.7—2019）表2标准要求</w:t>
      </w:r>
      <w:r>
        <w:rPr>
          <w:rFonts w:hint="default" w:ascii="Times New Roman" w:hAnsi="Times New Roman" w:cs="Times New Roman" w:eastAsiaTheme="minorEastAsia"/>
          <w:color w:val="000000"/>
          <w:sz w:val="24"/>
          <w:szCs w:val="24"/>
          <w:lang w:eastAsia="zh-CN"/>
        </w:rPr>
        <w:t>和</w:t>
      </w:r>
      <w:r>
        <w:rPr>
          <w:rFonts w:hint="default" w:ascii="Times New Roman" w:hAnsi="Times New Roman" w:cs="Times New Roman" w:eastAsiaTheme="minorEastAsia"/>
          <w:sz w:val="24"/>
          <w:szCs w:val="24"/>
          <w:highlight w:val="none"/>
          <w:lang w:eastAsia="zh-CN"/>
        </w:rPr>
        <w:t>《挥发性有机物无组织排放控制标准》（GB37822-2019）要求（</w:t>
      </w:r>
      <w:r>
        <w:rPr>
          <w:rFonts w:hint="default" w:ascii="Times New Roman" w:hAnsi="Times New Roman" w:cs="Times New Roman" w:eastAsiaTheme="minorEastAsia"/>
          <w:sz w:val="24"/>
          <w:szCs w:val="24"/>
          <w:highlight w:val="none"/>
          <w:lang w:val="en-US" w:eastAsia="zh-CN"/>
        </w:rPr>
        <w:t>2.0</w:t>
      </w:r>
      <w:r>
        <w:rPr>
          <w:rFonts w:hint="default" w:ascii="Times New Roman" w:hAnsi="Times New Roman" w:cs="Times New Roman" w:eastAsiaTheme="minorEastAsia"/>
          <w:color w:val="auto"/>
          <w:sz w:val="24"/>
          <w:highlight w:val="none"/>
          <w:lang w:val="en-US" w:eastAsia="zh-CN"/>
        </w:rPr>
        <w:t>mg/m</w:t>
      </w:r>
      <w:r>
        <w:rPr>
          <w:rFonts w:hint="default" w:ascii="Times New Roman" w:hAnsi="Times New Roman" w:cs="Times New Roman" w:eastAsiaTheme="minorEastAsia"/>
          <w:color w:val="auto"/>
          <w:sz w:val="24"/>
          <w:highlight w:val="none"/>
          <w:vertAlign w:val="superscript"/>
          <w:lang w:val="en-US" w:eastAsia="zh-CN"/>
        </w:rPr>
        <w:t>3</w:t>
      </w:r>
      <w:r>
        <w:rPr>
          <w:rFonts w:hint="default" w:ascii="Times New Roman" w:hAnsi="Times New Roman" w:cs="Times New Roman" w:eastAsiaTheme="minorEastAsia"/>
          <w:sz w:val="24"/>
          <w:szCs w:val="24"/>
          <w:highlight w:val="none"/>
          <w:lang w:eastAsia="zh-CN"/>
        </w:rPr>
        <w:t>）</w:t>
      </w:r>
      <w:r>
        <w:rPr>
          <w:rFonts w:hint="default" w:ascii="Times New Roman" w:hAnsi="Times New Roman" w:cs="Times New Roman" w:eastAsiaTheme="minorEastAsia"/>
          <w:b w:val="0"/>
          <w:bCs/>
          <w:color w:val="auto"/>
          <w:sz w:val="24"/>
          <w:szCs w:val="24"/>
          <w:highlight w:val="none"/>
          <w:lang w:eastAsia="zh-CN"/>
        </w:rPr>
        <w:t>。</w:t>
      </w:r>
    </w:p>
    <w:p>
      <w:pPr>
        <w:keepNext w:val="0"/>
        <w:keepLines w:val="0"/>
        <w:pageBreakBefore w:val="0"/>
        <w:widowControl w:val="0"/>
        <w:numPr>
          <w:ilvl w:val="0"/>
          <w:numId w:val="3"/>
        </w:numPr>
        <w:kinsoku/>
        <w:overflowPunct/>
        <w:topLinePunct w:val="0"/>
        <w:bidi w:val="0"/>
        <w:spacing w:after="0" w:afterLines="0" w:line="360" w:lineRule="auto"/>
        <w:ind w:leftChars="0" w:right="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废水：</w:t>
      </w:r>
    </w:p>
    <w:p>
      <w:pPr>
        <w:pStyle w:val="2"/>
        <w:spacing w:after="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本项目产生的废水主要是生活污水、实验室废液。生活污水经化粪池处理后委托环卫部门清运处理，不外排；实验室废液经收集后委托德州泉润环境资源有限公司处理。</w:t>
      </w:r>
    </w:p>
    <w:p>
      <w:pPr>
        <w:keepNext w:val="0"/>
        <w:keepLines w:val="0"/>
        <w:pageBreakBefore w:val="0"/>
        <w:widowControl w:val="0"/>
        <w:numPr>
          <w:ilvl w:val="0"/>
          <w:numId w:val="3"/>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噪声：</w:t>
      </w:r>
    </w:p>
    <w:p>
      <w:pPr>
        <w:pStyle w:val="6"/>
        <w:numPr>
          <w:ilvl w:val="-1"/>
          <w:numId w:val="0"/>
        </w:numPr>
        <w:spacing w:after="0" w:afterLines="0"/>
        <w:ind w:firstLine="480" w:firstLineChars="200"/>
        <w:rPr>
          <w:rFonts w:hint="default" w:ascii="Times New Roman" w:hAnsi="Times New Roman" w:eastAsia="宋体" w:cs="Times New Roman"/>
          <w:color w:val="000000"/>
          <w:sz w:val="24"/>
          <w:highlight w:val="none"/>
          <w:lang w:val="en-US" w:eastAsia="zh-CN"/>
        </w:rPr>
      </w:pPr>
      <w:r>
        <w:rPr>
          <w:rFonts w:hint="default" w:ascii="Times New Roman" w:hAnsi="Times New Roman" w:eastAsia="宋体" w:cs="Times New Roman"/>
          <w:sz w:val="24"/>
          <w:szCs w:val="24"/>
          <w:lang w:val="en-US" w:eastAsia="zh-CN"/>
        </w:rPr>
        <w:t>监测期间，项目东、南、西、北厂界监测点昼间噪声最大值分别为41.6dB（A）、52.1dB（A）、54.4dB（A）、50.8dB（A），厂界昼间噪声满足《工业企业厂界环境噪声排放标准》（GB12348-2008）中2类标准。</w:t>
      </w:r>
    </w:p>
    <w:p>
      <w:pPr>
        <w:keepNext w:val="0"/>
        <w:keepLines w:val="0"/>
        <w:pageBreakBefore w:val="0"/>
        <w:widowControl/>
        <w:numPr>
          <w:ilvl w:val="-1"/>
          <w:numId w:val="0"/>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kern w:val="2"/>
          <w:sz w:val="24"/>
          <w:szCs w:val="24"/>
          <w:lang w:val="en-US" w:eastAsia="zh-CN"/>
        </w:rPr>
      </w:pPr>
      <w:r>
        <w:rPr>
          <w:rFonts w:hint="default" w:ascii="Times New Roman" w:hAnsi="Times New Roman" w:eastAsia="宋体" w:cs="Times New Roman"/>
          <w:b w:val="0"/>
          <w:bCs w:val="0"/>
          <w:kern w:val="2"/>
          <w:sz w:val="24"/>
          <w:szCs w:val="24"/>
          <w:lang w:val="en-US" w:eastAsia="zh-CN"/>
        </w:rPr>
        <w:t>（4）固体废物：</w:t>
      </w:r>
    </w:p>
    <w:p>
      <w:pPr>
        <w:numPr>
          <w:ilvl w:val="0"/>
          <w:numId w:val="0"/>
        </w:numPr>
        <w:adjustRightInd w:val="0"/>
        <w:snapToGrid w:val="0"/>
        <w:spacing w:after="0"/>
        <w:ind w:firstLine="480" w:firstLineChars="200"/>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本项目生产过程中产生的固体废物包括危险废物和一般固废。一般固体废物：生活垃圾、检测废料（废装饰材料、废金属材料、废保温材料、废涂料及结构胶材料、废防水材料、废墙体材料、废砂石和水泥）、除尘器集尘；危险废物：实验室废液、实验废物、废活性炭。</w:t>
      </w:r>
    </w:p>
    <w:p>
      <w:pPr>
        <w:numPr>
          <w:ilvl w:val="0"/>
          <w:numId w:val="0"/>
        </w:numPr>
        <w:adjustRightInd w:val="0"/>
        <w:snapToGrid w:val="0"/>
        <w:spacing w:after="0"/>
        <w:ind w:firstLine="480" w:firstLineChars="200"/>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实验室废液、实验废物、废活性炭收集后暂存于危废间，委托德州泉润环境资源有限公司处置；检测废料（废装饰材料、废金属材料、废保温材料、废涂料及结构胶材料、废防水材料、废墙体材料、废砂石和水泥）、除尘器集尘、生活垃圾由环卫部门定期清运。</w:t>
      </w:r>
    </w:p>
    <w:p>
      <w:pPr>
        <w:numPr>
          <w:ilvl w:val="0"/>
          <w:numId w:val="0"/>
        </w:numPr>
        <w:adjustRightInd w:val="0"/>
        <w:snapToGrid w:val="0"/>
        <w:spacing w:after="0"/>
        <w:ind w:firstLine="480" w:firstLineChars="200"/>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一般固废的处置符合《一般工业固体废物贮存和填埋污染控制标准》（GB18599-2020）的要求，危险废物的处理措施和处置方案满足《危险废物贮存污染控制标准》（GB18597-2001）及修改单要求。</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lang w:eastAsia="zh-CN"/>
        </w:rPr>
        <w:t>五、</w:t>
      </w:r>
      <w:r>
        <w:rPr>
          <w:rFonts w:hint="default" w:ascii="Times New Roman" w:hAnsi="Times New Roman" w:eastAsia="宋体" w:cs="Times New Roman"/>
          <w:b/>
          <w:color w:val="000000"/>
          <w:sz w:val="24"/>
          <w:szCs w:val="24"/>
        </w:rPr>
        <w:t>工程建设对环境的影响</w:t>
      </w:r>
    </w:p>
    <w:p>
      <w:pPr>
        <w:keepNext w:val="0"/>
        <w:keepLines w:val="0"/>
        <w:pageBreakBefore w:val="0"/>
        <w:numPr>
          <w:ilvl w:val="0"/>
          <w:numId w:val="0"/>
        </w:numPr>
        <w:kinsoku/>
        <w:overflowPunct/>
        <w:topLinePunct w:val="0"/>
        <w:bidi w:val="0"/>
        <w:spacing w:after="0" w:line="360" w:lineRule="auto"/>
        <w:ind w:right="0" w:rightChars="0" w:firstLine="480" w:firstLineChars="200"/>
        <w:rPr>
          <w:rFonts w:hint="default" w:ascii="Times New Roman" w:hAnsi="Times New Roman" w:eastAsia="宋体" w:cs="Times New Roman"/>
          <w:b/>
          <w:color w:val="000000"/>
          <w:sz w:val="24"/>
          <w:szCs w:val="24"/>
        </w:rPr>
      </w:pPr>
      <w:r>
        <w:rPr>
          <w:rFonts w:hint="default" w:ascii="Times New Roman" w:hAnsi="Times New Roman" w:eastAsia="宋体" w:cs="Times New Roman"/>
          <w:color w:val="000000"/>
          <w:sz w:val="24"/>
          <w:szCs w:val="24"/>
          <w:lang w:eastAsia="zh-CN"/>
        </w:rPr>
        <w:t>本项目位于</w:t>
      </w:r>
      <w:r>
        <w:rPr>
          <w:rFonts w:hint="eastAsia" w:ascii="Times New Roman" w:hAnsi="Times New Roman" w:eastAsia="宋体" w:cs="Times New Roman"/>
          <w:color w:val="000000"/>
          <w:sz w:val="24"/>
          <w:szCs w:val="24"/>
          <w:lang w:val="en-US" w:eastAsia="zh-CN"/>
        </w:rPr>
        <w:t>山东省济南市高新区高官寨街道航天大道以北，天玑路以西，中欧智造港2号楼</w:t>
      </w:r>
      <w:r>
        <w:rPr>
          <w:rFonts w:hint="default" w:ascii="Times New Roman" w:hAnsi="Times New Roman" w:eastAsia="宋体" w:cs="Times New Roman"/>
          <w:color w:val="000000"/>
          <w:sz w:val="24"/>
          <w:szCs w:val="24"/>
        </w:rPr>
        <w:t>，监测结果表明，</w:t>
      </w:r>
      <w:r>
        <w:rPr>
          <w:rFonts w:hint="default" w:ascii="Times New Roman" w:hAnsi="Times New Roman" w:eastAsia="宋体" w:cs="Times New Roman"/>
          <w:color w:val="000000"/>
          <w:sz w:val="24"/>
          <w:szCs w:val="24"/>
          <w:lang w:eastAsia="zh-CN"/>
        </w:rPr>
        <w:t>本</w:t>
      </w:r>
      <w:r>
        <w:rPr>
          <w:rFonts w:hint="default" w:ascii="Times New Roman" w:hAnsi="Times New Roman" w:eastAsia="宋体" w:cs="Times New Roman"/>
          <w:color w:val="000000"/>
          <w:sz w:val="24"/>
          <w:szCs w:val="24"/>
        </w:rPr>
        <w:t>项目废气、噪声均符合国家标准要求，达标排放，</w:t>
      </w:r>
      <w:r>
        <w:rPr>
          <w:rFonts w:hint="default" w:ascii="Times New Roman" w:hAnsi="Times New Roman" w:eastAsia="宋体" w:cs="Times New Roman"/>
          <w:color w:val="000000"/>
          <w:sz w:val="24"/>
          <w:szCs w:val="24"/>
          <w:lang w:eastAsia="zh-CN"/>
        </w:rPr>
        <w:t>固体废物均合理处置，</w:t>
      </w:r>
      <w:r>
        <w:rPr>
          <w:rFonts w:hint="default" w:ascii="Times New Roman" w:hAnsi="Times New Roman" w:eastAsia="宋体" w:cs="Times New Roman"/>
          <w:color w:val="000000"/>
          <w:sz w:val="24"/>
          <w:szCs w:val="24"/>
        </w:rPr>
        <w:t>对周围环境影响</w:t>
      </w:r>
      <w:r>
        <w:rPr>
          <w:rFonts w:hint="default" w:ascii="Times New Roman" w:hAnsi="Times New Roman" w:eastAsia="宋体" w:cs="Times New Roman"/>
          <w:color w:val="000000"/>
          <w:sz w:val="24"/>
          <w:szCs w:val="24"/>
          <w:lang w:eastAsia="zh-CN"/>
        </w:rPr>
        <w:t>较小。</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kern w:val="2"/>
          <w:sz w:val="24"/>
          <w:szCs w:val="24"/>
        </w:rPr>
      </w:pPr>
      <w:r>
        <w:rPr>
          <w:rFonts w:hint="default" w:ascii="Times New Roman" w:hAnsi="Times New Roman" w:eastAsia="宋体" w:cs="Times New Roman"/>
          <w:b/>
          <w:color w:val="000000"/>
          <w:sz w:val="24"/>
          <w:szCs w:val="24"/>
        </w:rPr>
        <w:t>六、验收结论</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根据该项目竣工环境保护验收报告和现场检查，项目环保手续已经完备，技术资料齐全，执行了环境影响评价和</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三同时</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管理制度，基本落实环评报告表及其审批意见所规定的各项环境污染防治措施，各类污染物能够实现达标排放要求，符合竣工环境保护验收条件，验收合格。</w:t>
      </w:r>
    </w:p>
    <w:p>
      <w:pPr>
        <w:keepNext w:val="0"/>
        <w:keepLines w:val="0"/>
        <w:pageBreakBefore w:val="0"/>
        <w:widowControl/>
        <w:kinsoku/>
        <w:overflowPunct/>
        <w:topLinePunct w:val="0"/>
        <w:bidi w:val="0"/>
        <w:adjustRightInd w:val="0"/>
        <w:snapToGrid w:val="0"/>
        <w:spacing w:after="0" w:line="360" w:lineRule="auto"/>
        <w:ind w:leftChars="0" w:right="0" w:firstLine="582"/>
        <w:jc w:val="both"/>
        <w:rPr>
          <w:rFonts w:hint="default" w:ascii="Times New Roman" w:hAnsi="Times New Roman" w:eastAsia="宋体" w:cs="Times New Roman"/>
          <w:b/>
          <w:kern w:val="0"/>
          <w:sz w:val="24"/>
          <w:szCs w:val="24"/>
        </w:rPr>
      </w:pPr>
      <w:r>
        <w:rPr>
          <w:rFonts w:hint="default" w:ascii="Times New Roman" w:hAnsi="Times New Roman" w:eastAsia="宋体" w:cs="Times New Roman"/>
          <w:b/>
          <w:kern w:val="0"/>
          <w:sz w:val="24"/>
          <w:szCs w:val="24"/>
        </w:rPr>
        <w:t>七、建议和后续要求</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（1）按照《危险废物贮存污染物控制标准》（GB18597-2001）及修改单中的相关要求，进一步规范危废间的建设与管理，分类存放；规范标识、台账，妥善处置，减少对环境影响。</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w:t>
      </w:r>
      <w:r>
        <w:rPr>
          <w:rFonts w:hint="default" w:ascii="Times New Roman" w:hAnsi="Times New Roman" w:eastAsia="宋体" w:cs="Times New Roman"/>
          <w:kern w:val="0"/>
          <w:sz w:val="24"/>
          <w:szCs w:val="24"/>
          <w:lang w:val="en-US" w:eastAsia="zh-CN"/>
        </w:rPr>
        <w:t>2</w:t>
      </w:r>
      <w:r>
        <w:rPr>
          <w:rFonts w:hint="default" w:ascii="Times New Roman" w:hAnsi="Times New Roman" w:eastAsia="宋体" w:cs="Times New Roman"/>
          <w:kern w:val="0"/>
          <w:sz w:val="24"/>
          <w:szCs w:val="24"/>
        </w:rPr>
        <w:t>）为保障环保设施</w:t>
      </w:r>
      <w:r>
        <w:rPr>
          <w:rFonts w:hint="default" w:ascii="Times New Roman" w:hAnsi="Times New Roman" w:eastAsia="宋体" w:cs="Times New Roman"/>
          <w:kern w:val="0"/>
          <w:sz w:val="24"/>
          <w:szCs w:val="24"/>
          <w:lang w:eastAsia="zh-CN"/>
        </w:rPr>
        <w:t>正常</w:t>
      </w:r>
      <w:r>
        <w:rPr>
          <w:rFonts w:hint="default" w:ascii="Times New Roman" w:hAnsi="Times New Roman" w:eastAsia="宋体" w:cs="Times New Roman"/>
          <w:kern w:val="0"/>
          <w:sz w:val="24"/>
          <w:szCs w:val="24"/>
        </w:rPr>
        <w:t>运行，日常维护保养和运行需由专人负责，并做好记录。</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w:t>
      </w:r>
      <w:r>
        <w:rPr>
          <w:rFonts w:hint="default" w:ascii="Times New Roman" w:hAnsi="Times New Roman" w:eastAsia="宋体" w:cs="Times New Roman"/>
          <w:kern w:val="0"/>
          <w:sz w:val="24"/>
          <w:szCs w:val="24"/>
          <w:lang w:val="en-US" w:eastAsia="zh-CN"/>
        </w:rPr>
        <w:t>3</w:t>
      </w:r>
      <w:r>
        <w:rPr>
          <w:rFonts w:hint="default" w:ascii="Times New Roman" w:hAnsi="Times New Roman" w:eastAsia="宋体" w:cs="Times New Roman"/>
          <w:kern w:val="0"/>
          <w:sz w:val="24"/>
          <w:szCs w:val="24"/>
        </w:rPr>
        <w:t>）按照企业自行监测技术指南相关要求开展企业定期自行监测工作，并按照《企事业单位环境信息公开管理办法》要求进行环境信息公开。</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4</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rPr>
        <w:t>搞好环保知识教育和技术培训，提高公司职工环保素质，完善环保资料的建档和管理。</w:t>
      </w:r>
    </w:p>
    <w:p>
      <w:pPr>
        <w:keepNext w:val="0"/>
        <w:keepLines w:val="0"/>
        <w:pageBreakBefore w:val="0"/>
        <w:kinsoku/>
        <w:overflowPunct/>
        <w:topLinePunct w:val="0"/>
        <w:bidi w:val="0"/>
        <w:spacing w:after="0" w:line="240" w:lineRule="auto"/>
        <w:ind w:leftChars="0" w:right="0" w:firstLine="0"/>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八、验收人员信息</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附件</w:t>
      </w:r>
      <w:r>
        <w:rPr>
          <w:rFonts w:hint="eastAsia" w:ascii="Times New Roman" w:hAnsi="Times New Roman" w:eastAsia="宋体" w:cs="Times New Roman"/>
          <w:kern w:val="2"/>
          <w:sz w:val="24"/>
          <w:szCs w:val="24"/>
          <w:lang w:eastAsia="zh-CN"/>
        </w:rPr>
        <w:t>：</w:t>
      </w:r>
      <w:r>
        <w:rPr>
          <w:rFonts w:hint="eastAsia" w:ascii="Times New Roman" w:hAnsi="Times New Roman" w:eastAsia="宋体" w:cs="Times New Roman"/>
          <w:bCs/>
          <w:color w:val="auto"/>
          <w:kern w:val="2"/>
          <w:sz w:val="24"/>
          <w:szCs w:val="24"/>
          <w:lang w:eastAsia="zh-CN"/>
        </w:rPr>
        <w:t>国信（山东）检验检测中心有限公司实验室建设项目</w:t>
      </w:r>
      <w:r>
        <w:rPr>
          <w:rFonts w:hint="eastAsia" w:ascii="Times New Roman" w:hAnsi="Times New Roman" w:eastAsia="宋体" w:cs="Times New Roman"/>
          <w:kern w:val="2"/>
          <w:sz w:val="24"/>
          <w:szCs w:val="24"/>
          <w:lang w:eastAsia="zh-CN"/>
        </w:rPr>
        <w:t>竣工环境保护验收名单</w:t>
      </w:r>
      <w:r>
        <w:rPr>
          <w:rFonts w:hint="default" w:ascii="Times New Roman" w:hAnsi="Times New Roman" w:eastAsia="宋体" w:cs="Times New Roman"/>
          <w:kern w:val="2"/>
          <w:sz w:val="24"/>
          <w:szCs w:val="24"/>
        </w:rPr>
        <w:t>。</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验收组签字：</w:t>
      </w:r>
    </w:p>
    <w:p>
      <w:pPr>
        <w:pStyle w:val="21"/>
        <w:spacing w:line="360" w:lineRule="auto"/>
        <w:jc w:val="right"/>
        <w:rPr>
          <w:rFonts w:hint="default" w:ascii="Times New Roman" w:hAnsi="Times New Roman" w:eastAsia="宋体" w:cs="Times New Roman"/>
          <w:sz w:val="24"/>
          <w:szCs w:val="24"/>
        </w:rPr>
      </w:pPr>
    </w:p>
    <w:p>
      <w:pPr>
        <w:keepNext w:val="0"/>
        <w:keepLines w:val="0"/>
        <w:pageBreakBefore w:val="0"/>
        <w:widowControl w:val="0"/>
        <w:kinsoku/>
        <w:overflowPunct/>
        <w:topLinePunct w:val="0"/>
        <w:bidi w:val="0"/>
        <w:spacing w:after="0" w:line="360" w:lineRule="auto"/>
        <w:ind w:leftChars="0" w:right="0" w:firstLine="602"/>
        <w:jc w:val="right"/>
        <w:rPr>
          <w:rFonts w:hint="default" w:ascii="Times New Roman" w:hAnsi="Times New Roman" w:eastAsia="宋体" w:cs="Times New Roman"/>
          <w:b/>
          <w:color w:val="auto"/>
          <w:kern w:val="2"/>
          <w:sz w:val="24"/>
          <w:szCs w:val="24"/>
        </w:rPr>
      </w:pPr>
    </w:p>
    <w:p>
      <w:pPr>
        <w:pStyle w:val="21"/>
        <w:rPr>
          <w:rFonts w:hint="default" w:ascii="Times New Roman" w:hAnsi="Times New Roman" w:eastAsia="宋体" w:cs="Times New Roman"/>
          <w:b/>
          <w:color w:val="auto"/>
          <w:kern w:val="2"/>
          <w:sz w:val="24"/>
          <w:szCs w:val="24"/>
        </w:rPr>
      </w:pPr>
    </w:p>
    <w:p>
      <w:pPr>
        <w:rPr>
          <w:rFonts w:hint="default" w:ascii="Times New Roman" w:hAnsi="Times New Roman" w:eastAsia="宋体" w:cs="Times New Roman"/>
          <w:b/>
          <w:color w:val="auto"/>
          <w:kern w:val="2"/>
          <w:sz w:val="24"/>
          <w:szCs w:val="24"/>
        </w:rPr>
      </w:pPr>
    </w:p>
    <w:p>
      <w:pPr>
        <w:pStyle w:val="21"/>
        <w:rPr>
          <w:rFonts w:hint="default" w:ascii="Times New Roman" w:hAnsi="Times New Roman" w:eastAsia="宋体" w:cs="Times New Roman"/>
          <w:b/>
          <w:color w:val="auto"/>
          <w:kern w:val="2"/>
          <w:sz w:val="24"/>
          <w:szCs w:val="24"/>
        </w:rPr>
      </w:pPr>
    </w:p>
    <w:p>
      <w:pPr>
        <w:rPr>
          <w:rFonts w:hint="default" w:ascii="Times New Roman" w:hAnsi="Times New Roman" w:eastAsia="宋体" w:cs="Times New Roman"/>
          <w:b/>
          <w:color w:val="auto"/>
          <w:kern w:val="2"/>
          <w:sz w:val="24"/>
          <w:szCs w:val="24"/>
        </w:rPr>
      </w:pPr>
    </w:p>
    <w:p>
      <w:pPr>
        <w:pStyle w:val="21"/>
        <w:rPr>
          <w:rFonts w:hint="default" w:ascii="Times New Roman" w:hAnsi="Times New Roman" w:eastAsia="宋体" w:cs="Times New Roman"/>
          <w:b/>
          <w:color w:val="auto"/>
          <w:kern w:val="2"/>
          <w:sz w:val="24"/>
          <w:szCs w:val="24"/>
        </w:rPr>
      </w:pPr>
    </w:p>
    <w:p>
      <w:pPr>
        <w:rPr>
          <w:rFonts w:hint="default" w:ascii="Times New Roman" w:hAnsi="Times New Roman" w:eastAsia="宋体" w:cs="Times New Roman"/>
          <w:b/>
          <w:color w:val="auto"/>
          <w:kern w:val="2"/>
          <w:sz w:val="24"/>
          <w:szCs w:val="24"/>
        </w:rPr>
      </w:pPr>
    </w:p>
    <w:p>
      <w:pPr>
        <w:pStyle w:val="21"/>
        <w:rPr>
          <w:rFonts w:hint="default"/>
        </w:rPr>
      </w:pPr>
    </w:p>
    <w:p>
      <w:pPr>
        <w:keepNext w:val="0"/>
        <w:keepLines w:val="0"/>
        <w:pageBreakBefore w:val="0"/>
        <w:widowControl/>
        <w:kinsoku/>
        <w:wordWrap/>
        <w:overflowPunct/>
        <w:topLinePunct w:val="0"/>
        <w:bidi w:val="0"/>
        <w:spacing w:after="0" w:line="360" w:lineRule="auto"/>
        <w:ind w:leftChars="0" w:right="0" w:firstLine="580"/>
        <w:jc w:val="right"/>
        <w:rPr>
          <w:rFonts w:hint="eastAsia" w:ascii="Times New Roman" w:hAnsi="Times New Roman" w:eastAsia="宋体" w:cs="Times New Roman"/>
          <w:sz w:val="24"/>
          <w:szCs w:val="24"/>
          <w:lang w:eastAsia="zh-CN"/>
        </w:rPr>
      </w:pPr>
    </w:p>
    <w:p>
      <w:pPr>
        <w:keepNext w:val="0"/>
        <w:keepLines w:val="0"/>
        <w:pageBreakBefore w:val="0"/>
        <w:widowControl/>
        <w:kinsoku/>
        <w:wordWrap/>
        <w:overflowPunct/>
        <w:topLinePunct w:val="0"/>
        <w:bidi w:val="0"/>
        <w:spacing w:after="0" w:line="360" w:lineRule="auto"/>
        <w:ind w:leftChars="0" w:right="0" w:firstLine="580"/>
        <w:jc w:val="right"/>
        <w:rPr>
          <w:rFonts w:hint="default"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国信（山东）检验检测中心有限公司</w:t>
      </w:r>
    </w:p>
    <w:p>
      <w:pPr>
        <w:widowControl/>
        <w:snapToGrid w:val="0"/>
        <w:ind w:firstLine="580"/>
        <w:jc w:val="righ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2022年3月26日</w:t>
      </w:r>
    </w:p>
    <w:p>
      <w:pPr>
        <w:pStyle w:val="21"/>
        <w:rPr>
          <w:rFonts w:hint="eastAsia" w:ascii="Times New Roman" w:hAnsi="Times New Roman" w:eastAsia="宋体" w:cs="Times New Roman"/>
          <w:sz w:val="24"/>
          <w:szCs w:val="24"/>
          <w:lang w:val="en-US" w:eastAsia="zh-CN"/>
        </w:rPr>
      </w:pPr>
    </w:p>
    <w:p>
      <w:pPr>
        <w:rPr>
          <w:rFonts w:hint="default"/>
          <w:lang w:val="en-US" w:eastAsia="zh-CN"/>
        </w:rPr>
        <w:sectPr>
          <w:headerReference r:id="rId5" w:type="default"/>
          <w:footerReference r:id="rId6" w:type="default"/>
          <w:pgSz w:w="11850" w:h="16783"/>
          <w:pgMar w:top="1440" w:right="1423" w:bottom="1440" w:left="1423" w:header="851" w:footer="992" w:gutter="0"/>
          <w:cols w:space="0" w:num="1"/>
          <w:docGrid w:type="lines" w:linePitch="314" w:charSpace="0"/>
        </w:sectPr>
      </w:pPr>
    </w:p>
    <w:p>
      <w:pPr>
        <w:keepNext w:val="0"/>
        <w:keepLines w:val="0"/>
        <w:pageBreakBefore w:val="0"/>
        <w:widowControl/>
        <w:kinsoku/>
        <w:wordWrap/>
        <w:overflowPunct/>
        <w:topLinePunct w:val="0"/>
        <w:autoSpaceDE w:val="0"/>
        <w:autoSpaceDN w:val="0"/>
        <w:bidi w:val="0"/>
        <w:adjustRightInd w:val="0"/>
        <w:snapToGrid w:val="0"/>
        <w:spacing w:after="0" w:line="240" w:lineRule="auto"/>
        <w:ind w:leftChars="-16" w:right="-68" w:rightChars="-31" w:hanging="34" w:hangingChars="16"/>
        <w:jc w:val="center"/>
        <w:textAlignment w:val="auto"/>
        <w:rPr>
          <w:rFonts w:hint="eastAsia" w:ascii="Times New Roman" w:hAnsi="Times New Roman" w:eastAsia="宋体" w:cs="Times New Roman"/>
          <w:b/>
          <w:bCs/>
          <w:kern w:val="2"/>
          <w:sz w:val="21"/>
          <w:szCs w:val="21"/>
          <w:lang w:val="zh-CN"/>
        </w:rPr>
      </w:pPr>
    </w:p>
    <w:p>
      <w:pPr>
        <w:pStyle w:val="26"/>
        <w:ind w:firstLine="0" w:firstLineChars="0"/>
        <w:rPr>
          <w:rFonts w:hint="default" w:ascii="Times New Roman" w:hAnsi="Times New Roman" w:eastAsia="宋体" w:cs="Times New Roman"/>
          <w:sz w:val="24"/>
          <w:szCs w:val="24"/>
          <w:lang w:val="en-US" w:eastAsia="zh-CN"/>
        </w:rPr>
      </w:pPr>
    </w:p>
    <w:p>
      <w:pPr>
        <w:pStyle w:val="21"/>
        <w:rPr>
          <w:rFonts w:hint="default"/>
          <w:lang w:val="en-US" w:eastAsia="zh-CN"/>
        </w:rPr>
      </w:pPr>
    </w:p>
    <w:p>
      <w:pPr>
        <w:pStyle w:val="26"/>
        <w:ind w:firstLine="0" w:firstLineChars="0"/>
        <w:rPr>
          <w:rFonts w:hint="default" w:ascii="Times New Roman" w:hAnsi="Times New Roman" w:eastAsia="宋体" w:cs="Times New Roman"/>
          <w:sz w:val="24"/>
          <w:szCs w:val="24"/>
          <w:lang w:val="en-US" w:eastAsia="zh-CN"/>
        </w:rPr>
      </w:pPr>
    </w:p>
    <w:bookmarkEnd w:id="0"/>
    <w:sectPr>
      <w:pgSz w:w="16783" w:h="11850" w:orient="landscape"/>
      <w:pgMar w:top="1423" w:right="1440" w:bottom="1423" w:left="1440" w:header="851" w:footer="992" w:gutter="0"/>
      <w:cols w:space="0" w:num="1"/>
      <w:docGrid w:type="lines" w:linePitch="314"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40"/>
      </w:pPr>
      <w:r>
        <w:separator/>
      </w:r>
    </w:p>
  </w:endnote>
  <w:endnote w:type="continuationSeparator" w:id="1">
    <w:p>
      <w:pPr>
        <w:spacing w:line="240" w:lineRule="auto"/>
        <w:ind w:firstLine="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简体">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40"/>
      </w:pPr>
      <w:r>
        <w:separator/>
      </w:r>
    </w:p>
  </w:footnote>
  <w:footnote w:type="continuationSeparator" w:id="1">
    <w:p>
      <w:pPr>
        <w:spacing w:before="0" w:after="0" w:line="360" w:lineRule="auto"/>
        <w:ind w:firstLine="4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ind w:firstLine="360"/>
      <w:rPr>
        <w:rFonts w:cs="Tahom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80BCAD"/>
    <w:multiLevelType w:val="singleLevel"/>
    <w:tmpl w:val="FC80BCAD"/>
    <w:lvl w:ilvl="0" w:tentative="0">
      <w:start w:val="1"/>
      <w:numFmt w:val="bullet"/>
      <w:pStyle w:val="17"/>
      <w:lvlText w:val=""/>
      <w:lvlJc w:val="left"/>
      <w:pPr>
        <w:tabs>
          <w:tab w:val="left" w:pos="2040"/>
        </w:tabs>
        <w:ind w:left="2040" w:hanging="360"/>
      </w:pPr>
      <w:rPr>
        <w:rFonts w:hint="default" w:ascii="Wingdings" w:hAnsi="Wingdings"/>
      </w:rPr>
    </w:lvl>
  </w:abstractNum>
  <w:abstractNum w:abstractNumId="1">
    <w:nsid w:val="0B60A679"/>
    <w:multiLevelType w:val="singleLevel"/>
    <w:tmpl w:val="0B60A679"/>
    <w:lvl w:ilvl="0" w:tentative="0">
      <w:start w:val="2"/>
      <w:numFmt w:val="decimal"/>
      <w:suff w:val="nothing"/>
      <w:lvlText w:val="（%1）"/>
      <w:lvlJc w:val="left"/>
    </w:lvl>
  </w:abstractNum>
  <w:abstractNum w:abstractNumId="2">
    <w:nsid w:val="289CC2E9"/>
    <w:multiLevelType w:val="singleLevel"/>
    <w:tmpl w:val="289CC2E9"/>
    <w:lvl w:ilvl="0" w:tentative="0">
      <w:start w:val="4"/>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trackRevisions w:val="1"/>
  <w:documentProtection w:enforcement="0"/>
  <w:defaultTabStop w:val="420"/>
  <w:doNotHyphenateCaps/>
  <w:drawingGridVerticalSpacing w:val="157"/>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xMjNkZDE3NjJiZmU3MzFlNjgxMTIzZjViZDlhMDEifQ=="/>
  </w:docVars>
  <w:rsids>
    <w:rsidRoot w:val="00172A27"/>
    <w:rsid w:val="00035A13"/>
    <w:rsid w:val="0003659E"/>
    <w:rsid w:val="00051171"/>
    <w:rsid w:val="0005571D"/>
    <w:rsid w:val="00082D69"/>
    <w:rsid w:val="000B6AB9"/>
    <w:rsid w:val="000C5950"/>
    <w:rsid w:val="000D22C0"/>
    <w:rsid w:val="000D2C30"/>
    <w:rsid w:val="000E6A6D"/>
    <w:rsid w:val="00100522"/>
    <w:rsid w:val="00100D45"/>
    <w:rsid w:val="00112FCB"/>
    <w:rsid w:val="00123494"/>
    <w:rsid w:val="00123D3F"/>
    <w:rsid w:val="00136E9D"/>
    <w:rsid w:val="001374C9"/>
    <w:rsid w:val="00151430"/>
    <w:rsid w:val="001B2C20"/>
    <w:rsid w:val="001C4038"/>
    <w:rsid w:val="001E3192"/>
    <w:rsid w:val="001F25A9"/>
    <w:rsid w:val="00204BB3"/>
    <w:rsid w:val="00240D08"/>
    <w:rsid w:val="00244A46"/>
    <w:rsid w:val="002801F6"/>
    <w:rsid w:val="002849BC"/>
    <w:rsid w:val="002863EA"/>
    <w:rsid w:val="002874F0"/>
    <w:rsid w:val="002906CD"/>
    <w:rsid w:val="00294FC2"/>
    <w:rsid w:val="002B32BD"/>
    <w:rsid w:val="002F2B00"/>
    <w:rsid w:val="002F4D8C"/>
    <w:rsid w:val="002F5573"/>
    <w:rsid w:val="00304D4E"/>
    <w:rsid w:val="00306497"/>
    <w:rsid w:val="00321DDE"/>
    <w:rsid w:val="00345CAC"/>
    <w:rsid w:val="003A0123"/>
    <w:rsid w:val="003B47BB"/>
    <w:rsid w:val="003C26BC"/>
    <w:rsid w:val="003C3CA8"/>
    <w:rsid w:val="003E1ED5"/>
    <w:rsid w:val="003E323E"/>
    <w:rsid w:val="00411DD0"/>
    <w:rsid w:val="00436EA1"/>
    <w:rsid w:val="00454708"/>
    <w:rsid w:val="00464600"/>
    <w:rsid w:val="00474534"/>
    <w:rsid w:val="00475734"/>
    <w:rsid w:val="00476E07"/>
    <w:rsid w:val="0048437D"/>
    <w:rsid w:val="00493633"/>
    <w:rsid w:val="004A0639"/>
    <w:rsid w:val="004A497C"/>
    <w:rsid w:val="004B7E5F"/>
    <w:rsid w:val="004C36BB"/>
    <w:rsid w:val="004C40B4"/>
    <w:rsid w:val="004E2FE4"/>
    <w:rsid w:val="00522759"/>
    <w:rsid w:val="00532369"/>
    <w:rsid w:val="00587216"/>
    <w:rsid w:val="005A5206"/>
    <w:rsid w:val="005A6685"/>
    <w:rsid w:val="005B00F4"/>
    <w:rsid w:val="005B1BA4"/>
    <w:rsid w:val="005D72B5"/>
    <w:rsid w:val="005E0897"/>
    <w:rsid w:val="005E09DC"/>
    <w:rsid w:val="0060524E"/>
    <w:rsid w:val="00607661"/>
    <w:rsid w:val="0062738C"/>
    <w:rsid w:val="00635C38"/>
    <w:rsid w:val="00656C9A"/>
    <w:rsid w:val="00660B7E"/>
    <w:rsid w:val="006633A9"/>
    <w:rsid w:val="00675801"/>
    <w:rsid w:val="00675B32"/>
    <w:rsid w:val="00676B00"/>
    <w:rsid w:val="00687553"/>
    <w:rsid w:val="006915ED"/>
    <w:rsid w:val="006A00F0"/>
    <w:rsid w:val="006A4004"/>
    <w:rsid w:val="006F79A8"/>
    <w:rsid w:val="00710178"/>
    <w:rsid w:val="007371E6"/>
    <w:rsid w:val="00746AC2"/>
    <w:rsid w:val="0075590D"/>
    <w:rsid w:val="00777542"/>
    <w:rsid w:val="0079354C"/>
    <w:rsid w:val="0079381D"/>
    <w:rsid w:val="00794F0E"/>
    <w:rsid w:val="007B66FA"/>
    <w:rsid w:val="007B7205"/>
    <w:rsid w:val="007C652D"/>
    <w:rsid w:val="007D1C85"/>
    <w:rsid w:val="007F3A23"/>
    <w:rsid w:val="008017AA"/>
    <w:rsid w:val="008047FA"/>
    <w:rsid w:val="008105AC"/>
    <w:rsid w:val="00820E46"/>
    <w:rsid w:val="00827A40"/>
    <w:rsid w:val="00834FAD"/>
    <w:rsid w:val="008515B7"/>
    <w:rsid w:val="00856FE8"/>
    <w:rsid w:val="00860219"/>
    <w:rsid w:val="00876AD0"/>
    <w:rsid w:val="00892B1A"/>
    <w:rsid w:val="00892C76"/>
    <w:rsid w:val="008D1DEF"/>
    <w:rsid w:val="008F6892"/>
    <w:rsid w:val="0091374D"/>
    <w:rsid w:val="009318B7"/>
    <w:rsid w:val="0094565D"/>
    <w:rsid w:val="00987513"/>
    <w:rsid w:val="009A15C6"/>
    <w:rsid w:val="009B41E2"/>
    <w:rsid w:val="009C5305"/>
    <w:rsid w:val="009F29BA"/>
    <w:rsid w:val="00A00D62"/>
    <w:rsid w:val="00A12AFC"/>
    <w:rsid w:val="00A23A98"/>
    <w:rsid w:val="00A263F8"/>
    <w:rsid w:val="00A32939"/>
    <w:rsid w:val="00A57E27"/>
    <w:rsid w:val="00A87D8D"/>
    <w:rsid w:val="00A97E42"/>
    <w:rsid w:val="00AC4896"/>
    <w:rsid w:val="00AE567B"/>
    <w:rsid w:val="00AE7916"/>
    <w:rsid w:val="00B012B2"/>
    <w:rsid w:val="00B04612"/>
    <w:rsid w:val="00B15EB9"/>
    <w:rsid w:val="00B20B7C"/>
    <w:rsid w:val="00B25879"/>
    <w:rsid w:val="00B265CF"/>
    <w:rsid w:val="00B355D4"/>
    <w:rsid w:val="00B419D8"/>
    <w:rsid w:val="00B42638"/>
    <w:rsid w:val="00B50064"/>
    <w:rsid w:val="00B54C75"/>
    <w:rsid w:val="00B8081D"/>
    <w:rsid w:val="00B84B89"/>
    <w:rsid w:val="00B90D5E"/>
    <w:rsid w:val="00B9519E"/>
    <w:rsid w:val="00BA090A"/>
    <w:rsid w:val="00BE053E"/>
    <w:rsid w:val="00BE697B"/>
    <w:rsid w:val="00C273CD"/>
    <w:rsid w:val="00C65C81"/>
    <w:rsid w:val="00C7749F"/>
    <w:rsid w:val="00C82779"/>
    <w:rsid w:val="00C94515"/>
    <w:rsid w:val="00CE5494"/>
    <w:rsid w:val="00CE6E57"/>
    <w:rsid w:val="00D0629A"/>
    <w:rsid w:val="00D16BE8"/>
    <w:rsid w:val="00D27945"/>
    <w:rsid w:val="00D64752"/>
    <w:rsid w:val="00D705C2"/>
    <w:rsid w:val="00D96E1A"/>
    <w:rsid w:val="00DF6E75"/>
    <w:rsid w:val="00DF72AB"/>
    <w:rsid w:val="00E02AB0"/>
    <w:rsid w:val="00E4216C"/>
    <w:rsid w:val="00E46C72"/>
    <w:rsid w:val="00E544C5"/>
    <w:rsid w:val="00E749C3"/>
    <w:rsid w:val="00E770BA"/>
    <w:rsid w:val="00E81432"/>
    <w:rsid w:val="00E81D6E"/>
    <w:rsid w:val="00E852D0"/>
    <w:rsid w:val="00E87B21"/>
    <w:rsid w:val="00EB0F5B"/>
    <w:rsid w:val="00EB33EC"/>
    <w:rsid w:val="00EC287A"/>
    <w:rsid w:val="00ED368E"/>
    <w:rsid w:val="00F1024F"/>
    <w:rsid w:val="00F14097"/>
    <w:rsid w:val="00F14501"/>
    <w:rsid w:val="00F3369D"/>
    <w:rsid w:val="00F33F12"/>
    <w:rsid w:val="00F426D9"/>
    <w:rsid w:val="00F564CC"/>
    <w:rsid w:val="00FA009F"/>
    <w:rsid w:val="00FA255C"/>
    <w:rsid w:val="00FA5F64"/>
    <w:rsid w:val="00FA7250"/>
    <w:rsid w:val="00FB2A45"/>
    <w:rsid w:val="00FE02A1"/>
    <w:rsid w:val="00FE1F4C"/>
    <w:rsid w:val="00FE3872"/>
    <w:rsid w:val="00FF0264"/>
    <w:rsid w:val="00FF4184"/>
    <w:rsid w:val="014F173A"/>
    <w:rsid w:val="02874060"/>
    <w:rsid w:val="02C7498E"/>
    <w:rsid w:val="030F2A78"/>
    <w:rsid w:val="03CF05A3"/>
    <w:rsid w:val="04773D02"/>
    <w:rsid w:val="04C5240A"/>
    <w:rsid w:val="04F64D61"/>
    <w:rsid w:val="05312C57"/>
    <w:rsid w:val="05982B91"/>
    <w:rsid w:val="061C2FB2"/>
    <w:rsid w:val="06DC3814"/>
    <w:rsid w:val="074671CC"/>
    <w:rsid w:val="0766665A"/>
    <w:rsid w:val="07AD0944"/>
    <w:rsid w:val="087B4B2D"/>
    <w:rsid w:val="093B00AF"/>
    <w:rsid w:val="09865549"/>
    <w:rsid w:val="0A5E79C8"/>
    <w:rsid w:val="0A7E18F2"/>
    <w:rsid w:val="0AA05173"/>
    <w:rsid w:val="0AE850E5"/>
    <w:rsid w:val="0C6C670A"/>
    <w:rsid w:val="0C793B3D"/>
    <w:rsid w:val="0C850E03"/>
    <w:rsid w:val="0D7C6268"/>
    <w:rsid w:val="0DAD0CD4"/>
    <w:rsid w:val="0DF14288"/>
    <w:rsid w:val="0E5C0ED0"/>
    <w:rsid w:val="0F76507F"/>
    <w:rsid w:val="0FFB7A5A"/>
    <w:rsid w:val="106525CA"/>
    <w:rsid w:val="10C304AB"/>
    <w:rsid w:val="10F37360"/>
    <w:rsid w:val="1110472C"/>
    <w:rsid w:val="111719C3"/>
    <w:rsid w:val="116A15B6"/>
    <w:rsid w:val="11C86278"/>
    <w:rsid w:val="12451BF9"/>
    <w:rsid w:val="13071972"/>
    <w:rsid w:val="139A1CD6"/>
    <w:rsid w:val="143A4ACA"/>
    <w:rsid w:val="145A1C25"/>
    <w:rsid w:val="14D33197"/>
    <w:rsid w:val="15553DF7"/>
    <w:rsid w:val="158C249A"/>
    <w:rsid w:val="15B33D50"/>
    <w:rsid w:val="15DA0777"/>
    <w:rsid w:val="15E81ECB"/>
    <w:rsid w:val="15F26564"/>
    <w:rsid w:val="178E0669"/>
    <w:rsid w:val="188D7E54"/>
    <w:rsid w:val="1918245D"/>
    <w:rsid w:val="197511F7"/>
    <w:rsid w:val="1A5F31B7"/>
    <w:rsid w:val="1A9B36F6"/>
    <w:rsid w:val="1AD71EA4"/>
    <w:rsid w:val="1C2C1601"/>
    <w:rsid w:val="1D3D2E8E"/>
    <w:rsid w:val="1DCF6A15"/>
    <w:rsid w:val="1E061AFB"/>
    <w:rsid w:val="1FB0700F"/>
    <w:rsid w:val="1FB60655"/>
    <w:rsid w:val="1FE7169E"/>
    <w:rsid w:val="201D7A42"/>
    <w:rsid w:val="202F4709"/>
    <w:rsid w:val="20EF52E9"/>
    <w:rsid w:val="21081222"/>
    <w:rsid w:val="21B2626F"/>
    <w:rsid w:val="221B3059"/>
    <w:rsid w:val="226D3CFE"/>
    <w:rsid w:val="22D929C4"/>
    <w:rsid w:val="22E97112"/>
    <w:rsid w:val="22FD2DEE"/>
    <w:rsid w:val="2306772B"/>
    <w:rsid w:val="24EE055F"/>
    <w:rsid w:val="256D51AD"/>
    <w:rsid w:val="25730E5F"/>
    <w:rsid w:val="25DA358A"/>
    <w:rsid w:val="27183FAE"/>
    <w:rsid w:val="28702BFD"/>
    <w:rsid w:val="287A70C8"/>
    <w:rsid w:val="29E52C04"/>
    <w:rsid w:val="2A7704C9"/>
    <w:rsid w:val="2AD46A1C"/>
    <w:rsid w:val="2C5A2F7C"/>
    <w:rsid w:val="2C5B7A7A"/>
    <w:rsid w:val="2C631EE5"/>
    <w:rsid w:val="2D42357D"/>
    <w:rsid w:val="2F0A2E7F"/>
    <w:rsid w:val="2FEE4FC6"/>
    <w:rsid w:val="303B521B"/>
    <w:rsid w:val="30446957"/>
    <w:rsid w:val="31165624"/>
    <w:rsid w:val="31447B17"/>
    <w:rsid w:val="31545D96"/>
    <w:rsid w:val="322A6115"/>
    <w:rsid w:val="325E60DB"/>
    <w:rsid w:val="32A4059B"/>
    <w:rsid w:val="3307355C"/>
    <w:rsid w:val="33C81DD3"/>
    <w:rsid w:val="33F75782"/>
    <w:rsid w:val="36F57958"/>
    <w:rsid w:val="38105541"/>
    <w:rsid w:val="386F3A84"/>
    <w:rsid w:val="393B0C7E"/>
    <w:rsid w:val="39493F69"/>
    <w:rsid w:val="3B0844DE"/>
    <w:rsid w:val="3BC907C3"/>
    <w:rsid w:val="3C931740"/>
    <w:rsid w:val="3CE227B1"/>
    <w:rsid w:val="3D0E648C"/>
    <w:rsid w:val="3E047166"/>
    <w:rsid w:val="3E083A98"/>
    <w:rsid w:val="3EBD4C50"/>
    <w:rsid w:val="3F307FC6"/>
    <w:rsid w:val="3F3F6175"/>
    <w:rsid w:val="3F5F5D14"/>
    <w:rsid w:val="3F8D744B"/>
    <w:rsid w:val="3FB36297"/>
    <w:rsid w:val="40225A34"/>
    <w:rsid w:val="417D1105"/>
    <w:rsid w:val="41FC7E24"/>
    <w:rsid w:val="420115B3"/>
    <w:rsid w:val="426125CF"/>
    <w:rsid w:val="427E149F"/>
    <w:rsid w:val="44034335"/>
    <w:rsid w:val="4420552A"/>
    <w:rsid w:val="44285812"/>
    <w:rsid w:val="451B7921"/>
    <w:rsid w:val="455B5A78"/>
    <w:rsid w:val="455F2AA3"/>
    <w:rsid w:val="45B544A3"/>
    <w:rsid w:val="45E845F0"/>
    <w:rsid w:val="460A53DA"/>
    <w:rsid w:val="471E352A"/>
    <w:rsid w:val="47D8037F"/>
    <w:rsid w:val="493E0B7E"/>
    <w:rsid w:val="49506749"/>
    <w:rsid w:val="49C55197"/>
    <w:rsid w:val="49CD6A25"/>
    <w:rsid w:val="4A1168BD"/>
    <w:rsid w:val="4A2F3EE7"/>
    <w:rsid w:val="4A5821EF"/>
    <w:rsid w:val="4B4674D2"/>
    <w:rsid w:val="4B7C5A47"/>
    <w:rsid w:val="4BCC3852"/>
    <w:rsid w:val="4BEB2588"/>
    <w:rsid w:val="4C144871"/>
    <w:rsid w:val="4C345582"/>
    <w:rsid w:val="4CFA33FC"/>
    <w:rsid w:val="4DEA6DA2"/>
    <w:rsid w:val="4E7723EA"/>
    <w:rsid w:val="502B6E83"/>
    <w:rsid w:val="5078219D"/>
    <w:rsid w:val="51142D8E"/>
    <w:rsid w:val="511B243F"/>
    <w:rsid w:val="51AE70CE"/>
    <w:rsid w:val="529B46C0"/>
    <w:rsid w:val="52E349A0"/>
    <w:rsid w:val="52F62681"/>
    <w:rsid w:val="532458E8"/>
    <w:rsid w:val="54970FF4"/>
    <w:rsid w:val="54D041E8"/>
    <w:rsid w:val="55BC4161"/>
    <w:rsid w:val="56937BD7"/>
    <w:rsid w:val="572C1BFD"/>
    <w:rsid w:val="57EE219F"/>
    <w:rsid w:val="586216B7"/>
    <w:rsid w:val="590D7306"/>
    <w:rsid w:val="59366F33"/>
    <w:rsid w:val="59610487"/>
    <w:rsid w:val="599F18F9"/>
    <w:rsid w:val="59A83D85"/>
    <w:rsid w:val="59B92F56"/>
    <w:rsid w:val="59E25E8C"/>
    <w:rsid w:val="5AB94A93"/>
    <w:rsid w:val="5ABA5A4E"/>
    <w:rsid w:val="5AEA1F97"/>
    <w:rsid w:val="5C0F67ED"/>
    <w:rsid w:val="5C211791"/>
    <w:rsid w:val="5C7A69C0"/>
    <w:rsid w:val="5C8439DC"/>
    <w:rsid w:val="5CD62FD7"/>
    <w:rsid w:val="5CDE795B"/>
    <w:rsid w:val="5D2807D4"/>
    <w:rsid w:val="5DC22282"/>
    <w:rsid w:val="5DCC210D"/>
    <w:rsid w:val="5DD23BD9"/>
    <w:rsid w:val="5E1637D7"/>
    <w:rsid w:val="5E1F609D"/>
    <w:rsid w:val="5E50770E"/>
    <w:rsid w:val="5E54739E"/>
    <w:rsid w:val="5F190BA3"/>
    <w:rsid w:val="5FC852D8"/>
    <w:rsid w:val="614F11BA"/>
    <w:rsid w:val="61E97D2F"/>
    <w:rsid w:val="621D3446"/>
    <w:rsid w:val="62895E57"/>
    <w:rsid w:val="62C26B4D"/>
    <w:rsid w:val="63113C8D"/>
    <w:rsid w:val="637D3F61"/>
    <w:rsid w:val="63A731B1"/>
    <w:rsid w:val="63AB48A9"/>
    <w:rsid w:val="63D037D4"/>
    <w:rsid w:val="63D41A4D"/>
    <w:rsid w:val="653B3E7E"/>
    <w:rsid w:val="654C556F"/>
    <w:rsid w:val="66306408"/>
    <w:rsid w:val="67115D27"/>
    <w:rsid w:val="682436AA"/>
    <w:rsid w:val="68BD0ABC"/>
    <w:rsid w:val="68D80F78"/>
    <w:rsid w:val="68F1343C"/>
    <w:rsid w:val="693532DE"/>
    <w:rsid w:val="6939445F"/>
    <w:rsid w:val="69AC6EAA"/>
    <w:rsid w:val="6A023FCF"/>
    <w:rsid w:val="6A1B75A5"/>
    <w:rsid w:val="6AB86025"/>
    <w:rsid w:val="6AD54F6D"/>
    <w:rsid w:val="6B4E204F"/>
    <w:rsid w:val="6BFC5334"/>
    <w:rsid w:val="6C405499"/>
    <w:rsid w:val="6CC83120"/>
    <w:rsid w:val="6CFF7247"/>
    <w:rsid w:val="6E4A4A40"/>
    <w:rsid w:val="6F063E1D"/>
    <w:rsid w:val="6F0E2C27"/>
    <w:rsid w:val="6F400AD4"/>
    <w:rsid w:val="6F4C183A"/>
    <w:rsid w:val="6F812984"/>
    <w:rsid w:val="6FFF6F45"/>
    <w:rsid w:val="70F21638"/>
    <w:rsid w:val="712A42DE"/>
    <w:rsid w:val="71FA6339"/>
    <w:rsid w:val="72130C84"/>
    <w:rsid w:val="728263F5"/>
    <w:rsid w:val="72B727BB"/>
    <w:rsid w:val="72D407BC"/>
    <w:rsid w:val="7388340E"/>
    <w:rsid w:val="73AB4460"/>
    <w:rsid w:val="73E63676"/>
    <w:rsid w:val="741A2FF9"/>
    <w:rsid w:val="74324450"/>
    <w:rsid w:val="743F7A11"/>
    <w:rsid w:val="74DD6887"/>
    <w:rsid w:val="750A7806"/>
    <w:rsid w:val="75377E8E"/>
    <w:rsid w:val="75574D8A"/>
    <w:rsid w:val="75703EEA"/>
    <w:rsid w:val="75BF4004"/>
    <w:rsid w:val="75FC1EDE"/>
    <w:rsid w:val="762228EF"/>
    <w:rsid w:val="77EE65ED"/>
    <w:rsid w:val="79426BD7"/>
    <w:rsid w:val="796A316D"/>
    <w:rsid w:val="798727B4"/>
    <w:rsid w:val="79F51CB5"/>
    <w:rsid w:val="7A5902CD"/>
    <w:rsid w:val="7A6743F2"/>
    <w:rsid w:val="7A7748C0"/>
    <w:rsid w:val="7A971671"/>
    <w:rsid w:val="7A976B94"/>
    <w:rsid w:val="7AB32AFD"/>
    <w:rsid w:val="7AD11380"/>
    <w:rsid w:val="7B505291"/>
    <w:rsid w:val="7BDE3D7C"/>
    <w:rsid w:val="7C584461"/>
    <w:rsid w:val="7CB30260"/>
    <w:rsid w:val="7CD21CE4"/>
    <w:rsid w:val="7CEE7D3C"/>
    <w:rsid w:val="7D584F27"/>
    <w:rsid w:val="7DBE38D5"/>
    <w:rsid w:val="7E342880"/>
    <w:rsid w:val="7F0C4BBE"/>
    <w:rsid w:val="7F7C79D4"/>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360" w:lineRule="auto"/>
      <w:ind w:firstLine="200" w:firstLineChars="200"/>
      <w:jc w:val="both"/>
    </w:pPr>
    <w:rPr>
      <w:rFonts w:ascii="Tahoma" w:hAnsi="Tahoma" w:eastAsia="微软雅黑" w:cs="Tahoma"/>
      <w:sz w:val="22"/>
      <w:szCs w:val="22"/>
      <w:lang w:val="en-US" w:eastAsia="zh-CN" w:bidi="ar-SA"/>
    </w:rPr>
  </w:style>
  <w:style w:type="paragraph" w:styleId="3">
    <w:name w:val="heading 1"/>
    <w:basedOn w:val="1"/>
    <w:next w:val="1"/>
    <w:link w:val="42"/>
    <w:qFormat/>
    <w:locked/>
    <w:uiPriority w:val="0"/>
    <w:pPr>
      <w:keepNext/>
      <w:keepLines/>
      <w:spacing w:before="340" w:after="330" w:line="578" w:lineRule="auto"/>
      <w:outlineLvl w:val="0"/>
    </w:pPr>
    <w:rPr>
      <w:b/>
      <w:bCs/>
      <w:kern w:val="44"/>
      <w:sz w:val="44"/>
      <w:szCs w:val="44"/>
    </w:rPr>
  </w:style>
  <w:style w:type="paragraph" w:styleId="4">
    <w:name w:val="heading 2"/>
    <w:basedOn w:val="1"/>
    <w:next w:val="1"/>
    <w:qFormat/>
    <w:locked/>
    <w:uiPriority w:val="0"/>
    <w:pPr>
      <w:keepNext/>
      <w:spacing w:line="360" w:lineRule="auto"/>
      <w:ind w:firstLine="0" w:firstLineChars="0"/>
      <w:outlineLvl w:val="1"/>
    </w:pPr>
    <w:rPr>
      <w:b/>
      <w:bCs/>
      <w:sz w:val="28"/>
    </w:rPr>
  </w:style>
  <w:style w:type="paragraph" w:styleId="5">
    <w:name w:val="heading 4"/>
    <w:basedOn w:val="1"/>
    <w:next w:val="1"/>
    <w:link w:val="40"/>
    <w:qFormat/>
    <w:locked/>
    <w:uiPriority w:val="0"/>
    <w:pPr>
      <w:widowControl w:val="0"/>
      <w:adjustRightInd/>
      <w:snapToGrid/>
      <w:spacing w:beforeLines="50" w:afterLines="50"/>
      <w:outlineLvl w:val="3"/>
    </w:pPr>
    <w:rPr>
      <w:rFonts w:ascii="Times New Roman" w:hAnsi="Times New Roman" w:eastAsia="宋体" w:cs="Times New Roman"/>
      <w:b/>
      <w:kern w:val="2"/>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customStyle="1" w:styleId="2">
    <w:name w:val="样式 样式 样式 样式 小四 左 首行缩进:  2 字符 + 首行缩进:  2 字符 Char + 右  0 字符1 + 首行缩...3"/>
    <w:basedOn w:val="1"/>
    <w:qFormat/>
    <w:uiPriority w:val="0"/>
    <w:pPr>
      <w:ind w:firstLine="480"/>
      <w:jc w:val="left"/>
      <w:textAlignment w:val="baseline"/>
    </w:pPr>
    <w:rPr>
      <w:rFonts w:cs="宋体"/>
      <w:sz w:val="24"/>
      <w:szCs w:val="20"/>
    </w:rPr>
  </w:style>
  <w:style w:type="paragraph" w:styleId="6">
    <w:name w:val="Normal Indent"/>
    <w:basedOn w:val="1"/>
    <w:next w:val="1"/>
    <w:qFormat/>
    <w:uiPriority w:val="0"/>
    <w:pPr>
      <w:ind w:firstLine="420"/>
    </w:pPr>
    <w:rPr>
      <w:szCs w:val="20"/>
    </w:rPr>
  </w:style>
  <w:style w:type="paragraph" w:styleId="7">
    <w:name w:val="Document Map"/>
    <w:basedOn w:val="1"/>
    <w:link w:val="39"/>
    <w:semiHidden/>
    <w:qFormat/>
    <w:uiPriority w:val="99"/>
    <w:rPr>
      <w:rFonts w:ascii="宋体" w:eastAsia="宋体" w:cs="宋体"/>
      <w:sz w:val="18"/>
      <w:szCs w:val="18"/>
    </w:rPr>
  </w:style>
  <w:style w:type="paragraph" w:styleId="8">
    <w:name w:val="annotation text"/>
    <w:basedOn w:val="1"/>
    <w:qFormat/>
    <w:uiPriority w:val="0"/>
    <w:pPr>
      <w:jc w:val="left"/>
    </w:pPr>
  </w:style>
  <w:style w:type="paragraph" w:styleId="9">
    <w:name w:val="Body Text"/>
    <w:basedOn w:val="1"/>
    <w:next w:val="10"/>
    <w:link w:val="34"/>
    <w:qFormat/>
    <w:uiPriority w:val="99"/>
    <w:pPr>
      <w:widowControl w:val="0"/>
      <w:adjustRightInd/>
      <w:snapToGrid/>
      <w:spacing w:after="120"/>
    </w:pPr>
    <w:rPr>
      <w:rFonts w:ascii="Calibri" w:hAnsi="Calibri" w:eastAsia="宋体" w:cs="Times New Roman"/>
      <w:sz w:val="24"/>
      <w:szCs w:val="24"/>
    </w:rPr>
  </w:style>
  <w:style w:type="paragraph" w:customStyle="1" w:styleId="10">
    <w:name w:val="Date1"/>
    <w:basedOn w:val="1"/>
    <w:next w:val="1"/>
    <w:qFormat/>
    <w:uiPriority w:val="0"/>
    <w:rPr>
      <w:sz w:val="21"/>
      <w:szCs w:val="20"/>
    </w:rPr>
  </w:style>
  <w:style w:type="paragraph" w:styleId="11">
    <w:name w:val="Body Text Indent"/>
    <w:basedOn w:val="1"/>
    <w:next w:val="12"/>
    <w:qFormat/>
    <w:uiPriority w:val="0"/>
    <w:pPr>
      <w:spacing w:after="120"/>
      <w:ind w:left="420" w:leftChars="200"/>
    </w:pPr>
    <w:rPr>
      <w:sz w:val="20"/>
      <w:szCs w:val="20"/>
    </w:rPr>
  </w:style>
  <w:style w:type="paragraph" w:styleId="12">
    <w:name w:val="header"/>
    <w:basedOn w:val="1"/>
    <w:next w:val="13"/>
    <w:link w:val="32"/>
    <w:qFormat/>
    <w:uiPriority w:val="99"/>
    <w:pPr>
      <w:widowControl w:val="0"/>
      <w:pBdr>
        <w:bottom w:val="single" w:color="auto" w:sz="6" w:space="1"/>
      </w:pBdr>
      <w:tabs>
        <w:tab w:val="center" w:pos="4153"/>
        <w:tab w:val="right" w:pos="8306"/>
      </w:tabs>
      <w:adjustRightInd/>
      <w:spacing w:after="0"/>
      <w:jc w:val="center"/>
    </w:pPr>
    <w:rPr>
      <w:rFonts w:ascii="Calibri" w:hAnsi="Calibri" w:eastAsia="宋体" w:cs="Calibri"/>
      <w:kern w:val="2"/>
      <w:sz w:val="18"/>
      <w:szCs w:val="18"/>
    </w:rPr>
  </w:style>
  <w:style w:type="paragraph" w:customStyle="1" w:styleId="13">
    <w:name w:val="样式5"/>
    <w:basedOn w:val="14"/>
    <w:next w:val="1"/>
    <w:qFormat/>
    <w:uiPriority w:val="0"/>
    <w:pPr>
      <w:spacing w:line="360" w:lineRule="auto"/>
      <w:ind w:firstLine="510"/>
    </w:pPr>
  </w:style>
  <w:style w:type="paragraph" w:customStyle="1" w:styleId="14">
    <w:name w:val="正文1"/>
    <w:basedOn w:val="1"/>
    <w:next w:val="1"/>
    <w:qFormat/>
    <w:uiPriority w:val="0"/>
    <w:pPr>
      <w:snapToGrid w:val="0"/>
      <w:spacing w:before="62" w:beforeLines="20" w:after="62" w:afterLines="20" w:line="312" w:lineRule="auto"/>
      <w:ind w:firstLine="475" w:firstLineChars="198"/>
    </w:pPr>
    <w:rPr>
      <w:rFonts w:ascii="宋体" w:hAnsi="宋体"/>
      <w:color w:val="000000"/>
      <w:szCs w:val="20"/>
    </w:rPr>
  </w:style>
  <w:style w:type="paragraph" w:styleId="15">
    <w:name w:val="Plain Text"/>
    <w:basedOn w:val="1"/>
    <w:next w:val="16"/>
    <w:qFormat/>
    <w:uiPriority w:val="0"/>
    <w:rPr>
      <w:rFonts w:ascii="Calibri" w:hAnsi="宋体" w:eastAsia="宋体" w:cs="Times New Roman"/>
      <w:szCs w:val="22"/>
    </w:rPr>
  </w:style>
  <w:style w:type="paragraph" w:styleId="16">
    <w:name w:val="toc 1"/>
    <w:basedOn w:val="1"/>
    <w:next w:val="1"/>
    <w:qFormat/>
    <w:locked/>
    <w:uiPriority w:val="39"/>
    <w:pPr>
      <w:tabs>
        <w:tab w:val="right" w:leader="dot" w:pos="8494"/>
      </w:tabs>
    </w:pPr>
    <w:rPr>
      <w:b/>
      <w:sz w:val="24"/>
    </w:rPr>
  </w:style>
  <w:style w:type="paragraph" w:styleId="17">
    <w:name w:val="List Bullet 5"/>
    <w:basedOn w:val="1"/>
    <w:semiHidden/>
    <w:unhideWhenUsed/>
    <w:qFormat/>
    <w:uiPriority w:val="99"/>
    <w:pPr>
      <w:numPr>
        <w:ilvl w:val="0"/>
        <w:numId w:val="1"/>
      </w:numPr>
    </w:pPr>
  </w:style>
  <w:style w:type="paragraph" w:styleId="18">
    <w:name w:val="footer"/>
    <w:basedOn w:val="1"/>
    <w:link w:val="33"/>
    <w:qFormat/>
    <w:uiPriority w:val="99"/>
    <w:pPr>
      <w:widowControl w:val="0"/>
      <w:tabs>
        <w:tab w:val="center" w:pos="4153"/>
        <w:tab w:val="right" w:pos="8306"/>
      </w:tabs>
      <w:adjustRightInd/>
      <w:spacing w:after="0"/>
    </w:pPr>
    <w:rPr>
      <w:rFonts w:ascii="Calibri" w:hAnsi="Calibri" w:eastAsia="宋体" w:cs="Calibri"/>
      <w:kern w:val="2"/>
      <w:sz w:val="18"/>
      <w:szCs w:val="18"/>
    </w:rPr>
  </w:style>
  <w:style w:type="paragraph" w:styleId="19">
    <w:name w:val="Title"/>
    <w:basedOn w:val="1"/>
    <w:next w:val="1"/>
    <w:link w:val="38"/>
    <w:qFormat/>
    <w:uiPriority w:val="99"/>
    <w:pPr>
      <w:widowControl w:val="0"/>
      <w:adjustRightInd/>
      <w:snapToGrid/>
      <w:spacing w:after="0"/>
      <w:jc w:val="center"/>
    </w:pPr>
    <w:rPr>
      <w:rFonts w:ascii="方正小标宋简体" w:hAnsi="宋体" w:eastAsia="方正小标宋简体" w:cs="方正小标宋简体"/>
      <w:kern w:val="2"/>
      <w:sz w:val="36"/>
      <w:szCs w:val="36"/>
    </w:rPr>
  </w:style>
  <w:style w:type="paragraph" w:styleId="20">
    <w:name w:val="Body Text First Indent"/>
    <w:basedOn w:val="9"/>
    <w:next w:val="1"/>
    <w:qFormat/>
    <w:uiPriority w:val="0"/>
    <w:pPr>
      <w:spacing w:after="120" w:line="240" w:lineRule="auto"/>
      <w:ind w:firstLine="420" w:firstLineChars="100"/>
    </w:pPr>
    <w:rPr>
      <w:sz w:val="28"/>
      <w:szCs w:val="24"/>
    </w:rPr>
  </w:style>
  <w:style w:type="paragraph" w:styleId="21">
    <w:name w:val="Body Text First Indent 2"/>
    <w:basedOn w:val="11"/>
    <w:next w:val="1"/>
    <w:qFormat/>
    <w:uiPriority w:val="0"/>
    <w:pPr>
      <w:ind w:firstLine="420"/>
    </w:pPr>
    <w:rPr>
      <w:sz w:val="21"/>
    </w:rPr>
  </w:style>
  <w:style w:type="table" w:styleId="23">
    <w:name w:val="Table Grid"/>
    <w:basedOn w:val="22"/>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locked/>
    <w:uiPriority w:val="0"/>
    <w:rPr>
      <w:b/>
      <w:bCs/>
    </w:rPr>
  </w:style>
  <w:style w:type="paragraph" w:customStyle="1" w:styleId="26">
    <w:name w:val="Default"/>
    <w:basedOn w:val="27"/>
    <w:next w:val="28"/>
    <w:qFormat/>
    <w:uiPriority w:val="0"/>
    <w:pPr>
      <w:widowControl w:val="0"/>
      <w:autoSpaceDE w:val="0"/>
      <w:autoSpaceDN w:val="0"/>
      <w:adjustRightInd w:val="0"/>
      <w:spacing w:line="360" w:lineRule="auto"/>
      <w:ind w:firstLine="200" w:firstLineChars="200"/>
      <w:jc w:val="both"/>
    </w:pPr>
    <w:rPr>
      <w:rFonts w:ascii="宋体" w:hAnsi="Calibri" w:eastAsia="宋体" w:cs="宋体"/>
      <w:color w:val="000000"/>
      <w:sz w:val="24"/>
      <w:szCs w:val="24"/>
      <w:lang w:val="en-US" w:eastAsia="zh-CN" w:bidi="ar-SA"/>
    </w:rPr>
  </w:style>
  <w:style w:type="paragraph" w:customStyle="1" w:styleId="27">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28">
    <w:name w:val="样式35"/>
    <w:basedOn w:val="1"/>
    <w:next w:val="1"/>
    <w:qFormat/>
    <w:uiPriority w:val="0"/>
    <w:pPr>
      <w:spacing w:line="312" w:lineRule="auto"/>
      <w:ind w:firstLine="567"/>
    </w:pPr>
    <w:rPr>
      <w:rFonts w:ascii="宋体"/>
      <w:sz w:val="28"/>
    </w:rPr>
  </w:style>
  <w:style w:type="paragraph" w:customStyle="1" w:styleId="29">
    <w:name w:val="样式 正文文本缩进 + 行距: 1.5 倍行距"/>
    <w:basedOn w:val="30"/>
    <w:next w:val="1"/>
    <w:qFormat/>
    <w:uiPriority w:val="0"/>
    <w:pPr>
      <w:snapToGrid/>
      <w:spacing w:before="0" w:after="120" w:line="360" w:lineRule="auto"/>
      <w:ind w:left="90" w:leftChars="32" w:firstLine="560" w:firstLineChars="200"/>
    </w:pPr>
    <w:rPr>
      <w:rFonts w:ascii="Times New Roman" w:eastAsia="宋体" w:cs="宋体"/>
    </w:rPr>
  </w:style>
  <w:style w:type="paragraph" w:customStyle="1" w:styleId="30">
    <w:name w:val="Body Text Indent"/>
    <w:basedOn w:val="1"/>
    <w:next w:val="29"/>
    <w:qFormat/>
    <w:uiPriority w:val="0"/>
    <w:pPr>
      <w:spacing w:after="120" w:afterLines="0"/>
      <w:ind w:left="420" w:leftChars="200"/>
    </w:pPr>
    <w:rPr>
      <w:rFonts w:ascii="Times New Roman" w:hAnsi="Times New Roman" w:eastAsia="宋体"/>
      <w:sz w:val="24"/>
    </w:rPr>
  </w:style>
  <w:style w:type="paragraph" w:customStyle="1" w:styleId="31">
    <w:name w:val="样式 标题 1一级标题 + 段前: 0.5 行 段后: 0.5 行"/>
    <w:basedOn w:val="3"/>
    <w:qFormat/>
    <w:uiPriority w:val="0"/>
    <w:pPr>
      <w:spacing w:line="320" w:lineRule="exact"/>
      <w:outlineLvl w:val="9"/>
    </w:pPr>
    <w:rPr>
      <w:spacing w:val="-6"/>
      <w:kern w:val="0"/>
      <w:sz w:val="21"/>
      <w:szCs w:val="21"/>
    </w:rPr>
  </w:style>
  <w:style w:type="character" w:customStyle="1" w:styleId="32">
    <w:name w:val="页眉 Char"/>
    <w:link w:val="12"/>
    <w:qFormat/>
    <w:locked/>
    <w:uiPriority w:val="99"/>
    <w:rPr>
      <w:sz w:val="18"/>
      <w:szCs w:val="18"/>
    </w:rPr>
  </w:style>
  <w:style w:type="character" w:customStyle="1" w:styleId="33">
    <w:name w:val="页脚 Char"/>
    <w:link w:val="18"/>
    <w:qFormat/>
    <w:locked/>
    <w:uiPriority w:val="99"/>
    <w:rPr>
      <w:sz w:val="18"/>
      <w:szCs w:val="18"/>
    </w:rPr>
  </w:style>
  <w:style w:type="character" w:customStyle="1" w:styleId="34">
    <w:name w:val="正文文本 Char"/>
    <w:link w:val="9"/>
    <w:qFormat/>
    <w:locked/>
    <w:uiPriority w:val="99"/>
    <w:rPr>
      <w:rFonts w:eastAsia="宋体"/>
      <w:sz w:val="24"/>
      <w:szCs w:val="24"/>
    </w:rPr>
  </w:style>
  <w:style w:type="character" w:customStyle="1" w:styleId="35">
    <w:name w:val="Body Text Char1"/>
    <w:semiHidden/>
    <w:qFormat/>
    <w:uiPriority w:val="99"/>
    <w:rPr>
      <w:rFonts w:ascii="Tahoma" w:hAnsi="Tahoma" w:eastAsia="微软雅黑" w:cs="Tahoma"/>
      <w:kern w:val="0"/>
      <w:sz w:val="22"/>
    </w:rPr>
  </w:style>
  <w:style w:type="character" w:customStyle="1" w:styleId="36">
    <w:name w:val="正文文本 Char1"/>
    <w:semiHidden/>
    <w:qFormat/>
    <w:uiPriority w:val="99"/>
    <w:rPr>
      <w:rFonts w:ascii="Tahoma" w:hAnsi="Tahoma" w:eastAsia="微软雅黑" w:cs="Tahoma"/>
      <w:kern w:val="0"/>
      <w:sz w:val="22"/>
      <w:szCs w:val="22"/>
    </w:rPr>
  </w:style>
  <w:style w:type="paragraph" w:customStyle="1" w:styleId="37">
    <w:name w:val="Normal (Web)1"/>
    <w:basedOn w:val="1"/>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38">
    <w:name w:val="标题 Char"/>
    <w:link w:val="19"/>
    <w:qFormat/>
    <w:locked/>
    <w:uiPriority w:val="99"/>
    <w:rPr>
      <w:rFonts w:ascii="方正小标宋简体" w:hAnsi="宋体" w:eastAsia="方正小标宋简体" w:cs="方正小标宋简体"/>
      <w:sz w:val="36"/>
      <w:szCs w:val="36"/>
    </w:rPr>
  </w:style>
  <w:style w:type="character" w:customStyle="1" w:styleId="39">
    <w:name w:val="文档结构图 Char"/>
    <w:link w:val="7"/>
    <w:semiHidden/>
    <w:qFormat/>
    <w:locked/>
    <w:uiPriority w:val="99"/>
    <w:rPr>
      <w:rFonts w:ascii="宋体" w:hAnsi="Tahoma" w:eastAsia="宋体" w:cs="宋体"/>
      <w:kern w:val="0"/>
      <w:sz w:val="18"/>
      <w:szCs w:val="18"/>
    </w:rPr>
  </w:style>
  <w:style w:type="character" w:customStyle="1" w:styleId="40">
    <w:name w:val="标题 4 Char"/>
    <w:basedOn w:val="24"/>
    <w:link w:val="5"/>
    <w:qFormat/>
    <w:uiPriority w:val="0"/>
    <w:rPr>
      <w:rFonts w:ascii="Times New Roman" w:hAnsi="Times New Roman"/>
      <w:b/>
      <w:kern w:val="2"/>
      <w:sz w:val="28"/>
      <w:szCs w:val="28"/>
    </w:rPr>
  </w:style>
  <w:style w:type="paragraph" w:customStyle="1" w:styleId="41">
    <w:name w:val="陈光的正文"/>
    <w:basedOn w:val="1"/>
    <w:qFormat/>
    <w:uiPriority w:val="0"/>
    <w:pPr>
      <w:widowControl w:val="0"/>
      <w:spacing w:beforeLines="10" w:afterLines="10"/>
      <w:ind w:firstLine="560"/>
    </w:pPr>
    <w:rPr>
      <w:rFonts w:ascii="Times New Roman" w:hAnsi="Times New Roman" w:eastAsia="宋体" w:cs="Times New Roman"/>
      <w:kern w:val="2"/>
      <w:sz w:val="28"/>
      <w:szCs w:val="20"/>
    </w:rPr>
  </w:style>
  <w:style w:type="character" w:customStyle="1" w:styleId="42">
    <w:name w:val="标题 1 Char"/>
    <w:basedOn w:val="24"/>
    <w:link w:val="3"/>
    <w:qFormat/>
    <w:uiPriority w:val="9"/>
    <w:rPr>
      <w:rFonts w:ascii="Tahoma" w:hAnsi="Tahoma" w:eastAsia="微软雅黑" w:cs="Tahoma"/>
      <w:b/>
      <w:bCs/>
      <w:kern w:val="44"/>
      <w:sz w:val="44"/>
      <w:szCs w:val="44"/>
    </w:rPr>
  </w:style>
  <w:style w:type="paragraph" w:customStyle="1" w:styleId="43">
    <w:name w:val="文字描述"/>
    <w:basedOn w:val="1"/>
    <w:qFormat/>
    <w:uiPriority w:val="0"/>
    <w:pPr>
      <w:adjustRightInd w:val="0"/>
      <w:snapToGrid w:val="0"/>
      <w:spacing w:line="360" w:lineRule="auto"/>
      <w:ind w:firstLine="200" w:firstLineChars="200"/>
    </w:pPr>
    <w:rPr>
      <w:spacing w:val="-2"/>
      <w:sz w:val="24"/>
      <w:szCs w:val="24"/>
    </w:rPr>
  </w:style>
  <w:style w:type="character" w:customStyle="1" w:styleId="44">
    <w:name w:val="fontstyle01"/>
    <w:qFormat/>
    <w:uiPriority w:val="0"/>
    <w:rPr>
      <w:rFonts w:hint="eastAsia" w:ascii="宋体" w:hAnsi="宋体" w:eastAsia="宋体"/>
      <w:color w:val="000000"/>
      <w:sz w:val="24"/>
      <w:szCs w:val="24"/>
    </w:rPr>
  </w:style>
  <w:style w:type="paragraph" w:customStyle="1" w:styleId="45">
    <w:name w:val="正文 C"/>
    <w:basedOn w:val="46"/>
    <w:qFormat/>
    <w:uiPriority w:val="0"/>
    <w:pPr>
      <w:ind w:firstLine="200"/>
    </w:pPr>
    <w:rPr>
      <w:rFonts w:eastAsia="宋体"/>
    </w:rPr>
  </w:style>
  <w:style w:type="paragraph" w:customStyle="1" w:styleId="46">
    <w:name w:val="样式 正文C + 首行缩进:  2 字符"/>
    <w:basedOn w:val="47"/>
    <w:qFormat/>
    <w:uiPriority w:val="0"/>
    <w:pPr>
      <w:ind w:firstLine="480"/>
    </w:pPr>
    <w:rPr>
      <w:rFonts w:cs="宋体"/>
      <w:szCs w:val="20"/>
    </w:rPr>
  </w:style>
  <w:style w:type="paragraph" w:customStyle="1" w:styleId="47">
    <w:name w:val="正文C"/>
    <w:basedOn w:val="1"/>
    <w:next w:val="1"/>
    <w:qFormat/>
    <w:uiPriority w:val="0"/>
  </w:style>
  <w:style w:type="paragraph" w:customStyle="1" w:styleId="48">
    <w:name w:val="Body Text First Indent 21"/>
    <w:basedOn w:val="49"/>
    <w:qFormat/>
    <w:uiPriority w:val="0"/>
    <w:pPr>
      <w:ind w:firstLine="420" w:firstLineChars="200"/>
    </w:pPr>
  </w:style>
  <w:style w:type="paragraph" w:customStyle="1" w:styleId="49">
    <w:name w:val="Body Text Indent1"/>
    <w:basedOn w:val="1"/>
    <w:qFormat/>
    <w:uiPriority w:val="0"/>
    <w:pPr>
      <w:spacing w:after="120" w:afterLines="0"/>
      <w:ind w:left="420" w:left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Company</Company>
  <Pages>6</Pages>
  <Words>3392</Words>
  <Characters>3829</Characters>
  <Lines>49</Lines>
  <Paragraphs>13</Paragraphs>
  <TotalTime>4</TotalTime>
  <ScaleCrop>false</ScaleCrop>
  <LinksUpToDate>false</LinksUpToDate>
  <CharactersWithSpaces>3834</CharactersWithSpaces>
  <Application>WPS Office_12.1.0.15336_F1E327BC-269C-435d-A152-05C5408002CA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2017-12-20T07:30:00Z</dcterms:created>
  <dc:creator>fay</dc:creator>
  <cp:lastModifiedBy>六月</cp:lastModifiedBy>
  <cp:lastPrinted>2022-03-22T07:06:00Z</cp:lastPrinted>
  <dcterms:modified xsi:type="dcterms:W3CDTF">2023-08-16T02:32:00Z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2052-12.1.0.15336</vt:lpwstr>
  </property>
  <property fmtid="{D5CDD505-2E9C-101B-9397-08002B2CF9AE}" pid="3" name="ICV">
    <vt:lpwstr>CB9D0B4038C242BD806CE55AE569A3B2</vt:lpwstr>
  </property>
</Properties>
</file>