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cs="Times New Roman" w:eastAsiaTheme="minorEastAsia"/>
          <w:b/>
          <w:color w:val="000000" w:themeColor="text1"/>
          <w:sz w:val="48"/>
          <w:szCs w:val="48"/>
          <w14:textFill>
            <w14:solidFill>
              <w14:schemeClr w14:val="tx1"/>
            </w14:solidFill>
          </w14:textFill>
        </w:rPr>
      </w:pPr>
      <w:bookmarkStart w:id="0" w:name="_Hlk496950128"/>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cs="Times New Roman" w:eastAsiaTheme="minorEastAsia"/>
          <w:b/>
          <w:color w:val="000000" w:themeColor="text1"/>
          <w:sz w:val="48"/>
          <w:szCs w:val="4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cs="Times New Roman" w:eastAsiaTheme="minorEastAsia"/>
          <w:b/>
          <w:color w:val="000000" w:themeColor="text1"/>
          <w:sz w:val="48"/>
          <w:szCs w:val="4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imes New Roman" w:hAnsi="Times New Roman" w:cs="Times New Roman" w:eastAsiaTheme="minorEastAsia"/>
          <w:b/>
          <w:color w:val="000000" w:themeColor="text1"/>
          <w:sz w:val="48"/>
          <w:szCs w:val="48"/>
          <w14:textFill>
            <w14:solidFill>
              <w14:schemeClr w14:val="tx1"/>
            </w14:solidFill>
          </w14:textFill>
        </w:rPr>
      </w:pPr>
      <w:r>
        <w:rPr>
          <w:rFonts w:hint="eastAsia" w:ascii="Times New Roman" w:hAnsi="Times New Roman" w:cs="Times New Roman" w:eastAsiaTheme="minorEastAsia"/>
          <w:b/>
          <w:color w:val="000000" w:themeColor="text1"/>
          <w:sz w:val="48"/>
          <w:szCs w:val="48"/>
          <w14:textFill>
            <w14:solidFill>
              <w14:schemeClr w14:val="tx1"/>
            </w14:solidFill>
          </w14:textFill>
        </w:rPr>
        <w:t>开滦（集团）有限责任公司唐山矿业分公司块石场封闭工程项目</w:t>
      </w:r>
      <w:r>
        <w:rPr>
          <w:rFonts w:ascii="Times New Roman" w:hAnsi="Times New Roman" w:cs="Times New Roman" w:eastAsiaTheme="minorEastAsia"/>
          <w:b/>
          <w:color w:val="000000" w:themeColor="text1"/>
          <w:sz w:val="48"/>
          <w:szCs w:val="48"/>
          <w14:textFill>
            <w14:solidFill>
              <w14:schemeClr w14:val="tx1"/>
            </w14:solidFill>
          </w14:textFill>
        </w:rPr>
        <w:t>竣工环境保护验收报告</w:t>
      </w: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pStyle w:val="64"/>
        <w:rPr>
          <w:rFonts w:ascii="Times New Roman" w:hAnsi="Times New Roman" w:eastAsiaTheme="minorEastAsia"/>
          <w:color w:val="000000" w:themeColor="text1"/>
          <w14:textFill>
            <w14:solidFill>
              <w14:schemeClr w14:val="tx1"/>
            </w14:solidFill>
          </w14:textFill>
        </w:rPr>
      </w:pPr>
    </w:p>
    <w:p>
      <w:pPr>
        <w:pStyle w:val="64"/>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imes New Roman" w:hAnsi="Times New Roman" w:eastAsiaTheme="minorEastAsia"/>
          <w:b/>
          <w:color w:val="000000" w:themeColor="text1"/>
          <w:sz w:val="36"/>
          <w:szCs w:val="32"/>
          <w14:textFill>
            <w14:solidFill>
              <w14:schemeClr w14:val="tx1"/>
            </w14:solidFill>
          </w14:textFill>
        </w:rPr>
      </w:pPr>
      <w:r>
        <w:rPr>
          <w:rFonts w:hint="eastAsia" w:ascii="Times New Roman" w:hAnsi="Times New Roman" w:eastAsiaTheme="minorEastAsia"/>
          <w:b/>
          <w:color w:val="000000" w:themeColor="text1"/>
          <w:sz w:val="36"/>
          <w:szCs w:val="32"/>
          <w:lang w:val="en-US" w:eastAsia="zh-CN"/>
          <w14:textFill>
            <w14:solidFill>
              <w14:schemeClr w14:val="tx1"/>
            </w14:solidFill>
          </w14:textFill>
        </w:rPr>
        <w:t>编制</w:t>
      </w:r>
      <w:r>
        <w:rPr>
          <w:rFonts w:ascii="Times New Roman" w:hAnsi="Times New Roman" w:eastAsiaTheme="minorEastAsia"/>
          <w:b/>
          <w:color w:val="000000" w:themeColor="text1"/>
          <w:sz w:val="36"/>
          <w:szCs w:val="32"/>
          <w14:textFill>
            <w14:solidFill>
              <w14:schemeClr w14:val="tx1"/>
            </w14:solidFill>
          </w14:textFill>
        </w:rPr>
        <w:t>单位：</w:t>
      </w:r>
      <w:r>
        <w:rPr>
          <w:rFonts w:hint="eastAsia" w:ascii="Times New Roman" w:hAnsi="Times New Roman" w:eastAsiaTheme="minorEastAsia"/>
          <w:b/>
          <w:color w:val="000000" w:themeColor="text1"/>
          <w:sz w:val="36"/>
          <w:szCs w:val="32"/>
          <w14:textFill>
            <w14:solidFill>
              <w14:schemeClr w14:val="tx1"/>
            </w14:solidFill>
          </w14:textFill>
        </w:rPr>
        <w:t>开滦（集团）有限责任公司</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imes New Roman" w:hAnsi="Times New Roman" w:eastAsiaTheme="minorEastAsia"/>
          <w:b/>
          <w:color w:val="000000" w:themeColor="text1"/>
          <w:sz w:val="36"/>
          <w:szCs w:val="32"/>
          <w14:textFill>
            <w14:solidFill>
              <w14:schemeClr w14:val="tx1"/>
            </w14:solidFill>
          </w14:textFill>
        </w:rPr>
      </w:pPr>
      <w:r>
        <w:rPr>
          <w:rFonts w:hint="eastAsia" w:ascii="Times New Roman" w:hAnsi="Times New Roman" w:eastAsiaTheme="minorEastAsia"/>
          <w:b/>
          <w:color w:val="000000" w:themeColor="text1"/>
          <w:sz w:val="36"/>
          <w:szCs w:val="32"/>
          <w14:textFill>
            <w14:solidFill>
              <w14:schemeClr w14:val="tx1"/>
            </w14:solidFill>
          </w14:textFill>
        </w:rPr>
        <w:t>唐山矿业分公司</w:t>
      </w:r>
    </w:p>
    <w:p>
      <w:pPr>
        <w:keepNext w:val="0"/>
        <w:keepLines w:val="0"/>
        <w:pageBreakBefore w:val="0"/>
        <w:widowControl w:val="0"/>
        <w:kinsoku/>
        <w:wordWrap/>
        <w:overflowPunct/>
        <w:topLinePunct w:val="0"/>
        <w:autoSpaceDE/>
        <w:autoSpaceDN/>
        <w:bidi w:val="0"/>
        <w:adjustRightInd/>
        <w:snapToGrid/>
        <w:jc w:val="center"/>
        <w:textAlignment w:val="auto"/>
        <w:outlineLvl w:val="9"/>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eastAsiaTheme="minorEastAsia"/>
          <w:b/>
          <w:color w:val="000000" w:themeColor="text1"/>
          <w:sz w:val="36"/>
          <w:szCs w:val="32"/>
          <w14:textFill>
            <w14:solidFill>
              <w14:schemeClr w14:val="tx1"/>
            </w14:solidFill>
          </w14:textFill>
        </w:rPr>
        <w:t>编制时间：</w:t>
      </w:r>
      <w:r>
        <w:rPr>
          <w:rFonts w:ascii="Times New Roman" w:hAnsi="Times New Roman" w:eastAsiaTheme="minorEastAsia"/>
          <w:b/>
          <w:color w:val="000000" w:themeColor="text1"/>
          <w:sz w:val="36"/>
          <w:szCs w:val="32"/>
          <w:highlight w:val="none"/>
          <w14:textFill>
            <w14:solidFill>
              <w14:schemeClr w14:val="tx1"/>
            </w14:solidFill>
          </w14:textFill>
        </w:rPr>
        <w:t>二</w:t>
      </w:r>
      <w:r>
        <w:rPr>
          <w:rFonts w:hint="eastAsia" w:ascii="Times New Roman" w:hAnsi="Times New Roman" w:eastAsiaTheme="minorEastAsia"/>
          <w:b/>
          <w:color w:val="000000" w:themeColor="text1"/>
          <w:sz w:val="36"/>
          <w:szCs w:val="32"/>
          <w:highlight w:val="none"/>
          <w14:textFill>
            <w14:solidFill>
              <w14:schemeClr w14:val="tx1"/>
            </w14:solidFill>
          </w14:textFill>
        </w:rPr>
        <w:t>〇</w:t>
      </w:r>
      <w:r>
        <w:rPr>
          <w:rFonts w:ascii="Times New Roman" w:hAnsi="Times New Roman" w:eastAsiaTheme="minorEastAsia"/>
          <w:b/>
          <w:color w:val="000000" w:themeColor="text1"/>
          <w:sz w:val="36"/>
          <w:szCs w:val="32"/>
          <w:highlight w:val="none"/>
          <w14:textFill>
            <w14:solidFill>
              <w14:schemeClr w14:val="tx1"/>
            </w14:solidFill>
          </w14:textFill>
        </w:rPr>
        <w:t>二</w:t>
      </w:r>
      <w:r>
        <w:rPr>
          <w:rFonts w:hint="eastAsia" w:ascii="Times New Roman" w:hAnsi="Times New Roman" w:eastAsiaTheme="minorEastAsia"/>
          <w:b/>
          <w:color w:val="000000" w:themeColor="text1"/>
          <w:sz w:val="36"/>
          <w:szCs w:val="32"/>
          <w:highlight w:val="none"/>
          <w:lang w:val="en-US" w:eastAsia="zh-CN"/>
          <w14:textFill>
            <w14:solidFill>
              <w14:schemeClr w14:val="tx1"/>
            </w14:solidFill>
          </w14:textFill>
        </w:rPr>
        <w:t>三</w:t>
      </w:r>
      <w:r>
        <w:rPr>
          <w:rFonts w:ascii="Times New Roman" w:hAnsi="Times New Roman" w:eastAsiaTheme="minorEastAsia"/>
          <w:b/>
          <w:color w:val="000000" w:themeColor="text1"/>
          <w:sz w:val="36"/>
          <w:szCs w:val="32"/>
          <w:highlight w:val="none"/>
          <w14:textFill>
            <w14:solidFill>
              <w14:schemeClr w14:val="tx1"/>
            </w14:solidFill>
          </w14:textFill>
        </w:rPr>
        <w:t>年</w:t>
      </w:r>
      <w:r>
        <w:rPr>
          <w:rFonts w:hint="eastAsia" w:ascii="Times New Roman" w:hAnsi="Times New Roman" w:eastAsiaTheme="minorEastAsia"/>
          <w:b/>
          <w:color w:val="000000" w:themeColor="text1"/>
          <w:sz w:val="36"/>
          <w:szCs w:val="32"/>
          <w:highlight w:val="none"/>
          <w:lang w:val="en-US" w:eastAsia="zh-CN"/>
          <w14:textFill>
            <w14:solidFill>
              <w14:schemeClr w14:val="tx1"/>
            </w14:solidFill>
          </w14:textFill>
        </w:rPr>
        <w:t>十一</w:t>
      </w:r>
      <w:r>
        <w:rPr>
          <w:rFonts w:ascii="Times New Roman" w:hAnsi="Times New Roman" w:eastAsiaTheme="minorEastAsia"/>
          <w:b/>
          <w:color w:val="000000" w:themeColor="text1"/>
          <w:sz w:val="36"/>
          <w:szCs w:val="32"/>
          <w:highlight w:val="none"/>
          <w14:textFill>
            <w14:solidFill>
              <w14:schemeClr w14:val="tx1"/>
            </w14:solidFill>
          </w14:textFill>
        </w:rPr>
        <w:t>月</w:t>
      </w:r>
    </w:p>
    <w:bookmarkEnd w:id="0"/>
    <w:p>
      <w:pPr>
        <w:rPr>
          <w:rFonts w:hint="eastAsia" w:ascii="Times New Roman" w:hAnsi="Times New Roman" w:eastAsiaTheme="minorEastAsia"/>
          <w:color w:val="auto"/>
          <w:sz w:val="28"/>
          <w:szCs w:val="28"/>
          <w:lang w:eastAsia="zh-CN"/>
        </w:rPr>
      </w:pPr>
      <w:r>
        <w:rPr>
          <w:rFonts w:ascii="Times New Roman" w:hAnsi="Times New Roman" w:eastAsiaTheme="minorEastAsia"/>
          <w:color w:val="auto"/>
          <w:sz w:val="28"/>
          <w:szCs w:val="28"/>
        </w:rPr>
        <w:t>建设单位：</w:t>
      </w:r>
      <w:r>
        <w:rPr>
          <w:rFonts w:hint="eastAsia" w:ascii="Times New Roman" w:hAnsi="Times New Roman" w:eastAsiaTheme="minorEastAsia"/>
          <w:color w:val="auto"/>
          <w:sz w:val="28"/>
          <w:szCs w:val="28"/>
        </w:rPr>
        <w:t>开滦（集团）有限责任公司唐山矿业分公司</w:t>
      </w:r>
    </w:p>
    <w:p>
      <w:pPr>
        <w:jc w:val="left"/>
        <w:rPr>
          <w:rFonts w:hint="eastAsia" w:ascii="Times New Roman" w:hAnsi="Times New Roman" w:eastAsiaTheme="minorEastAsia"/>
          <w:color w:val="auto"/>
          <w:sz w:val="28"/>
          <w:szCs w:val="28"/>
          <w:lang w:val="en-US" w:eastAsia="zh-CN"/>
        </w:rPr>
      </w:pPr>
      <w:r>
        <w:rPr>
          <w:rFonts w:ascii="Times New Roman" w:hAnsi="Times New Roman" w:eastAsiaTheme="minorEastAsia"/>
          <w:color w:val="auto"/>
          <w:sz w:val="28"/>
          <w:szCs w:val="28"/>
        </w:rPr>
        <w:t>法人代表：</w:t>
      </w:r>
      <w:r>
        <w:rPr>
          <w:rFonts w:hint="eastAsia" w:ascii="Times New Roman" w:hAnsi="Times New Roman" w:eastAsiaTheme="minorEastAsia"/>
          <w:color w:val="auto"/>
          <w:sz w:val="28"/>
          <w:szCs w:val="28"/>
          <w:highlight w:val="none"/>
          <w:lang w:val="en-US" w:eastAsia="zh-CN"/>
        </w:rPr>
        <w:t>张庆华</w:t>
      </w:r>
    </w:p>
    <w:p>
      <w:pPr>
        <w:jc w:val="left"/>
        <w:rPr>
          <w:rFonts w:hint="eastAsia" w:ascii="Times New Roman" w:hAnsi="Times New Roman" w:eastAsiaTheme="minorEastAsia"/>
          <w:color w:val="auto"/>
          <w:sz w:val="28"/>
          <w:szCs w:val="28"/>
          <w:highlight w:val="none"/>
          <w:lang w:eastAsia="zh-CN"/>
        </w:rPr>
      </w:pPr>
      <w:r>
        <w:rPr>
          <w:rFonts w:ascii="Times New Roman" w:hAnsi="Times New Roman" w:eastAsiaTheme="minorEastAsia"/>
          <w:color w:val="auto"/>
          <w:sz w:val="28"/>
          <w:szCs w:val="28"/>
          <w:highlight w:val="none"/>
        </w:rPr>
        <w:t>项目负责人：</w:t>
      </w:r>
      <w:r>
        <w:rPr>
          <w:rFonts w:hint="eastAsia" w:ascii="Times New Roman" w:hAnsi="Times New Roman" w:eastAsiaTheme="minorEastAsia"/>
          <w:color w:val="auto"/>
          <w:sz w:val="28"/>
          <w:szCs w:val="28"/>
          <w:highlight w:val="none"/>
          <w:lang w:val="en-US" w:eastAsia="zh-CN"/>
        </w:rPr>
        <w:t>李艳娜</w:t>
      </w: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ind w:left="0" w:leftChars="0" w:firstLine="0" w:firstLineChars="0"/>
        <w:rPr>
          <w:color w:val="auto"/>
          <w:sz w:val="20"/>
          <w:szCs w:val="21"/>
        </w:rPr>
      </w:pPr>
    </w:p>
    <w:p>
      <w:pPr>
        <w:pStyle w:val="7"/>
        <w:rPr>
          <w:color w:val="auto"/>
          <w:sz w:val="20"/>
          <w:szCs w:val="21"/>
        </w:rPr>
      </w:pPr>
    </w:p>
    <w:p>
      <w:pPr>
        <w:jc w:val="left"/>
        <w:rPr>
          <w:rFonts w:hint="eastAsia" w:ascii="Times New Roman" w:hAnsi="Times New Roman" w:eastAsiaTheme="minorEastAsia"/>
          <w:color w:val="auto"/>
          <w:sz w:val="28"/>
          <w:szCs w:val="28"/>
          <w:lang w:eastAsia="zh-CN"/>
        </w:rPr>
      </w:pPr>
      <w:r>
        <w:rPr>
          <w:rFonts w:ascii="Times New Roman" w:hAnsi="Times New Roman" w:eastAsiaTheme="minorEastAsia"/>
          <w:color w:val="auto"/>
          <w:sz w:val="28"/>
          <w:szCs w:val="28"/>
        </w:rPr>
        <w:t>电话：</w:t>
      </w:r>
      <w:r>
        <w:rPr>
          <w:rFonts w:hint="eastAsia" w:ascii="Times New Roman" w:hAnsi="Times New Roman" w:eastAsiaTheme="minorEastAsia"/>
          <w:color w:val="auto"/>
          <w:sz w:val="28"/>
          <w:szCs w:val="28"/>
        </w:rPr>
        <w:t>15175498082</w:t>
      </w:r>
    </w:p>
    <w:p>
      <w:pPr>
        <w:jc w:val="left"/>
        <w:rPr>
          <w:rFonts w:hint="eastAsia" w:ascii="Times New Roman" w:hAnsi="Times New Roman" w:eastAsiaTheme="minorEastAsia"/>
          <w:color w:val="auto"/>
          <w:sz w:val="28"/>
          <w:szCs w:val="28"/>
          <w:lang w:eastAsia="zh-CN"/>
        </w:rPr>
      </w:pPr>
      <w:r>
        <w:rPr>
          <w:rFonts w:ascii="Times New Roman" w:hAnsi="Times New Roman" w:eastAsiaTheme="minorEastAsia"/>
          <w:color w:val="auto"/>
          <w:sz w:val="28"/>
          <w:szCs w:val="28"/>
        </w:rPr>
        <w:t>传真：</w:t>
      </w:r>
      <w:r>
        <w:rPr>
          <w:rFonts w:hint="eastAsia" w:ascii="Times New Roman" w:hAnsi="Times New Roman" w:eastAsiaTheme="minorEastAsia"/>
          <w:color w:val="auto"/>
          <w:sz w:val="28"/>
          <w:szCs w:val="28"/>
          <w:lang w:val="en-US" w:eastAsia="zh-CN"/>
        </w:rPr>
        <w:t>/</w:t>
      </w:r>
    </w:p>
    <w:p>
      <w:pPr>
        <w:jc w:val="left"/>
        <w:rPr>
          <w:rFonts w:hint="eastAsia" w:ascii="Times New Roman" w:hAnsi="Times New Roman" w:eastAsiaTheme="minorEastAsia"/>
          <w:color w:val="auto"/>
          <w:sz w:val="28"/>
          <w:szCs w:val="28"/>
          <w:lang w:eastAsia="zh-CN"/>
        </w:rPr>
      </w:pPr>
      <w:r>
        <w:rPr>
          <w:rFonts w:ascii="Times New Roman" w:hAnsi="Times New Roman" w:eastAsiaTheme="minorEastAsia"/>
          <w:color w:val="auto"/>
          <w:sz w:val="28"/>
          <w:szCs w:val="28"/>
        </w:rPr>
        <w:t>邮编：</w:t>
      </w:r>
      <w:r>
        <w:rPr>
          <w:rFonts w:hint="eastAsia" w:ascii="Times New Roman" w:hAnsi="Times New Roman" w:eastAsiaTheme="minorEastAsia"/>
          <w:color w:val="auto"/>
          <w:sz w:val="28"/>
          <w:szCs w:val="28"/>
          <w:lang w:val="en-US" w:eastAsia="zh-CN"/>
        </w:rPr>
        <w:t>063003</w:t>
      </w:r>
    </w:p>
    <w:p>
      <w:pPr>
        <w:jc w:val="left"/>
        <w:rPr>
          <w:rFonts w:hint="eastAsia" w:ascii="Times New Roman" w:hAnsi="Times New Roman" w:eastAsiaTheme="minorEastAsia"/>
          <w:b/>
          <w:bCs/>
          <w:color w:val="000000" w:themeColor="text1"/>
          <w:sz w:val="24"/>
          <w:szCs w:val="24"/>
          <w:highlight w:val="none"/>
          <w:lang w:val="en-US" w:eastAsia="zh-CN"/>
          <w14:textFill>
            <w14:solidFill>
              <w14:schemeClr w14:val="tx1"/>
            </w14:solidFill>
          </w14:textFill>
        </w:rPr>
      </w:pPr>
      <w:r>
        <w:rPr>
          <w:rFonts w:ascii="Times New Roman" w:hAnsi="Times New Roman" w:eastAsiaTheme="minorEastAsia"/>
          <w:color w:val="auto"/>
          <w:sz w:val="28"/>
          <w:szCs w:val="28"/>
        </w:rPr>
        <w:t>地址：</w:t>
      </w:r>
      <w:r>
        <w:rPr>
          <w:rFonts w:hint="eastAsia" w:ascii="Times New Roman" w:hAnsi="Times New Roman" w:eastAsiaTheme="minorEastAsia"/>
          <w:color w:val="auto"/>
          <w:sz w:val="28"/>
          <w:szCs w:val="28"/>
          <w:lang w:val="en-US" w:eastAsia="zh-CN"/>
        </w:rPr>
        <w:t>河北省唐山市路南区唐山矿风井工业广场内部</w:t>
      </w:r>
      <w:r>
        <w:rPr>
          <w:rFonts w:hint="eastAsia" w:ascii="Times New Roman" w:hAnsi="Times New Roman" w:eastAsiaTheme="minorEastAsia"/>
          <w:color w:val="auto"/>
          <w:sz w:val="28"/>
          <w:szCs w:val="28"/>
          <w:lang w:eastAsia="zh-CN"/>
        </w:rPr>
        <w:t>。</w:t>
      </w:r>
      <w:r>
        <w:rPr>
          <w:rFonts w:hint="eastAsia" w:ascii="Times New Roman" w:hAnsi="Times New Roman" w:eastAsiaTheme="minorEastAsia"/>
          <w:b/>
          <w:bCs/>
          <w:color w:val="000000" w:themeColor="text1"/>
          <w:sz w:val="24"/>
          <w:szCs w:val="24"/>
          <w:highlight w:val="none"/>
          <w:lang w:val="en-US" w:eastAsia="zh-CN"/>
          <w14:textFill>
            <w14:solidFill>
              <w14:schemeClr w14:val="tx1"/>
            </w14:solidFill>
          </w14:textFill>
        </w:rPr>
        <w:br w:type="page"/>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pPr>
      <w:r>
        <w:rPr>
          <w:rFonts w:hint="eastAsia" w:ascii="Times New Roman" w:hAnsi="Times New Roman" w:eastAsiaTheme="minorEastAsia"/>
          <w:b/>
          <w:bCs/>
          <w:color w:val="000000" w:themeColor="text1"/>
          <w:sz w:val="24"/>
          <w:szCs w:val="24"/>
          <w:highlight w:val="none"/>
          <w:lang w:val="en-US" w:eastAsia="zh-CN"/>
          <w14:textFill>
            <w14:solidFill>
              <w14:schemeClr w14:val="tx1"/>
            </w14:solidFill>
          </w14:textFill>
        </w:rPr>
        <w:t>附图</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附图1项目地理位置图</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附图2项目</w:t>
      </w:r>
      <w:r>
        <w:rPr>
          <w:rFonts w:hint="eastAsia" w:ascii="Times New Roman" w:hAnsi="Times New Roman" w:eastAsiaTheme="minorEastAsia"/>
          <w:color w:val="000000" w:themeColor="text1"/>
          <w:sz w:val="24"/>
          <w:szCs w:val="24"/>
          <w:highlight w:val="none"/>
          <w14:textFill>
            <w14:solidFill>
              <w14:schemeClr w14:val="tx1"/>
            </w14:solidFill>
          </w14:textFill>
        </w:rPr>
        <w:t>周边</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关系</w:t>
      </w:r>
      <w:r>
        <w:rPr>
          <w:rFonts w:ascii="Times New Roman" w:hAnsi="Times New Roman" w:eastAsiaTheme="minorEastAsia"/>
          <w:color w:val="000000" w:themeColor="text1"/>
          <w:sz w:val="24"/>
          <w:szCs w:val="24"/>
          <w:highlight w:val="none"/>
          <w14:textFill>
            <w14:solidFill>
              <w14:schemeClr w14:val="tx1"/>
            </w14:solidFill>
          </w14:textFill>
        </w:rPr>
        <w:t>图</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附图</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3厂区</w:t>
      </w:r>
      <w:r>
        <w:rPr>
          <w:rFonts w:hint="eastAsia" w:ascii="Times New Roman" w:hAnsi="Times New Roman" w:eastAsiaTheme="minorEastAsia"/>
          <w:color w:val="000000" w:themeColor="text1"/>
          <w:sz w:val="24"/>
          <w:szCs w:val="24"/>
          <w:highlight w:val="none"/>
          <w14:textFill>
            <w14:solidFill>
              <w14:schemeClr w14:val="tx1"/>
            </w14:solidFill>
          </w14:textFill>
        </w:rPr>
        <w:t>平面布置</w:t>
      </w:r>
      <w:r>
        <w:rPr>
          <w:rFonts w:ascii="Times New Roman" w:hAnsi="Times New Roman" w:eastAsiaTheme="minorEastAsia"/>
          <w:color w:val="000000" w:themeColor="text1"/>
          <w:sz w:val="24"/>
          <w:szCs w:val="24"/>
          <w:highlight w:val="none"/>
          <w14:textFill>
            <w14:solidFill>
              <w14:schemeClr w14:val="tx1"/>
            </w14:solidFill>
          </w14:textFill>
        </w:rPr>
        <w:t>图；</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b/>
          <w:bCs/>
          <w:color w:val="000000" w:themeColor="text1"/>
          <w:sz w:val="24"/>
          <w:szCs w:val="24"/>
          <w:highlight w:val="none"/>
          <w:lang w:val="en-US" w:eastAsia="zh-CN"/>
          <w14:textFill>
            <w14:solidFill>
              <w14:schemeClr w14:val="tx1"/>
            </w14:solidFill>
          </w14:textFill>
        </w:rPr>
      </w:pPr>
      <w:r>
        <w:rPr>
          <w:rFonts w:hint="eastAsia" w:ascii="Times New Roman" w:hAnsi="Times New Roman" w:eastAsiaTheme="minorEastAsia"/>
          <w:b/>
          <w:bCs/>
          <w:color w:val="000000" w:themeColor="text1"/>
          <w:sz w:val="24"/>
          <w:szCs w:val="24"/>
          <w:highlight w:val="none"/>
          <w:lang w:val="en-US" w:eastAsia="zh-CN"/>
          <w14:textFill>
            <w14:solidFill>
              <w14:schemeClr w14:val="tx1"/>
            </w14:solidFill>
          </w14:textFill>
        </w:rPr>
        <w:t>附件</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Theme="minorEastAsia"/>
          <w:color w:val="000000" w:themeColor="text1"/>
          <w:sz w:val="24"/>
          <w:szCs w:val="24"/>
          <w:highlight w:val="none"/>
          <w:lang w:val="en-US" w:eastAsia="zh-CN"/>
          <w14:textFill>
            <w14:solidFill>
              <w14:schemeClr w14:val="tx1"/>
            </w14:solidFill>
          </w14:textFill>
        </w:rPr>
      </w:pP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附件1营业执照</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附件</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2建设项目环境影响登记表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pP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附件3排污许可证</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lang w:val="en-US" w:eastAsia="zh-CN"/>
        </w:rPr>
      </w:pP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附件4应急预案备案表</w:t>
      </w:r>
      <w:bookmarkStart w:id="47" w:name="_GoBack"/>
      <w:bookmarkEnd w:id="47"/>
    </w:p>
    <w:p>
      <w:pPr>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olor w:val="auto"/>
          <w:sz w:val="24"/>
          <w:szCs w:val="24"/>
          <w:highlight w:val="none"/>
        </w:rPr>
      </w:pPr>
      <w:r>
        <w:rPr>
          <w:rFonts w:hint="eastAsia" w:ascii="Times New Roman" w:hAnsi="Times New Roman" w:eastAsiaTheme="minorEastAsia"/>
          <w:color w:val="000000" w:themeColor="text1"/>
          <w:sz w:val="24"/>
          <w:szCs w:val="24"/>
          <w:highlight w:val="none"/>
          <w14:textFill>
            <w14:solidFill>
              <w14:schemeClr w14:val="tx1"/>
            </w14:solidFill>
          </w14:textFill>
        </w:rPr>
        <w:t>附件</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5</w:t>
      </w:r>
      <w:r>
        <w:rPr>
          <w:rFonts w:hint="default" w:ascii="Times New Roman" w:hAnsi="Times New Roman" w:eastAsiaTheme="minorEastAsia"/>
          <w:color w:val="000000" w:themeColor="text1"/>
          <w:sz w:val="24"/>
          <w:szCs w:val="24"/>
          <w:highlight w:val="none"/>
          <w:lang w:eastAsia="zh-CN"/>
          <w14:textFill>
            <w14:solidFill>
              <w14:schemeClr w14:val="tx1"/>
            </w14:solidFill>
          </w14:textFill>
        </w:rPr>
        <w:t>唐山赫力环境检测</w:t>
      </w: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有限</w:t>
      </w:r>
      <w:r>
        <w:rPr>
          <w:rFonts w:hint="eastAsia" w:ascii="Times New Roman" w:hAnsi="Times New Roman" w:eastAsiaTheme="minorEastAsia"/>
          <w:color w:val="auto"/>
          <w:sz w:val="24"/>
          <w:szCs w:val="24"/>
          <w:highlight w:val="none"/>
          <w:lang w:eastAsia="zh-CN"/>
        </w:rPr>
        <w:t>公司</w:t>
      </w:r>
      <w:r>
        <w:rPr>
          <w:rFonts w:hint="eastAsia" w:ascii="Times New Roman" w:hAnsi="Times New Roman" w:eastAsiaTheme="minorEastAsia"/>
          <w:color w:val="auto"/>
          <w:sz w:val="24"/>
          <w:szCs w:val="24"/>
          <w:highlight w:val="none"/>
        </w:rPr>
        <w:t>，《</w:t>
      </w:r>
      <w:r>
        <w:rPr>
          <w:rFonts w:hint="default" w:ascii="Times New Roman" w:hAnsi="Times New Roman" w:eastAsia="宋体" w:cs="Times New Roman"/>
          <w:color w:val="auto"/>
          <w:sz w:val="24"/>
          <w:szCs w:val="24"/>
        </w:rPr>
        <w:t>开滦（集团）有限责任公司唐山矿业分公司关于块石场封闭工程环保专项验收检测项目</w:t>
      </w:r>
      <w:r>
        <w:rPr>
          <w:rFonts w:hint="eastAsia" w:ascii="Times New Roman" w:hAnsi="Times New Roman" w:eastAsiaTheme="minorEastAsia"/>
          <w:color w:val="auto"/>
          <w:sz w:val="24"/>
          <w:szCs w:val="24"/>
          <w:highlight w:val="none"/>
        </w:rPr>
        <w:t>》（赫力环检字（2023）验第923号，20</w:t>
      </w:r>
      <w:r>
        <w:rPr>
          <w:rFonts w:hint="eastAsia" w:ascii="Times New Roman" w:hAnsi="Times New Roman" w:eastAsiaTheme="minorEastAsia"/>
          <w:color w:val="auto"/>
          <w:sz w:val="24"/>
          <w:szCs w:val="24"/>
          <w:highlight w:val="none"/>
          <w:lang w:val="en-US" w:eastAsia="zh-CN"/>
        </w:rPr>
        <w:t>23</w:t>
      </w:r>
      <w:r>
        <w:rPr>
          <w:rFonts w:hint="eastAsia" w:ascii="Times New Roman" w:hAnsi="Times New Roman" w:eastAsiaTheme="minorEastAsia"/>
          <w:color w:val="auto"/>
          <w:sz w:val="24"/>
          <w:szCs w:val="24"/>
          <w:highlight w:val="none"/>
        </w:rPr>
        <w:t>年</w:t>
      </w:r>
      <w:r>
        <w:rPr>
          <w:rFonts w:hint="eastAsia" w:ascii="Times New Roman" w:hAnsi="Times New Roman" w:eastAsiaTheme="minorEastAsia"/>
          <w:color w:val="auto"/>
          <w:sz w:val="24"/>
          <w:szCs w:val="24"/>
          <w:highlight w:val="none"/>
          <w:lang w:val="en-US" w:eastAsia="zh-CN"/>
        </w:rPr>
        <w:t>11</w:t>
      </w:r>
      <w:r>
        <w:rPr>
          <w:rFonts w:hint="eastAsia" w:ascii="Times New Roman" w:hAnsi="Times New Roman" w:eastAsiaTheme="minorEastAsia"/>
          <w:color w:val="auto"/>
          <w:sz w:val="24"/>
          <w:szCs w:val="24"/>
          <w:highlight w:val="none"/>
        </w:rPr>
        <w:t>月</w:t>
      </w:r>
      <w:r>
        <w:rPr>
          <w:rFonts w:hint="eastAsia" w:ascii="Times New Roman" w:hAnsi="Times New Roman" w:eastAsiaTheme="minorEastAsia"/>
          <w:color w:val="auto"/>
          <w:sz w:val="24"/>
          <w:szCs w:val="24"/>
          <w:highlight w:val="none"/>
          <w:lang w:val="en-US" w:eastAsia="zh-CN"/>
        </w:rPr>
        <w:t>22</w:t>
      </w:r>
      <w:r>
        <w:rPr>
          <w:rFonts w:hint="eastAsia" w:ascii="Times New Roman" w:hAnsi="Times New Roman" w:eastAsiaTheme="minorEastAsia"/>
          <w:color w:val="auto"/>
          <w:sz w:val="24"/>
          <w:szCs w:val="24"/>
          <w:highlight w:val="none"/>
        </w:rPr>
        <w:t>日）</w:t>
      </w:r>
    </w:p>
    <w:p>
      <w:pPr>
        <w:rPr>
          <w:rFonts w:hint="default"/>
          <w:lang w:val="en-US" w:eastAsia="zh-CN"/>
        </w:rPr>
      </w:pPr>
      <w:r>
        <w:rPr>
          <w:rFonts w:hint="eastAsia" w:ascii="Times New Roman" w:hAnsi="Times New Roman" w:eastAsiaTheme="minorEastAsia"/>
          <w:color w:val="auto"/>
          <w:sz w:val="24"/>
          <w:szCs w:val="24"/>
          <w:highlight w:val="none"/>
        </w:rPr>
        <w:br w:type="page"/>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yellow"/>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21"/>
        <w:tabs>
          <w:tab w:val="right" w:leader="dot" w:pos="8306"/>
        </w:tabs>
        <w:jc w:val="center"/>
        <w:rPr>
          <w:rFonts w:hint="default" w:ascii="Times New Roman" w:hAnsi="Times New Roman" w:eastAsia="宋体" w:cs="Times New Roman"/>
          <w:sz w:val="32"/>
          <w:szCs w:val="32"/>
          <w:lang w:val="en-US" w:eastAsia="zh-CN"/>
        </w:rPr>
      </w:pPr>
      <w:r>
        <w:rPr>
          <w:rFonts w:hint="eastAsia" w:ascii="Times New Roman" w:hAnsi="Times New Roman" w:eastAsia="宋体" w:cs="Times New Roman"/>
          <w:sz w:val="30"/>
          <w:szCs w:val="30"/>
          <w:lang w:val="en-US" w:eastAsia="zh-CN"/>
        </w:rPr>
        <w:t>目录</w:t>
      </w:r>
    </w:p>
    <w:p>
      <w:pPr>
        <w:pStyle w:val="21"/>
        <w:tabs>
          <w:tab w:val="right" w:leader="dot" w:pos="8306"/>
        </w:tabs>
      </w:pPr>
      <w:r>
        <w:rPr>
          <w:rFonts w:hint="eastAsia" w:ascii="Times New Roman" w:hAnsi="Times New Roman" w:eastAsia="宋体" w:cs="Times New Roman"/>
          <w:sz w:val="24"/>
          <w:szCs w:val="24"/>
          <w:lang w:val="en-US" w:eastAsia="zh-CN"/>
        </w:rPr>
        <w:fldChar w:fldCharType="begin"/>
      </w:r>
      <w:r>
        <w:rPr>
          <w:rFonts w:hint="eastAsia" w:ascii="Times New Roman" w:hAnsi="Times New Roman" w:eastAsia="宋体" w:cs="Times New Roman"/>
          <w:sz w:val="24"/>
          <w:szCs w:val="24"/>
          <w:lang w:val="en-US" w:eastAsia="zh-CN"/>
        </w:rPr>
        <w:instrText xml:space="preserve">TOC \o "1-2" \h \u </w:instrText>
      </w:r>
      <w:r>
        <w:rPr>
          <w:rFonts w:hint="eastAsia" w:ascii="Times New Roman" w:hAnsi="Times New Roman" w:eastAsia="宋体" w:cs="Times New Roman"/>
          <w:sz w:val="24"/>
          <w:szCs w:val="24"/>
          <w:lang w:val="en-US" w:eastAsia="zh-CN"/>
        </w:rPr>
        <w:fldChar w:fldCharType="separate"/>
      </w: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_Toc2272 </w:instrText>
      </w:r>
      <w:r>
        <w:rPr>
          <w:rFonts w:hint="eastAsia" w:ascii="Times New Roman" w:hAnsi="Times New Roman" w:eastAsia="宋体" w:cs="Times New Roman"/>
          <w:szCs w:val="24"/>
          <w:lang w:val="en-US" w:eastAsia="zh-CN"/>
        </w:rPr>
        <w:fldChar w:fldCharType="separate"/>
      </w:r>
      <w:r>
        <w:t>1</w:t>
      </w:r>
      <w:r>
        <w:rPr>
          <w:rFonts w:hint="eastAsia"/>
        </w:rPr>
        <w:t>项目概况</w:t>
      </w:r>
      <w:r>
        <w:tab/>
      </w:r>
      <w:r>
        <w:fldChar w:fldCharType="begin"/>
      </w:r>
      <w:r>
        <w:instrText xml:space="preserve"> PAGEREF _Toc2272 \h </w:instrText>
      </w:r>
      <w:r>
        <w:fldChar w:fldCharType="separate"/>
      </w:r>
      <w:r>
        <w:t>1</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_Toc9310 </w:instrText>
      </w:r>
      <w:r>
        <w:rPr>
          <w:rFonts w:hint="eastAsia" w:ascii="Times New Roman" w:hAnsi="Times New Roman" w:eastAsia="宋体" w:cs="Times New Roman"/>
          <w:szCs w:val="24"/>
          <w:lang w:val="en-US" w:eastAsia="zh-CN"/>
        </w:rPr>
        <w:fldChar w:fldCharType="separate"/>
      </w:r>
      <w:r>
        <w:t>2验收依据</w:t>
      </w:r>
      <w:r>
        <w:tab/>
      </w:r>
      <w:r>
        <w:fldChar w:fldCharType="begin"/>
      </w:r>
      <w:r>
        <w:instrText xml:space="preserve"> PAGEREF _Toc9310 \h </w:instrText>
      </w:r>
      <w:r>
        <w:fldChar w:fldCharType="separate"/>
      </w:r>
      <w:r>
        <w:t>3</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_Toc17776 </w:instrText>
      </w:r>
      <w:r>
        <w:rPr>
          <w:rFonts w:hint="eastAsia" w:ascii="Times New Roman" w:hAnsi="Times New Roman" w:eastAsia="宋体" w:cs="Times New Roman"/>
          <w:szCs w:val="24"/>
          <w:lang w:val="en-US" w:eastAsia="zh-CN"/>
        </w:rPr>
        <w:fldChar w:fldCharType="separate"/>
      </w:r>
      <w:r>
        <w:rPr>
          <w:rFonts w:cs="Times New Roman"/>
        </w:rPr>
        <w:t>2.1建设项目环境保护相关法律、法规和规章制度</w:t>
      </w:r>
      <w:r>
        <w:tab/>
      </w:r>
      <w:r>
        <w:fldChar w:fldCharType="begin"/>
      </w:r>
      <w:r>
        <w:instrText xml:space="preserve"> PAGEREF _Toc17776 \h </w:instrText>
      </w:r>
      <w:r>
        <w:fldChar w:fldCharType="separate"/>
      </w:r>
      <w:r>
        <w:t>3</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_Toc12229 </w:instrText>
      </w:r>
      <w:r>
        <w:rPr>
          <w:rFonts w:hint="eastAsia" w:ascii="Times New Roman" w:hAnsi="Times New Roman" w:eastAsia="宋体" w:cs="Times New Roman"/>
          <w:szCs w:val="24"/>
          <w:lang w:val="en-US" w:eastAsia="zh-CN"/>
        </w:rPr>
        <w:fldChar w:fldCharType="separate"/>
      </w:r>
      <w:r>
        <w:rPr>
          <w:rFonts w:cs="Times New Roman"/>
        </w:rPr>
        <w:t>2.2建设项目竣工环境保护验收技术规范</w:t>
      </w:r>
      <w:r>
        <w:tab/>
      </w:r>
      <w:r>
        <w:fldChar w:fldCharType="begin"/>
      </w:r>
      <w:r>
        <w:instrText xml:space="preserve"> PAGEREF _Toc12229 \h </w:instrText>
      </w:r>
      <w:r>
        <w:fldChar w:fldCharType="separate"/>
      </w:r>
      <w:r>
        <w:t>3</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_Toc20375 </w:instrText>
      </w:r>
      <w:r>
        <w:rPr>
          <w:rFonts w:hint="eastAsia" w:ascii="Times New Roman" w:hAnsi="Times New Roman" w:eastAsia="宋体" w:cs="Times New Roman"/>
          <w:szCs w:val="24"/>
          <w:lang w:val="en-US" w:eastAsia="zh-CN"/>
        </w:rPr>
        <w:fldChar w:fldCharType="separate"/>
      </w:r>
      <w:r>
        <w:rPr>
          <w:rFonts w:cs="Times New Roman"/>
        </w:rPr>
        <w:t>2.3建设项目环境影响报告</w:t>
      </w:r>
      <w:r>
        <w:rPr>
          <w:rFonts w:hint="eastAsia" w:cs="Times New Roman"/>
        </w:rPr>
        <w:t>表</w:t>
      </w:r>
      <w:r>
        <w:rPr>
          <w:rFonts w:cs="Times New Roman"/>
        </w:rPr>
        <w:t>及其审批部门审批决定</w:t>
      </w:r>
      <w:r>
        <w:tab/>
      </w:r>
      <w:r>
        <w:fldChar w:fldCharType="begin"/>
      </w:r>
      <w:r>
        <w:instrText xml:space="preserve"> PAGEREF _Toc20375 \h </w:instrText>
      </w:r>
      <w:r>
        <w:fldChar w:fldCharType="separate"/>
      </w:r>
      <w:r>
        <w:t>4</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_Toc15716 </w:instrText>
      </w:r>
      <w:r>
        <w:rPr>
          <w:rFonts w:hint="eastAsia" w:ascii="Times New Roman" w:hAnsi="Times New Roman" w:eastAsia="宋体" w:cs="Times New Roman"/>
          <w:szCs w:val="24"/>
          <w:lang w:val="en-US" w:eastAsia="zh-CN"/>
        </w:rPr>
        <w:fldChar w:fldCharType="separate"/>
      </w:r>
      <w:r>
        <w:rPr>
          <w:rFonts w:cs="Times New Roman"/>
        </w:rPr>
        <w:t>2.4其他相关文件</w:t>
      </w:r>
      <w:r>
        <w:tab/>
      </w:r>
      <w:r>
        <w:fldChar w:fldCharType="begin"/>
      </w:r>
      <w:r>
        <w:instrText xml:space="preserve"> PAGEREF _Toc15716 \h </w:instrText>
      </w:r>
      <w:r>
        <w:fldChar w:fldCharType="separate"/>
      </w:r>
      <w:r>
        <w:t>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_Toc3872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3项目建设情况</w:t>
      </w:r>
      <w:r>
        <w:tab/>
      </w:r>
      <w:r>
        <w:fldChar w:fldCharType="begin"/>
      </w:r>
      <w:r>
        <w:instrText xml:space="preserve"> PAGEREF _Toc3872 \h </w:instrText>
      </w:r>
      <w:r>
        <w:fldChar w:fldCharType="separate"/>
      </w:r>
      <w:r>
        <w:t>5</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_Toc32689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3.1地理位置</w:t>
      </w:r>
      <w:r>
        <w:tab/>
      </w:r>
      <w:r>
        <w:fldChar w:fldCharType="begin"/>
      </w:r>
      <w:r>
        <w:instrText xml:space="preserve"> PAGEREF _Toc32689 \h </w:instrText>
      </w:r>
      <w:r>
        <w:fldChar w:fldCharType="separate"/>
      </w:r>
      <w:r>
        <w:t>5</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_Toc5922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3.2建设内容</w:t>
      </w:r>
      <w:r>
        <w:tab/>
      </w:r>
      <w:r>
        <w:fldChar w:fldCharType="begin"/>
      </w:r>
      <w:r>
        <w:instrText xml:space="preserve"> PAGEREF _Toc5922 \h </w:instrText>
      </w:r>
      <w:r>
        <w:fldChar w:fldCharType="separate"/>
      </w:r>
      <w:r>
        <w:t>5</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_Toc1555 </w:instrText>
      </w:r>
      <w:r>
        <w:rPr>
          <w:rFonts w:hint="eastAsia" w:ascii="Times New Roman" w:hAnsi="Times New Roman" w:eastAsia="宋体" w:cs="Times New Roman"/>
          <w:szCs w:val="24"/>
          <w:lang w:val="en-US" w:eastAsia="zh-CN"/>
        </w:rPr>
        <w:fldChar w:fldCharType="separate"/>
      </w:r>
      <w:r>
        <w:rPr>
          <w:rFonts w:cs="Times New Roman"/>
        </w:rPr>
        <w:t>3.3</w:t>
      </w:r>
      <w:r>
        <w:rPr>
          <w:rFonts w:hint="eastAsia" w:ascii="宋体" w:hAnsi="宋体" w:eastAsia="宋体" w:cs="宋体"/>
        </w:rPr>
        <w:t>主要原辅材料及燃料</w:t>
      </w:r>
      <w:r>
        <w:tab/>
      </w:r>
      <w:r>
        <w:fldChar w:fldCharType="begin"/>
      </w:r>
      <w:r>
        <w:instrText xml:space="preserve"> PAGEREF _Toc1555 \h </w:instrText>
      </w:r>
      <w:r>
        <w:fldChar w:fldCharType="separate"/>
      </w:r>
      <w:r>
        <w:t>6</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_Toc1896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3.4水源及水平衡</w:t>
      </w:r>
      <w:r>
        <w:tab/>
      </w:r>
      <w:r>
        <w:fldChar w:fldCharType="begin"/>
      </w:r>
      <w:r>
        <w:instrText xml:space="preserve"> PAGEREF _Toc1896 \h </w:instrText>
      </w:r>
      <w:r>
        <w:fldChar w:fldCharType="separate"/>
      </w:r>
      <w:r>
        <w:t>6</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_Toc3873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3.5</w:t>
      </w:r>
      <w:r>
        <w:rPr>
          <w:rFonts w:hint="default" w:ascii="Times New Roman" w:hAnsi="Times New Roman" w:eastAsia="宋体" w:cs="Times New Roman"/>
          <w:highlight w:val="none"/>
        </w:rPr>
        <w:t>生产工艺</w:t>
      </w:r>
      <w:r>
        <w:tab/>
      </w:r>
      <w:r>
        <w:fldChar w:fldCharType="begin"/>
      </w:r>
      <w:r>
        <w:instrText xml:space="preserve"> PAGEREF _Toc3873 \h </w:instrText>
      </w:r>
      <w:r>
        <w:fldChar w:fldCharType="separate"/>
      </w:r>
      <w:r>
        <w:t>7</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_Toc12859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3.6劳动定员及工作制度</w:t>
      </w:r>
      <w:r>
        <w:tab/>
      </w:r>
      <w:r>
        <w:fldChar w:fldCharType="begin"/>
      </w:r>
      <w:r>
        <w:instrText xml:space="preserve"> PAGEREF _Toc12859 \h </w:instrText>
      </w:r>
      <w:r>
        <w:fldChar w:fldCharType="separate"/>
      </w:r>
      <w:r>
        <w:t>8</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_Toc16844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3.7项目投资</w:t>
      </w:r>
      <w:r>
        <w:tab/>
      </w:r>
      <w:r>
        <w:fldChar w:fldCharType="begin"/>
      </w:r>
      <w:r>
        <w:instrText xml:space="preserve"> PAGEREF _Toc16844 \h </w:instrText>
      </w:r>
      <w:r>
        <w:fldChar w:fldCharType="separate"/>
      </w:r>
      <w:r>
        <w:t>8</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_Toc29039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3.8项目变动情况</w:t>
      </w:r>
      <w:r>
        <w:tab/>
      </w:r>
      <w:r>
        <w:fldChar w:fldCharType="begin"/>
      </w:r>
      <w:r>
        <w:instrText xml:space="preserve"> PAGEREF _Toc29039 \h </w:instrText>
      </w:r>
      <w:r>
        <w:fldChar w:fldCharType="separate"/>
      </w:r>
      <w:r>
        <w:t>8</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_Toc11441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4环境保护设施</w:t>
      </w:r>
      <w:r>
        <w:tab/>
      </w:r>
      <w:r>
        <w:fldChar w:fldCharType="begin"/>
      </w:r>
      <w:r>
        <w:instrText xml:space="preserve"> PAGEREF _Toc11441 \h </w:instrText>
      </w:r>
      <w:r>
        <w:fldChar w:fldCharType="separate"/>
      </w:r>
      <w:r>
        <w:t>8</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_Toc11486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4.1污染物治理及处置设施</w:t>
      </w:r>
      <w:r>
        <w:tab/>
      </w:r>
      <w:r>
        <w:fldChar w:fldCharType="begin"/>
      </w:r>
      <w:r>
        <w:instrText xml:space="preserve"> PAGEREF _Toc11486 \h </w:instrText>
      </w:r>
      <w:r>
        <w:fldChar w:fldCharType="separate"/>
      </w:r>
      <w:r>
        <w:t>8</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_Toc9514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4.</w:t>
      </w:r>
      <w:r>
        <w:rPr>
          <w:rFonts w:hint="eastAsia" w:eastAsia="宋体" w:cs="Times New Roman"/>
          <w:lang w:val="en-US" w:eastAsia="zh-CN"/>
        </w:rPr>
        <w:t>2其他环境保护设施</w:t>
      </w:r>
      <w:r>
        <w:tab/>
      </w:r>
      <w:r>
        <w:fldChar w:fldCharType="begin"/>
      </w:r>
      <w:r>
        <w:instrText xml:space="preserve"> PAGEREF _Toc9514 \h </w:instrText>
      </w:r>
      <w:r>
        <w:fldChar w:fldCharType="separate"/>
      </w:r>
      <w:r>
        <w:t>10</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_Toc26041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4.</w:t>
      </w:r>
      <w:r>
        <w:rPr>
          <w:rFonts w:hint="eastAsia" w:eastAsia="宋体" w:cs="Times New Roman"/>
          <w:lang w:val="en-US" w:eastAsia="zh-CN"/>
        </w:rPr>
        <w:t>3</w:t>
      </w:r>
      <w:r>
        <w:rPr>
          <w:rFonts w:hint="default" w:ascii="Times New Roman" w:hAnsi="Times New Roman" w:eastAsia="宋体" w:cs="Times New Roman"/>
        </w:rPr>
        <w:t>环保设施投资及“三同时”落实情况</w:t>
      </w:r>
      <w:r>
        <w:tab/>
      </w:r>
      <w:r>
        <w:fldChar w:fldCharType="begin"/>
      </w:r>
      <w:r>
        <w:instrText xml:space="preserve"> PAGEREF _Toc26041 \h </w:instrText>
      </w:r>
      <w:r>
        <w:fldChar w:fldCharType="separate"/>
      </w:r>
      <w:r>
        <w:t>10</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_Toc11236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5环境影响报告表主要结论与建议及其审批部门审批决定</w:t>
      </w:r>
      <w:r>
        <w:tab/>
      </w:r>
      <w:r>
        <w:fldChar w:fldCharType="begin"/>
      </w:r>
      <w:r>
        <w:instrText xml:space="preserve"> PAGEREF _Toc11236 \h </w:instrText>
      </w:r>
      <w:r>
        <w:fldChar w:fldCharType="separate"/>
      </w:r>
      <w:r>
        <w:t>12</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_Toc30033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5.1结论</w:t>
      </w:r>
      <w:r>
        <w:rPr>
          <w:rFonts w:hint="default" w:ascii="Times New Roman" w:hAnsi="Times New Roman" w:eastAsia="宋体" w:cs="Times New Roman"/>
          <w:lang w:val="en-US" w:eastAsia="zh-CN"/>
        </w:rPr>
        <w:t>及建议</w:t>
      </w:r>
      <w:r>
        <w:tab/>
      </w:r>
      <w:r>
        <w:fldChar w:fldCharType="begin"/>
      </w:r>
      <w:r>
        <w:instrText xml:space="preserve"> PAGEREF _Toc30033 \h </w:instrText>
      </w:r>
      <w:r>
        <w:fldChar w:fldCharType="separate"/>
      </w:r>
      <w:r>
        <w:t>12</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_Toc27377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5.2</w:t>
      </w:r>
      <w:r>
        <w:rPr>
          <w:rFonts w:hint="default" w:ascii="Times New Roman" w:hAnsi="Times New Roman" w:eastAsia="宋体" w:cs="Times New Roman"/>
          <w:highlight w:val="none"/>
        </w:rPr>
        <w:t>审批部门审批决定</w:t>
      </w:r>
      <w:r>
        <w:tab/>
      </w:r>
      <w:r>
        <w:fldChar w:fldCharType="begin"/>
      </w:r>
      <w:r>
        <w:instrText xml:space="preserve"> PAGEREF _Toc27377 \h </w:instrText>
      </w:r>
      <w:r>
        <w:fldChar w:fldCharType="separate"/>
      </w:r>
      <w:r>
        <w:t>12</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_Toc25420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5.3审批意见落实情况</w:t>
      </w:r>
      <w:r>
        <w:tab/>
      </w:r>
      <w:r>
        <w:fldChar w:fldCharType="begin"/>
      </w:r>
      <w:r>
        <w:instrText xml:space="preserve"> PAGEREF _Toc25420 \h </w:instrText>
      </w:r>
      <w:r>
        <w:fldChar w:fldCharType="separate"/>
      </w:r>
      <w:r>
        <w:t>13</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_Toc16826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bCs/>
          <w:szCs w:val="30"/>
        </w:rPr>
        <w:t>6</w:t>
      </w:r>
      <w:r>
        <w:rPr>
          <w:rFonts w:hint="eastAsia" w:ascii="宋体" w:hAnsi="宋体" w:eastAsia="宋体" w:cs="宋体"/>
          <w:bCs/>
          <w:szCs w:val="30"/>
          <w:highlight w:val="none"/>
        </w:rPr>
        <w:t>污染物排放标准</w:t>
      </w:r>
      <w:r>
        <w:tab/>
      </w:r>
      <w:r>
        <w:fldChar w:fldCharType="begin"/>
      </w:r>
      <w:r>
        <w:instrText xml:space="preserve"> PAGEREF _Toc16826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_Toc5730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6.1废水</w:t>
      </w:r>
      <w:r>
        <w:tab/>
      </w:r>
      <w:r>
        <w:fldChar w:fldCharType="begin"/>
      </w:r>
      <w:r>
        <w:instrText xml:space="preserve"> PAGEREF _Toc5730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_Toc13633 </w:instrText>
      </w:r>
      <w:r>
        <w:rPr>
          <w:rFonts w:hint="eastAsia" w:ascii="Times New Roman" w:hAnsi="Times New Roman" w:eastAsia="宋体" w:cs="Times New Roman"/>
          <w:szCs w:val="24"/>
          <w:lang w:val="en-US" w:eastAsia="zh-CN"/>
        </w:rPr>
        <w:fldChar w:fldCharType="separate"/>
      </w:r>
      <w:r>
        <w:rPr>
          <w:rFonts w:hint="eastAsia" w:eastAsia="宋体" w:cs="Times New Roman"/>
          <w:lang w:val="en-US" w:eastAsia="zh-CN"/>
        </w:rPr>
        <w:t>6.2</w:t>
      </w:r>
      <w:r>
        <w:rPr>
          <w:rFonts w:hint="eastAsia" w:ascii="Times New Roman" w:hAnsi="Times New Roman" w:eastAsia="宋体" w:cs="Times New Roman"/>
        </w:rPr>
        <w:t>废气</w:t>
      </w:r>
      <w:r>
        <w:tab/>
      </w:r>
      <w:r>
        <w:fldChar w:fldCharType="begin"/>
      </w:r>
      <w:r>
        <w:instrText xml:space="preserve"> PAGEREF _Toc13633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_Toc31761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6.3噪声</w:t>
      </w:r>
      <w:r>
        <w:tab/>
      </w:r>
      <w:r>
        <w:fldChar w:fldCharType="begin"/>
      </w:r>
      <w:r>
        <w:instrText xml:space="preserve"> PAGEREF _Toc31761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_Toc3973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6.</w:t>
      </w:r>
      <w:r>
        <w:rPr>
          <w:rFonts w:hint="default" w:ascii="Times New Roman" w:hAnsi="Times New Roman" w:eastAsia="宋体" w:cs="Times New Roman"/>
        </w:rPr>
        <w:t>4</w:t>
      </w:r>
      <w:r>
        <w:rPr>
          <w:rFonts w:hint="eastAsia" w:ascii="宋体" w:hAnsi="宋体" w:eastAsia="宋体" w:cs="宋体"/>
        </w:rPr>
        <w:t>固体废物</w:t>
      </w:r>
      <w:r>
        <w:tab/>
      </w:r>
      <w:r>
        <w:fldChar w:fldCharType="begin"/>
      </w:r>
      <w:r>
        <w:instrText xml:space="preserve"> PAGEREF _Toc3973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_Toc26352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highlight w:val="none"/>
        </w:rPr>
        <w:t>7验收监测内容</w:t>
      </w:r>
      <w:r>
        <w:tab/>
      </w:r>
      <w:r>
        <w:fldChar w:fldCharType="begin"/>
      </w:r>
      <w:r>
        <w:instrText xml:space="preserve"> PAGEREF _Toc26352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_Toc3856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7.1环境保护设施调试运行效果</w:t>
      </w:r>
      <w:r>
        <w:tab/>
      </w:r>
      <w:r>
        <w:fldChar w:fldCharType="begin"/>
      </w:r>
      <w:r>
        <w:instrText xml:space="preserve"> PAGEREF _Toc3856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_Toc8318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8质量保证和质量控制</w:t>
      </w:r>
      <w:r>
        <w:tab/>
      </w:r>
      <w:r>
        <w:fldChar w:fldCharType="begin"/>
      </w:r>
      <w:r>
        <w:instrText xml:space="preserve"> PAGEREF _Toc8318 \h </w:instrText>
      </w:r>
      <w:r>
        <w:fldChar w:fldCharType="separate"/>
      </w:r>
      <w:r>
        <w:t>16</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_Toc20472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8.1</w:t>
      </w:r>
      <w:r>
        <w:rPr>
          <w:rFonts w:hint="default" w:ascii="Times New Roman" w:hAnsi="Times New Roman" w:eastAsia="宋体" w:cs="Times New Roman"/>
          <w:highlight w:val="none"/>
        </w:rPr>
        <w:t>监测分析方法</w:t>
      </w:r>
      <w:r>
        <w:tab/>
      </w:r>
      <w:r>
        <w:fldChar w:fldCharType="begin"/>
      </w:r>
      <w:r>
        <w:instrText xml:space="preserve"> PAGEREF _Toc20472 \h </w:instrText>
      </w:r>
      <w:r>
        <w:fldChar w:fldCharType="separate"/>
      </w:r>
      <w:r>
        <w:t>16</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_Toc21164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8.2人员能力</w:t>
      </w:r>
      <w:r>
        <w:tab/>
      </w:r>
      <w:r>
        <w:fldChar w:fldCharType="begin"/>
      </w:r>
      <w:r>
        <w:instrText xml:space="preserve"> PAGEREF _Toc21164 \h </w:instrText>
      </w:r>
      <w:r>
        <w:fldChar w:fldCharType="separate"/>
      </w:r>
      <w:r>
        <w:t>16</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_Toc8663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8.3监测分析</w:t>
      </w:r>
      <w:r>
        <w:rPr>
          <w:rFonts w:hint="default" w:ascii="Times New Roman" w:hAnsi="Times New Roman" w:eastAsia="宋体" w:cs="Times New Roman"/>
          <w:highlight w:val="none"/>
        </w:rPr>
        <w:t>过程中的质量保证和质量控制</w:t>
      </w:r>
      <w:r>
        <w:tab/>
      </w:r>
      <w:r>
        <w:fldChar w:fldCharType="begin"/>
      </w:r>
      <w:r>
        <w:instrText xml:space="preserve"> PAGEREF _Toc8663 \h </w:instrText>
      </w:r>
      <w:r>
        <w:fldChar w:fldCharType="separate"/>
      </w:r>
      <w:r>
        <w:t>16</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_Toc20082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highlight w:val="none"/>
        </w:rPr>
        <w:t>8.4监测仪器</w:t>
      </w:r>
      <w:r>
        <w:tab/>
      </w:r>
      <w:r>
        <w:fldChar w:fldCharType="begin"/>
      </w:r>
      <w:r>
        <w:instrText xml:space="preserve"> PAGEREF _Toc20082 \h </w:instrText>
      </w:r>
      <w:r>
        <w:fldChar w:fldCharType="separate"/>
      </w:r>
      <w:r>
        <w:t>17</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_Toc23169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highlight w:val="none"/>
        </w:rPr>
        <w:t>9验收监测结果</w:t>
      </w:r>
      <w:r>
        <w:tab/>
      </w:r>
      <w:r>
        <w:fldChar w:fldCharType="begin"/>
      </w:r>
      <w:r>
        <w:instrText xml:space="preserve"> PAGEREF _Toc23169 \h </w:instrText>
      </w:r>
      <w:r>
        <w:fldChar w:fldCharType="separate"/>
      </w:r>
      <w:r>
        <w:t>18</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_Toc8225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9.1生产工况</w:t>
      </w:r>
      <w:r>
        <w:tab/>
      </w:r>
      <w:r>
        <w:fldChar w:fldCharType="begin"/>
      </w:r>
      <w:r>
        <w:instrText xml:space="preserve"> PAGEREF _Toc8225 \h </w:instrText>
      </w:r>
      <w:r>
        <w:fldChar w:fldCharType="separate"/>
      </w:r>
      <w:r>
        <w:t>18</w:t>
      </w:r>
      <w:r>
        <w:fldChar w:fldCharType="end"/>
      </w:r>
      <w:r>
        <w:rPr>
          <w:rFonts w:hint="eastAsia" w:ascii="Times New Roman" w:hAnsi="Times New Roman" w:eastAsia="宋体" w:cs="Times New Roman"/>
          <w:szCs w:val="24"/>
          <w:lang w:val="en-US" w:eastAsia="zh-CN"/>
        </w:rPr>
        <w:fldChar w:fldCharType="end"/>
      </w:r>
    </w:p>
    <w:p>
      <w:pPr>
        <w:pStyle w:val="22"/>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_Toc29578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9.2环保设施调试运行效果</w:t>
      </w:r>
      <w:r>
        <w:tab/>
      </w:r>
      <w:r>
        <w:fldChar w:fldCharType="begin"/>
      </w:r>
      <w:r>
        <w:instrText xml:space="preserve"> PAGEREF _Toc29578 \h </w:instrText>
      </w:r>
      <w:r>
        <w:fldChar w:fldCharType="separate"/>
      </w:r>
      <w:r>
        <w:t>18</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_Toc10080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highlight w:val="none"/>
        </w:rPr>
        <w:t>10验收监测结论</w:t>
      </w:r>
      <w:r>
        <w:tab/>
      </w:r>
      <w:r>
        <w:fldChar w:fldCharType="begin"/>
      </w:r>
      <w:r>
        <w:instrText xml:space="preserve"> PAGEREF _Toc10080 \h </w:instrText>
      </w:r>
      <w:r>
        <w:fldChar w:fldCharType="separate"/>
      </w:r>
      <w:r>
        <w:t>20</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_Toc28889 </w:instrText>
      </w:r>
      <w:r>
        <w:rPr>
          <w:rFonts w:hint="eastAsia" w:ascii="Times New Roman" w:hAnsi="Times New Roman" w:eastAsia="宋体" w:cs="Times New Roman"/>
          <w:szCs w:val="24"/>
          <w:lang w:val="en-US" w:eastAsia="zh-CN"/>
        </w:rPr>
        <w:fldChar w:fldCharType="separate"/>
      </w:r>
      <w:r>
        <w:rPr>
          <w:rFonts w:hint="eastAsia" w:ascii="Times New Roman" w:hAnsi="Times New Roman" w:eastAsiaTheme="minorEastAsia"/>
          <w:lang w:val="en-US" w:eastAsia="zh-CN"/>
        </w:rPr>
        <w:t>11</w:t>
      </w:r>
      <w:r>
        <w:rPr>
          <w:rFonts w:ascii="Times New Roman" w:hAnsi="Times New Roman" w:eastAsiaTheme="minorEastAsia"/>
        </w:rPr>
        <w:t>建设项目工程竣工环境保护“三同时”验收登记表</w:t>
      </w:r>
      <w:r>
        <w:tab/>
      </w:r>
      <w:r>
        <w:fldChar w:fldCharType="begin"/>
      </w:r>
      <w:r>
        <w:instrText xml:space="preserve"> PAGEREF _Toc28889 \h </w:instrText>
      </w:r>
      <w:r>
        <w:fldChar w:fldCharType="separate"/>
      </w:r>
      <w:r>
        <w:t>21</w:t>
      </w:r>
      <w:r>
        <w:fldChar w:fldCharType="end"/>
      </w:r>
      <w:r>
        <w:rPr>
          <w:rFonts w:hint="eastAsia" w:ascii="Times New Roman" w:hAnsi="Times New Roman" w:eastAsia="宋体" w:cs="Times New Roman"/>
          <w:szCs w:val="24"/>
          <w:lang w:val="en-US" w:eastAsia="zh-CN"/>
        </w:rPr>
        <w:fldChar w:fldCharType="end"/>
      </w:r>
    </w:p>
    <w:p>
      <w:pPr>
        <w:outlineLvl w:val="1"/>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Cs w:val="24"/>
          <w:lang w:val="en-US" w:eastAsia="zh-CN"/>
        </w:rPr>
        <w:fldChar w:fldCharType="end"/>
      </w:r>
    </w:p>
    <w:p>
      <w:pPr>
        <w:rPr>
          <w:rFonts w:hint="eastAsia" w:ascii="Times New Roman" w:hAnsi="Times New Roman" w:eastAsia="宋体" w:cs="Times New Roman"/>
          <w:sz w:val="24"/>
          <w:szCs w:val="24"/>
          <w:lang w:val="en-US" w:eastAsia="zh-CN"/>
        </w:rPr>
      </w:pPr>
    </w:p>
    <w:p>
      <w:pPr>
        <w:spacing w:line="480" w:lineRule="exact"/>
        <w:jc w:val="left"/>
        <w:rPr>
          <w:rFonts w:ascii="Times New Roman" w:hAnsi="Times New Roman" w:eastAsiaTheme="minorEastAsia"/>
          <w:b/>
          <w:color w:val="000000" w:themeColor="text1"/>
          <w:sz w:val="30"/>
          <w:szCs w:val="30"/>
          <w14:textFill>
            <w14:solidFill>
              <w14:schemeClr w14:val="tx1"/>
            </w14:solidFill>
          </w14:textFill>
        </w:rPr>
      </w:pPr>
    </w:p>
    <w:p>
      <w:pPr>
        <w:pStyle w:val="7"/>
        <w:ind w:firstLine="0" w:firstLineChars="0"/>
        <w:rPr>
          <w:rFonts w:hint="eastAsia"/>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bookmarkStart w:id="1" w:name="_Toc2272"/>
      <w:r>
        <w:rPr>
          <w:color w:val="000000" w:themeColor="text1"/>
          <w14:textFill>
            <w14:solidFill>
              <w14:schemeClr w14:val="tx1"/>
            </w14:solidFill>
          </w14:textFill>
        </w:rPr>
        <w:t>1</w:t>
      </w:r>
      <w:r>
        <w:rPr>
          <w:rFonts w:hint="eastAsia"/>
          <w:color w:val="000000" w:themeColor="text1"/>
          <w14:textFill>
            <w14:solidFill>
              <w14:schemeClr w14:val="tx1"/>
            </w14:solidFill>
          </w14:textFill>
        </w:rPr>
        <w:t>项目概况</w:t>
      </w:r>
      <w:bookmarkEnd w:id="1"/>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开滦（集团）有限责任公司唐山矿业分公司位于河北省唐山市</w:t>
      </w:r>
      <w:r>
        <w:rPr>
          <w:rFonts w:hint="eastAsia" w:ascii="Times New Roman" w:hAnsi="Times New Roman" w:eastAsia="宋体" w:cs="Times New Roman"/>
          <w:bCs/>
          <w:color w:val="auto"/>
          <w:sz w:val="24"/>
          <w:szCs w:val="24"/>
          <w:lang w:val="en-US" w:eastAsia="zh-CN"/>
        </w:rPr>
        <w:t>路南区新华东道54号</w:t>
      </w:r>
      <w:r>
        <w:rPr>
          <w:rFonts w:hint="default"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lang w:val="en-US" w:eastAsia="zh-CN"/>
        </w:rPr>
        <w:t>公司成立于2000年3月，</w:t>
      </w:r>
      <w:r>
        <w:rPr>
          <w:rFonts w:hint="default" w:ascii="Times New Roman" w:hAnsi="Times New Roman" w:eastAsia="宋体" w:cs="Times New Roman"/>
          <w:bCs/>
          <w:color w:val="auto"/>
          <w:sz w:val="24"/>
          <w:szCs w:val="24"/>
          <w:lang w:val="en-US" w:eastAsia="zh-CN"/>
        </w:rPr>
        <w:t>是一家从事原煤开采,房屋租赁,货运等业务的公司。</w:t>
      </w:r>
      <w:r>
        <w:rPr>
          <w:rFonts w:hint="eastAsia" w:ascii="Times New Roman" w:hAnsi="Times New Roman" w:eastAsia="宋体" w:cs="Times New Roman"/>
          <w:bCs/>
          <w:color w:val="auto"/>
          <w:sz w:val="24"/>
          <w:szCs w:val="24"/>
          <w:lang w:val="en-US" w:eastAsia="zh-CN"/>
        </w:rPr>
        <w:t>现</w:t>
      </w:r>
      <w:r>
        <w:rPr>
          <w:rFonts w:hint="default" w:ascii="Times New Roman" w:hAnsi="Times New Roman" w:eastAsia="宋体" w:cs="Times New Roman"/>
          <w:bCs/>
          <w:color w:val="auto"/>
          <w:sz w:val="24"/>
          <w:szCs w:val="24"/>
          <w:lang w:val="en-US" w:eastAsia="zh-CN"/>
        </w:rPr>
        <w:t>开滦（集团）有限责任公司唐山矿业分公司</w:t>
      </w:r>
      <w:r>
        <w:rPr>
          <w:rFonts w:hint="eastAsia" w:ascii="Times New Roman" w:hAnsi="Times New Roman" w:eastAsia="宋体" w:cs="Times New Roman"/>
          <w:bCs/>
          <w:color w:val="auto"/>
          <w:sz w:val="24"/>
          <w:szCs w:val="24"/>
          <w:lang w:val="en-US" w:eastAsia="zh-CN"/>
        </w:rPr>
        <w:t>投资453.19万元，</w:t>
      </w:r>
      <w:r>
        <w:rPr>
          <w:rFonts w:hint="default" w:ascii="Times New Roman" w:hAnsi="Times New Roman" w:eastAsia="宋体" w:cs="Times New Roman"/>
          <w:bCs/>
          <w:color w:val="auto"/>
          <w:sz w:val="24"/>
          <w:szCs w:val="24"/>
          <w:lang w:val="en-US" w:eastAsia="zh-CN"/>
        </w:rPr>
        <w:t>于河北省唐山市路南区唐山矿风井工业广场内部</w:t>
      </w:r>
      <w:r>
        <w:rPr>
          <w:rFonts w:hint="eastAsia" w:ascii="Times New Roman" w:hAnsi="Times New Roman" w:eastAsia="宋体" w:cs="Times New Roman"/>
          <w:bCs/>
          <w:color w:val="auto"/>
          <w:sz w:val="24"/>
          <w:szCs w:val="24"/>
          <w:lang w:val="en-US" w:eastAsia="zh-CN"/>
        </w:rPr>
        <w:t>建设块石场封闭工程项目。</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bCs/>
          <w:color w:val="auto"/>
          <w:sz w:val="24"/>
          <w:szCs w:val="24"/>
        </w:rPr>
      </w:pPr>
      <w:r>
        <w:rPr>
          <w:rFonts w:hint="eastAsia" w:ascii="Times New Roman" w:hAnsi="Times New Roman" w:eastAsia="宋体" w:cs="Times New Roman"/>
          <w:color w:val="auto"/>
          <w:sz w:val="24"/>
          <w:szCs w:val="24"/>
          <w:highlight w:val="none"/>
          <w:lang w:val="en-US" w:eastAsia="zh-CN"/>
        </w:rPr>
        <w:t>该项目属于《建设项目环境影响评价分类管理名录》中应当填报环境影响登记表的建设项目，属于第100 脱硫、脱硝、除尘、VOCs治理等大气污染治理工程项中全部。本</w:t>
      </w:r>
      <w:r>
        <w:rPr>
          <w:rFonts w:hint="default" w:ascii="Times New Roman" w:hAnsi="Times New Roman" w:eastAsia="宋体" w:cs="Times New Roman"/>
          <w:color w:val="auto"/>
          <w:sz w:val="24"/>
          <w:szCs w:val="24"/>
          <w:highlight w:val="none"/>
          <w:lang w:val="en-US" w:eastAsia="zh-CN"/>
        </w:rPr>
        <w:t>项目</w:t>
      </w:r>
      <w:r>
        <w:rPr>
          <w:rFonts w:hint="eastAsia" w:ascii="Times New Roman" w:hAnsi="Times New Roman" w:eastAsia="宋体" w:cs="Times New Roman"/>
          <w:color w:val="auto"/>
          <w:sz w:val="24"/>
          <w:szCs w:val="24"/>
          <w:highlight w:val="none"/>
          <w:lang w:val="en-US" w:eastAsia="zh-CN"/>
        </w:rPr>
        <w:t>已于2023年1月17日完成建设项目环境影响登记表的填报</w:t>
      </w:r>
      <w:r>
        <w:rPr>
          <w:rFonts w:hint="default" w:ascii="Times New Roman" w:hAnsi="Times New Roman" w:eastAsia="宋体" w:cs="Times New Roman"/>
          <w:color w:val="auto"/>
          <w:sz w:val="24"/>
          <w:szCs w:val="24"/>
          <w:highlight w:val="none"/>
          <w:lang w:val="en-US" w:eastAsia="zh-CN"/>
        </w:rPr>
        <w:t>，备案号：202313020200000002。</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highlight w:val="none"/>
          <w:lang w:val="en-US" w:eastAsia="zh-CN"/>
        </w:rPr>
        <w:t>2023年5月8日，</w:t>
      </w:r>
      <w:r>
        <w:rPr>
          <w:rFonts w:hint="default" w:ascii="Times New Roman" w:hAnsi="Times New Roman" w:eastAsia="宋体" w:cs="Times New Roman"/>
          <w:bCs/>
          <w:color w:val="auto"/>
          <w:sz w:val="24"/>
          <w:szCs w:val="24"/>
          <w:highlight w:val="none"/>
          <w:lang w:val="en-US" w:eastAsia="zh-CN"/>
        </w:rPr>
        <w:t>开滦（集团）有限责任公司唐山矿业分公司排污许可证</w:t>
      </w:r>
      <w:r>
        <w:rPr>
          <w:rFonts w:hint="eastAsia" w:ascii="Times New Roman" w:hAnsi="Times New Roman" w:eastAsia="宋体" w:cs="Times New Roman"/>
          <w:bCs/>
          <w:color w:val="auto"/>
          <w:sz w:val="24"/>
          <w:szCs w:val="24"/>
          <w:highlight w:val="none"/>
          <w:lang w:val="en-US" w:eastAsia="zh-CN"/>
        </w:rPr>
        <w:t>变更申领完成</w:t>
      </w:r>
      <w:r>
        <w:rPr>
          <w:rFonts w:hint="default" w:ascii="Times New Roman" w:hAnsi="Times New Roman" w:eastAsia="宋体" w:cs="Times New Roman"/>
          <w:bCs/>
          <w:color w:val="auto"/>
          <w:sz w:val="24"/>
          <w:szCs w:val="24"/>
          <w:highlight w:val="none"/>
          <w:lang w:val="en-US" w:eastAsia="zh-CN"/>
        </w:rPr>
        <w:t>（证书编号：91130200601041537N001V），有效期为202</w:t>
      </w:r>
      <w:r>
        <w:rPr>
          <w:rFonts w:hint="eastAsia" w:ascii="Times New Roman" w:hAnsi="Times New Roman" w:eastAsia="宋体" w:cs="Times New Roman"/>
          <w:bCs/>
          <w:color w:val="auto"/>
          <w:sz w:val="24"/>
          <w:szCs w:val="24"/>
          <w:highlight w:val="none"/>
          <w:lang w:val="en-US" w:eastAsia="zh-CN"/>
        </w:rPr>
        <w:t>3</w:t>
      </w:r>
      <w:r>
        <w:rPr>
          <w:rFonts w:hint="default" w:ascii="Times New Roman" w:hAnsi="Times New Roman" w:eastAsia="宋体" w:cs="Times New Roman"/>
          <w:bCs/>
          <w:color w:val="auto"/>
          <w:sz w:val="24"/>
          <w:szCs w:val="24"/>
          <w:highlight w:val="none"/>
          <w:lang w:val="en-US" w:eastAsia="zh-CN"/>
        </w:rPr>
        <w:t>年</w:t>
      </w:r>
      <w:r>
        <w:rPr>
          <w:rFonts w:hint="eastAsia" w:ascii="Times New Roman" w:hAnsi="Times New Roman" w:eastAsia="宋体" w:cs="Times New Roman"/>
          <w:bCs/>
          <w:color w:val="auto"/>
          <w:sz w:val="24"/>
          <w:szCs w:val="24"/>
          <w:highlight w:val="none"/>
          <w:lang w:val="en-US" w:eastAsia="zh-CN"/>
        </w:rPr>
        <w:t>7</w:t>
      </w:r>
      <w:r>
        <w:rPr>
          <w:rFonts w:hint="default" w:ascii="Times New Roman" w:hAnsi="Times New Roman" w:eastAsia="宋体" w:cs="Times New Roman"/>
          <w:bCs/>
          <w:color w:val="auto"/>
          <w:sz w:val="24"/>
          <w:szCs w:val="24"/>
          <w:highlight w:val="none"/>
          <w:lang w:val="en-US" w:eastAsia="zh-CN"/>
        </w:rPr>
        <w:t>月31日至202</w:t>
      </w:r>
      <w:r>
        <w:rPr>
          <w:rFonts w:hint="eastAsia" w:ascii="Times New Roman" w:hAnsi="Times New Roman" w:eastAsia="宋体" w:cs="Times New Roman"/>
          <w:bCs/>
          <w:color w:val="auto"/>
          <w:sz w:val="24"/>
          <w:szCs w:val="24"/>
          <w:highlight w:val="none"/>
          <w:lang w:val="en-US" w:eastAsia="zh-CN"/>
        </w:rPr>
        <w:t>8</w:t>
      </w:r>
      <w:r>
        <w:rPr>
          <w:rFonts w:hint="default" w:ascii="Times New Roman" w:hAnsi="Times New Roman" w:eastAsia="宋体" w:cs="Times New Roman"/>
          <w:bCs/>
          <w:color w:val="auto"/>
          <w:sz w:val="24"/>
          <w:szCs w:val="24"/>
          <w:highlight w:val="none"/>
          <w:lang w:val="en-US" w:eastAsia="zh-CN"/>
        </w:rPr>
        <w:t>年</w:t>
      </w:r>
      <w:r>
        <w:rPr>
          <w:rFonts w:hint="eastAsia" w:ascii="Times New Roman" w:hAnsi="Times New Roman" w:eastAsia="宋体" w:cs="Times New Roman"/>
          <w:bCs/>
          <w:color w:val="auto"/>
          <w:sz w:val="24"/>
          <w:szCs w:val="24"/>
          <w:highlight w:val="none"/>
          <w:lang w:val="en-US" w:eastAsia="zh-CN"/>
        </w:rPr>
        <w:t>7</w:t>
      </w:r>
      <w:r>
        <w:rPr>
          <w:rFonts w:hint="default" w:ascii="Times New Roman" w:hAnsi="Times New Roman" w:eastAsia="宋体" w:cs="Times New Roman"/>
          <w:bCs/>
          <w:color w:val="auto"/>
          <w:sz w:val="24"/>
          <w:szCs w:val="24"/>
          <w:highlight w:val="none"/>
          <w:lang w:val="en-US" w:eastAsia="zh-CN"/>
        </w:rPr>
        <w:t>月30日。</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bCs/>
          <w:color w:val="000000" w:themeColor="text1"/>
          <w:sz w:val="24"/>
          <w:szCs w:val="24"/>
          <w14:textFill>
            <w14:solidFill>
              <w14:schemeClr w14:val="tx1"/>
            </w14:solidFill>
          </w14:textFill>
        </w:rPr>
        <w:t>项目基本</w:t>
      </w:r>
      <w:r>
        <w:rPr>
          <w:rFonts w:hint="default" w:ascii="Times New Roman" w:hAnsi="Times New Roman" w:eastAsia="宋体" w:cs="Times New Roman"/>
          <w:color w:val="000000" w:themeColor="text1"/>
          <w:sz w:val="24"/>
          <w:szCs w:val="24"/>
          <w14:textFill>
            <w14:solidFill>
              <w14:schemeClr w14:val="tx1"/>
            </w14:solidFill>
          </w14:textFill>
        </w:rPr>
        <w:t>情况介绍见下表1-1。</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Theme="minorEastAsia"/>
          <w:b/>
          <w:color w:val="000000" w:themeColor="text1"/>
          <w:sz w:val="24"/>
          <w:szCs w:val="24"/>
          <w14:textFill>
            <w14:solidFill>
              <w14:schemeClr w14:val="tx1"/>
            </w14:solidFill>
          </w14:textFill>
        </w:rPr>
      </w:pPr>
      <w:r>
        <w:rPr>
          <w:rFonts w:ascii="Times New Roman" w:hAnsi="Times New Roman" w:eastAsiaTheme="minorEastAsia"/>
          <w:b/>
          <w:color w:val="000000" w:themeColor="text1"/>
          <w:sz w:val="24"/>
          <w:szCs w:val="24"/>
          <w14:textFill>
            <w14:solidFill>
              <w14:schemeClr w14:val="tx1"/>
            </w14:solidFill>
          </w14:textFill>
        </w:rPr>
        <w:t>表</w:t>
      </w:r>
      <w:r>
        <w:rPr>
          <w:rFonts w:hint="eastAsia" w:ascii="Times New Roman" w:hAnsi="Times New Roman" w:eastAsiaTheme="minorEastAsia"/>
          <w:b/>
          <w:color w:val="000000" w:themeColor="text1"/>
          <w:sz w:val="24"/>
          <w:szCs w:val="24"/>
          <w14:textFill>
            <w14:solidFill>
              <w14:schemeClr w14:val="tx1"/>
            </w14:solidFill>
          </w14:textFill>
        </w:rPr>
        <w:t>1</w:t>
      </w:r>
      <w:r>
        <w:rPr>
          <w:rFonts w:ascii="Times New Roman" w:hAnsi="Times New Roman" w:eastAsiaTheme="minorEastAsia"/>
          <w:b/>
          <w:color w:val="000000" w:themeColor="text1"/>
          <w:sz w:val="24"/>
          <w:szCs w:val="24"/>
          <w14:textFill>
            <w14:solidFill>
              <w14:schemeClr w14:val="tx1"/>
            </w14:solidFill>
          </w14:textFill>
        </w:rPr>
        <w:t>-1项目基本情况</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2455"/>
        <w:gridCol w:w="1112"/>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项目名称</w:t>
            </w:r>
          </w:p>
        </w:tc>
        <w:tc>
          <w:tcPr>
            <w:tcW w:w="4107"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块石场封闭工程项目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建设单位</w:t>
            </w:r>
          </w:p>
        </w:tc>
        <w:tc>
          <w:tcPr>
            <w:tcW w:w="4107"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开滦（集团）有限责任公司唐山矿业分公司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法人代表</w:t>
            </w:r>
          </w:p>
        </w:tc>
        <w:tc>
          <w:tcPr>
            <w:tcW w:w="144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张庆华</w:t>
            </w:r>
          </w:p>
        </w:tc>
        <w:tc>
          <w:tcPr>
            <w:tcW w:w="65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联系人</w:t>
            </w:r>
          </w:p>
        </w:tc>
        <w:tc>
          <w:tcPr>
            <w:tcW w:w="201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李艳娜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通信地址</w:t>
            </w:r>
          </w:p>
        </w:tc>
        <w:tc>
          <w:tcPr>
            <w:tcW w:w="4107"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开滦（集团）有限责任公司唐山矿业分公司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联系电话</w:t>
            </w:r>
          </w:p>
        </w:tc>
        <w:tc>
          <w:tcPr>
            <w:tcW w:w="144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15175498082</w:t>
            </w:r>
          </w:p>
        </w:tc>
        <w:tc>
          <w:tcPr>
            <w:tcW w:w="65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邮编</w:t>
            </w:r>
          </w:p>
        </w:tc>
        <w:tc>
          <w:tcPr>
            <w:tcW w:w="201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063003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项目性质</w:t>
            </w:r>
          </w:p>
        </w:tc>
        <w:tc>
          <w:tcPr>
            <w:tcW w:w="144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改建</w:t>
            </w:r>
          </w:p>
        </w:tc>
        <w:tc>
          <w:tcPr>
            <w:tcW w:w="65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行业类别</w:t>
            </w:r>
          </w:p>
        </w:tc>
        <w:tc>
          <w:tcPr>
            <w:tcW w:w="201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highlight w:val="none"/>
                <w:lang w:val="en-US" w:eastAsia="zh-CN"/>
              </w:rPr>
              <w:t>C0690其他煤炭采选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建设地点</w:t>
            </w:r>
          </w:p>
        </w:tc>
        <w:tc>
          <w:tcPr>
            <w:tcW w:w="4107"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河北省唐山市路南区唐山矿风井工业广场内部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占地面积</w:t>
            </w:r>
          </w:p>
        </w:tc>
        <w:tc>
          <w:tcPr>
            <w:tcW w:w="144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本项目利用现有厂区1924.53m</w:t>
            </w:r>
            <w:r>
              <w:rPr>
                <w:rFonts w:hint="eastAsia" w:ascii="Times New Roman" w:hAnsi="Times New Roman" w:eastAsia="宋体" w:cs="Times New Roman"/>
                <w:bCs/>
                <w:color w:val="auto"/>
                <w:sz w:val="21"/>
                <w:szCs w:val="21"/>
                <w:vertAlign w:val="superscript"/>
                <w:lang w:val="en-US" w:eastAsia="zh-CN"/>
              </w:rPr>
              <w:t>2</w:t>
            </w:r>
            <w:r>
              <w:rPr>
                <w:rFonts w:hint="eastAsia" w:ascii="Times New Roman" w:hAnsi="Times New Roman" w:eastAsia="宋体" w:cs="Times New Roman"/>
                <w:bCs/>
                <w:color w:val="auto"/>
                <w:sz w:val="21"/>
                <w:szCs w:val="21"/>
                <w:lang w:val="en-US" w:eastAsia="zh-CN"/>
              </w:rPr>
              <w:t>，不新增占地</w:t>
            </w:r>
          </w:p>
        </w:tc>
        <w:tc>
          <w:tcPr>
            <w:tcW w:w="65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经纬度</w:t>
            </w:r>
          </w:p>
        </w:tc>
        <w:tc>
          <w:tcPr>
            <w:tcW w:w="201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东经：11</w:t>
            </w:r>
            <w:r>
              <w:rPr>
                <w:rFonts w:hint="eastAsia" w:ascii="Times New Roman" w:hAnsi="Times New Roman" w:eastAsia="宋体" w:cs="Times New Roman"/>
                <w:bCs/>
                <w:color w:val="auto"/>
                <w:sz w:val="21"/>
                <w:szCs w:val="21"/>
                <w:highlight w:val="none"/>
                <w:lang w:val="en-US" w:eastAsia="zh-CN"/>
              </w:rPr>
              <w:t>8</w:t>
            </w:r>
            <w:r>
              <w:rPr>
                <w:rFonts w:hint="default" w:ascii="Times New Roman" w:hAnsi="Times New Roman" w:eastAsia="宋体" w:cs="Times New Roman"/>
                <w:bCs/>
                <w:color w:val="auto"/>
                <w:sz w:val="21"/>
                <w:szCs w:val="21"/>
                <w:highlight w:val="none"/>
                <w:lang w:val="en-US" w:eastAsia="zh-CN"/>
              </w:rPr>
              <w:t>°</w:t>
            </w:r>
            <w:r>
              <w:rPr>
                <w:rFonts w:hint="eastAsia" w:ascii="Times New Roman" w:hAnsi="Times New Roman" w:eastAsia="宋体" w:cs="Times New Roman"/>
                <w:bCs/>
                <w:color w:val="auto"/>
                <w:sz w:val="21"/>
                <w:szCs w:val="21"/>
                <w:highlight w:val="none"/>
                <w:lang w:val="en-US" w:eastAsia="zh-CN"/>
              </w:rPr>
              <w:t>10</w:t>
            </w:r>
            <w:r>
              <w:rPr>
                <w:rFonts w:hint="default" w:ascii="Times New Roman" w:hAnsi="Times New Roman" w:eastAsia="宋体" w:cs="Times New Roman"/>
                <w:bCs/>
                <w:color w:val="auto"/>
                <w:sz w:val="21"/>
                <w:szCs w:val="21"/>
                <w:highlight w:val="none"/>
                <w:lang w:val="en-US" w:eastAsia="zh-CN"/>
              </w:rPr>
              <w:t>′</w:t>
            </w:r>
            <w:r>
              <w:rPr>
                <w:rFonts w:hint="eastAsia" w:ascii="Times New Roman" w:hAnsi="Times New Roman" w:eastAsia="宋体" w:cs="Times New Roman"/>
                <w:bCs/>
                <w:color w:val="auto"/>
                <w:sz w:val="21"/>
                <w:szCs w:val="21"/>
                <w:highlight w:val="none"/>
                <w:lang w:val="en-US" w:eastAsia="zh-CN"/>
              </w:rPr>
              <w:t>12.356</w:t>
            </w:r>
            <w:r>
              <w:rPr>
                <w:rFonts w:hint="default" w:ascii="Times New Roman" w:hAnsi="Times New Roman" w:eastAsia="宋体" w:cs="Times New Roman"/>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highlight w:val="none"/>
                <w:lang w:val="en-US" w:eastAsia="zh-CN"/>
              </w:rPr>
              <w:t>北纬：39°</w:t>
            </w:r>
            <w:r>
              <w:rPr>
                <w:rFonts w:hint="eastAsia" w:ascii="Times New Roman" w:hAnsi="Times New Roman" w:eastAsia="宋体" w:cs="Times New Roman"/>
                <w:bCs/>
                <w:color w:val="auto"/>
                <w:sz w:val="21"/>
                <w:szCs w:val="21"/>
                <w:highlight w:val="none"/>
                <w:lang w:val="en-US" w:eastAsia="zh-CN"/>
              </w:rPr>
              <w:t>35</w:t>
            </w:r>
            <w:r>
              <w:rPr>
                <w:rFonts w:hint="default" w:ascii="Times New Roman" w:hAnsi="Times New Roman" w:eastAsia="宋体" w:cs="Times New Roman"/>
                <w:bCs/>
                <w:color w:val="auto"/>
                <w:sz w:val="21"/>
                <w:szCs w:val="21"/>
                <w:highlight w:val="none"/>
                <w:lang w:val="en-US" w:eastAsia="zh-CN"/>
              </w:rPr>
              <w:t>′</w:t>
            </w:r>
            <w:r>
              <w:rPr>
                <w:rFonts w:hint="eastAsia" w:ascii="Times New Roman" w:hAnsi="Times New Roman" w:eastAsia="宋体" w:cs="Times New Roman"/>
                <w:bCs/>
                <w:color w:val="auto"/>
                <w:sz w:val="21"/>
                <w:szCs w:val="21"/>
                <w:highlight w:val="none"/>
                <w:lang w:val="en-US" w:eastAsia="zh-CN"/>
              </w:rPr>
              <w:t>44.269</w:t>
            </w:r>
            <w:r>
              <w:rPr>
                <w:rFonts w:hint="default" w:ascii="Times New Roman" w:hAnsi="Times New Roman" w:eastAsia="宋体" w:cs="Times New Roman"/>
                <w:bCs/>
                <w:color w:val="auto"/>
                <w:sz w:val="21"/>
                <w:szCs w:val="21"/>
                <w:highlight w:val="none"/>
                <w:lang w:val="en-US" w:eastAsia="zh-CN"/>
              </w:rPr>
              <w:t>″</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Cs/>
          <w:color w:val="auto"/>
          <w:sz w:val="24"/>
          <w:szCs w:val="24"/>
          <w:highlight w:val="none"/>
        </w:rPr>
        <w:t>开滦（集团）有限责任公司唐山矿业分公司块石场封闭工程项目于20</w:t>
      </w:r>
      <w:r>
        <w:rPr>
          <w:rFonts w:hint="default" w:ascii="Times New Roman" w:hAnsi="Times New Roman" w:eastAsia="宋体" w:cs="Times New Roman"/>
          <w:bCs/>
          <w:color w:val="auto"/>
          <w:sz w:val="24"/>
          <w:szCs w:val="24"/>
          <w:highlight w:val="none"/>
          <w:lang w:val="en-US" w:eastAsia="zh-CN"/>
        </w:rPr>
        <w:t>2</w:t>
      </w:r>
      <w:r>
        <w:rPr>
          <w:rFonts w:hint="eastAsia" w:ascii="Times New Roman" w:hAnsi="Times New Roman" w:eastAsia="宋体" w:cs="Times New Roman"/>
          <w:bCs/>
          <w:color w:val="auto"/>
          <w:sz w:val="24"/>
          <w:szCs w:val="24"/>
          <w:highlight w:val="none"/>
          <w:lang w:val="en-US" w:eastAsia="zh-CN"/>
        </w:rPr>
        <w:t>3</w:t>
      </w:r>
      <w:r>
        <w:rPr>
          <w:rFonts w:hint="default" w:ascii="Times New Roman" w:hAnsi="Times New Roman" w:eastAsia="宋体" w:cs="Times New Roman"/>
          <w:bCs/>
          <w:color w:val="auto"/>
          <w:sz w:val="24"/>
          <w:szCs w:val="24"/>
          <w:highlight w:val="none"/>
        </w:rPr>
        <w:t>年</w:t>
      </w:r>
      <w:r>
        <w:rPr>
          <w:rFonts w:hint="eastAsia" w:ascii="Times New Roman" w:hAnsi="Times New Roman" w:eastAsia="宋体" w:cs="Times New Roman"/>
          <w:bCs/>
          <w:color w:val="auto"/>
          <w:sz w:val="24"/>
          <w:szCs w:val="24"/>
          <w:highlight w:val="none"/>
          <w:lang w:val="en-US" w:eastAsia="zh-CN"/>
        </w:rPr>
        <w:t>6</w:t>
      </w:r>
      <w:r>
        <w:rPr>
          <w:rFonts w:hint="default" w:ascii="Times New Roman" w:hAnsi="Times New Roman" w:eastAsia="宋体" w:cs="Times New Roman"/>
          <w:bCs/>
          <w:color w:val="auto"/>
          <w:sz w:val="24"/>
          <w:szCs w:val="24"/>
          <w:highlight w:val="none"/>
        </w:rPr>
        <w:t>月建设完成</w:t>
      </w:r>
      <w:r>
        <w:rPr>
          <w:rFonts w:hint="eastAsia" w:ascii="Times New Roman" w:hAnsi="Times New Roman" w:eastAsia="宋体" w:cs="Times New Roman"/>
          <w:bCs/>
          <w:color w:val="auto"/>
          <w:sz w:val="24"/>
          <w:szCs w:val="24"/>
          <w:highlight w:val="none"/>
          <w:lang w:val="en-US" w:eastAsia="zh-CN"/>
        </w:rPr>
        <w:t>，</w:t>
      </w:r>
      <w:r>
        <w:rPr>
          <w:rFonts w:hint="default" w:ascii="Times New Roman" w:hAnsi="Times New Roman" w:eastAsia="宋体" w:cs="Times New Roman"/>
          <w:bCs/>
          <w:color w:val="auto"/>
          <w:sz w:val="24"/>
          <w:szCs w:val="24"/>
          <w:highlight w:val="none"/>
        </w:rPr>
        <w:t>于20</w:t>
      </w:r>
      <w:r>
        <w:rPr>
          <w:rFonts w:hint="default" w:ascii="Times New Roman" w:hAnsi="Times New Roman" w:eastAsia="宋体" w:cs="Times New Roman"/>
          <w:bCs/>
          <w:color w:val="auto"/>
          <w:sz w:val="24"/>
          <w:szCs w:val="24"/>
          <w:highlight w:val="none"/>
          <w:lang w:val="en-US" w:eastAsia="zh-CN"/>
        </w:rPr>
        <w:t>2</w:t>
      </w:r>
      <w:r>
        <w:rPr>
          <w:rFonts w:hint="eastAsia" w:ascii="Times New Roman" w:hAnsi="Times New Roman" w:eastAsia="宋体" w:cs="Times New Roman"/>
          <w:bCs/>
          <w:color w:val="auto"/>
          <w:sz w:val="24"/>
          <w:szCs w:val="24"/>
          <w:highlight w:val="none"/>
          <w:lang w:val="en-US" w:eastAsia="zh-CN"/>
        </w:rPr>
        <w:t>3</w:t>
      </w:r>
      <w:r>
        <w:rPr>
          <w:rFonts w:hint="default" w:ascii="Times New Roman" w:hAnsi="Times New Roman" w:eastAsia="宋体" w:cs="Times New Roman"/>
          <w:bCs/>
          <w:color w:val="auto"/>
          <w:sz w:val="24"/>
          <w:szCs w:val="24"/>
          <w:highlight w:val="none"/>
        </w:rPr>
        <w:t>年</w:t>
      </w:r>
      <w:r>
        <w:rPr>
          <w:rFonts w:hint="eastAsia" w:ascii="Times New Roman" w:hAnsi="Times New Roman" w:eastAsia="宋体" w:cs="Times New Roman"/>
          <w:bCs/>
          <w:color w:val="auto"/>
          <w:sz w:val="24"/>
          <w:szCs w:val="24"/>
          <w:highlight w:val="none"/>
          <w:lang w:val="en-US" w:eastAsia="zh-CN"/>
        </w:rPr>
        <w:t>10</w:t>
      </w:r>
      <w:r>
        <w:rPr>
          <w:rFonts w:hint="default" w:ascii="Times New Roman" w:hAnsi="Times New Roman" w:eastAsia="宋体" w:cs="Times New Roman"/>
          <w:bCs/>
          <w:color w:val="auto"/>
          <w:sz w:val="24"/>
          <w:szCs w:val="24"/>
          <w:highlight w:val="none"/>
        </w:rPr>
        <w:t>月进入生产调试期。</w:t>
      </w:r>
      <w:r>
        <w:rPr>
          <w:rFonts w:hint="default" w:ascii="Times New Roman" w:hAnsi="Times New Roman" w:eastAsia="宋体" w:cs="Times New Roman"/>
          <w:bCs/>
          <w:color w:val="auto"/>
          <w:sz w:val="24"/>
          <w:szCs w:val="24"/>
        </w:rPr>
        <w:t>根据</w:t>
      </w:r>
      <w:r>
        <w:rPr>
          <w:rFonts w:hint="default" w:ascii="Times New Roman" w:hAnsi="Times New Roman" w:eastAsia="宋体" w:cs="Times New Roman"/>
          <w:color w:val="auto"/>
          <w:sz w:val="24"/>
          <w:szCs w:val="24"/>
        </w:rPr>
        <w:t>《中华人民共和国环境保护法》和《建设项目环境保护管理条例》（国务院第682号令）等有关规定，按照环境保护设施与主体工程同时设计、同时施工、同时投入使用的“三同时”制度要求，查清工程在施工过程中对环境影响报告表和工程设计文件所提出的环境保护措施和要求的落实情况，调查分析工程在建设和试运行期间对环境造成的实际影响及可能存在的潜在影响，是否已采取有效的环境保护预防、减缓和补救措施，全面做好环境保护工作，为工程竣工环境保护验收提供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我公司按照关于发布《建设项目竣工环境保护验收暂行办法》的公告（国环规环评[2017]4号）和河北省环境保护厅《建设项目环境影响评价文件审批及建设单位自主开展环境保护设施验收工作指引（试行）》有关要求，开展相关验收调查工作，本次验收调查范围为开滦（集团）有限责任公司唐山矿业分公司块石场封闭工程项目</w:t>
      </w:r>
      <w:r>
        <w:rPr>
          <w:rFonts w:hint="default" w:ascii="Times New Roman" w:hAnsi="Times New Roman" w:eastAsia="宋体" w:cs="Times New Roman"/>
          <w:color w:val="auto"/>
          <w:sz w:val="24"/>
          <w:szCs w:val="24"/>
          <w:lang w:val="en-US" w:eastAsia="zh-CN"/>
        </w:rPr>
        <w:t>，同时委托</w:t>
      </w:r>
      <w:r>
        <w:rPr>
          <w:rFonts w:hint="default" w:ascii="Times New Roman" w:hAnsi="Times New Roman" w:eastAsia="宋体" w:cs="Times New Roman"/>
          <w:color w:val="auto"/>
          <w:sz w:val="24"/>
          <w:szCs w:val="24"/>
          <w:highlight w:val="none"/>
          <w:lang w:val="en-US" w:eastAsia="zh-CN"/>
        </w:rPr>
        <w:t>唐山赫力环境检测有限公司</w:t>
      </w:r>
      <w:r>
        <w:rPr>
          <w:rFonts w:hint="eastAsia" w:ascii="Times New Roman" w:hAnsi="Times New Roman" w:eastAsia="宋体" w:cs="Times New Roman"/>
          <w:color w:val="auto"/>
          <w:sz w:val="24"/>
          <w:szCs w:val="24"/>
          <w:highlight w:val="none"/>
          <w:lang w:val="en-US" w:eastAsia="zh-CN"/>
        </w:rPr>
        <w:t>于</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11</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17</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日至</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11</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18</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w:t>
      </w:r>
      <w:r>
        <w:rPr>
          <w:rFonts w:hint="eastAsia" w:ascii="Times New Roman" w:hAnsi="Times New Roman" w:eastAsia="宋体" w:cs="Times New Roman"/>
          <w:color w:val="auto"/>
          <w:sz w:val="24"/>
          <w:szCs w:val="24"/>
          <w:lang w:val="en-US" w:eastAsia="zh-CN"/>
        </w:rPr>
        <w:t>进行了检测并出具检测报告，</w:t>
      </w:r>
      <w:r>
        <w:rPr>
          <w:rFonts w:hint="default" w:ascii="Times New Roman" w:hAnsi="Times New Roman" w:eastAsia="宋体" w:cs="Times New Roman"/>
          <w:color w:val="auto"/>
          <w:sz w:val="24"/>
          <w:szCs w:val="24"/>
          <w:lang w:val="en-US" w:eastAsia="zh-CN"/>
        </w:rPr>
        <w:t>根据现场调查情况和检测报告，按照生态环境部《建设项目竣工环境保护验收技术指南污染影响类》编制完成了《</w:t>
      </w:r>
      <w:r>
        <w:rPr>
          <w:rFonts w:hint="default" w:ascii="Times New Roman" w:hAnsi="Times New Roman" w:eastAsia="宋体" w:cs="Times New Roman"/>
          <w:color w:val="auto"/>
          <w:sz w:val="24"/>
          <w:szCs w:val="24"/>
        </w:rPr>
        <w:t>开滦（集团）有限责任公司唐山矿业分公司块石场封闭工程项目</w:t>
      </w:r>
      <w:r>
        <w:rPr>
          <w:rFonts w:hint="default" w:ascii="Times New Roman" w:hAnsi="Times New Roman" w:eastAsia="宋体" w:cs="Times New Roman"/>
          <w:color w:val="auto"/>
          <w:sz w:val="24"/>
          <w:szCs w:val="24"/>
          <w:lang w:val="en-US" w:eastAsia="zh-CN"/>
        </w:rPr>
        <w:t>竣工环境保护验收报告》。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70C0"/>
          <w:sz w:val="24"/>
          <w:szCs w:val="24"/>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val="0"/>
        <w:snapToGrid w:val="0"/>
        <w:spacing w:line="360" w:lineRule="auto"/>
        <w:textAlignment w:val="auto"/>
        <w:rPr>
          <w:color w:val="000000" w:themeColor="text1"/>
          <w14:textFill>
            <w14:solidFill>
              <w14:schemeClr w14:val="tx1"/>
            </w14:solidFill>
          </w14:textFill>
        </w:rPr>
      </w:pPr>
      <w:bookmarkStart w:id="2" w:name="_Toc9310"/>
      <w:r>
        <w:rPr>
          <w:color w:val="000000" w:themeColor="text1"/>
          <w14:textFill>
            <w14:solidFill>
              <w14:schemeClr w14:val="tx1"/>
            </w14:solidFill>
          </w14:textFill>
        </w:rPr>
        <w:t>2验收依据</w:t>
      </w:r>
      <w:bookmarkEnd w:id="2"/>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cs="Times New Roman"/>
        </w:rPr>
      </w:pPr>
      <w:bookmarkStart w:id="3" w:name="_Toc17776"/>
      <w:r>
        <w:rPr>
          <w:rFonts w:cs="Times New Roman"/>
        </w:rPr>
        <w:t>2.1建设项目环境保护相关法律、法规和规章制度</w:t>
      </w:r>
      <w:bookmarkEnd w:id="3"/>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（1）《中华人民共和国环境保护法》，2015年1月1日；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（2）《中华人民共和国环境影响评价法》，2018年12月29日修订；</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3</w:t>
      </w:r>
      <w:r>
        <w:rPr>
          <w:rFonts w:ascii="Times New Roman" w:hAnsi="Times New Roman" w:eastAsiaTheme="minorEastAsia"/>
          <w:color w:val="auto"/>
          <w:sz w:val="24"/>
          <w:szCs w:val="24"/>
        </w:rPr>
        <w:t>）《中华人民共和国大气污染防治法》，2018年10月26日修订；</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4</w:t>
      </w:r>
      <w:r>
        <w:rPr>
          <w:rFonts w:ascii="Times New Roman" w:hAnsi="Times New Roman" w:eastAsiaTheme="minorEastAsia"/>
          <w:color w:val="auto"/>
          <w:sz w:val="24"/>
          <w:szCs w:val="24"/>
        </w:rPr>
        <w:t>）《中华人民共和国环境噪声污染防治法》，2018年12月29日修订；</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5</w:t>
      </w:r>
      <w:r>
        <w:rPr>
          <w:rFonts w:ascii="Times New Roman" w:hAnsi="Times New Roman" w:eastAsiaTheme="minorEastAsia"/>
          <w:color w:val="auto"/>
          <w:sz w:val="24"/>
          <w:szCs w:val="24"/>
        </w:rPr>
        <w:t>）《中华人民共和国固体废物污染环境防治法》，2020年4月29日修正；</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6</w:t>
      </w:r>
      <w:r>
        <w:rPr>
          <w:rFonts w:ascii="Times New Roman" w:hAnsi="Times New Roman" w:eastAsiaTheme="minorEastAsia"/>
          <w:color w:val="auto"/>
          <w:sz w:val="24"/>
          <w:szCs w:val="24"/>
        </w:rPr>
        <w:t>）《中华人民共和国环境保护税法》，2018年1月1日；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7</w:t>
      </w:r>
      <w:r>
        <w:rPr>
          <w:rFonts w:ascii="Times New Roman" w:hAnsi="Times New Roman" w:eastAsiaTheme="minorEastAsia"/>
          <w:color w:val="auto"/>
          <w:sz w:val="24"/>
          <w:szCs w:val="24"/>
        </w:rPr>
        <w:t>）《中华人民共和国土壤污染防治法》，2019年1月1日。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8</w:t>
      </w:r>
      <w:r>
        <w:rPr>
          <w:rFonts w:ascii="Times New Roman" w:hAnsi="Times New Roman" w:eastAsiaTheme="minorEastAsia"/>
          <w:color w:val="auto"/>
          <w:sz w:val="24"/>
          <w:szCs w:val="24"/>
        </w:rPr>
        <w:t>）《中华人民共和国土地管理法》，2004年8月28日；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9</w:t>
      </w:r>
      <w:r>
        <w:rPr>
          <w:rFonts w:ascii="Times New Roman" w:hAnsi="Times New Roman" w:eastAsiaTheme="minorEastAsia"/>
          <w:color w:val="auto"/>
          <w:sz w:val="24"/>
          <w:szCs w:val="24"/>
        </w:rPr>
        <w:t>）《中华人民共和国城乡规划法》，2015年4月24日修订；</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（1</w:t>
      </w:r>
      <w:r>
        <w:rPr>
          <w:rFonts w:hint="eastAsia" w:ascii="Times New Roman" w:hAnsi="Times New Roman" w:eastAsiaTheme="minorEastAsia"/>
          <w:color w:val="auto"/>
          <w:sz w:val="24"/>
          <w:szCs w:val="24"/>
          <w:lang w:val="en-US" w:eastAsia="zh-CN"/>
        </w:rPr>
        <w:t>0</w:t>
      </w:r>
      <w:r>
        <w:rPr>
          <w:rFonts w:ascii="Times New Roman" w:hAnsi="Times New Roman" w:eastAsiaTheme="minorEastAsia"/>
          <w:color w:val="auto"/>
          <w:sz w:val="24"/>
          <w:szCs w:val="24"/>
        </w:rPr>
        <w:t>）《建设项目环境保护管理条例》，2017年10月1日；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（1</w:t>
      </w:r>
      <w:r>
        <w:rPr>
          <w:rFonts w:hint="eastAsia" w:ascii="Times New Roman" w:hAnsi="Times New Roman" w:eastAsiaTheme="minorEastAsia"/>
          <w:color w:val="auto"/>
          <w:sz w:val="24"/>
          <w:szCs w:val="24"/>
          <w:lang w:val="en-US" w:eastAsia="zh-CN"/>
        </w:rPr>
        <w:t>1</w:t>
      </w:r>
      <w:r>
        <w:rPr>
          <w:rFonts w:ascii="Times New Roman" w:hAnsi="Times New Roman" w:eastAsiaTheme="minorEastAsia"/>
          <w:color w:val="auto"/>
          <w:sz w:val="24"/>
          <w:szCs w:val="24"/>
        </w:rPr>
        <w:t>）《建设项目环境影响评价分类管理名录》，20</w:t>
      </w:r>
      <w:r>
        <w:rPr>
          <w:rFonts w:hint="eastAsia" w:ascii="Times New Roman" w:hAnsi="Times New Roman" w:eastAsiaTheme="minorEastAsia"/>
          <w:color w:val="auto"/>
          <w:sz w:val="24"/>
          <w:szCs w:val="24"/>
          <w:lang w:val="en-US" w:eastAsia="zh-CN"/>
        </w:rPr>
        <w:t>21</w:t>
      </w:r>
      <w:r>
        <w:rPr>
          <w:rFonts w:ascii="Times New Roman" w:hAnsi="Times New Roman" w:eastAsiaTheme="minorEastAsia"/>
          <w:color w:val="auto"/>
          <w:sz w:val="24"/>
          <w:szCs w:val="24"/>
        </w:rPr>
        <w:t>年</w:t>
      </w:r>
      <w:r>
        <w:rPr>
          <w:rFonts w:hint="eastAsia" w:ascii="Times New Roman" w:hAnsi="Times New Roman" w:eastAsiaTheme="minorEastAsia"/>
          <w:color w:val="auto"/>
          <w:sz w:val="24"/>
          <w:szCs w:val="24"/>
          <w:lang w:val="en-US" w:eastAsia="zh-CN"/>
        </w:rPr>
        <w:t>1月1日</w:t>
      </w:r>
      <w:r>
        <w:rPr>
          <w:rFonts w:ascii="Times New Roman" w:hAnsi="Times New Roman" w:eastAsiaTheme="minorEastAsia"/>
          <w:color w:val="auto"/>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（1</w:t>
      </w:r>
      <w:r>
        <w:rPr>
          <w:rFonts w:hint="eastAsia" w:ascii="Times New Roman" w:hAnsi="Times New Roman" w:eastAsiaTheme="minorEastAsia"/>
          <w:color w:val="auto"/>
          <w:sz w:val="24"/>
          <w:szCs w:val="24"/>
          <w:lang w:val="en-US" w:eastAsia="zh-CN"/>
        </w:rPr>
        <w:t>2</w:t>
      </w:r>
      <w:r>
        <w:rPr>
          <w:rFonts w:ascii="Times New Roman" w:hAnsi="Times New Roman" w:eastAsiaTheme="minorEastAsia"/>
          <w:color w:val="auto"/>
          <w:sz w:val="24"/>
          <w:szCs w:val="24"/>
        </w:rPr>
        <w:t>）《河北省生态环境保护条例》，2020年7月1日。</w:t>
      </w:r>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cs="Times New Roman"/>
          <w:color w:val="000000" w:themeColor="text1"/>
          <w14:textFill>
            <w14:solidFill>
              <w14:schemeClr w14:val="tx1"/>
            </w14:solidFill>
          </w14:textFill>
        </w:rPr>
      </w:pPr>
      <w:bookmarkStart w:id="4" w:name="_Toc12229"/>
      <w:r>
        <w:rPr>
          <w:rFonts w:cs="Times New Roman"/>
          <w:color w:val="000000" w:themeColor="text1"/>
          <w14:textFill>
            <w14:solidFill>
              <w14:schemeClr w14:val="tx1"/>
            </w14:solidFill>
          </w14:textFill>
        </w:rPr>
        <w:t>2.2建设项目竣工环境保护验收技术规范</w:t>
      </w:r>
      <w:bookmarkEnd w:id="4"/>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（1）《建设项目环境影响评价技术导则 总纲》（HJ2.1-2016）；</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（2）《环境影响评价技术导则 大气环境》（HJ2.2-2018）；</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rPr>
        <w:t>）《环境影响评价技术导则 声环境》（HJ2.4-20</w:t>
      </w:r>
      <w:r>
        <w:rPr>
          <w:rFonts w:hint="eastAsia" w:ascii="Times New Roman" w:hAnsi="Times New Roman" w:cs="Times New Roman" w:eastAsiaTheme="minorEastAsia"/>
          <w:color w:val="auto"/>
          <w:sz w:val="24"/>
          <w:szCs w:val="24"/>
          <w:lang w:val="en-US" w:eastAsia="zh-CN"/>
        </w:rPr>
        <w:t>21</w:t>
      </w:r>
      <w:r>
        <w:rPr>
          <w:rFonts w:hint="default" w:ascii="Times New Roman" w:hAnsi="Times New Roman" w:cs="Times New Roman" w:eastAsiaTheme="minorEastAsia"/>
          <w:color w:val="auto"/>
          <w:sz w:val="24"/>
          <w:szCs w:val="24"/>
        </w:rPr>
        <w:t>）；</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4</w:t>
      </w:r>
      <w:r>
        <w:rPr>
          <w:rFonts w:hint="default" w:ascii="Times New Roman" w:hAnsi="Times New Roman" w:cs="Times New Roman" w:eastAsiaTheme="minorEastAsia"/>
          <w:color w:val="auto"/>
          <w:sz w:val="24"/>
          <w:szCs w:val="24"/>
        </w:rPr>
        <w:t>）《环境影响评价技术导则 生态影响》（HJ19-20</w:t>
      </w:r>
      <w:r>
        <w:rPr>
          <w:rFonts w:hint="eastAsia" w:ascii="Times New Roman" w:hAnsi="Times New Roman" w:cs="Times New Roman" w:eastAsiaTheme="minorEastAsia"/>
          <w:color w:val="auto"/>
          <w:sz w:val="24"/>
          <w:szCs w:val="24"/>
          <w:lang w:val="en-US" w:eastAsia="zh-CN"/>
        </w:rPr>
        <w:t>22</w:t>
      </w:r>
      <w:r>
        <w:rPr>
          <w:rFonts w:hint="default" w:ascii="Times New Roman" w:hAnsi="Times New Roman" w:cs="Times New Roman" w:eastAsiaTheme="minorEastAsia"/>
          <w:color w:val="auto"/>
          <w:sz w:val="24"/>
          <w:szCs w:val="24"/>
        </w:rPr>
        <w:t>）；</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5</w:t>
      </w:r>
      <w:r>
        <w:rPr>
          <w:rFonts w:hint="default" w:ascii="Times New Roman" w:hAnsi="Times New Roman" w:cs="Times New Roman" w:eastAsiaTheme="minorEastAsia"/>
          <w:color w:val="auto"/>
          <w:sz w:val="24"/>
          <w:szCs w:val="24"/>
        </w:rPr>
        <w:t>）《环境空气质量标准》（GB3095-2012）；</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6</w:t>
      </w:r>
      <w:r>
        <w:rPr>
          <w:rFonts w:hint="default" w:ascii="Times New Roman" w:hAnsi="Times New Roman" w:cs="Times New Roman" w:eastAsiaTheme="minorEastAsia"/>
          <w:color w:val="auto"/>
          <w:sz w:val="24"/>
          <w:szCs w:val="24"/>
        </w:rPr>
        <w:t>）《声环境质量标准》（GB3096-2008）；</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7</w:t>
      </w:r>
      <w:r>
        <w:rPr>
          <w:rFonts w:hint="default" w:ascii="Times New Roman" w:hAnsi="Times New Roman" w:cs="Times New Roman" w:eastAsiaTheme="minorEastAsia"/>
          <w:color w:val="auto"/>
          <w:sz w:val="24"/>
          <w:szCs w:val="24"/>
        </w:rPr>
        <w:t>）《工业企业厂界环境噪声排放标准》（GB12348-2008）；</w:t>
      </w:r>
    </w:p>
    <w:p>
      <w:pPr>
        <w:adjustRightInd w:val="0"/>
        <w:snapToGrid w:val="0"/>
        <w:spacing w:line="360" w:lineRule="auto"/>
        <w:ind w:left="420" w:leftChars="200"/>
        <w:rPr>
          <w:rFonts w:hint="default"/>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8</w:t>
      </w:r>
      <w:r>
        <w:rPr>
          <w:rFonts w:hint="default" w:ascii="Times New Roman" w:hAnsi="Times New Roman" w:cs="Times New Roman" w:eastAsiaTheme="minorEastAsia"/>
          <w:color w:val="auto"/>
          <w:sz w:val="24"/>
          <w:szCs w:val="24"/>
        </w:rPr>
        <w:t>）《一般工业固体废物贮存</w:t>
      </w:r>
      <w:r>
        <w:rPr>
          <w:rFonts w:hint="eastAsia" w:ascii="Times New Roman" w:hAnsi="Times New Roman" w:cs="Times New Roman" w:eastAsiaTheme="minorEastAsia"/>
          <w:color w:val="auto"/>
          <w:sz w:val="24"/>
          <w:szCs w:val="24"/>
          <w:lang w:val="en-US" w:eastAsia="zh-CN"/>
        </w:rPr>
        <w:t>和填埋污染</w:t>
      </w:r>
      <w:r>
        <w:rPr>
          <w:rFonts w:hint="default" w:ascii="Times New Roman" w:hAnsi="Times New Roman" w:cs="Times New Roman" w:eastAsiaTheme="minorEastAsia"/>
          <w:color w:val="auto"/>
          <w:sz w:val="24"/>
          <w:szCs w:val="24"/>
        </w:rPr>
        <w:t>控制标准》（GB18599-20</w:t>
      </w:r>
      <w:r>
        <w:rPr>
          <w:rFonts w:hint="eastAsia" w:ascii="Times New Roman" w:hAnsi="Times New Roman" w:cs="Times New Roman" w:eastAsiaTheme="minorEastAsia"/>
          <w:color w:val="auto"/>
          <w:sz w:val="24"/>
          <w:szCs w:val="24"/>
          <w:lang w:val="en-US" w:eastAsia="zh-CN"/>
        </w:rPr>
        <w:t>20</w:t>
      </w:r>
      <w:r>
        <w:rPr>
          <w:rFonts w:hint="default" w:ascii="Times New Roman" w:hAnsi="Times New Roman" w:cs="Times New Roman" w:eastAsiaTheme="minorEastAsia"/>
          <w:color w:val="auto"/>
          <w:sz w:val="24"/>
          <w:szCs w:val="24"/>
        </w:rPr>
        <w:t>）；</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9</w:t>
      </w:r>
      <w:r>
        <w:rPr>
          <w:rFonts w:hint="default" w:ascii="Times New Roman" w:hAnsi="Times New Roman" w:cs="Times New Roman" w:eastAsiaTheme="minorEastAsia"/>
          <w:color w:val="auto"/>
          <w:sz w:val="24"/>
          <w:szCs w:val="24"/>
        </w:rPr>
        <w:t>）《关于印发环评管理中部分行业建设项目重大变动清单的通知》（环境保护部，环办[2015]52号）；</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10</w:t>
      </w:r>
      <w:r>
        <w:rPr>
          <w:rFonts w:hint="default" w:ascii="Times New Roman" w:hAnsi="Times New Roman" w:cs="Times New Roman" w:eastAsiaTheme="minorEastAsia"/>
          <w:color w:val="auto"/>
          <w:sz w:val="24"/>
          <w:szCs w:val="24"/>
        </w:rPr>
        <w:t>）《关于规范建设单位自主开展建设项目竣工环境保护验收的通知（征求意见稿）》，环办环评函[2017]1235号，2017年8月3日；</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rPr>
        <w:t>1</w:t>
      </w:r>
      <w:r>
        <w:rPr>
          <w:rFonts w:hint="eastAsia" w:ascii="Times New Roman" w:hAnsi="Times New Roman" w:cs="Times New Roman" w:eastAsiaTheme="minorEastAsia"/>
          <w:color w:val="auto"/>
          <w:sz w:val="24"/>
          <w:szCs w:val="24"/>
          <w:lang w:val="en-US" w:eastAsia="zh-CN"/>
        </w:rPr>
        <w:t>1</w:t>
      </w:r>
      <w:r>
        <w:rPr>
          <w:rFonts w:hint="default" w:ascii="Times New Roman" w:hAnsi="Times New Roman" w:cs="Times New Roman" w:eastAsiaTheme="minorEastAsia"/>
          <w:color w:val="auto"/>
          <w:sz w:val="24"/>
          <w:szCs w:val="24"/>
        </w:rPr>
        <w:t>）《建设项目竣工环境保护验收暂行办法》，国环规环评[2017]4号，2017年11月20日；</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rPr>
        <w:t>1</w:t>
      </w:r>
      <w:r>
        <w:rPr>
          <w:rFonts w:hint="eastAsia" w:ascii="Times New Roman" w:hAnsi="Times New Roman" w:cs="Times New Roman" w:eastAsiaTheme="minorEastAsia"/>
          <w:color w:val="auto"/>
          <w:sz w:val="24"/>
          <w:szCs w:val="24"/>
          <w:lang w:val="en-US" w:eastAsia="zh-CN"/>
        </w:rPr>
        <w:t>2</w:t>
      </w:r>
      <w:r>
        <w:rPr>
          <w:rFonts w:hint="default" w:ascii="Times New Roman" w:hAnsi="Times New Roman" w:cs="Times New Roman" w:eastAsiaTheme="minorEastAsia"/>
          <w:color w:val="auto"/>
          <w:sz w:val="24"/>
          <w:szCs w:val="24"/>
        </w:rPr>
        <w:t>）《建设项目环境影响评价文件审批及建设单位自主开展环境保护设施验收工作指引（试行）》，冀环办字函[2017]727号，2017年11月23日；</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rPr>
        <w:t>1</w:t>
      </w:r>
      <w:r>
        <w:rPr>
          <w:rFonts w:hint="eastAsia"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rPr>
        <w:t>）《建设项目竣工环境保护验收技术指南 污染影响类》（生态环境部公告2018年第9号）；</w:t>
      </w:r>
    </w:p>
    <w:p>
      <w:pPr>
        <w:adjustRightInd w:val="0"/>
        <w:snapToGrid w:val="0"/>
        <w:spacing w:line="360" w:lineRule="auto"/>
        <w:ind w:firstLine="480" w:firstLineChars="200"/>
        <w:jc w:val="left"/>
        <w:rPr>
          <w:rFonts w:hint="eastAsia"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rPr>
        <w:t>1</w:t>
      </w:r>
      <w:r>
        <w:rPr>
          <w:rFonts w:hint="eastAsia" w:ascii="Times New Roman" w:hAnsi="Times New Roman" w:cs="Times New Roman" w:eastAsiaTheme="minorEastAsia"/>
          <w:color w:val="auto"/>
          <w:sz w:val="24"/>
          <w:szCs w:val="24"/>
          <w:lang w:val="en-US" w:eastAsia="zh-CN"/>
        </w:rPr>
        <w:t>4</w:t>
      </w:r>
      <w:r>
        <w:rPr>
          <w:rFonts w:hint="default" w:ascii="Times New Roman" w:hAnsi="Times New Roman" w:cs="Times New Roman" w:eastAsiaTheme="minorEastAsia"/>
          <w:color w:val="auto"/>
          <w:sz w:val="24"/>
          <w:szCs w:val="24"/>
        </w:rPr>
        <w:t>）《建设项目竣工环境保护验收效果评估技术指南（试行）》（生态环境部，环保环评函[2018]259号）</w:t>
      </w:r>
      <w:r>
        <w:rPr>
          <w:rFonts w:hint="eastAsia" w:ascii="Times New Roman" w:hAnsi="Times New Roman" w:cs="Times New Roman" w:eastAsiaTheme="minorEastAsia"/>
          <w:color w:val="auto"/>
          <w:sz w:val="24"/>
          <w:szCs w:val="24"/>
          <w:lang w:eastAsia="zh-CN"/>
        </w:rPr>
        <w:t>；</w:t>
      </w:r>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cs="Times New Roman"/>
          <w:color w:val="000000" w:themeColor="text1"/>
          <w14:textFill>
            <w14:solidFill>
              <w14:schemeClr w14:val="tx1"/>
            </w14:solidFill>
          </w14:textFill>
        </w:rPr>
      </w:pPr>
      <w:bookmarkStart w:id="5" w:name="_Toc20375"/>
      <w:r>
        <w:rPr>
          <w:rFonts w:cs="Times New Roman"/>
          <w:color w:val="000000" w:themeColor="text1"/>
          <w14:textFill>
            <w14:solidFill>
              <w14:schemeClr w14:val="tx1"/>
            </w14:solidFill>
          </w14:textFill>
        </w:rPr>
        <w:t>2.3建设项目环境影响报告</w:t>
      </w:r>
      <w:r>
        <w:rPr>
          <w:rFonts w:hint="eastAsia" w:cs="Times New Roman"/>
          <w:color w:val="000000" w:themeColor="text1"/>
          <w14:textFill>
            <w14:solidFill>
              <w14:schemeClr w14:val="tx1"/>
            </w14:solidFill>
          </w14:textFill>
        </w:rPr>
        <w:t>表</w:t>
      </w:r>
      <w:r>
        <w:rPr>
          <w:rFonts w:cs="Times New Roman"/>
          <w:color w:val="000000" w:themeColor="text1"/>
          <w14:textFill>
            <w14:solidFill>
              <w14:schemeClr w14:val="tx1"/>
            </w14:solidFill>
          </w14:textFill>
        </w:rPr>
        <w:t>及其审批部门审批决定</w:t>
      </w:r>
      <w:bookmarkEnd w:id="5"/>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Times New Roman" w:hAnsi="Times New Roman" w:eastAsiaTheme="minorEastAsia"/>
          <w:color w:val="auto"/>
          <w:sz w:val="24"/>
          <w:szCs w:val="24"/>
          <w:highlight w:val="yellow"/>
        </w:rPr>
      </w:pPr>
      <w:r>
        <w:rPr>
          <w:rFonts w:hint="eastAsia" w:ascii="Times New Roman" w:hAnsi="Times New Roman" w:eastAsiaTheme="minorEastAsia"/>
          <w:color w:val="auto"/>
          <w:sz w:val="24"/>
          <w:szCs w:val="24"/>
          <w:highlight w:val="none"/>
        </w:rPr>
        <w:t>（1</w:t>
      </w:r>
      <w:r>
        <w:rPr>
          <w:rFonts w:hint="eastAsia" w:ascii="Times New Roman" w:hAnsi="Times New Roman" w:cs="Times New Roman" w:eastAsiaTheme="minorEastAsia"/>
          <w:color w:val="auto"/>
          <w:sz w:val="24"/>
          <w:szCs w:val="24"/>
          <w:highlight w:val="none"/>
        </w:rPr>
        <w:t>）《</w:t>
      </w:r>
      <w:r>
        <w:rPr>
          <w:rFonts w:hint="default" w:ascii="Times New Roman" w:hAnsi="Times New Roman" w:eastAsia="宋体" w:cs="Times New Roman"/>
          <w:color w:val="auto"/>
          <w:sz w:val="24"/>
          <w:szCs w:val="24"/>
        </w:rPr>
        <w:t>开滦（集团）有限责任公司唐山矿业分公司块石场封闭工程项目</w:t>
      </w:r>
      <w:r>
        <w:rPr>
          <w:rFonts w:hint="eastAsia" w:ascii="Times New Roman" w:hAnsi="Times New Roman" w:cs="Times New Roman" w:eastAsiaTheme="minorEastAsia"/>
          <w:color w:val="auto"/>
          <w:sz w:val="24"/>
          <w:szCs w:val="24"/>
          <w:highlight w:val="none"/>
        </w:rPr>
        <w:t>环境影响</w:t>
      </w:r>
      <w:r>
        <w:rPr>
          <w:rFonts w:hint="eastAsia" w:ascii="Times New Roman" w:hAnsi="Times New Roman" w:cs="Times New Roman" w:eastAsiaTheme="minorEastAsia"/>
          <w:color w:val="auto"/>
          <w:sz w:val="24"/>
          <w:szCs w:val="24"/>
          <w:highlight w:val="none"/>
          <w:lang w:val="en-US" w:eastAsia="zh-CN"/>
        </w:rPr>
        <w:t>登记</w:t>
      </w:r>
      <w:r>
        <w:rPr>
          <w:rFonts w:hint="eastAsia" w:ascii="Times New Roman" w:hAnsi="Times New Roman" w:cs="Times New Roman" w:eastAsiaTheme="minorEastAsia"/>
          <w:color w:val="auto"/>
          <w:sz w:val="24"/>
          <w:szCs w:val="24"/>
          <w:highlight w:val="none"/>
        </w:rPr>
        <w:t>表</w:t>
      </w:r>
      <w:r>
        <w:rPr>
          <w:rFonts w:hint="eastAsia" w:ascii="Times New Roman" w:hAnsi="Times New Roman" w:eastAsiaTheme="minorEastAsia"/>
          <w:color w:val="auto"/>
          <w:sz w:val="24"/>
          <w:szCs w:val="24"/>
          <w:highlight w:val="none"/>
        </w:rPr>
        <w:t>》，</w:t>
      </w:r>
      <w:r>
        <w:rPr>
          <w:rFonts w:hint="eastAsia" w:ascii="Times New Roman" w:hAnsi="Times New Roman" w:eastAsiaTheme="minorEastAsia"/>
          <w:bCs/>
          <w:color w:val="auto"/>
          <w:sz w:val="24"/>
          <w:szCs w:val="24"/>
          <w:highlight w:val="none"/>
          <w:lang w:val="en-US" w:eastAsia="zh-CN"/>
        </w:rPr>
        <w:t>唐山鼎清环保科技有限公司</w:t>
      </w:r>
      <w:r>
        <w:rPr>
          <w:rFonts w:hint="eastAsia" w:ascii="Times New Roman" w:hAnsi="Times New Roman" w:eastAsiaTheme="minorEastAsia"/>
          <w:color w:val="auto"/>
          <w:sz w:val="24"/>
          <w:szCs w:val="24"/>
          <w:highlight w:val="none"/>
        </w:rPr>
        <w:t>，20</w:t>
      </w:r>
      <w:r>
        <w:rPr>
          <w:rFonts w:hint="eastAsia" w:ascii="Times New Roman" w:hAnsi="Times New Roman" w:eastAsiaTheme="minorEastAsia"/>
          <w:color w:val="auto"/>
          <w:sz w:val="24"/>
          <w:szCs w:val="24"/>
          <w:highlight w:val="none"/>
          <w:lang w:val="en-US" w:eastAsia="zh-CN"/>
        </w:rPr>
        <w:t>23</w:t>
      </w:r>
      <w:r>
        <w:rPr>
          <w:rFonts w:hint="eastAsia" w:ascii="Times New Roman" w:hAnsi="Times New Roman" w:eastAsiaTheme="minorEastAsia"/>
          <w:color w:val="auto"/>
          <w:sz w:val="24"/>
          <w:szCs w:val="24"/>
          <w:highlight w:val="none"/>
        </w:rPr>
        <w:t>年</w:t>
      </w:r>
      <w:r>
        <w:rPr>
          <w:rFonts w:hint="eastAsia" w:ascii="Times New Roman" w:hAnsi="Times New Roman" w:eastAsiaTheme="minorEastAsia"/>
          <w:color w:val="auto"/>
          <w:sz w:val="24"/>
          <w:szCs w:val="24"/>
          <w:highlight w:val="none"/>
          <w:lang w:val="en-US" w:eastAsia="zh-CN"/>
        </w:rPr>
        <w:t>1</w:t>
      </w:r>
      <w:r>
        <w:rPr>
          <w:rFonts w:hint="eastAsia" w:ascii="Times New Roman" w:hAnsi="Times New Roman" w:eastAsiaTheme="minorEastAsia"/>
          <w:color w:val="auto"/>
          <w:sz w:val="24"/>
          <w:szCs w:val="24"/>
          <w:highlight w:val="none"/>
        </w:rPr>
        <w:t>月；</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Times New Roman" w:hAnsi="Times New Roman" w:eastAsiaTheme="minorEastAsia"/>
          <w:color w:val="auto"/>
          <w:sz w:val="24"/>
          <w:szCs w:val="24"/>
          <w:highlight w:val="none"/>
        </w:rPr>
      </w:pPr>
      <w:r>
        <w:rPr>
          <w:rFonts w:hint="eastAsia" w:ascii="Times New Roman" w:hAnsi="Times New Roman" w:eastAsiaTheme="minorEastAsia"/>
          <w:color w:val="auto"/>
          <w:sz w:val="24"/>
          <w:szCs w:val="24"/>
          <w:highlight w:val="none"/>
        </w:rPr>
        <w:t>（</w:t>
      </w:r>
      <w:r>
        <w:rPr>
          <w:rFonts w:hint="eastAsia" w:ascii="Times New Roman" w:hAnsi="Times New Roman" w:eastAsiaTheme="minorEastAsia"/>
          <w:color w:val="auto"/>
          <w:sz w:val="24"/>
          <w:szCs w:val="24"/>
          <w:highlight w:val="none"/>
          <w:lang w:val="en-US" w:eastAsia="zh-CN"/>
        </w:rPr>
        <w:t>2</w:t>
      </w:r>
      <w:r>
        <w:rPr>
          <w:rFonts w:hint="eastAsia" w:ascii="Times New Roman" w:hAnsi="Times New Roman" w:eastAsiaTheme="minorEastAsia"/>
          <w:color w:val="auto"/>
          <w:sz w:val="24"/>
          <w:szCs w:val="24"/>
          <w:highlight w:val="none"/>
        </w:rPr>
        <w:t>）</w:t>
      </w:r>
      <w:r>
        <w:rPr>
          <w:rFonts w:hint="eastAsia" w:ascii="Times New Roman" w:hAnsi="Times New Roman" w:eastAsia="宋体" w:cs="Times New Roman"/>
          <w:bCs/>
          <w:color w:val="auto"/>
          <w:sz w:val="24"/>
          <w:szCs w:val="24"/>
          <w:highlight w:val="none"/>
          <w:lang w:val="en-US" w:eastAsia="zh-CN"/>
        </w:rPr>
        <w:t>2023年5月8日，</w:t>
      </w:r>
      <w:r>
        <w:rPr>
          <w:rFonts w:hint="default" w:ascii="Times New Roman" w:hAnsi="Times New Roman" w:eastAsia="宋体" w:cs="Times New Roman"/>
          <w:bCs/>
          <w:color w:val="auto"/>
          <w:sz w:val="24"/>
          <w:szCs w:val="24"/>
          <w:highlight w:val="none"/>
          <w:lang w:val="en-US" w:eastAsia="zh-CN"/>
        </w:rPr>
        <w:t>开滦（集团）有限责任公司唐山矿业分公司排污许可证</w:t>
      </w:r>
      <w:r>
        <w:rPr>
          <w:rFonts w:hint="eastAsia" w:ascii="Times New Roman" w:hAnsi="Times New Roman" w:eastAsia="宋体" w:cs="Times New Roman"/>
          <w:bCs/>
          <w:color w:val="auto"/>
          <w:sz w:val="24"/>
          <w:szCs w:val="24"/>
          <w:highlight w:val="none"/>
          <w:lang w:val="en-US" w:eastAsia="zh-CN"/>
        </w:rPr>
        <w:t>变更申领完成</w:t>
      </w:r>
      <w:r>
        <w:rPr>
          <w:rFonts w:hint="default" w:ascii="Times New Roman" w:hAnsi="Times New Roman" w:eastAsia="宋体" w:cs="Times New Roman"/>
          <w:bCs/>
          <w:color w:val="auto"/>
          <w:sz w:val="24"/>
          <w:szCs w:val="24"/>
          <w:highlight w:val="none"/>
          <w:lang w:val="en-US" w:eastAsia="zh-CN"/>
        </w:rPr>
        <w:t>（证书编号：91130200601041537N001V），有效期为202</w:t>
      </w:r>
      <w:r>
        <w:rPr>
          <w:rFonts w:hint="eastAsia" w:ascii="Times New Roman" w:hAnsi="Times New Roman" w:eastAsia="宋体" w:cs="Times New Roman"/>
          <w:bCs/>
          <w:color w:val="auto"/>
          <w:sz w:val="24"/>
          <w:szCs w:val="24"/>
          <w:highlight w:val="none"/>
          <w:lang w:val="en-US" w:eastAsia="zh-CN"/>
        </w:rPr>
        <w:t>3</w:t>
      </w:r>
      <w:r>
        <w:rPr>
          <w:rFonts w:hint="default" w:ascii="Times New Roman" w:hAnsi="Times New Roman" w:eastAsia="宋体" w:cs="Times New Roman"/>
          <w:bCs/>
          <w:color w:val="auto"/>
          <w:sz w:val="24"/>
          <w:szCs w:val="24"/>
          <w:highlight w:val="none"/>
          <w:lang w:val="en-US" w:eastAsia="zh-CN"/>
        </w:rPr>
        <w:t>年</w:t>
      </w:r>
      <w:r>
        <w:rPr>
          <w:rFonts w:hint="eastAsia" w:ascii="Times New Roman" w:hAnsi="Times New Roman" w:eastAsia="宋体" w:cs="Times New Roman"/>
          <w:bCs/>
          <w:color w:val="auto"/>
          <w:sz w:val="24"/>
          <w:szCs w:val="24"/>
          <w:highlight w:val="none"/>
          <w:lang w:val="en-US" w:eastAsia="zh-CN"/>
        </w:rPr>
        <w:t>7</w:t>
      </w:r>
      <w:r>
        <w:rPr>
          <w:rFonts w:hint="default" w:ascii="Times New Roman" w:hAnsi="Times New Roman" w:eastAsia="宋体" w:cs="Times New Roman"/>
          <w:bCs/>
          <w:color w:val="auto"/>
          <w:sz w:val="24"/>
          <w:szCs w:val="24"/>
          <w:highlight w:val="none"/>
          <w:lang w:val="en-US" w:eastAsia="zh-CN"/>
        </w:rPr>
        <w:t>月31日至202</w:t>
      </w:r>
      <w:r>
        <w:rPr>
          <w:rFonts w:hint="eastAsia" w:ascii="Times New Roman" w:hAnsi="Times New Roman" w:eastAsia="宋体" w:cs="Times New Roman"/>
          <w:bCs/>
          <w:color w:val="auto"/>
          <w:sz w:val="24"/>
          <w:szCs w:val="24"/>
          <w:highlight w:val="none"/>
          <w:lang w:val="en-US" w:eastAsia="zh-CN"/>
        </w:rPr>
        <w:t>8</w:t>
      </w:r>
      <w:r>
        <w:rPr>
          <w:rFonts w:hint="default" w:ascii="Times New Roman" w:hAnsi="Times New Roman" w:eastAsia="宋体" w:cs="Times New Roman"/>
          <w:bCs/>
          <w:color w:val="auto"/>
          <w:sz w:val="24"/>
          <w:szCs w:val="24"/>
          <w:highlight w:val="none"/>
          <w:lang w:val="en-US" w:eastAsia="zh-CN"/>
        </w:rPr>
        <w:t>年</w:t>
      </w:r>
      <w:r>
        <w:rPr>
          <w:rFonts w:hint="eastAsia" w:ascii="Times New Roman" w:hAnsi="Times New Roman" w:eastAsia="宋体" w:cs="Times New Roman"/>
          <w:bCs/>
          <w:color w:val="auto"/>
          <w:sz w:val="24"/>
          <w:szCs w:val="24"/>
          <w:highlight w:val="none"/>
          <w:lang w:val="en-US" w:eastAsia="zh-CN"/>
        </w:rPr>
        <w:t>7</w:t>
      </w:r>
      <w:r>
        <w:rPr>
          <w:rFonts w:hint="default" w:ascii="Times New Roman" w:hAnsi="Times New Roman" w:eastAsia="宋体" w:cs="Times New Roman"/>
          <w:bCs/>
          <w:color w:val="auto"/>
          <w:sz w:val="24"/>
          <w:szCs w:val="24"/>
          <w:highlight w:val="none"/>
          <w:lang w:val="en-US" w:eastAsia="zh-CN"/>
        </w:rPr>
        <w:t>月30日。</w:t>
      </w:r>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cs="Times New Roman"/>
          <w:color w:val="000000" w:themeColor="text1"/>
          <w14:textFill>
            <w14:solidFill>
              <w14:schemeClr w14:val="tx1"/>
            </w14:solidFill>
          </w14:textFill>
        </w:rPr>
      </w:pPr>
      <w:bookmarkStart w:id="6" w:name="_Toc15716"/>
      <w:r>
        <w:rPr>
          <w:rFonts w:cs="Times New Roman"/>
          <w:color w:val="000000" w:themeColor="text1"/>
          <w14:textFill>
            <w14:solidFill>
              <w14:schemeClr w14:val="tx1"/>
            </w14:solidFill>
          </w14:textFill>
        </w:rPr>
        <w:t>2.4其他相关文件</w:t>
      </w:r>
      <w:bookmarkEnd w:id="6"/>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480"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default" w:ascii="Times New Roman" w:hAnsi="Times New Roman" w:eastAsia="宋体" w:cs="Times New Roman"/>
          <w:color w:val="auto"/>
          <w:sz w:val="24"/>
          <w:szCs w:val="24"/>
          <w:highlight w:val="none"/>
          <w:lang w:val="en-US" w:eastAsia="zh-CN"/>
        </w:rPr>
        <w:t>唐山赫力环境检测有限公司</w:t>
      </w:r>
      <w:r>
        <w:rPr>
          <w:rFonts w:hint="default" w:ascii="Times New Roman" w:hAnsi="Times New Roman" w:eastAsia="宋体" w:cs="Times New Roman"/>
          <w:color w:val="auto"/>
          <w:sz w:val="24"/>
          <w:szCs w:val="30"/>
          <w:highlight w:val="none"/>
          <w:lang w:val="en-US" w:eastAsia="zh-CN"/>
        </w:rPr>
        <w:t>，《开滦（集团）有限责任公司唐山矿业分公司关于块石场封闭工程环保专项验收检测项目》（赫力环检字（2023）验第923号，2023年11月22日）</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7" w:name="_Toc3872"/>
      <w:r>
        <w:rPr>
          <w:rFonts w:hint="default" w:ascii="Times New Roman" w:hAnsi="Times New Roman" w:eastAsia="宋体" w:cs="Times New Roman"/>
          <w:color w:val="000000" w:themeColor="text1"/>
          <w14:textFill>
            <w14:solidFill>
              <w14:schemeClr w14:val="tx1"/>
            </w14:solidFill>
          </w14:textFill>
        </w:rPr>
        <w:t>3项目建设情况</w:t>
      </w:r>
      <w:bookmarkEnd w:id="7"/>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8" w:name="_Toc32689"/>
      <w:r>
        <w:rPr>
          <w:rFonts w:hint="default" w:ascii="Times New Roman" w:hAnsi="Times New Roman" w:eastAsia="宋体" w:cs="Times New Roman"/>
          <w:color w:val="000000" w:themeColor="text1"/>
          <w14:textFill>
            <w14:solidFill>
              <w14:schemeClr w14:val="tx1"/>
            </w14:solidFill>
          </w14:textFill>
        </w:rPr>
        <w:t>3.1地理位置</w:t>
      </w:r>
      <w:bookmarkEnd w:id="8"/>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3.1.1地理位置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bCs/>
          <w:color w:val="auto"/>
          <w:sz w:val="24"/>
          <w:szCs w:val="24"/>
          <w:highlight w:val="none"/>
        </w:rPr>
      </w:pPr>
      <w:r>
        <w:rPr>
          <w:rFonts w:hint="default" w:ascii="Times New Roman" w:hAnsi="Times New Roman" w:eastAsia="宋体" w:cs="Times New Roman"/>
          <w:bCs/>
          <w:color w:val="auto"/>
          <w:sz w:val="24"/>
          <w:szCs w:val="24"/>
        </w:rPr>
        <w:t>本项目位于</w:t>
      </w:r>
      <w:r>
        <w:rPr>
          <w:rFonts w:hint="eastAsia" w:ascii="Times New Roman" w:hAnsi="Times New Roman" w:eastAsia="宋体" w:cs="Times New Roman"/>
          <w:bCs/>
          <w:color w:val="auto"/>
          <w:sz w:val="24"/>
          <w:szCs w:val="24"/>
          <w:lang w:val="en-US" w:eastAsia="zh-CN"/>
        </w:rPr>
        <w:t>河北省唐山市路南区唐山矿风井工业广场内部</w:t>
      </w:r>
      <w:r>
        <w:rPr>
          <w:rFonts w:hint="default" w:ascii="Times New Roman" w:hAnsi="Times New Roman" w:eastAsia="宋体" w:cs="Times New Roman"/>
          <w:bCs/>
          <w:color w:val="auto"/>
          <w:sz w:val="24"/>
          <w:szCs w:val="24"/>
        </w:rPr>
        <w:t>，中心地理坐标为</w:t>
      </w:r>
      <w:r>
        <w:rPr>
          <w:rFonts w:hint="eastAsia" w:ascii="Times New Roman" w:hAnsi="Times New Roman" w:eastAsia="宋体" w:cs="Times New Roman"/>
          <w:bCs/>
          <w:color w:val="auto"/>
          <w:sz w:val="24"/>
          <w:szCs w:val="24"/>
          <w:lang w:val="en-US" w:eastAsia="zh-CN"/>
        </w:rPr>
        <w:t>东经</w:t>
      </w:r>
      <w:r>
        <w:rPr>
          <w:rFonts w:hint="default" w:ascii="Times New Roman" w:hAnsi="Times New Roman" w:eastAsia="宋体" w:cs="Times New Roman"/>
          <w:bCs/>
          <w:color w:val="auto"/>
          <w:sz w:val="24"/>
          <w:szCs w:val="24"/>
          <w:highlight w:val="none"/>
        </w:rPr>
        <w:t>118°10′12.356″</w:t>
      </w:r>
      <w:r>
        <w:rPr>
          <w:rFonts w:hint="eastAsia" w:ascii="Times New Roman" w:hAnsi="Times New Roman" w:eastAsia="宋体" w:cs="Times New Roman"/>
          <w:bCs/>
          <w:color w:val="auto"/>
          <w:sz w:val="24"/>
          <w:szCs w:val="24"/>
          <w:highlight w:val="none"/>
          <w:lang w:eastAsia="zh-CN"/>
        </w:rPr>
        <w:t>，</w:t>
      </w:r>
      <w:r>
        <w:rPr>
          <w:rFonts w:hint="default" w:ascii="Times New Roman" w:hAnsi="Times New Roman" w:eastAsia="宋体" w:cs="Times New Roman"/>
          <w:bCs/>
          <w:color w:val="auto"/>
          <w:sz w:val="24"/>
          <w:szCs w:val="24"/>
          <w:highlight w:val="none"/>
        </w:rPr>
        <w:t>北纬：39°35′44.269″</w:t>
      </w:r>
      <w:r>
        <w:rPr>
          <w:rFonts w:hint="default" w:ascii="Times New Roman" w:hAnsi="Times New Roman" w:eastAsia="宋体" w:cs="Times New Roman"/>
          <w:bCs/>
          <w:color w:val="auto"/>
          <w:sz w:val="24"/>
          <w:szCs w:val="24"/>
        </w:rPr>
        <w:t>。</w:t>
      </w:r>
      <w:r>
        <w:rPr>
          <w:rFonts w:hint="eastAsia" w:ascii="Times New Roman" w:hAnsi="Times New Roman" w:eastAsiaTheme="minorEastAsia"/>
          <w:bCs/>
          <w:color w:val="auto"/>
          <w:sz w:val="24"/>
          <w:szCs w:val="24"/>
          <w:highlight w:val="none"/>
        </w:rPr>
        <w:t>项目地理位置见附图1，周边关系见附图2。</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rPr>
      </w:pPr>
      <w:bookmarkStart w:id="9" w:name="_Toc5922"/>
      <w:r>
        <w:rPr>
          <w:rFonts w:hint="default" w:ascii="Times New Roman" w:hAnsi="Times New Roman" w:eastAsia="宋体" w:cs="Times New Roman"/>
          <w:color w:val="auto"/>
        </w:rPr>
        <w:t>3.2建设内容</w:t>
      </w:r>
      <w:bookmarkEnd w:id="9"/>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3.2.1项目规模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本</w:t>
      </w:r>
      <w:r>
        <w:rPr>
          <w:rFonts w:hint="default" w:ascii="Times New Roman" w:hAnsi="Times New Roman" w:eastAsia="宋体" w:cs="Times New Roman"/>
          <w:bCs/>
          <w:color w:val="auto"/>
          <w:sz w:val="24"/>
          <w:szCs w:val="24"/>
          <w:lang w:val="en-US" w:eastAsia="zh-CN"/>
        </w:rPr>
        <w:t>项目</w:t>
      </w:r>
      <w:r>
        <w:rPr>
          <w:rFonts w:hint="eastAsia" w:ascii="Times New Roman" w:hAnsi="Times New Roman" w:eastAsia="宋体" w:cs="Times New Roman"/>
          <w:bCs/>
          <w:color w:val="auto"/>
          <w:sz w:val="24"/>
          <w:szCs w:val="24"/>
          <w:lang w:val="en-US" w:eastAsia="zh-CN"/>
        </w:rPr>
        <w:t>为改建项目，改建后块石厂设计转运能力不变</w:t>
      </w:r>
      <w:r>
        <w:rPr>
          <w:rFonts w:hint="default" w:ascii="Times New Roman" w:hAnsi="Times New Roman" w:eastAsia="宋体" w:cs="Times New Roman"/>
          <w:bCs/>
          <w:color w:val="auto"/>
          <w:sz w:val="24"/>
          <w:szCs w:val="24"/>
        </w:rPr>
        <w:t>。</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3.2.2项目投资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color w:val="auto"/>
          <w:sz w:val="24"/>
          <w:szCs w:val="24"/>
        </w:rPr>
      </w:pPr>
      <w:r>
        <w:rPr>
          <w:rFonts w:hint="default" w:ascii="Times New Roman" w:hAnsi="Times New Roman" w:cs="Times New Roman" w:eastAsiaTheme="minorEastAsia"/>
          <w:bCs/>
          <w:color w:val="auto"/>
          <w:sz w:val="24"/>
          <w:szCs w:val="24"/>
        </w:rPr>
        <w:t>本项目总投资</w:t>
      </w:r>
      <w:r>
        <w:rPr>
          <w:rFonts w:hint="eastAsia" w:ascii="Times New Roman" w:hAnsi="Times New Roman" w:cs="Times New Roman" w:eastAsiaTheme="minorEastAsia"/>
          <w:bCs/>
          <w:color w:val="auto"/>
          <w:sz w:val="24"/>
          <w:szCs w:val="24"/>
          <w:lang w:val="en-US" w:eastAsia="zh-CN"/>
        </w:rPr>
        <w:t>453.19</w:t>
      </w:r>
      <w:r>
        <w:rPr>
          <w:rFonts w:hint="default" w:ascii="Times New Roman" w:hAnsi="Times New Roman" w:cs="Times New Roman" w:eastAsiaTheme="minorEastAsia"/>
          <w:bCs/>
          <w:color w:val="auto"/>
          <w:sz w:val="24"/>
          <w:szCs w:val="24"/>
        </w:rPr>
        <w:t>万元，环保投资</w:t>
      </w:r>
      <w:r>
        <w:rPr>
          <w:rFonts w:hint="eastAsia" w:ascii="Times New Roman" w:hAnsi="Times New Roman" w:cs="Times New Roman" w:eastAsiaTheme="minorEastAsia"/>
          <w:bCs/>
          <w:color w:val="auto"/>
          <w:sz w:val="24"/>
          <w:szCs w:val="24"/>
          <w:highlight w:val="none"/>
          <w:lang w:val="en-US" w:eastAsia="zh-CN"/>
        </w:rPr>
        <w:t>453.19</w:t>
      </w:r>
      <w:r>
        <w:rPr>
          <w:rFonts w:hint="default" w:ascii="Times New Roman" w:hAnsi="Times New Roman" w:cs="Times New Roman" w:eastAsiaTheme="minorEastAsia"/>
          <w:bCs/>
          <w:color w:val="auto"/>
          <w:sz w:val="24"/>
          <w:szCs w:val="24"/>
        </w:rPr>
        <w:t>万元，占总投资的</w:t>
      </w:r>
      <w:r>
        <w:rPr>
          <w:rFonts w:hint="eastAsia" w:ascii="Times New Roman" w:hAnsi="Times New Roman" w:cs="Times New Roman" w:eastAsiaTheme="minorEastAsia"/>
          <w:bCs/>
          <w:color w:val="auto"/>
          <w:sz w:val="24"/>
          <w:szCs w:val="24"/>
          <w:highlight w:val="none"/>
          <w:lang w:val="en-US" w:eastAsia="zh-CN"/>
        </w:rPr>
        <w:t>100</w:t>
      </w:r>
      <w:r>
        <w:rPr>
          <w:rFonts w:hint="default" w:ascii="Times New Roman" w:hAnsi="Times New Roman" w:cs="Times New Roman" w:eastAsiaTheme="minorEastAsia"/>
          <w:bCs/>
          <w:color w:val="auto"/>
          <w:sz w:val="24"/>
          <w:szCs w:val="24"/>
          <w:highlight w:val="none"/>
        </w:rPr>
        <w:t>%</w:t>
      </w:r>
      <w:r>
        <w:rPr>
          <w:rFonts w:hint="eastAsia" w:ascii="Times New Roman" w:hAnsi="Times New Roman" w:cs="Times New Roman" w:eastAsiaTheme="minorEastAsia"/>
          <w:bCs/>
          <w:color w:val="auto"/>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3.</w:t>
      </w:r>
      <w:r>
        <w:rPr>
          <w:rFonts w:hint="eastAsia"/>
          <w:color w:val="auto"/>
          <w:lang w:val="en-US" w:eastAsia="zh-CN"/>
        </w:rPr>
        <w:t>2</w:t>
      </w:r>
      <w:r>
        <w:rPr>
          <w:rFonts w:hint="eastAsia"/>
          <w:color w:val="auto"/>
        </w:rPr>
        <w:t>.</w:t>
      </w:r>
      <w:r>
        <w:rPr>
          <w:rFonts w:hint="eastAsia"/>
          <w:color w:val="auto"/>
          <w:lang w:val="en-US" w:eastAsia="zh-CN"/>
        </w:rPr>
        <w:t>3</w:t>
      </w:r>
      <w:r>
        <w:rPr>
          <w:rFonts w:hint="eastAsia"/>
          <w:color w:val="auto"/>
        </w:rPr>
        <w:t>平面布置</w:t>
      </w:r>
    </w:p>
    <w:p>
      <w:pPr>
        <w:keepNext w:val="0"/>
        <w:keepLines w:val="0"/>
        <w:pageBreakBefore w:val="0"/>
        <w:widowControl w:val="0"/>
        <w:tabs>
          <w:tab w:val="right" w:pos="8306"/>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Theme="minorEastAsia"/>
          <w:bCs/>
          <w:color w:val="auto"/>
          <w:sz w:val="24"/>
          <w:szCs w:val="24"/>
          <w:highlight w:val="none"/>
          <w:lang w:val="en-US" w:eastAsia="zh-CN"/>
        </w:rPr>
      </w:pPr>
      <w:r>
        <w:rPr>
          <w:rFonts w:hint="eastAsia" w:ascii="Times New Roman" w:hAnsi="Times New Roman" w:eastAsiaTheme="minorEastAsia"/>
          <w:bCs/>
          <w:color w:val="auto"/>
          <w:sz w:val="24"/>
          <w:szCs w:val="24"/>
          <w:highlight w:val="none"/>
          <w:lang w:val="en-US" w:eastAsia="zh-CN"/>
        </w:rPr>
        <w:t>本项目平面布置详见附图3。</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3.2.</w:t>
      </w:r>
      <w:r>
        <w:rPr>
          <w:rFonts w:hint="eastAsia"/>
          <w:color w:val="auto"/>
          <w:lang w:val="en-US" w:eastAsia="zh-CN"/>
        </w:rPr>
        <w:t>4</w:t>
      </w:r>
      <w:r>
        <w:rPr>
          <w:rFonts w:hint="eastAsia"/>
          <w:color w:val="auto"/>
        </w:rPr>
        <w:t>项目建设内容</w:t>
      </w:r>
    </w:p>
    <w:p>
      <w:pPr>
        <w:keepNext w:val="0"/>
        <w:keepLines w:val="0"/>
        <w:pageBreakBefore w:val="0"/>
        <w:widowControl w:val="0"/>
        <w:tabs>
          <w:tab w:val="right" w:pos="8306"/>
        </w:tabs>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bCs/>
          <w:color w:val="auto"/>
          <w:sz w:val="24"/>
          <w:szCs w:val="24"/>
          <w:lang w:val="en-US" w:eastAsia="zh-CN"/>
        </w:rPr>
      </w:pPr>
      <w:r>
        <w:rPr>
          <w:rFonts w:hint="eastAsia" w:ascii="Times New Roman" w:hAnsi="Times New Roman" w:eastAsiaTheme="minorEastAsia"/>
          <w:bCs/>
          <w:color w:val="auto"/>
          <w:sz w:val="24"/>
          <w:szCs w:val="24"/>
          <w:lang w:val="en-US" w:eastAsia="zh-CN"/>
        </w:rPr>
        <w:t>本项目利用现有厂区</w:t>
      </w:r>
      <w:r>
        <w:rPr>
          <w:rFonts w:hint="default" w:ascii="Times New Roman" w:hAnsi="Times New Roman" w:eastAsia="宋体" w:cs="Times New Roman"/>
          <w:color w:val="auto"/>
          <w:kern w:val="0"/>
          <w:sz w:val="24"/>
          <w:szCs w:val="24"/>
          <w:highlight w:val="none"/>
          <w:lang w:val="en-US" w:eastAsia="zh-CN"/>
        </w:rPr>
        <w:t>1924.53</w:t>
      </w:r>
      <w:r>
        <w:rPr>
          <w:rFonts w:hint="eastAsia" w:ascii="Times New Roman" w:hAnsi="Times New Roman" w:eastAsiaTheme="minorEastAsia"/>
          <w:bCs/>
          <w:color w:val="auto"/>
          <w:sz w:val="24"/>
          <w:szCs w:val="24"/>
          <w:lang w:val="en-US" w:eastAsia="zh-CN"/>
        </w:rPr>
        <w:t>m</w:t>
      </w:r>
      <w:r>
        <w:rPr>
          <w:rFonts w:hint="eastAsia" w:ascii="Times New Roman" w:hAnsi="Times New Roman" w:eastAsiaTheme="minorEastAsia"/>
          <w:bCs/>
          <w:color w:val="auto"/>
          <w:sz w:val="24"/>
          <w:szCs w:val="24"/>
          <w:vertAlign w:val="superscript"/>
          <w:lang w:val="en-US" w:eastAsia="zh-CN"/>
        </w:rPr>
        <w:t>2</w:t>
      </w:r>
      <w:r>
        <w:rPr>
          <w:rFonts w:hint="eastAsia" w:ascii="Times New Roman" w:hAnsi="Times New Roman" w:eastAsiaTheme="minorEastAsia"/>
          <w:bCs/>
          <w:color w:val="auto"/>
          <w:sz w:val="24"/>
          <w:szCs w:val="24"/>
          <w:lang w:val="en-US" w:eastAsia="zh-CN"/>
        </w:rPr>
        <w:t>，对现有露天块石料场进行封闭。不新增占地。</w:t>
      </w:r>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spacing w:line="360" w:lineRule="auto"/>
        <w:rPr>
          <w:rFonts w:hint="eastAsia" w:eastAsiaTheme="minorEastAsia"/>
          <w:color w:val="auto"/>
          <w:lang w:eastAsia="zh-CN"/>
        </w:rPr>
      </w:pPr>
      <w:r>
        <w:rPr>
          <w:rFonts w:hint="eastAsia"/>
          <w:color w:val="auto"/>
        </w:rPr>
        <w:t>3.2.</w:t>
      </w:r>
      <w:r>
        <w:rPr>
          <w:rFonts w:hint="eastAsia"/>
          <w:color w:val="auto"/>
          <w:lang w:val="en-US" w:eastAsia="zh-CN"/>
        </w:rPr>
        <w:t>5</w:t>
      </w:r>
      <w:r>
        <w:rPr>
          <w:rFonts w:hint="eastAsia"/>
          <w:color w:val="auto"/>
        </w:rPr>
        <w:t>生产</w:t>
      </w:r>
      <w:r>
        <w:rPr>
          <w:rFonts w:hint="eastAsia"/>
          <w:color w:val="auto"/>
          <w:lang w:val="en-US" w:eastAsia="zh-CN"/>
        </w:rPr>
        <w:t>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auto"/>
          <w:sz w:val="24"/>
          <w:szCs w:val="24"/>
        </w:rPr>
      </w:pPr>
      <w:r>
        <w:rPr>
          <w:rFonts w:hint="eastAsia" w:ascii="Times New Roman" w:hAnsi="Times New Roman" w:cs="Times New Roman" w:eastAsiaTheme="minorEastAsia"/>
          <w:color w:val="auto"/>
          <w:sz w:val="24"/>
          <w:szCs w:val="24"/>
          <w:lang w:val="en-US" w:eastAsia="zh-CN"/>
        </w:rPr>
        <w:t>本</w:t>
      </w:r>
      <w:r>
        <w:rPr>
          <w:rFonts w:hint="eastAsia" w:ascii="Times New Roman" w:hAnsi="Times New Roman" w:cs="Times New Roman" w:eastAsiaTheme="minorEastAsia"/>
          <w:color w:val="auto"/>
          <w:sz w:val="24"/>
          <w:szCs w:val="24"/>
        </w:rPr>
        <w:t>项目</w:t>
      </w:r>
      <w:r>
        <w:rPr>
          <w:rFonts w:hint="eastAsia" w:ascii="Times New Roman" w:hAnsi="Times New Roman" w:cs="Times New Roman" w:eastAsiaTheme="minorEastAsia"/>
          <w:color w:val="auto"/>
          <w:sz w:val="24"/>
          <w:szCs w:val="24"/>
          <w:lang w:val="en-US" w:eastAsia="zh-CN"/>
        </w:rPr>
        <w:t>新增</w:t>
      </w:r>
      <w:r>
        <w:rPr>
          <w:rFonts w:hint="eastAsia" w:ascii="Times New Roman" w:hAnsi="Times New Roman" w:eastAsiaTheme="minorEastAsia"/>
          <w:color w:val="auto"/>
          <w:sz w:val="24"/>
          <w:szCs w:val="24"/>
        </w:rPr>
        <w:t>建（构）筑物。</w:t>
      </w:r>
    </w:p>
    <w:p>
      <w:pPr>
        <w:pStyle w:val="2"/>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eastAsiaTheme="minorEastAsia"/>
          <w:lang w:val="en-US" w:eastAsia="zh-CN"/>
        </w:rPr>
      </w:pPr>
      <w:r>
        <w:rPr>
          <w:rFonts w:hint="eastAsia" w:ascii="Times New Roman" w:hAnsi="Times New Roman" w:eastAsiaTheme="minorEastAsia"/>
          <w:b/>
          <w:color w:val="auto"/>
          <w:sz w:val="24"/>
          <w:szCs w:val="24"/>
        </w:rPr>
        <w:t>表3-</w:t>
      </w:r>
      <w:r>
        <w:rPr>
          <w:rFonts w:hint="eastAsia" w:ascii="Times New Roman" w:hAnsi="Times New Roman" w:eastAsiaTheme="minorEastAsia"/>
          <w:b/>
          <w:color w:val="auto"/>
          <w:sz w:val="24"/>
          <w:szCs w:val="24"/>
          <w:lang w:val="en-US" w:eastAsia="zh-CN"/>
        </w:rPr>
        <w:t>1</w:t>
      </w:r>
      <w:r>
        <w:rPr>
          <w:rFonts w:hint="eastAsia" w:ascii="Times New Roman" w:hAnsi="Times New Roman" w:eastAsiaTheme="minorEastAsia"/>
          <w:b/>
          <w:color w:val="auto"/>
          <w:sz w:val="24"/>
          <w:szCs w:val="24"/>
        </w:rPr>
        <w:t>项目主要</w:t>
      </w:r>
      <w:r>
        <w:rPr>
          <w:rFonts w:hint="eastAsia" w:ascii="Times New Roman" w:hAnsi="Times New Roman" w:eastAsiaTheme="minorEastAsia"/>
          <w:b/>
          <w:color w:val="auto"/>
          <w:sz w:val="24"/>
          <w:szCs w:val="24"/>
          <w:lang w:val="en-US" w:eastAsia="zh-CN"/>
        </w:rPr>
        <w:t>建（构）筑物</w:t>
      </w:r>
    </w:p>
    <w:tbl>
      <w:tblPr>
        <w:tblStyle w:val="33"/>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2572"/>
        <w:gridCol w:w="755"/>
        <w:gridCol w:w="2326"/>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8"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项目</w:t>
            </w:r>
          </w:p>
        </w:tc>
        <w:tc>
          <w:tcPr>
            <w:tcW w:w="2572"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设计内容</w:t>
            </w:r>
          </w:p>
        </w:tc>
        <w:tc>
          <w:tcPr>
            <w:tcW w:w="755"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备注</w:t>
            </w:r>
          </w:p>
        </w:tc>
        <w:tc>
          <w:tcPr>
            <w:tcW w:w="2326"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实际建设内容</w:t>
            </w:r>
          </w:p>
        </w:tc>
        <w:tc>
          <w:tcPr>
            <w:tcW w:w="1191"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8"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块石厂房</w:t>
            </w:r>
          </w:p>
        </w:tc>
        <w:tc>
          <w:tcPr>
            <w:tcW w:w="2572" w:type="dxa"/>
            <w:vAlign w:val="center"/>
          </w:tcPr>
          <w:p>
            <w:pPr>
              <w:jc w:val="both"/>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新建，砖混+彩钢结构。</w:t>
            </w:r>
          </w:p>
        </w:tc>
        <w:tc>
          <w:tcPr>
            <w:tcW w:w="755" w:type="dxa"/>
            <w:vMerge w:val="restart"/>
            <w:vAlign w:val="center"/>
          </w:tcPr>
          <w:p>
            <w:pPr>
              <w:jc w:val="both"/>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占地面积：</w:t>
            </w:r>
            <w:r>
              <w:rPr>
                <w:rFonts w:hint="eastAsia" w:ascii="Times New Roman" w:hAnsi="Times New Roman" w:eastAsia="宋体" w:cs="Times New Roman"/>
                <w:color w:val="auto"/>
                <w:sz w:val="21"/>
                <w:szCs w:val="21"/>
                <w:vertAlign w:val="baseline"/>
                <w:lang w:val="en-US" w:eastAsia="zh-CN"/>
              </w:rPr>
              <w:t>1924.53</w:t>
            </w:r>
            <w:r>
              <w:rPr>
                <w:rFonts w:hint="eastAsia" w:ascii="Times New Roman" w:hAnsi="Times New Roman" w:eastAsia="宋体" w:cs="Times New Roman"/>
                <w:sz w:val="21"/>
                <w:szCs w:val="21"/>
                <w:vertAlign w:val="baseline"/>
                <w:lang w:val="en-US" w:eastAsia="zh-CN"/>
              </w:rPr>
              <w:t>m</w:t>
            </w:r>
            <w:r>
              <w:rPr>
                <w:rFonts w:hint="eastAsia" w:ascii="Times New Roman" w:hAnsi="Times New Roman" w:eastAsia="宋体" w:cs="Times New Roman"/>
                <w:sz w:val="21"/>
                <w:szCs w:val="21"/>
                <w:vertAlign w:val="superscript"/>
                <w:lang w:val="en-US" w:eastAsia="zh-CN"/>
              </w:rPr>
              <w:t>2</w:t>
            </w:r>
          </w:p>
        </w:tc>
        <w:tc>
          <w:tcPr>
            <w:tcW w:w="2326" w:type="dxa"/>
            <w:vAlign w:val="center"/>
          </w:tcPr>
          <w:p>
            <w:pPr>
              <w:jc w:val="both"/>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sz w:val="21"/>
                <w:szCs w:val="21"/>
                <w:vertAlign w:val="baseline"/>
                <w:lang w:val="en-US" w:eastAsia="zh-CN"/>
              </w:rPr>
              <w:t>新建，砖混+彩钢结构。</w:t>
            </w:r>
          </w:p>
        </w:tc>
        <w:tc>
          <w:tcPr>
            <w:tcW w:w="1191" w:type="dxa"/>
            <w:vMerge w:val="restart"/>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8"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设备间</w:t>
            </w:r>
          </w:p>
        </w:tc>
        <w:tc>
          <w:tcPr>
            <w:tcW w:w="2572"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新建，位于块石厂房内，间内放置高压微雾降尘系统配套设备</w:t>
            </w:r>
          </w:p>
        </w:tc>
        <w:tc>
          <w:tcPr>
            <w:tcW w:w="755" w:type="dxa"/>
            <w:vMerge w:val="continue"/>
            <w:vAlign w:val="center"/>
          </w:tcPr>
          <w:p>
            <w:pPr>
              <w:jc w:val="center"/>
              <w:rPr>
                <w:rFonts w:hint="eastAsia" w:ascii="Times New Roman" w:hAnsi="Times New Roman" w:eastAsia="宋体" w:cs="Times New Roman"/>
                <w:sz w:val="21"/>
                <w:szCs w:val="21"/>
                <w:vertAlign w:val="baseline"/>
                <w:lang w:val="en-US" w:eastAsia="zh-CN"/>
              </w:rPr>
            </w:pPr>
          </w:p>
        </w:tc>
        <w:tc>
          <w:tcPr>
            <w:tcW w:w="2326" w:type="dxa"/>
            <w:vAlign w:val="center"/>
          </w:tcPr>
          <w:p>
            <w:pPr>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sz w:val="21"/>
                <w:szCs w:val="21"/>
                <w:vertAlign w:val="baseline"/>
                <w:lang w:val="en-US" w:eastAsia="zh-CN"/>
              </w:rPr>
              <w:t>新建，位于块石厂房内，间内放置高压微雾降尘系统配套设备</w:t>
            </w:r>
          </w:p>
        </w:tc>
        <w:tc>
          <w:tcPr>
            <w:tcW w:w="1191" w:type="dxa"/>
            <w:vMerge w:val="continue"/>
            <w:vAlign w:val="center"/>
          </w:tcPr>
          <w:p>
            <w:pPr>
              <w:jc w:val="center"/>
              <w:rPr>
                <w:rFonts w:hint="eastAsia" w:ascii="Times New Roman" w:hAnsi="Times New Roman"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8"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洗车平台</w:t>
            </w:r>
          </w:p>
        </w:tc>
        <w:tc>
          <w:tcPr>
            <w:tcW w:w="2572"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彩钢结构</w:t>
            </w:r>
          </w:p>
        </w:tc>
        <w:tc>
          <w:tcPr>
            <w:tcW w:w="755" w:type="dxa"/>
            <w:vMerge w:val="continue"/>
            <w:vAlign w:val="center"/>
          </w:tcPr>
          <w:p>
            <w:pPr>
              <w:jc w:val="center"/>
              <w:rPr>
                <w:rFonts w:hint="eastAsia" w:ascii="Times New Roman" w:hAnsi="Times New Roman" w:eastAsia="宋体" w:cs="Times New Roman"/>
                <w:sz w:val="21"/>
                <w:szCs w:val="21"/>
                <w:vertAlign w:val="baseline"/>
                <w:lang w:val="en-US" w:eastAsia="zh-CN"/>
              </w:rPr>
            </w:pPr>
          </w:p>
        </w:tc>
        <w:tc>
          <w:tcPr>
            <w:tcW w:w="2326" w:type="dxa"/>
            <w:vAlign w:val="center"/>
          </w:tcPr>
          <w:p>
            <w:pPr>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sz w:val="21"/>
                <w:szCs w:val="21"/>
                <w:vertAlign w:val="baseline"/>
                <w:lang w:val="en-US" w:eastAsia="zh-CN"/>
              </w:rPr>
              <w:t>彩钢结构</w:t>
            </w:r>
          </w:p>
        </w:tc>
        <w:tc>
          <w:tcPr>
            <w:tcW w:w="1191" w:type="dxa"/>
            <w:vMerge w:val="continue"/>
            <w:vAlign w:val="center"/>
          </w:tcPr>
          <w:p>
            <w:pPr>
              <w:jc w:val="center"/>
              <w:rPr>
                <w:rFonts w:hint="eastAsia" w:ascii="Times New Roman" w:hAnsi="Times New Roman" w:eastAsia="宋体"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8"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沉淀池</w:t>
            </w:r>
          </w:p>
        </w:tc>
        <w:tc>
          <w:tcPr>
            <w:tcW w:w="2572" w:type="dxa"/>
            <w:vAlign w:val="center"/>
          </w:tcPr>
          <w:p>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位于洗车平台下方，用于洗车废水沉淀</w:t>
            </w:r>
          </w:p>
        </w:tc>
        <w:tc>
          <w:tcPr>
            <w:tcW w:w="755" w:type="dxa"/>
            <w:vMerge w:val="continue"/>
            <w:vAlign w:val="center"/>
          </w:tcPr>
          <w:p>
            <w:pPr>
              <w:jc w:val="center"/>
              <w:rPr>
                <w:rFonts w:hint="eastAsia" w:ascii="Times New Roman" w:hAnsi="Times New Roman" w:eastAsia="宋体" w:cs="Times New Roman"/>
                <w:sz w:val="21"/>
                <w:szCs w:val="21"/>
                <w:vertAlign w:val="baseline"/>
                <w:lang w:val="en-US" w:eastAsia="zh-CN"/>
              </w:rPr>
            </w:pPr>
          </w:p>
        </w:tc>
        <w:tc>
          <w:tcPr>
            <w:tcW w:w="2326" w:type="dxa"/>
            <w:vAlign w:val="center"/>
          </w:tcPr>
          <w:p>
            <w:pPr>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sz w:val="21"/>
                <w:szCs w:val="21"/>
                <w:vertAlign w:val="baseline"/>
                <w:lang w:val="en-US" w:eastAsia="zh-CN"/>
              </w:rPr>
              <w:t>位于洗车平台下方，用于洗车废水沉淀</w:t>
            </w:r>
          </w:p>
        </w:tc>
        <w:tc>
          <w:tcPr>
            <w:tcW w:w="1191" w:type="dxa"/>
            <w:vMerge w:val="continue"/>
            <w:vAlign w:val="center"/>
          </w:tcPr>
          <w:p>
            <w:pPr>
              <w:jc w:val="center"/>
              <w:rPr>
                <w:rFonts w:hint="eastAsia" w:ascii="Times New Roman" w:hAnsi="Times New Roman" w:eastAsia="宋体" w:cs="Times New Roman"/>
                <w:sz w:val="21"/>
                <w:szCs w:val="21"/>
                <w:vertAlign w:val="baseline"/>
                <w:lang w:val="en-US" w:eastAsia="zh-CN"/>
              </w:rPr>
            </w:pPr>
          </w:p>
        </w:tc>
      </w:tr>
    </w:tbl>
    <w:p>
      <w:pPr>
        <w:pStyle w:val="2"/>
        <w:ind w:left="0" w:leftChars="0" w:firstLine="0" w:firstLineChars="0"/>
        <w:rPr>
          <w:rFonts w:hint="eastAsia"/>
        </w:rPr>
      </w:pP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color w:val="auto"/>
          <w:lang w:eastAsia="zh-CN"/>
        </w:rPr>
      </w:pPr>
      <w:r>
        <w:rPr>
          <w:rFonts w:hint="eastAsia"/>
          <w:color w:val="auto"/>
        </w:rPr>
        <w:t>3.2.</w:t>
      </w:r>
      <w:r>
        <w:rPr>
          <w:rFonts w:hint="eastAsia"/>
          <w:color w:val="auto"/>
          <w:lang w:val="en-US" w:eastAsia="zh-CN"/>
        </w:rPr>
        <w:t>6</w:t>
      </w:r>
      <w:r>
        <w:rPr>
          <w:rFonts w:hint="eastAsia"/>
          <w:color w:val="auto"/>
        </w:rPr>
        <w:t>生产</w:t>
      </w:r>
      <w:r>
        <w:rPr>
          <w:rFonts w:hint="eastAsia"/>
          <w:color w:val="auto"/>
          <w:lang w:val="en-US" w:eastAsia="zh-CN"/>
        </w:rPr>
        <w:t>设备</w:t>
      </w:r>
    </w:p>
    <w:p>
      <w:pPr>
        <w:spacing w:line="360" w:lineRule="auto"/>
        <w:ind w:firstLine="480" w:firstLineChars="200"/>
        <w:rPr>
          <w:rFonts w:hint="eastAsia" w:ascii="Times New Roman" w:hAnsi="Times New Roman" w:eastAsiaTheme="minorEastAsia"/>
          <w:color w:val="auto"/>
          <w:sz w:val="24"/>
          <w:szCs w:val="24"/>
          <w:lang w:val="en-US" w:eastAsia="zh-CN"/>
        </w:rPr>
      </w:pPr>
      <w:r>
        <w:rPr>
          <w:rFonts w:hint="eastAsia" w:ascii="Times New Roman" w:hAnsi="Times New Roman" w:eastAsiaTheme="minorEastAsia"/>
          <w:color w:val="auto"/>
          <w:sz w:val="24"/>
          <w:szCs w:val="24"/>
        </w:rPr>
        <w:t>本项目</w:t>
      </w:r>
      <w:r>
        <w:rPr>
          <w:rFonts w:hint="eastAsia" w:ascii="Times New Roman" w:hAnsi="Times New Roman" w:eastAsiaTheme="minorEastAsia"/>
          <w:color w:val="auto"/>
          <w:sz w:val="24"/>
          <w:szCs w:val="24"/>
          <w:lang w:val="en-US" w:eastAsia="zh-CN"/>
        </w:rPr>
        <w:t>主要生产设备情况见表3-2</w:t>
      </w:r>
    </w:p>
    <w:p>
      <w:pPr>
        <w:pStyle w:val="2"/>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lang w:val="en-US" w:eastAsia="zh-CN"/>
        </w:rPr>
      </w:pPr>
      <w:r>
        <w:rPr>
          <w:rFonts w:hint="eastAsia" w:ascii="Times New Roman" w:hAnsi="Times New Roman" w:eastAsiaTheme="minorEastAsia"/>
          <w:b/>
          <w:color w:val="auto"/>
          <w:sz w:val="24"/>
          <w:szCs w:val="24"/>
        </w:rPr>
        <w:t>表3-</w:t>
      </w:r>
      <w:r>
        <w:rPr>
          <w:rFonts w:hint="eastAsia" w:ascii="Times New Roman" w:hAnsi="Times New Roman" w:eastAsiaTheme="minorEastAsia"/>
          <w:b/>
          <w:color w:val="auto"/>
          <w:sz w:val="24"/>
          <w:szCs w:val="24"/>
          <w:lang w:val="en-US" w:eastAsia="zh-CN"/>
        </w:rPr>
        <w:t>2</w:t>
      </w:r>
      <w:r>
        <w:rPr>
          <w:rFonts w:hint="eastAsia" w:ascii="Times New Roman" w:hAnsi="Times New Roman" w:eastAsiaTheme="minorEastAsia"/>
          <w:b/>
          <w:color w:val="auto"/>
          <w:sz w:val="24"/>
          <w:szCs w:val="24"/>
        </w:rPr>
        <w:t>项目主要</w:t>
      </w:r>
      <w:r>
        <w:rPr>
          <w:rFonts w:hint="eastAsia" w:ascii="Times New Roman" w:hAnsi="Times New Roman" w:eastAsiaTheme="minorEastAsia"/>
          <w:b/>
          <w:color w:val="auto"/>
          <w:sz w:val="24"/>
          <w:szCs w:val="24"/>
          <w:lang w:val="en-US" w:eastAsia="zh-CN"/>
        </w:rPr>
        <w:t>设备一览表</w:t>
      </w:r>
    </w:p>
    <w:tbl>
      <w:tblPr>
        <w:tblStyle w:val="32"/>
        <w:tblW w:w="47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2"/>
        <w:gridCol w:w="1985"/>
        <w:gridCol w:w="712"/>
        <w:gridCol w:w="572"/>
        <w:gridCol w:w="1978"/>
        <w:gridCol w:w="994"/>
        <w:gridCol w:w="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40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ascii="Times New Roman" w:hAnsi="Times New Roman" w:eastAsia="宋体" w:cs="Times New Roman"/>
                <w:color w:val="auto"/>
                <w:kern w:val="0"/>
                <w:sz w:val="21"/>
                <w:szCs w:val="21"/>
                <w:highlight w:val="none"/>
              </w:rPr>
            </w:pPr>
            <w:r>
              <w:rPr>
                <w:rFonts w:ascii="Times New Roman" w:hAnsi="Times New Roman" w:eastAsia="宋体" w:cs="Times New Roman"/>
                <w:color w:val="auto"/>
                <w:kern w:val="0"/>
                <w:sz w:val="21"/>
                <w:szCs w:val="21"/>
                <w:highlight w:val="none"/>
              </w:rPr>
              <w:t>序号</w:t>
            </w:r>
          </w:p>
        </w:tc>
        <w:tc>
          <w:tcPr>
            <w:tcW w:w="1261"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ascii="Times New Roman" w:hAnsi="Times New Roman" w:eastAsia="宋体" w:cs="Times New Roman"/>
                <w:color w:val="auto"/>
                <w:kern w:val="0"/>
                <w:sz w:val="21"/>
                <w:szCs w:val="21"/>
                <w:highlight w:val="none"/>
              </w:rPr>
            </w:pPr>
            <w:r>
              <w:rPr>
                <w:rFonts w:ascii="Times New Roman" w:hAnsi="Times New Roman" w:eastAsia="宋体" w:cs="Times New Roman"/>
                <w:color w:val="auto"/>
                <w:kern w:val="0"/>
                <w:sz w:val="21"/>
                <w:szCs w:val="21"/>
                <w:highlight w:val="none"/>
              </w:rPr>
              <w:t>设备名称</w:t>
            </w:r>
          </w:p>
        </w:tc>
        <w:tc>
          <w:tcPr>
            <w:tcW w:w="4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ascii="Times New Roman" w:hAnsi="Times New Roman" w:eastAsia="宋体" w:cs="Times New Roman"/>
                <w:color w:val="auto"/>
                <w:kern w:val="0"/>
                <w:sz w:val="21"/>
                <w:szCs w:val="21"/>
                <w:highlight w:val="none"/>
              </w:rPr>
            </w:pPr>
            <w:r>
              <w:rPr>
                <w:rFonts w:ascii="Times New Roman" w:hAnsi="Times New Roman" w:eastAsia="宋体" w:cs="Times New Roman"/>
                <w:color w:val="auto"/>
                <w:kern w:val="0"/>
                <w:sz w:val="21"/>
                <w:szCs w:val="21"/>
                <w:highlight w:val="none"/>
              </w:rPr>
              <w:t>单位</w:t>
            </w:r>
          </w:p>
        </w:tc>
        <w:tc>
          <w:tcPr>
            <w:tcW w:w="363"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ascii="Times New Roman" w:hAnsi="Times New Roman" w:eastAsia="宋体" w:cs="Times New Roman"/>
                <w:color w:val="auto"/>
                <w:kern w:val="0"/>
                <w:sz w:val="21"/>
                <w:szCs w:val="21"/>
                <w:highlight w:val="none"/>
              </w:rPr>
            </w:pPr>
            <w:r>
              <w:rPr>
                <w:rFonts w:ascii="Times New Roman" w:hAnsi="Times New Roman" w:eastAsia="宋体" w:cs="Times New Roman"/>
                <w:color w:val="auto"/>
                <w:kern w:val="0"/>
                <w:sz w:val="21"/>
                <w:szCs w:val="21"/>
                <w:highlight w:val="none"/>
              </w:rPr>
              <w:t>数量</w:t>
            </w:r>
          </w:p>
        </w:tc>
        <w:tc>
          <w:tcPr>
            <w:tcW w:w="125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ascii="Times New Roman" w:hAnsi="Times New Roman" w:eastAsia="宋体" w:cs="Times New Roman"/>
                <w:color w:val="auto"/>
                <w:kern w:val="0"/>
                <w:sz w:val="21"/>
                <w:szCs w:val="21"/>
                <w:highlight w:val="none"/>
              </w:rPr>
            </w:pPr>
            <w:r>
              <w:rPr>
                <w:rFonts w:ascii="Times New Roman" w:hAnsi="Times New Roman" w:eastAsia="宋体" w:cs="Times New Roman"/>
                <w:color w:val="auto"/>
                <w:kern w:val="0"/>
                <w:sz w:val="21"/>
                <w:szCs w:val="21"/>
                <w:highlight w:val="none"/>
              </w:rPr>
              <w:t>型号</w:t>
            </w:r>
          </w:p>
        </w:tc>
        <w:tc>
          <w:tcPr>
            <w:tcW w:w="631"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备注</w:t>
            </w:r>
          </w:p>
        </w:tc>
        <w:tc>
          <w:tcPr>
            <w:tcW w:w="631"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402" w:type="pct"/>
            <w:tcBorders>
              <w:tl2br w:val="nil"/>
              <w:tr2bl w:val="nil"/>
            </w:tcBorders>
            <w:noWrap w:val="0"/>
            <w:vAlign w:val="center"/>
          </w:tcPr>
          <w:p>
            <w:pPr>
              <w:keepNext w:val="0"/>
              <w:keepLines w:val="0"/>
              <w:pageBreakBefore w:val="0"/>
              <w:tabs>
                <w:tab w:val="left" w:pos="493"/>
              </w:tabs>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bidi="ar-SA"/>
              </w:rPr>
              <w:t>1</w:t>
            </w:r>
          </w:p>
        </w:tc>
        <w:tc>
          <w:tcPr>
            <w:tcW w:w="126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i w:val="0"/>
                <w:iCs w:val="0"/>
                <w:color w:val="auto"/>
                <w:kern w:val="0"/>
                <w:sz w:val="21"/>
                <w:szCs w:val="21"/>
                <w:highlight w:val="none"/>
                <w:u w:val="none"/>
                <w:lang w:val="en-US" w:eastAsia="zh-CN" w:bidi="ar"/>
              </w:rPr>
              <w:t>高压微雾降尘设备</w:t>
            </w:r>
          </w:p>
        </w:tc>
        <w:tc>
          <w:tcPr>
            <w:tcW w:w="4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i w:val="0"/>
                <w:iCs w:val="0"/>
                <w:color w:val="auto"/>
                <w:kern w:val="0"/>
                <w:sz w:val="21"/>
                <w:szCs w:val="21"/>
                <w:highlight w:val="none"/>
                <w:u w:val="none"/>
                <w:lang w:val="en-US" w:eastAsia="zh-CN" w:bidi="ar"/>
              </w:rPr>
              <w:t>套</w:t>
            </w:r>
          </w:p>
        </w:tc>
        <w:tc>
          <w:tcPr>
            <w:tcW w:w="36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125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i w:val="0"/>
                <w:iCs w:val="0"/>
                <w:color w:val="auto"/>
                <w:kern w:val="0"/>
                <w:sz w:val="21"/>
                <w:szCs w:val="21"/>
                <w:highlight w:val="none"/>
                <w:u w:val="none"/>
                <w:lang w:val="en-US" w:eastAsia="zh-CN" w:bidi="ar"/>
              </w:rPr>
              <w:t>192个雾化喷头</w:t>
            </w:r>
          </w:p>
        </w:tc>
        <w:tc>
          <w:tcPr>
            <w:tcW w:w="631" w:type="pct"/>
            <w:tcBorders>
              <w:tl2br w:val="nil"/>
              <w:tr2bl w:val="nil"/>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本次新增</w:t>
            </w:r>
          </w:p>
        </w:tc>
        <w:tc>
          <w:tcPr>
            <w:tcW w:w="631" w:type="pct"/>
            <w:vMerge w:val="restar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402" w:type="pct"/>
            <w:tcBorders>
              <w:tl2br w:val="nil"/>
              <w:tr2bl w:val="nil"/>
            </w:tcBorders>
            <w:noWrap w:val="0"/>
            <w:vAlign w:val="center"/>
          </w:tcPr>
          <w:p>
            <w:pPr>
              <w:keepNext w:val="0"/>
              <w:keepLines w:val="0"/>
              <w:pageBreakBefore w:val="0"/>
              <w:tabs>
                <w:tab w:val="left" w:pos="493"/>
              </w:tabs>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w:t>
            </w:r>
          </w:p>
        </w:tc>
        <w:tc>
          <w:tcPr>
            <w:tcW w:w="126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洗车平台</w:t>
            </w:r>
          </w:p>
        </w:tc>
        <w:tc>
          <w:tcPr>
            <w:tcW w:w="4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座</w:t>
            </w:r>
          </w:p>
        </w:tc>
        <w:tc>
          <w:tcPr>
            <w:tcW w:w="36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1</w:t>
            </w:r>
          </w:p>
        </w:tc>
        <w:tc>
          <w:tcPr>
            <w:tcW w:w="125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w:t>
            </w:r>
          </w:p>
        </w:tc>
        <w:tc>
          <w:tcPr>
            <w:tcW w:w="631" w:type="pct"/>
            <w:tcBorders>
              <w:tl2br w:val="nil"/>
              <w:tr2bl w:val="nil"/>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本次新增</w:t>
            </w:r>
          </w:p>
        </w:tc>
        <w:tc>
          <w:tcPr>
            <w:tcW w:w="631" w:type="pct"/>
            <w:vMerge w:val="continue"/>
            <w:tcBorders>
              <w:tl2br w:val="nil"/>
              <w:tr2bl w:val="nil"/>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1"/>
                <w:szCs w:val="21"/>
                <w:highlight w:val="none"/>
                <w:u w:val="none"/>
                <w:lang w:val="en-US" w:eastAsia="zh-CN" w:bidi="ar"/>
              </w:rPr>
            </w:pPr>
          </w:p>
        </w:tc>
      </w:tr>
    </w:tbl>
    <w:p>
      <w:pPr>
        <w:pStyle w:val="4"/>
        <w:keepNext/>
        <w:keepLines/>
        <w:pageBreakBefore w:val="0"/>
        <w:widowControl w:val="0"/>
        <w:kinsoku/>
        <w:wordWrap/>
        <w:overflowPunct/>
        <w:topLinePunct w:val="0"/>
        <w:autoSpaceDE/>
        <w:autoSpaceDN/>
        <w:bidi w:val="0"/>
        <w:adjustRightInd/>
        <w:snapToGrid/>
        <w:spacing w:line="360" w:lineRule="auto"/>
        <w:textAlignment w:val="auto"/>
        <w:rPr>
          <w:rFonts w:cs="Times New Roman"/>
          <w:color w:val="000000" w:themeColor="text1"/>
          <w14:textFill>
            <w14:solidFill>
              <w14:schemeClr w14:val="tx1"/>
            </w14:solidFill>
          </w14:textFill>
        </w:rPr>
      </w:pPr>
      <w:bookmarkStart w:id="10" w:name="_Toc1555"/>
      <w:r>
        <w:rPr>
          <w:rFonts w:cs="Times New Roman"/>
          <w:color w:val="000000" w:themeColor="text1"/>
          <w14:textFill>
            <w14:solidFill>
              <w14:schemeClr w14:val="tx1"/>
            </w14:solidFill>
          </w14:textFill>
        </w:rPr>
        <w:t>3.3</w:t>
      </w:r>
      <w:r>
        <w:rPr>
          <w:rFonts w:hint="eastAsia" w:ascii="宋体" w:hAnsi="宋体" w:eastAsia="宋体" w:cs="宋体"/>
          <w:color w:val="000000" w:themeColor="text1"/>
          <w14:textFill>
            <w14:solidFill>
              <w14:schemeClr w14:val="tx1"/>
            </w14:solidFill>
          </w14:textFill>
        </w:rPr>
        <w:t>主要原辅材料及燃料</w:t>
      </w:r>
      <w:bookmarkEnd w:id="10"/>
    </w:p>
    <w:p>
      <w:pPr>
        <w:adjustRightInd w:val="0"/>
        <w:snapToGrid w:val="0"/>
        <w:spacing w:line="360" w:lineRule="auto"/>
        <w:ind w:firstLine="480" w:firstLineChars="200"/>
        <w:rPr>
          <w:rFonts w:ascii="Times New Roman" w:hAnsi="Times New Roman" w:eastAsia="宋体"/>
          <w:color w:val="auto"/>
          <w:sz w:val="24"/>
          <w:szCs w:val="24"/>
        </w:rPr>
      </w:pPr>
      <w:r>
        <w:rPr>
          <w:rFonts w:hint="eastAsia" w:ascii="Times New Roman" w:hAnsi="Times New Roman" w:eastAsia="宋体"/>
          <w:color w:val="auto"/>
          <w:sz w:val="24"/>
          <w:szCs w:val="24"/>
          <w:lang w:val="en-US" w:eastAsia="zh-CN"/>
        </w:rPr>
        <w:t>本</w:t>
      </w:r>
      <w:r>
        <w:rPr>
          <w:rFonts w:ascii="Times New Roman" w:hAnsi="Times New Roman" w:eastAsia="宋体"/>
          <w:color w:val="auto"/>
          <w:sz w:val="24"/>
          <w:szCs w:val="24"/>
        </w:rPr>
        <w:t>项目原辅材料及</w:t>
      </w:r>
      <w:r>
        <w:rPr>
          <w:rFonts w:hint="eastAsia" w:ascii="Times New Roman" w:hAnsi="Times New Roman" w:eastAsia="宋体"/>
          <w:color w:val="auto"/>
          <w:sz w:val="24"/>
          <w:szCs w:val="24"/>
          <w:lang w:val="en-US" w:eastAsia="zh-CN"/>
        </w:rPr>
        <w:t>消耗</w:t>
      </w:r>
      <w:r>
        <w:rPr>
          <w:rFonts w:ascii="Times New Roman" w:hAnsi="Times New Roman" w:eastAsia="宋体"/>
          <w:color w:val="auto"/>
          <w:sz w:val="24"/>
          <w:szCs w:val="24"/>
        </w:rPr>
        <w:t>能源</w:t>
      </w:r>
      <w:r>
        <w:rPr>
          <w:rFonts w:hint="eastAsia" w:ascii="Times New Roman" w:hAnsi="Times New Roman" w:eastAsia="宋体"/>
          <w:color w:val="auto"/>
          <w:sz w:val="24"/>
          <w:szCs w:val="24"/>
          <w:lang w:val="en-US" w:eastAsia="zh-CN"/>
        </w:rPr>
        <w:t>见表3-3</w:t>
      </w:r>
      <w:r>
        <w:rPr>
          <w:rFonts w:ascii="Times New Roman" w:hAnsi="Times New Roman" w:eastAsia="宋体"/>
          <w:color w:val="auto"/>
          <w:sz w:val="24"/>
          <w:szCs w:val="24"/>
        </w:rPr>
        <w:t>。</w:t>
      </w:r>
    </w:p>
    <w:p>
      <w:pPr>
        <w:bidi w:val="0"/>
        <w:jc w:val="center"/>
        <w:rPr>
          <w:rFonts w:hint="eastAsia" w:eastAsiaTheme="minorEastAsia"/>
          <w:lang w:val="en-US" w:eastAsia="zh-CN"/>
        </w:rPr>
      </w:pPr>
      <w:r>
        <w:rPr>
          <w:rFonts w:hint="eastAsia" w:ascii="Times New Roman" w:hAnsi="Times New Roman" w:eastAsiaTheme="minorEastAsia"/>
          <w:b/>
          <w:color w:val="auto"/>
          <w:sz w:val="24"/>
          <w:szCs w:val="24"/>
        </w:rPr>
        <w:t>表3-</w:t>
      </w:r>
      <w:r>
        <w:rPr>
          <w:rFonts w:hint="eastAsia" w:ascii="Times New Roman" w:hAnsi="Times New Roman" w:eastAsiaTheme="minorEastAsia"/>
          <w:b/>
          <w:color w:val="auto"/>
          <w:sz w:val="24"/>
          <w:szCs w:val="24"/>
          <w:lang w:val="en-US" w:eastAsia="zh-CN"/>
        </w:rPr>
        <w:t>3</w:t>
      </w:r>
      <w:r>
        <w:rPr>
          <w:rFonts w:hint="eastAsia" w:ascii="Times New Roman" w:hAnsi="Times New Roman" w:eastAsiaTheme="minorEastAsia"/>
          <w:b/>
          <w:color w:val="auto"/>
          <w:sz w:val="24"/>
          <w:szCs w:val="24"/>
        </w:rPr>
        <w:t>项目原辅材料及消耗能源</w:t>
      </w:r>
      <w:r>
        <w:rPr>
          <w:rFonts w:hint="eastAsia" w:ascii="Times New Roman" w:hAnsi="Times New Roman" w:eastAsiaTheme="minorEastAsia"/>
          <w:b/>
          <w:color w:val="auto"/>
          <w:sz w:val="24"/>
          <w:szCs w:val="24"/>
          <w:lang w:val="en-US" w:eastAsia="zh-CN"/>
        </w:rPr>
        <w:t>一览表</w:t>
      </w:r>
    </w:p>
    <w:tbl>
      <w:tblPr>
        <w:tblStyle w:val="32"/>
        <w:tblW w:w="8547" w:type="dxa"/>
        <w:tblInd w:w="-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0"/>
        <w:gridCol w:w="1069"/>
        <w:gridCol w:w="825"/>
        <w:gridCol w:w="1020"/>
        <w:gridCol w:w="3870"/>
        <w:gridCol w:w="13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right="0"/>
              <w:jc w:val="center"/>
              <w:textAlignment w:val="auto"/>
              <w:rPr>
                <w:rFonts w:hint="eastAsia"/>
                <w:color w:val="auto"/>
                <w:szCs w:val="21"/>
                <w:highlight w:val="none"/>
                <w:lang w:val="en-US" w:eastAsia="zh-CN"/>
              </w:rPr>
            </w:pPr>
            <w:r>
              <w:rPr>
                <w:rFonts w:hint="eastAsia"/>
                <w:color w:val="auto"/>
                <w:szCs w:val="21"/>
                <w:highlight w:val="none"/>
                <w:lang w:val="en-US" w:eastAsia="zh-CN"/>
              </w:rPr>
              <w:t>序号</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right="0"/>
              <w:jc w:val="center"/>
              <w:textAlignment w:val="auto"/>
              <w:rPr>
                <w:rFonts w:hint="eastAsia"/>
                <w:color w:val="auto"/>
                <w:szCs w:val="21"/>
                <w:highlight w:val="none"/>
                <w:lang w:val="en-US" w:eastAsia="zh-CN"/>
              </w:rPr>
            </w:pPr>
            <w:r>
              <w:rPr>
                <w:rFonts w:hint="eastAsia"/>
                <w:color w:val="auto"/>
                <w:szCs w:val="21"/>
                <w:highlight w:val="none"/>
                <w:lang w:val="en-US" w:eastAsia="zh-CN"/>
              </w:rPr>
              <w:t>原料名称</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right="0"/>
              <w:jc w:val="center"/>
              <w:textAlignment w:val="auto"/>
              <w:rPr>
                <w:rFonts w:hint="eastAsia"/>
                <w:color w:val="auto"/>
                <w:szCs w:val="21"/>
                <w:highlight w:val="none"/>
                <w:lang w:val="en-US" w:eastAsia="zh-CN"/>
              </w:rPr>
            </w:pPr>
            <w:r>
              <w:rPr>
                <w:rFonts w:hint="eastAsia"/>
                <w:color w:val="auto"/>
                <w:szCs w:val="21"/>
                <w:highlight w:val="none"/>
                <w:lang w:val="en-US" w:eastAsia="zh-CN"/>
              </w:rPr>
              <w:t>单位</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right="0"/>
              <w:jc w:val="center"/>
              <w:textAlignment w:val="auto"/>
              <w:rPr>
                <w:rFonts w:hint="eastAsia"/>
                <w:color w:val="auto"/>
                <w:szCs w:val="21"/>
                <w:highlight w:val="none"/>
                <w:lang w:val="en-US" w:eastAsia="zh-CN"/>
              </w:rPr>
            </w:pPr>
            <w:r>
              <w:rPr>
                <w:rFonts w:hint="eastAsia"/>
                <w:color w:val="auto"/>
                <w:szCs w:val="21"/>
                <w:highlight w:val="none"/>
                <w:lang w:val="en-US" w:eastAsia="zh-CN"/>
              </w:rPr>
              <w:t>用量</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right="0"/>
              <w:jc w:val="center"/>
              <w:textAlignment w:val="auto"/>
              <w:rPr>
                <w:rFonts w:hint="eastAsia"/>
                <w:color w:val="auto"/>
                <w:szCs w:val="21"/>
                <w:highlight w:val="none"/>
                <w:lang w:val="en-US" w:eastAsia="zh-CN"/>
              </w:rPr>
            </w:pPr>
            <w:r>
              <w:rPr>
                <w:rFonts w:hint="eastAsia"/>
                <w:color w:val="auto"/>
                <w:szCs w:val="21"/>
                <w:highlight w:val="none"/>
                <w:lang w:val="en-US" w:eastAsia="zh-CN"/>
              </w:rPr>
              <w:t>备注</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right="0"/>
              <w:jc w:val="center"/>
              <w:textAlignment w:val="auto"/>
              <w:rPr>
                <w:rFonts w:hint="default"/>
                <w:color w:val="auto"/>
                <w:szCs w:val="21"/>
                <w:highlight w:val="none"/>
                <w:lang w:val="en-US" w:eastAsia="zh-CN"/>
              </w:rPr>
            </w:pPr>
            <w:r>
              <w:rPr>
                <w:rFonts w:hint="eastAsia"/>
                <w:color w:val="auto"/>
                <w:szCs w:val="21"/>
                <w:highlight w:val="none"/>
                <w:lang w:val="en-US" w:eastAsia="zh-CN"/>
              </w:rPr>
              <w:t>一致性分析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color w:val="auto"/>
                <w:szCs w:val="21"/>
                <w:highlight w:val="none"/>
                <w:lang w:val="en-US" w:eastAsia="zh-CN"/>
              </w:rPr>
              <w:t>新鲜水</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color w:val="auto"/>
                <w:szCs w:val="21"/>
                <w:highlight w:val="none"/>
                <w:lang w:val="en-US" w:eastAsia="zh-CN"/>
              </w:rPr>
              <w:t>m</w:t>
            </w:r>
            <w:r>
              <w:rPr>
                <w:rFonts w:hint="eastAsia"/>
                <w:color w:val="auto"/>
                <w:szCs w:val="21"/>
                <w:highlight w:val="none"/>
                <w:vertAlign w:val="superscript"/>
                <w:lang w:val="en-US" w:eastAsia="zh-CN"/>
              </w:rPr>
              <w:t>3</w:t>
            </w:r>
            <w:r>
              <w:rPr>
                <w:rFonts w:hint="eastAsia"/>
                <w:color w:val="auto"/>
                <w:szCs w:val="21"/>
                <w:highlight w:val="none"/>
                <w:lang w:val="en-US" w:eastAsia="zh-CN"/>
              </w:rPr>
              <w:t>/a</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olor w:val="auto"/>
                <w:szCs w:val="21"/>
                <w:highlight w:val="none"/>
                <w:lang w:val="en-US" w:eastAsia="zh-CN"/>
              </w:rPr>
              <w:t>4989.55</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由厂区内净化水处理厂超滤系统供给</w:t>
            </w:r>
          </w:p>
        </w:tc>
        <w:tc>
          <w:tcPr>
            <w:tcW w:w="1343" w:type="dxa"/>
            <w:vMerge w:val="restart"/>
            <w:tcBorders>
              <w:top w:val="single" w:color="000000" w:sz="4" w:space="0"/>
              <w:left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2</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color w:val="auto"/>
                <w:szCs w:val="21"/>
                <w:highlight w:val="none"/>
                <w:lang w:val="en-US" w:eastAsia="zh-CN"/>
              </w:rPr>
              <w:t>电</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color w:val="auto"/>
                <w:szCs w:val="21"/>
                <w:highlight w:val="none"/>
                <w:lang w:val="en-US" w:eastAsia="zh-CN"/>
              </w:rPr>
              <w:t>万kW h/a</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color w:val="auto"/>
                <w:szCs w:val="21"/>
                <w:highlight w:val="none"/>
                <w:lang w:val="en-US" w:eastAsia="zh-CN"/>
              </w:rPr>
              <w:t>1</w:t>
            </w:r>
          </w:p>
        </w:tc>
        <w:tc>
          <w:tcPr>
            <w:tcW w:w="3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auto"/>
                <w:sz w:val="21"/>
                <w:szCs w:val="21"/>
                <w:highlight w:val="yellow"/>
                <w:lang w:val="en-US" w:eastAsia="zh-CN" w:bidi="ar-SA"/>
              </w:rPr>
            </w:pPr>
            <w:r>
              <w:rPr>
                <w:rFonts w:hint="default" w:ascii="Times New Roman" w:hAnsi="Times New Roman" w:eastAsia="宋体" w:cs="Times New Roman"/>
                <w:color w:val="auto"/>
                <w:kern w:val="0"/>
                <w:highlight w:val="none"/>
                <w:lang w:val="en-US" w:eastAsia="zh-CN"/>
              </w:rPr>
              <w:t>由唐山市路南区</w:t>
            </w:r>
            <w:r>
              <w:rPr>
                <w:rFonts w:hint="default" w:ascii="Times New Roman" w:hAnsi="Times New Roman" w:eastAsia="宋体" w:cs="Times New Roman"/>
                <w:color w:val="auto"/>
                <w:szCs w:val="21"/>
                <w:highlight w:val="none"/>
              </w:rPr>
              <w:t>电网</w:t>
            </w:r>
            <w:r>
              <w:rPr>
                <w:rFonts w:hint="default" w:ascii="Times New Roman" w:hAnsi="Times New Roman" w:eastAsia="宋体" w:cs="Times New Roman"/>
                <w:color w:val="auto"/>
                <w:szCs w:val="21"/>
                <w:highlight w:val="none"/>
                <w:lang w:val="en-US" w:eastAsia="zh-CN"/>
              </w:rPr>
              <w:t>提供</w:t>
            </w:r>
          </w:p>
        </w:tc>
        <w:tc>
          <w:tcPr>
            <w:tcW w:w="1343" w:type="dxa"/>
            <w:vMerge w:val="continue"/>
            <w:tcBorders>
              <w:left w:val="single" w:color="000000" w:sz="4" w:space="0"/>
              <w:bottom w:val="single" w:color="000000" w:sz="4" w:space="0"/>
              <w:right w:val="single" w:color="000000" w:sz="4" w:space="0"/>
            </w:tcBorders>
            <w:shd w:val="clear" w:color="auto" w:fill="auto"/>
            <w:noWrap/>
            <w:vAlign w:val="center"/>
          </w:tcPr>
          <w:p>
            <w:pPr>
              <w:pStyle w:val="65"/>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0"/>
                <w:highlight w:val="none"/>
                <w:lang w:val="en-US" w:eastAsia="zh-CN"/>
              </w:rPr>
            </w:pPr>
          </w:p>
        </w:tc>
      </w:tr>
    </w:tbl>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11" w:name="_Toc1896"/>
      <w:r>
        <w:rPr>
          <w:rFonts w:hint="default" w:ascii="Times New Roman" w:hAnsi="Times New Roman" w:eastAsia="宋体" w:cs="Times New Roman"/>
          <w:color w:val="000000" w:themeColor="text1"/>
          <w14:textFill>
            <w14:solidFill>
              <w14:schemeClr w14:val="tx1"/>
            </w14:solidFill>
          </w14:textFill>
        </w:rPr>
        <w:t>3.4水源及水平衡</w:t>
      </w:r>
      <w:bookmarkEnd w:id="11"/>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2"/>
        <w:rPr>
          <w:rFonts w:hint="eastAsia" w:ascii="Times New Roman" w:hAnsi="Times New Roman" w:eastAsia="宋体"/>
          <w:b/>
          <w:bCs/>
          <w:color w:val="auto"/>
          <w:sz w:val="24"/>
          <w:szCs w:val="21"/>
        </w:rPr>
      </w:pPr>
      <w:r>
        <w:rPr>
          <w:rFonts w:ascii="Times New Roman" w:hAnsi="Times New Roman" w:eastAsia="宋体"/>
          <w:b/>
          <w:bCs/>
          <w:color w:val="auto"/>
          <w:sz w:val="24"/>
          <w:szCs w:val="21"/>
        </w:rPr>
        <w:t>3.</w:t>
      </w:r>
      <w:r>
        <w:rPr>
          <w:rFonts w:hint="eastAsia" w:ascii="Times New Roman" w:hAnsi="Times New Roman" w:eastAsia="宋体"/>
          <w:b/>
          <w:bCs/>
          <w:color w:val="auto"/>
          <w:sz w:val="24"/>
          <w:szCs w:val="21"/>
        </w:rPr>
        <w:t>4</w:t>
      </w:r>
      <w:r>
        <w:rPr>
          <w:rFonts w:ascii="Times New Roman" w:hAnsi="Times New Roman" w:eastAsia="宋体"/>
          <w:b/>
          <w:bCs/>
          <w:color w:val="auto"/>
          <w:sz w:val="24"/>
          <w:szCs w:val="21"/>
        </w:rPr>
        <w:t>.</w:t>
      </w:r>
      <w:r>
        <w:rPr>
          <w:rFonts w:hint="eastAsia" w:ascii="Times New Roman" w:hAnsi="Times New Roman" w:eastAsia="宋体"/>
          <w:b/>
          <w:bCs/>
          <w:color w:val="auto"/>
          <w:sz w:val="24"/>
          <w:szCs w:val="21"/>
        </w:rPr>
        <w:t>1</w:t>
      </w:r>
      <w:r>
        <w:rPr>
          <w:rFonts w:hint="eastAsia" w:ascii="Times New Roman" w:hAnsi="Times New Roman" w:eastAsia="宋体"/>
          <w:b/>
          <w:bCs/>
          <w:color w:val="auto"/>
          <w:sz w:val="24"/>
          <w:szCs w:val="21"/>
          <w:lang w:val="en-US" w:eastAsia="zh-CN"/>
        </w:rPr>
        <w:t>环评中</w:t>
      </w:r>
      <w:r>
        <w:rPr>
          <w:rFonts w:hint="eastAsia" w:ascii="Times New Roman" w:hAnsi="Times New Roman" w:eastAsia="宋体"/>
          <w:b/>
          <w:bCs/>
          <w:color w:val="auto"/>
          <w:sz w:val="24"/>
          <w:szCs w:val="21"/>
        </w:rPr>
        <w:t>给</w:t>
      </w:r>
      <w:r>
        <w:rPr>
          <w:rFonts w:hint="eastAsia" w:ascii="Times New Roman" w:hAnsi="Times New Roman" w:eastAsia="宋体"/>
          <w:b/>
          <w:bCs/>
          <w:color w:val="auto"/>
          <w:sz w:val="24"/>
          <w:szCs w:val="21"/>
          <w:lang w:val="en-US" w:eastAsia="zh-CN"/>
        </w:rPr>
        <w:t>排</w:t>
      </w:r>
      <w:r>
        <w:rPr>
          <w:rFonts w:hint="eastAsia" w:ascii="Times New Roman" w:hAnsi="Times New Roman" w:eastAsia="宋体"/>
          <w:b/>
          <w:bCs/>
          <w:color w:val="auto"/>
          <w:sz w:val="24"/>
          <w:szCs w:val="21"/>
        </w:rPr>
        <w:t>水</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1）给</w:t>
      </w:r>
      <w:r>
        <w:rPr>
          <w:rFonts w:hint="default" w:ascii="Times New Roman" w:hAnsi="Times New Roman" w:eastAsia="宋体" w:cs="Times New Roman"/>
          <w:color w:val="auto"/>
          <w:sz w:val="24"/>
          <w:szCs w:val="24"/>
        </w:rPr>
        <w:t>水</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本项目用水由厂区内净化水处理厂超滤系统供给，本项目新增用水量为13.67m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/d（4989.55m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/a），可满足本项目用水要求。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项目新增用水主要为高压微雾降尘系统用水、道路喷洒用水、洗车用水。项目新鲜用水总量为13.67m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/d，4989.55m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/a。</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高压微雾降尘系统用水设计用水量为50L/min，喷淋时间为每天</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4h</w:t>
      </w:r>
      <w:r>
        <w:rPr>
          <w:rFonts w:hint="eastAsia" w:ascii="Times New Roman" w:hAnsi="Times New Roman" w:eastAsia="宋体" w:cs="Times New Roman"/>
          <w:color w:val="auto"/>
          <w:sz w:val="24"/>
          <w:szCs w:val="24"/>
          <w:lang w:val="en-US" w:eastAsia="zh-CN"/>
        </w:rPr>
        <w:t>，则新鲜用水量</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12</w:t>
      </w:r>
      <w:r>
        <w:rPr>
          <w:rFonts w:hint="eastAsia" w:ascii="Times New Roman" w:hAnsi="Times New Roman" w:eastAsia="宋体" w:cs="Times New Roman"/>
          <w:color w:val="auto"/>
          <w:sz w:val="24"/>
          <w:szCs w:val="24"/>
          <w:lang w:val="en-US" w:eastAsia="zh-CN"/>
        </w:rPr>
        <w:t>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/d，</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4380</w:t>
      </w:r>
      <w:r>
        <w:rPr>
          <w:rFonts w:hint="eastAsia" w:ascii="Times New Roman" w:hAnsi="Times New Roman" w:eastAsia="宋体" w:cs="Times New Roman"/>
          <w:color w:val="auto"/>
          <w:sz w:val="24"/>
          <w:szCs w:val="24"/>
          <w:lang w:val="en-US" w:eastAsia="zh-CN"/>
        </w:rPr>
        <w:t>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/a。</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道路喷洒用水设计用水量为1.47m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/d，536.55m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/a。</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洗车用水用水量按50L/辆·d计算，进出厂以</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w:t>
      </w:r>
      <w:r>
        <w:rPr>
          <w:rFonts w:hint="eastAsia" w:ascii="Times New Roman" w:hAnsi="Times New Roman" w:eastAsia="宋体" w:cs="Times New Roman"/>
          <w:color w:val="auto"/>
          <w:sz w:val="24"/>
          <w:szCs w:val="24"/>
          <w:lang w:val="en-US" w:eastAsia="zh-CN"/>
        </w:rPr>
        <w:t>辆次/d计，则车辆冲洗用水量为</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0.2m</w:t>
      </w:r>
      <w:r>
        <w:rPr>
          <w:rFonts w:hint="eastAsia"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/d（73m</w:t>
      </w:r>
      <w:r>
        <w:rPr>
          <w:rFonts w:hint="eastAsia"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/a）</w:t>
      </w:r>
      <w:r>
        <w:rPr>
          <w:rFonts w:hint="eastAsia" w:ascii="Times New Roman" w:hAnsi="Times New Roman" w:eastAsia="宋体" w:cs="Times New Roman"/>
          <w:color w:val="auto"/>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val="en-US" w:eastAsia="zh-CN"/>
        </w:rPr>
        <w:t>本项目不新增劳动定员，无新增生活用水。</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排水</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本项目高压微雾降尘系统用水全部混入石料中，不外排。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道路喷洒用水全部蒸发。</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洗车过程中产生的废水清洗及沉淀过程带走及蒸发损耗水量为0.02m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/d（7.3m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/a），其余部分经沉淀池沉淀后上清液循环使用，循环水量5m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，补充新水量0.02m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/d（7.3m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/a），无废水外排。</w:t>
      </w:r>
    </w:p>
    <w:p>
      <w:pPr>
        <w:bidi w:val="0"/>
        <w:jc w:val="center"/>
      </w:pPr>
      <w:r>
        <w:drawing>
          <wp:inline distT="0" distB="0" distL="114300" distR="114300">
            <wp:extent cx="4400550" cy="2524125"/>
            <wp:effectExtent l="0" t="0" r="0" b="952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6"/>
                    <a:stretch>
                      <a:fillRect/>
                    </a:stretch>
                  </pic:blipFill>
                  <pic:spPr>
                    <a:xfrm>
                      <a:off x="0" y="0"/>
                      <a:ext cx="4400550" cy="2524125"/>
                    </a:xfrm>
                    <a:prstGeom prst="rect">
                      <a:avLst/>
                    </a:prstGeom>
                    <a:noFill/>
                    <a:ln>
                      <a:noFill/>
                    </a:ln>
                  </pic:spPr>
                </pic:pic>
              </a:graphicData>
            </a:graphic>
          </wp:inline>
        </w:drawing>
      </w:r>
    </w:p>
    <w:p>
      <w:pPr>
        <w:bidi w:val="0"/>
        <w:jc w:val="center"/>
        <w:rPr>
          <w:rFonts w:hint="default" w:eastAsia="等线"/>
          <w:sz w:val="28"/>
          <w:szCs w:val="28"/>
          <w:lang w:val="en-US" w:eastAsia="zh-CN"/>
        </w:rPr>
      </w:pPr>
      <w:r>
        <w:rPr>
          <w:rFonts w:hint="eastAsia" w:ascii="宋体" w:hAnsi="宋体" w:eastAsia="宋体" w:cs="宋体"/>
          <w:b/>
          <w:bCs/>
          <w:sz w:val="24"/>
          <w:szCs w:val="24"/>
          <w:lang w:val="en-US" w:eastAsia="zh-CN"/>
        </w:rPr>
        <w:t>图</w:t>
      </w:r>
      <w:r>
        <w:rPr>
          <w:rFonts w:hint="default" w:ascii="Times New Roman" w:hAnsi="Times New Roman" w:eastAsia="宋体" w:cs="Times New Roman"/>
          <w:b/>
          <w:bCs/>
          <w:sz w:val="24"/>
          <w:szCs w:val="24"/>
          <w:lang w:val="en-US" w:eastAsia="zh-CN"/>
        </w:rPr>
        <w:t>3-1</w:t>
      </w:r>
      <w:r>
        <w:rPr>
          <w:rFonts w:hint="eastAsia" w:ascii="宋体" w:hAnsi="宋体" w:eastAsia="宋体" w:cs="宋体"/>
          <w:b/>
          <w:bCs/>
          <w:sz w:val="24"/>
          <w:szCs w:val="24"/>
          <w:lang w:val="en-US" w:eastAsia="zh-CN"/>
        </w:rPr>
        <w:t xml:space="preserve"> 水量平衡图 单位（m</w:t>
      </w:r>
      <w:r>
        <w:rPr>
          <w:rFonts w:hint="eastAsia" w:ascii="宋体" w:hAnsi="宋体" w:eastAsia="宋体" w:cs="宋体"/>
          <w:b/>
          <w:bCs/>
          <w:sz w:val="24"/>
          <w:szCs w:val="24"/>
          <w:vertAlign w:val="superscript"/>
          <w:lang w:val="en-US" w:eastAsia="zh-CN"/>
        </w:rPr>
        <w:t>3</w:t>
      </w:r>
      <w:r>
        <w:rPr>
          <w:rFonts w:hint="eastAsia" w:ascii="宋体" w:hAnsi="宋体" w:eastAsia="宋体" w:cs="宋体"/>
          <w:b/>
          <w:bCs/>
          <w:sz w:val="24"/>
          <w:szCs w:val="24"/>
          <w:lang w:val="en-US" w:eastAsia="zh-CN"/>
        </w:rPr>
        <w:t>/d）</w:t>
      </w:r>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12" w:name="_Toc3873"/>
      <w:r>
        <w:rPr>
          <w:rFonts w:hint="default" w:ascii="Times New Roman" w:hAnsi="Times New Roman" w:eastAsia="宋体" w:cs="Times New Roman"/>
          <w:color w:val="000000" w:themeColor="text1"/>
          <w14:textFill>
            <w14:solidFill>
              <w14:schemeClr w14:val="tx1"/>
            </w14:solidFill>
          </w14:textFill>
        </w:rPr>
        <w:t>3.5</w:t>
      </w:r>
      <w:r>
        <w:rPr>
          <w:rFonts w:hint="default" w:ascii="Times New Roman" w:hAnsi="Times New Roman" w:eastAsia="宋体" w:cs="Times New Roman"/>
          <w:color w:val="000000" w:themeColor="text1"/>
          <w:highlight w:val="none"/>
          <w14:textFill>
            <w14:solidFill>
              <w14:schemeClr w14:val="tx1"/>
            </w14:solidFill>
          </w14:textFill>
        </w:rPr>
        <w:t>生产工艺</w:t>
      </w:r>
      <w:bookmarkEnd w:id="1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bCs/>
          <w:color w:val="auto"/>
          <w:kern w:val="2"/>
          <w:sz w:val="24"/>
          <w:szCs w:val="24"/>
          <w:lang w:val="en-US" w:eastAsia="zh-CN" w:bidi="ar-SA"/>
        </w:rPr>
        <w:t>井下开拓及掘进产生的</w:t>
      </w:r>
      <w:r>
        <w:rPr>
          <w:rFonts w:hint="eastAsia" w:ascii="Times New Roman" w:hAnsi="Times New Roman" w:eastAsia="宋体" w:cs="Times New Roman"/>
          <w:bCs/>
          <w:color w:val="auto"/>
          <w:kern w:val="2"/>
          <w:sz w:val="24"/>
          <w:szCs w:val="24"/>
          <w:lang w:val="en-US" w:eastAsia="zh-CN" w:bidi="ar-SA"/>
        </w:rPr>
        <w:t>矸石</w:t>
      </w:r>
      <w:r>
        <w:rPr>
          <w:rFonts w:hint="default" w:ascii="Times New Roman" w:hAnsi="Times New Roman" w:eastAsia="宋体" w:cs="Times New Roman"/>
          <w:bCs/>
          <w:color w:val="auto"/>
          <w:kern w:val="2"/>
          <w:sz w:val="24"/>
          <w:szCs w:val="24"/>
          <w:lang w:val="en-US" w:eastAsia="zh-CN" w:bidi="ar-SA"/>
        </w:rPr>
        <w:t>经新风井上井后，自井口翻笼经溜子至中转皮带，最终由大块道放</w:t>
      </w:r>
      <w:r>
        <w:rPr>
          <w:rFonts w:hint="eastAsia" w:ascii="Times New Roman" w:hAnsi="Times New Roman" w:eastAsia="宋体" w:cs="Times New Roman"/>
          <w:bCs/>
          <w:color w:val="auto"/>
          <w:kern w:val="2"/>
          <w:sz w:val="24"/>
          <w:szCs w:val="24"/>
          <w:lang w:val="en-US" w:eastAsia="zh-CN" w:bidi="ar-SA"/>
        </w:rPr>
        <w:t>矸</w:t>
      </w:r>
      <w:r>
        <w:rPr>
          <w:rFonts w:hint="default" w:ascii="Times New Roman" w:hAnsi="Times New Roman" w:eastAsia="宋体" w:cs="Times New Roman"/>
          <w:bCs/>
          <w:color w:val="auto"/>
          <w:kern w:val="2"/>
          <w:sz w:val="24"/>
          <w:szCs w:val="24"/>
          <w:lang w:val="en-US" w:eastAsia="zh-CN" w:bidi="ar-SA"/>
        </w:rPr>
        <w:t>口排放落地。当放</w:t>
      </w:r>
      <w:r>
        <w:rPr>
          <w:rFonts w:hint="eastAsia" w:ascii="Times New Roman" w:hAnsi="Times New Roman" w:eastAsia="宋体" w:cs="Times New Roman"/>
          <w:bCs/>
          <w:color w:val="auto"/>
          <w:kern w:val="2"/>
          <w:sz w:val="24"/>
          <w:szCs w:val="24"/>
          <w:lang w:val="en-US" w:eastAsia="zh-CN" w:bidi="ar-SA"/>
        </w:rPr>
        <w:t>矸</w:t>
      </w:r>
      <w:r>
        <w:rPr>
          <w:rFonts w:hint="default" w:ascii="Times New Roman" w:hAnsi="Times New Roman" w:eastAsia="宋体" w:cs="Times New Roman"/>
          <w:bCs/>
          <w:color w:val="auto"/>
          <w:kern w:val="2"/>
          <w:sz w:val="24"/>
          <w:szCs w:val="24"/>
          <w:lang w:val="en-US" w:eastAsia="zh-CN" w:bidi="ar-SA"/>
        </w:rPr>
        <w:t>口下方</w:t>
      </w:r>
      <w:r>
        <w:rPr>
          <w:rFonts w:hint="eastAsia" w:ascii="Times New Roman" w:hAnsi="Times New Roman" w:eastAsia="宋体" w:cs="Times New Roman"/>
          <w:bCs/>
          <w:color w:val="auto"/>
          <w:kern w:val="2"/>
          <w:sz w:val="24"/>
          <w:szCs w:val="24"/>
          <w:lang w:val="en-US" w:eastAsia="zh-CN" w:bidi="ar-SA"/>
        </w:rPr>
        <w:t>矸</w:t>
      </w:r>
      <w:r>
        <w:rPr>
          <w:rFonts w:hint="default" w:ascii="Times New Roman" w:hAnsi="Times New Roman" w:eastAsia="宋体" w:cs="Times New Roman"/>
          <w:bCs/>
          <w:color w:val="auto"/>
          <w:kern w:val="2"/>
          <w:sz w:val="24"/>
          <w:szCs w:val="24"/>
          <w:lang w:val="en-US" w:eastAsia="zh-CN" w:bidi="ar-SA"/>
        </w:rPr>
        <w:t>石量较多时，劳服公司安排铲车进行倒运，集中堆放在附近，之后安排车辆集中外运。</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default"/>
          <w:lang w:val="en-US" w:eastAsia="zh-CN"/>
        </w:rPr>
      </w:pPr>
      <w:r>
        <w:rPr>
          <w:rFonts w:hint="eastAsia" w:ascii="Times New Roman" w:hAnsi="Times New Roman" w:eastAsia="宋体" w:cs="Times New Roman"/>
          <w:bCs/>
          <w:color w:val="auto"/>
          <w:sz w:val="24"/>
          <w:lang w:val="en-US" w:eastAsia="zh-CN"/>
        </w:rPr>
        <w:t>本项目仅对原有露天块石料场进行封闭。存放的块石料仅根据生产需要进行储存和转运，不涉及块石料破碎等工序。</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14:textFill>
            <w14:solidFill>
              <w14:schemeClr w14:val="tx1"/>
            </w14:solidFill>
          </w14:textFill>
        </w:rPr>
      </w:pPr>
      <w:bookmarkStart w:id="13" w:name="_Toc12859"/>
      <w:r>
        <w:rPr>
          <w:rFonts w:hint="eastAsia" w:ascii="宋体" w:hAnsi="宋体" w:eastAsia="宋体" w:cs="宋体"/>
          <w:color w:val="000000" w:themeColor="text1"/>
          <w14:textFill>
            <w14:solidFill>
              <w14:schemeClr w14:val="tx1"/>
            </w14:solidFill>
          </w14:textFill>
        </w:rPr>
        <w:t>3.6劳动定员及工作制度</w:t>
      </w:r>
      <w:bookmarkEnd w:id="1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本项目劳动定员</w:t>
      </w:r>
      <w:r>
        <w:rPr>
          <w:rFonts w:hint="eastAsia" w:ascii="Times New Roman" w:hAnsi="Times New Roman" w:eastAsia="宋体" w:cs="Times New Roman"/>
          <w:color w:val="auto"/>
          <w:sz w:val="24"/>
          <w:szCs w:val="24"/>
          <w:lang w:val="en-US" w:eastAsia="zh-CN"/>
        </w:rPr>
        <w:t>及工作制度无变动</w:t>
      </w:r>
      <w:r>
        <w:rPr>
          <w:rFonts w:hint="default" w:ascii="Times New Roman" w:hAnsi="Times New Roman" w:eastAsia="宋体" w:cs="Times New Roman"/>
          <w:color w:val="auto"/>
          <w:sz w:val="24"/>
          <w:szCs w:val="24"/>
        </w:rPr>
        <w:t>。</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14:textFill>
            <w14:solidFill>
              <w14:schemeClr w14:val="tx1"/>
            </w14:solidFill>
          </w14:textFill>
        </w:rPr>
      </w:pPr>
      <w:bookmarkStart w:id="14" w:name="_Toc16844"/>
      <w:r>
        <w:rPr>
          <w:rFonts w:hint="eastAsia" w:ascii="宋体" w:hAnsi="宋体" w:eastAsia="宋体" w:cs="宋体"/>
          <w:color w:val="000000" w:themeColor="text1"/>
          <w14:textFill>
            <w14:solidFill>
              <w14:schemeClr w14:val="tx1"/>
            </w14:solidFill>
          </w14:textFill>
        </w:rPr>
        <w:t>3.7项目投资</w:t>
      </w:r>
      <w:bookmarkEnd w:id="1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本工程总投资为</w:t>
      </w:r>
      <w:r>
        <w:rPr>
          <w:rFonts w:hint="eastAsia" w:ascii="Times New Roman" w:hAnsi="Times New Roman" w:eastAsia="宋体" w:cs="Times New Roman"/>
          <w:color w:val="auto"/>
          <w:sz w:val="24"/>
          <w:szCs w:val="24"/>
          <w:lang w:val="en-US" w:eastAsia="zh-CN"/>
        </w:rPr>
        <w:t>453.19</w:t>
      </w:r>
      <w:r>
        <w:rPr>
          <w:rFonts w:hint="default" w:ascii="Times New Roman" w:hAnsi="Times New Roman" w:eastAsia="宋体" w:cs="Times New Roman"/>
          <w:color w:val="auto"/>
          <w:sz w:val="24"/>
          <w:szCs w:val="24"/>
        </w:rPr>
        <w:t>万元，</w:t>
      </w:r>
      <w:r>
        <w:rPr>
          <w:rFonts w:hint="default" w:ascii="Times New Roman" w:hAnsi="Times New Roman" w:cs="Times New Roman" w:eastAsiaTheme="minorEastAsia"/>
          <w:bCs/>
          <w:color w:val="auto"/>
          <w:sz w:val="24"/>
          <w:szCs w:val="24"/>
        </w:rPr>
        <w:t>环保投资</w:t>
      </w:r>
      <w:r>
        <w:rPr>
          <w:rFonts w:hint="eastAsia" w:ascii="Times New Roman" w:hAnsi="Times New Roman" w:cs="Times New Roman" w:eastAsiaTheme="minorEastAsia"/>
          <w:bCs/>
          <w:color w:val="auto"/>
          <w:sz w:val="24"/>
          <w:szCs w:val="24"/>
          <w:highlight w:val="none"/>
          <w:lang w:val="en-US" w:eastAsia="zh-CN"/>
        </w:rPr>
        <w:t>453.19</w:t>
      </w:r>
      <w:r>
        <w:rPr>
          <w:rFonts w:hint="default" w:ascii="Times New Roman" w:hAnsi="Times New Roman" w:cs="Times New Roman" w:eastAsiaTheme="minorEastAsia"/>
          <w:bCs/>
          <w:color w:val="auto"/>
          <w:sz w:val="24"/>
          <w:szCs w:val="24"/>
        </w:rPr>
        <w:t>万元，占总投资的</w:t>
      </w:r>
      <w:r>
        <w:rPr>
          <w:rFonts w:hint="eastAsia" w:ascii="Times New Roman" w:hAnsi="Times New Roman" w:cs="Times New Roman" w:eastAsiaTheme="minorEastAsia"/>
          <w:bCs/>
          <w:color w:val="auto"/>
          <w:sz w:val="24"/>
          <w:szCs w:val="24"/>
          <w:highlight w:val="none"/>
          <w:lang w:val="en-US" w:eastAsia="zh-CN"/>
        </w:rPr>
        <w:t>100</w:t>
      </w:r>
      <w:r>
        <w:rPr>
          <w:rFonts w:hint="default" w:ascii="Times New Roman" w:hAnsi="Times New Roman" w:cs="Times New Roman" w:eastAsiaTheme="minorEastAsia"/>
          <w:bCs/>
          <w:color w:val="auto"/>
          <w:sz w:val="24"/>
          <w:szCs w:val="24"/>
          <w:highlight w:val="none"/>
        </w:rPr>
        <w:t>%</w:t>
      </w:r>
    </w:p>
    <w:p>
      <w:pPr>
        <w:pStyle w:val="7"/>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表3-</w:t>
      </w:r>
      <w:r>
        <w:rPr>
          <w:rFonts w:hint="eastAsia" w:ascii="宋体" w:hAnsi="宋体" w:eastAsia="宋体" w:cs="宋体"/>
          <w:b/>
          <w:color w:val="auto"/>
          <w:sz w:val="24"/>
          <w:szCs w:val="24"/>
          <w:lang w:val="en-US" w:eastAsia="zh-CN"/>
        </w:rPr>
        <w:t>4</w:t>
      </w:r>
      <w:r>
        <w:rPr>
          <w:rFonts w:hint="eastAsia" w:ascii="宋体" w:hAnsi="宋体" w:eastAsia="宋体" w:cs="宋体"/>
          <w:b/>
          <w:color w:val="auto"/>
          <w:sz w:val="24"/>
          <w:szCs w:val="24"/>
          <w:highlight w:val="none"/>
        </w:rPr>
        <w:t>项目环保投资情况一览表</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66"/>
        <w:gridCol w:w="233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环保设施</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设计投资金额（万元）</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实际投资金额（万元）</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投资变化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废水治理</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50</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50</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废气治理</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403.19</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403.19</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合计</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453.19</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453.19</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无</w:t>
            </w:r>
          </w:p>
        </w:tc>
      </w:tr>
    </w:tbl>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14:textFill>
            <w14:solidFill>
              <w14:schemeClr w14:val="tx1"/>
            </w14:solidFill>
          </w14:textFill>
        </w:rPr>
      </w:pPr>
      <w:bookmarkStart w:id="15" w:name="_Toc29039"/>
      <w:r>
        <w:rPr>
          <w:rFonts w:hint="eastAsia" w:ascii="宋体" w:hAnsi="宋体" w:eastAsia="宋体" w:cs="宋体"/>
          <w:color w:val="000000" w:themeColor="text1"/>
          <w14:textFill>
            <w14:solidFill>
              <w14:schemeClr w14:val="tx1"/>
            </w14:solidFill>
          </w14:textFill>
        </w:rPr>
        <w:t>3.8项目变动情况</w:t>
      </w:r>
      <w:bookmarkEnd w:id="15"/>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highlight w:val="yellow"/>
          <w14:textFill>
            <w14:solidFill>
              <w14:schemeClr w14:val="tx1"/>
            </w14:solidFill>
          </w14:textFill>
        </w:rPr>
      </w:pPr>
      <w:r>
        <w:rPr>
          <w:rFonts w:hint="eastAsia"/>
          <w:color w:val="000000" w:themeColor="text1"/>
          <w:highlight w:val="none"/>
          <w14:textFill>
            <w14:solidFill>
              <w14:schemeClr w14:val="tx1"/>
            </w14:solidFill>
          </w14:textFill>
        </w:rPr>
        <w:t>3.8.1变动情况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default" w:ascii="Times New Roman" w:hAnsi="Times New Roman" w:eastAsia="宋体" w:cs="Times New Roman"/>
          <w:color w:val="000000" w:themeColor="text1"/>
          <w:sz w:val="24"/>
          <w:szCs w:val="24"/>
          <w14:textFill>
            <w14:solidFill>
              <w14:schemeClr w14:val="tx1"/>
            </w14:solidFill>
          </w14:textFill>
        </w:rPr>
        <w:t>经现场调查和与建设单位核实，对照关于印发《污染影响类建设项目重点变动清单（试行）》的通知（环办环评函[2020]688号）</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本项目的性质、规模、地点、生产工艺均未发生变化。</w:t>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16" w:name="_Toc11441"/>
      <w:r>
        <w:rPr>
          <w:rFonts w:hint="default" w:ascii="Times New Roman" w:hAnsi="Times New Roman" w:eastAsia="宋体" w:cs="Times New Roman"/>
          <w:color w:val="000000" w:themeColor="text1"/>
          <w14:textFill>
            <w14:solidFill>
              <w14:schemeClr w14:val="tx1"/>
            </w14:solidFill>
          </w14:textFill>
        </w:rPr>
        <w:t>4环境保护设施</w:t>
      </w:r>
      <w:bookmarkEnd w:id="16"/>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17" w:name="_Toc11486"/>
      <w:r>
        <w:rPr>
          <w:rFonts w:hint="default" w:ascii="Times New Roman" w:hAnsi="Times New Roman" w:eastAsia="宋体" w:cs="Times New Roman"/>
          <w:color w:val="000000" w:themeColor="text1"/>
          <w14:textFill>
            <w14:solidFill>
              <w14:schemeClr w14:val="tx1"/>
            </w14:solidFill>
          </w14:textFill>
        </w:rPr>
        <w:t>4.1污染物治理及处置设施</w:t>
      </w:r>
      <w:bookmarkEnd w:id="17"/>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lang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4.1.</w:t>
      </w:r>
      <w:r>
        <w:rPr>
          <w:rFonts w:hint="eastAsia" w:eastAsia="宋体" w:cs="Times New Roman"/>
          <w:color w:val="000000" w:themeColor="text1"/>
          <w:lang w:val="en-US" w:eastAsia="zh-CN"/>
          <w14:textFill>
            <w14:solidFill>
              <w14:schemeClr w14:val="tx1"/>
            </w14:solidFill>
          </w14:textFill>
        </w:rPr>
        <w:t>1</w:t>
      </w:r>
      <w:r>
        <w:rPr>
          <w:rFonts w:hint="default" w:ascii="Times New Roman" w:hAnsi="Times New Roman" w:eastAsia="宋体" w:cs="Times New Roman"/>
          <w:color w:val="000000" w:themeColor="text1"/>
          <w14:textFill>
            <w14:solidFill>
              <w14:schemeClr w14:val="tx1"/>
            </w14:solidFill>
          </w14:textFill>
        </w:rPr>
        <w:t>废</w:t>
      </w:r>
      <w:r>
        <w:rPr>
          <w:rFonts w:hint="eastAsia" w:ascii="Times New Roman" w:hAnsi="Times New Roman" w:eastAsia="宋体" w:cs="Times New Roman"/>
          <w:color w:val="000000" w:themeColor="text1"/>
          <w:lang w:val="en-US" w:eastAsia="zh-CN"/>
          <w14:textFill>
            <w14:solidFill>
              <w14:schemeClr w14:val="tx1"/>
            </w14:solidFill>
          </w14:textFill>
        </w:rPr>
        <w:t>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Theme="minorEastAsia"/>
          <w:color w:val="000000" w:themeColor="text1"/>
          <w:sz w:val="24"/>
          <w:szCs w:val="24"/>
          <w:lang w:val="en-US" w:eastAsia="zh-CN"/>
          <w14:textFill>
            <w14:solidFill>
              <w14:schemeClr w14:val="tx1"/>
            </w14:solidFill>
          </w14:textFill>
        </w:rPr>
        <w:t>本</w:t>
      </w:r>
      <w:r>
        <w:rPr>
          <w:rFonts w:hint="eastAsia" w:ascii="Times New Roman" w:hAnsi="Times New Roman" w:eastAsiaTheme="minorEastAsia"/>
          <w:color w:val="000000" w:themeColor="text1"/>
          <w:sz w:val="24"/>
          <w:szCs w:val="24"/>
          <w:lang w:eastAsia="zh-CN"/>
          <w14:textFill>
            <w14:solidFill>
              <w14:schemeClr w14:val="tx1"/>
            </w14:solidFill>
          </w14:textFill>
        </w:rPr>
        <w:t>项目</w:t>
      </w:r>
      <w:r>
        <w:rPr>
          <w:rFonts w:hint="eastAsia" w:ascii="Times New Roman" w:hAnsi="Times New Roman" w:eastAsiaTheme="minorEastAsia"/>
          <w:color w:val="000000" w:themeColor="text1"/>
          <w:sz w:val="24"/>
          <w:szCs w:val="24"/>
          <w:lang w:val="en-US" w:eastAsia="zh-CN"/>
          <w14:textFill>
            <w14:solidFill>
              <w14:schemeClr w14:val="tx1"/>
            </w14:solidFill>
          </w14:textFill>
        </w:rPr>
        <w:t>无新增劳动定员，无新增生活废水，生产废水主要为洗车平台废水，经沉淀池沉淀后上清液循环使用，不外排</w:t>
      </w:r>
      <w:r>
        <w:rPr>
          <w:rFonts w:hint="eastAsia" w:ascii="Times New Roman" w:hAnsi="Times New Roman" w:eastAsia="宋体" w:cs="Times New Roman"/>
          <w:color w:val="auto"/>
          <w:sz w:val="24"/>
          <w:highlight w:val="none"/>
          <w:lang w:val="en-US" w:eastAsia="zh-CN"/>
        </w:rPr>
        <w:t>。</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4.1.</w:t>
      </w:r>
      <w:r>
        <w:rPr>
          <w:rFonts w:hint="eastAsia" w:eastAsia="宋体" w:cs="Times New Roman"/>
          <w:color w:val="000000" w:themeColor="text1"/>
          <w:lang w:val="en-US" w:eastAsia="zh-CN"/>
          <w14:textFill>
            <w14:solidFill>
              <w14:schemeClr w14:val="tx1"/>
            </w14:solidFill>
          </w14:textFill>
        </w:rPr>
        <w:t>2</w:t>
      </w:r>
      <w:r>
        <w:rPr>
          <w:rFonts w:hint="default" w:ascii="Times New Roman" w:hAnsi="Times New Roman" w:eastAsia="宋体" w:cs="Times New Roman"/>
          <w:color w:val="000000" w:themeColor="text1"/>
          <w14:textFill>
            <w14:solidFill>
              <w14:schemeClr w14:val="tx1"/>
            </w14:solidFill>
          </w14:textFill>
        </w:rPr>
        <w:t>废气</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（1）</w:t>
      </w:r>
      <w:r>
        <w:rPr>
          <w:rFonts w:hint="eastAsia" w:ascii="Times New Roman" w:hAnsi="Times New Roman" w:eastAsiaTheme="minorEastAsia"/>
          <w:color w:val="000000" w:themeColor="text1"/>
          <w:sz w:val="24"/>
          <w:szCs w:val="24"/>
          <w:lang w:val="en-US" w:eastAsia="zh-CN"/>
          <w14:textFill>
            <w14:solidFill>
              <w14:schemeClr w14:val="tx1"/>
            </w14:solidFill>
          </w14:textFill>
        </w:rPr>
        <w:t>无</w:t>
      </w:r>
      <w:r>
        <w:rPr>
          <w:rFonts w:hint="eastAsia" w:ascii="Times New Roman" w:hAnsi="Times New Roman" w:eastAsiaTheme="minorEastAsia"/>
          <w:color w:val="000000" w:themeColor="text1"/>
          <w:sz w:val="24"/>
          <w:szCs w:val="24"/>
          <w14:textFill>
            <w14:solidFill>
              <w14:schemeClr w14:val="tx1"/>
            </w14:solidFill>
          </w14:textFill>
        </w:rPr>
        <w:t>组织废气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color w:val="auto"/>
          <w:kern w:val="2"/>
          <w:sz w:val="24"/>
          <w:szCs w:val="21"/>
          <w:highlight w:val="none"/>
          <w:lang w:val="en-US" w:eastAsia="zh-CN"/>
        </w:rPr>
      </w:pPr>
      <w:r>
        <w:rPr>
          <w:rFonts w:hint="eastAsia" w:ascii="Times New Roman" w:hAnsi="Times New Roman" w:eastAsiaTheme="minorEastAsia"/>
          <w:color w:val="000000" w:themeColor="text1"/>
          <w:sz w:val="24"/>
          <w:szCs w:val="24"/>
          <w:lang w:val="en-US" w:eastAsia="zh-CN"/>
          <w14:textFill>
            <w14:solidFill>
              <w14:schemeClr w14:val="tx1"/>
            </w14:solidFill>
          </w14:textFill>
        </w:rPr>
        <w:t>本</w:t>
      </w:r>
      <w:r>
        <w:rPr>
          <w:rFonts w:hint="eastAsia" w:ascii="Times New Roman" w:hAnsi="Times New Roman" w:eastAsiaTheme="minorEastAsia"/>
          <w:color w:val="000000" w:themeColor="text1"/>
          <w:sz w:val="24"/>
          <w:szCs w:val="24"/>
          <w:lang w:eastAsia="zh-CN"/>
          <w14:textFill>
            <w14:solidFill>
              <w14:schemeClr w14:val="tx1"/>
            </w14:solidFill>
          </w14:textFill>
        </w:rPr>
        <w:t>项目煤矸石落料废气、煤矸石装卸、存储废气采取经料棚封闭</w:t>
      </w:r>
      <w:r>
        <w:rPr>
          <w:rFonts w:hint="eastAsia" w:ascii="Times New Roman" w:hAnsi="Times New Roman" w:eastAsiaTheme="minorEastAsia"/>
          <w:color w:val="000000" w:themeColor="text1"/>
          <w:sz w:val="24"/>
          <w:szCs w:val="24"/>
          <w:lang w:val="en-US" w:eastAsia="zh-CN"/>
          <w14:textFill>
            <w14:solidFill>
              <w14:schemeClr w14:val="tx1"/>
            </w14:solidFill>
          </w14:textFill>
        </w:rPr>
        <w:t>+</w:t>
      </w:r>
      <w:r>
        <w:rPr>
          <w:rFonts w:hint="eastAsia" w:ascii="Times New Roman" w:hAnsi="Times New Roman" w:eastAsiaTheme="minorEastAsia"/>
          <w:color w:val="000000" w:themeColor="text1"/>
          <w:sz w:val="24"/>
          <w:szCs w:val="24"/>
          <w:lang w:eastAsia="zh-CN"/>
          <w14:textFill>
            <w14:solidFill>
              <w14:schemeClr w14:val="tx1"/>
            </w14:solidFill>
          </w14:textFill>
        </w:rPr>
        <w:t>高压微雾降尘措施后通过无组织的形式排放至大气环境</w:t>
      </w:r>
      <w:r>
        <w:rPr>
          <w:rFonts w:hint="eastAsia" w:ascii="Times New Roman" w:hAnsi="Times New Roman" w:eastAsia="宋体" w:cs="Times New Roman"/>
          <w:color w:val="auto"/>
          <w:sz w:val="24"/>
          <w:highlight w:val="none"/>
          <w:lang w:val="en-US" w:eastAsia="zh-CN"/>
        </w:rPr>
        <w:t>；本项目新增洗车平台1座，用于减少运输车辆扬尘。</w:t>
      </w:r>
    </w:p>
    <w:tbl>
      <w:tblPr>
        <w:tblStyle w:val="32"/>
        <w:tblW w:w="49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6"/>
        <w:gridCol w:w="4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6" w:hRule="atLeast"/>
          <w:jc w:val="center"/>
        </w:trPr>
        <w:tc>
          <w:tcPr>
            <w:tcW w:w="2500" w:type="pct"/>
            <w:noWrap w:val="0"/>
            <w:vAlign w:val="top"/>
          </w:tcPr>
          <w:p>
            <w:pPr>
              <w:pStyle w:val="10"/>
              <w:rPr>
                <w:rFonts w:hint="eastAsia" w:eastAsia="宋体"/>
                <w:b/>
                <w:color w:val="auto"/>
                <w:sz w:val="24"/>
                <w:szCs w:val="24"/>
                <w:highlight w:val="none"/>
                <w:lang w:eastAsia="zh-CN"/>
              </w:rPr>
            </w:pPr>
            <w:r>
              <w:rPr>
                <w:rFonts w:hint="eastAsia" w:eastAsia="宋体"/>
                <w:b/>
                <w:color w:val="auto"/>
                <w:sz w:val="24"/>
                <w:szCs w:val="24"/>
                <w:highlight w:val="none"/>
                <w:lang w:eastAsia="zh-CN"/>
              </w:rPr>
              <w:drawing>
                <wp:inline distT="0" distB="0" distL="114300" distR="114300">
                  <wp:extent cx="2545080" cy="1908175"/>
                  <wp:effectExtent l="0" t="0" r="7620" b="15875"/>
                  <wp:docPr id="9" name="图片 9" descr="9803e2de831c152ac381de1da8d16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9803e2de831c152ac381de1da8d169e"/>
                          <pic:cNvPicPr>
                            <a:picLocks noChangeAspect="1"/>
                          </pic:cNvPicPr>
                        </pic:nvPicPr>
                        <pic:blipFill>
                          <a:blip r:embed="rId7"/>
                          <a:stretch>
                            <a:fillRect/>
                          </a:stretch>
                        </pic:blipFill>
                        <pic:spPr>
                          <a:xfrm>
                            <a:off x="0" y="0"/>
                            <a:ext cx="2545080" cy="1908175"/>
                          </a:xfrm>
                          <a:prstGeom prst="rect">
                            <a:avLst/>
                          </a:prstGeom>
                        </pic:spPr>
                      </pic:pic>
                    </a:graphicData>
                  </a:graphic>
                </wp:inline>
              </w:drawing>
            </w:r>
          </w:p>
        </w:tc>
        <w:tc>
          <w:tcPr>
            <w:tcW w:w="2500" w:type="pct"/>
            <w:noWrap w:val="0"/>
            <w:vAlign w:val="top"/>
          </w:tcPr>
          <w:p>
            <w:pPr>
              <w:pStyle w:val="10"/>
              <w:rPr>
                <w:rFonts w:hint="eastAsia" w:eastAsia="宋体"/>
                <w:b/>
                <w:color w:val="auto"/>
                <w:sz w:val="24"/>
                <w:szCs w:val="24"/>
                <w:highlight w:val="none"/>
                <w:lang w:eastAsia="zh-CN"/>
              </w:rPr>
            </w:pPr>
            <w:r>
              <w:rPr>
                <w:rFonts w:hint="eastAsia" w:eastAsia="宋体"/>
                <w:b/>
                <w:color w:val="auto"/>
                <w:sz w:val="24"/>
                <w:szCs w:val="24"/>
                <w:highlight w:val="none"/>
                <w:lang w:eastAsia="zh-CN"/>
              </w:rPr>
              <w:drawing>
                <wp:inline distT="0" distB="0" distL="114300" distR="114300">
                  <wp:extent cx="2545080" cy="1908175"/>
                  <wp:effectExtent l="0" t="0" r="7620" b="15875"/>
                  <wp:docPr id="2" name="图片 2" descr="0890cd872f162bb8071d67ed5099c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890cd872f162bb8071d67ed5099c46"/>
                          <pic:cNvPicPr>
                            <a:picLocks noChangeAspect="1"/>
                          </pic:cNvPicPr>
                        </pic:nvPicPr>
                        <pic:blipFill>
                          <a:blip r:embed="rId8"/>
                          <a:stretch>
                            <a:fillRect/>
                          </a:stretch>
                        </pic:blipFill>
                        <pic:spPr>
                          <a:xfrm>
                            <a:off x="0" y="0"/>
                            <a:ext cx="2545080" cy="19081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500" w:type="pct"/>
            <w:noWrap w:val="0"/>
            <w:vAlign w:val="center"/>
          </w:tcPr>
          <w:p>
            <w:pPr>
              <w:pStyle w:val="10"/>
              <w:spacing w:after="0" w:line="440" w:lineRule="exact"/>
              <w:jc w:val="center"/>
              <w:rPr>
                <w:rFonts w:hint="default"/>
                <w:sz w:val="24"/>
                <w:szCs w:val="24"/>
                <w:highlight w:val="none"/>
                <w:lang w:val="en-US"/>
              </w:rPr>
            </w:pPr>
            <w:r>
              <w:rPr>
                <w:rFonts w:hint="eastAsia" w:cs="Times New Roman"/>
                <w:color w:val="auto"/>
                <w:sz w:val="21"/>
                <w:szCs w:val="21"/>
                <w:highlight w:val="none"/>
                <w:lang w:val="en-US" w:eastAsia="zh-CN"/>
              </w:rPr>
              <w:t>块石厂房</w:t>
            </w:r>
          </w:p>
        </w:tc>
        <w:tc>
          <w:tcPr>
            <w:tcW w:w="2500" w:type="pct"/>
            <w:noWrap w:val="0"/>
            <w:vAlign w:val="center"/>
          </w:tcPr>
          <w:p>
            <w:pPr>
              <w:pStyle w:val="10"/>
              <w:spacing w:after="0" w:line="440" w:lineRule="exact"/>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高压微雾设备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5" w:hRule="atLeast"/>
          <w:jc w:val="center"/>
        </w:trPr>
        <w:tc>
          <w:tcPr>
            <w:tcW w:w="2500" w:type="pct"/>
            <w:noWrap w:val="0"/>
            <w:vAlign w:val="top"/>
          </w:tcPr>
          <w:p>
            <w:pPr>
              <w:pStyle w:val="10"/>
              <w:spacing w:after="0" w:line="240" w:lineRule="auto"/>
              <w:jc w:val="both"/>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drawing>
                <wp:inline distT="0" distB="0" distL="114300" distR="114300">
                  <wp:extent cx="2536190" cy="3382010"/>
                  <wp:effectExtent l="0" t="0" r="16510" b="8890"/>
                  <wp:docPr id="8" name="图片 8" descr="微信图片_20231117090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31117090726"/>
                          <pic:cNvPicPr>
                            <a:picLocks noChangeAspect="1"/>
                          </pic:cNvPicPr>
                        </pic:nvPicPr>
                        <pic:blipFill>
                          <a:blip r:embed="rId9"/>
                          <a:stretch>
                            <a:fillRect/>
                          </a:stretch>
                        </pic:blipFill>
                        <pic:spPr>
                          <a:xfrm>
                            <a:off x="0" y="0"/>
                            <a:ext cx="2536190" cy="3382010"/>
                          </a:xfrm>
                          <a:prstGeom prst="rect">
                            <a:avLst/>
                          </a:prstGeom>
                        </pic:spPr>
                      </pic:pic>
                    </a:graphicData>
                  </a:graphic>
                </wp:inline>
              </w:drawing>
            </w:r>
          </w:p>
        </w:tc>
        <w:tc>
          <w:tcPr>
            <w:tcW w:w="2500" w:type="pct"/>
            <w:noWrap w:val="0"/>
            <w:vAlign w:val="top"/>
          </w:tcPr>
          <w:p>
            <w:pPr>
              <w:pStyle w:val="10"/>
              <w:spacing w:after="0" w:line="240" w:lineRule="auto"/>
              <w:jc w:val="center"/>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drawing>
                <wp:inline distT="0" distB="0" distL="114300" distR="114300">
                  <wp:extent cx="2545080" cy="2202815"/>
                  <wp:effectExtent l="0" t="0" r="7620" b="6985"/>
                  <wp:docPr id="12" name="图片 12" descr="微信图片_2023111709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231117091001"/>
                          <pic:cNvPicPr>
                            <a:picLocks noChangeAspect="1"/>
                          </pic:cNvPicPr>
                        </pic:nvPicPr>
                        <pic:blipFill>
                          <a:blip r:embed="rId10"/>
                          <a:stretch>
                            <a:fillRect/>
                          </a:stretch>
                        </pic:blipFill>
                        <pic:spPr>
                          <a:xfrm>
                            <a:off x="0" y="0"/>
                            <a:ext cx="2545080" cy="220281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500" w:type="pct"/>
            <w:noWrap w:val="0"/>
            <w:vAlign w:val="center"/>
          </w:tcPr>
          <w:p>
            <w:pPr>
              <w:pStyle w:val="10"/>
              <w:spacing w:after="0" w:line="440" w:lineRule="exact"/>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洗车平台</w:t>
            </w:r>
          </w:p>
        </w:tc>
        <w:tc>
          <w:tcPr>
            <w:tcW w:w="2500" w:type="pct"/>
            <w:noWrap w:val="0"/>
            <w:vAlign w:val="center"/>
          </w:tcPr>
          <w:p>
            <w:pPr>
              <w:pStyle w:val="10"/>
              <w:spacing w:after="0" w:line="440" w:lineRule="exact"/>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厂房内喷雾</w:t>
            </w:r>
          </w:p>
        </w:tc>
      </w:tr>
    </w:tbl>
    <w:p>
      <w:pPr>
        <w:pStyle w:val="7"/>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b/>
          <w:bCs/>
          <w:color w:val="000000" w:themeColor="text1"/>
          <w:sz w:val="24"/>
          <w:szCs w:val="24"/>
          <w:highlight w:val="none"/>
          <w14:textFill>
            <w14:solidFill>
              <w14:schemeClr w14:val="tx1"/>
            </w14:solidFill>
          </w14:textFill>
        </w:rPr>
        <w:t>图4-</w:t>
      </w:r>
      <w:r>
        <w:rPr>
          <w:rFonts w:hint="eastAsia" w:ascii="Times New Roman" w:hAnsi="Times New Roman" w:eastAsia="宋体" w:cs="Times New Roman"/>
          <w:b/>
          <w:bCs/>
          <w:color w:val="000000" w:themeColor="text1"/>
          <w:sz w:val="24"/>
          <w:szCs w:val="24"/>
          <w:highlight w:val="none"/>
          <w:lang w:val="en-US" w:eastAsia="zh-CN"/>
          <w14:textFill>
            <w14:solidFill>
              <w14:schemeClr w14:val="tx1"/>
            </w14:solidFill>
          </w14:textFill>
        </w:rPr>
        <w:t>1</w:t>
      </w:r>
      <w:r>
        <w:rPr>
          <w:rFonts w:hint="default" w:ascii="Times New Roman" w:hAnsi="Times New Roman" w:eastAsia="宋体" w:cs="Times New Roman"/>
          <w:b/>
          <w:bCs/>
          <w:color w:val="000000" w:themeColor="text1"/>
          <w:sz w:val="24"/>
          <w:szCs w:val="24"/>
          <w:highlight w:val="none"/>
          <w14:textFill>
            <w14:solidFill>
              <w14:schemeClr w14:val="tx1"/>
            </w14:solidFill>
          </w14:textFill>
        </w:rPr>
        <w:t>项目</w:t>
      </w:r>
      <w:r>
        <w:rPr>
          <w:rFonts w:hint="eastAsia" w:ascii="Times New Roman" w:hAnsi="Times New Roman" w:eastAsia="宋体" w:cs="Times New Roman"/>
          <w:b/>
          <w:bCs/>
          <w:color w:val="000000" w:themeColor="text1"/>
          <w:sz w:val="24"/>
          <w:szCs w:val="24"/>
          <w:highlight w:val="none"/>
          <w:lang w:val="en-US" w:eastAsia="zh-CN"/>
          <w14:textFill>
            <w14:solidFill>
              <w14:schemeClr w14:val="tx1"/>
            </w14:solidFill>
          </w14:textFill>
        </w:rPr>
        <w:t>无</w:t>
      </w:r>
      <w:r>
        <w:rPr>
          <w:rFonts w:hint="default" w:ascii="Times New Roman" w:hAnsi="Times New Roman" w:eastAsia="宋体" w:cs="Times New Roman"/>
          <w:b/>
          <w:bCs/>
          <w:color w:val="000000" w:themeColor="text1"/>
          <w:sz w:val="24"/>
          <w:szCs w:val="24"/>
          <w:highlight w:val="none"/>
          <w14:textFill>
            <w14:solidFill>
              <w14:schemeClr w14:val="tx1"/>
            </w14:solidFill>
          </w14:textFill>
        </w:rPr>
        <w:t>组织废气治理设施</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4.1.</w:t>
      </w:r>
      <w:r>
        <w:rPr>
          <w:rFonts w:hint="eastAsia"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30"/>
          <w:szCs w:val="30"/>
          <w:highlight w:val="yellow"/>
          <w:lang w:val="en-US" w:eastAsia="zh-CN"/>
        </w:rPr>
      </w:pPr>
      <w:r>
        <w:rPr>
          <w:rFonts w:hint="default" w:ascii="Times New Roman" w:hAnsi="Times New Roman" w:eastAsia="宋体" w:cs="Times New Roman"/>
          <w:bCs/>
          <w:color w:val="auto"/>
          <w:sz w:val="24"/>
          <w:szCs w:val="24"/>
        </w:rPr>
        <w:t>本项目未增加产噪设备，且对原有露天块石料场进行封闭，可有效降低装卸噪声。</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4.1.</w:t>
      </w:r>
      <w:r>
        <w:rPr>
          <w:rFonts w:hint="eastAsia" w:eastAsia="宋体" w:cs="Times New Roman"/>
          <w:color w:val="000000" w:themeColor="text1"/>
          <w:lang w:val="en-US" w:eastAsia="zh-CN"/>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固体废物</w:t>
      </w:r>
    </w:p>
    <w:p>
      <w:pPr>
        <w:pStyle w:val="26"/>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Times New Roman" w:cs="Times New Roman"/>
          <w:color w:val="auto"/>
          <w:lang w:val="en-US" w:eastAsia="zh-CN"/>
        </w:rPr>
      </w:pPr>
      <w:r>
        <w:rPr>
          <w:rFonts w:hint="default" w:ascii="Times New Roman" w:hAnsi="Times New Roman" w:eastAsia="宋体" w:cs="Times New Roman"/>
          <w:color w:val="auto"/>
        </w:rPr>
        <w:t>本项目</w:t>
      </w:r>
      <w:r>
        <w:rPr>
          <w:rFonts w:hint="eastAsia" w:ascii="Times New Roman" w:cs="Times New Roman"/>
          <w:color w:val="auto"/>
          <w:lang w:val="en-US" w:eastAsia="zh-CN"/>
        </w:rPr>
        <w:t>产生的</w:t>
      </w:r>
      <w:r>
        <w:rPr>
          <w:rFonts w:hint="default" w:ascii="Times New Roman" w:hAnsi="Times New Roman" w:eastAsia="宋体" w:cs="Times New Roman"/>
          <w:color w:val="auto"/>
        </w:rPr>
        <w:t>固废</w:t>
      </w:r>
      <w:r>
        <w:rPr>
          <w:rFonts w:hint="eastAsia" w:ascii="Times New Roman" w:cs="Times New Roman"/>
          <w:color w:val="auto"/>
          <w:lang w:val="en-US" w:eastAsia="zh-CN"/>
        </w:rPr>
        <w:t>主要为洗车平台沉淀池底泥，经吸污车集中收集后填坑铺路。</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lang w:eastAsia="zh-CN"/>
          <w14:textFill>
            <w14:solidFill>
              <w14:schemeClr w14:val="tx1"/>
            </w14:solidFill>
          </w14:textFill>
        </w:rPr>
      </w:pPr>
      <w:bookmarkStart w:id="18" w:name="_Toc9514"/>
      <w:r>
        <w:rPr>
          <w:rFonts w:hint="default" w:ascii="Times New Roman" w:hAnsi="Times New Roman" w:eastAsia="宋体" w:cs="Times New Roman"/>
          <w:color w:val="000000" w:themeColor="text1"/>
          <w14:textFill>
            <w14:solidFill>
              <w14:schemeClr w14:val="tx1"/>
            </w14:solidFill>
          </w14:textFill>
        </w:rPr>
        <w:t>4.</w:t>
      </w:r>
      <w:r>
        <w:rPr>
          <w:rFonts w:hint="eastAsia" w:eastAsia="宋体" w:cs="Times New Roman"/>
          <w:color w:val="000000" w:themeColor="text1"/>
          <w:lang w:val="en-US" w:eastAsia="zh-CN"/>
          <w14:textFill>
            <w14:solidFill>
              <w14:schemeClr w14:val="tx1"/>
            </w14:solidFill>
          </w14:textFill>
        </w:rPr>
        <w:t>2其他环境保护设施</w:t>
      </w:r>
      <w:bookmarkEnd w:id="18"/>
    </w:p>
    <w:p>
      <w:pPr>
        <w:pStyle w:val="5"/>
        <w:bidi w:val="0"/>
        <w:rPr>
          <w:rFonts w:hint="default"/>
        </w:rPr>
      </w:pPr>
      <w:r>
        <w:rPr>
          <w:rFonts w:hint="default"/>
        </w:rPr>
        <w:t>4.</w:t>
      </w:r>
      <w:r>
        <w:rPr>
          <w:rFonts w:hint="eastAsia"/>
          <w:lang w:val="en-US" w:eastAsia="zh-CN"/>
        </w:rPr>
        <w:t>2</w:t>
      </w:r>
      <w:r>
        <w:rPr>
          <w:rFonts w:hint="default"/>
        </w:rPr>
        <w:t>.</w:t>
      </w:r>
      <w:r>
        <w:rPr>
          <w:rFonts w:hint="eastAsia"/>
          <w:lang w:val="en-US" w:eastAsia="zh-CN"/>
        </w:rPr>
        <w:t>1</w:t>
      </w:r>
      <w:r>
        <w:rPr>
          <w:rFonts w:hint="default"/>
        </w:rPr>
        <w:t>土壤及地下水污染防治措施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2"/>
          <w:lang w:val="en-US" w:eastAsia="zh-CN" w:bidi="ar-SA"/>
        </w:rPr>
      </w:pPr>
      <w:r>
        <w:rPr>
          <w:rFonts w:hint="eastAsia" w:ascii="Times New Roman" w:hAnsi="Times New Roman" w:eastAsia="宋体" w:cs="Times New Roman"/>
          <w:color w:val="auto"/>
          <w:kern w:val="0"/>
          <w:sz w:val="24"/>
          <w:szCs w:val="22"/>
          <w:lang w:val="en-US" w:eastAsia="zh-CN" w:bidi="ar-SA"/>
        </w:rPr>
        <w:t>本项目不涉及到土壤及地下水的污染。</w:t>
      </w:r>
    </w:p>
    <w:p>
      <w:pPr>
        <w:pStyle w:val="5"/>
        <w:bidi w:val="0"/>
        <w:rPr>
          <w:rFonts w:hint="default" w:eastAsiaTheme="minorEastAsia"/>
          <w:lang w:val="en-US" w:eastAsia="zh-CN"/>
        </w:rPr>
      </w:pPr>
      <w:r>
        <w:rPr>
          <w:rFonts w:hint="default"/>
        </w:rPr>
        <w:t>4.</w:t>
      </w:r>
      <w:r>
        <w:rPr>
          <w:rFonts w:hint="eastAsia"/>
          <w:lang w:val="en-US" w:eastAsia="zh-CN"/>
        </w:rPr>
        <w:t>2</w:t>
      </w:r>
      <w:r>
        <w:rPr>
          <w:rFonts w:hint="default"/>
        </w:rPr>
        <w:t>.</w:t>
      </w:r>
      <w:r>
        <w:rPr>
          <w:rFonts w:hint="eastAsia"/>
          <w:lang w:val="en-US" w:eastAsia="zh-CN"/>
        </w:rPr>
        <w:t>2环境风险防范设施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default" w:ascii="Times New Roman" w:hAnsi="Times New Roman" w:eastAsia="宋体" w:cs="Times New Roman"/>
          <w:bCs/>
          <w:color w:val="auto"/>
          <w:sz w:val="24"/>
          <w:szCs w:val="24"/>
          <w:highlight w:val="none"/>
          <w:lang w:val="en-US" w:eastAsia="zh-CN"/>
        </w:rPr>
        <w:t>202</w:t>
      </w:r>
      <w:r>
        <w:rPr>
          <w:rFonts w:hint="eastAsia" w:ascii="Times New Roman" w:hAnsi="Times New Roman" w:eastAsia="宋体" w:cs="Times New Roman"/>
          <w:bCs/>
          <w:color w:val="auto"/>
          <w:sz w:val="24"/>
          <w:szCs w:val="24"/>
          <w:highlight w:val="none"/>
          <w:lang w:val="en-US" w:eastAsia="zh-CN"/>
        </w:rPr>
        <w:t>3</w:t>
      </w:r>
      <w:r>
        <w:rPr>
          <w:rFonts w:hint="default" w:ascii="Times New Roman" w:hAnsi="Times New Roman" w:eastAsia="宋体" w:cs="Times New Roman"/>
          <w:bCs/>
          <w:color w:val="auto"/>
          <w:sz w:val="24"/>
          <w:szCs w:val="24"/>
          <w:highlight w:val="none"/>
          <w:lang w:val="en-US" w:eastAsia="zh-CN"/>
        </w:rPr>
        <w:t>年</w:t>
      </w:r>
      <w:r>
        <w:rPr>
          <w:rFonts w:hint="eastAsia" w:ascii="Times New Roman" w:hAnsi="Times New Roman" w:eastAsia="宋体" w:cs="Times New Roman"/>
          <w:bCs/>
          <w:color w:val="auto"/>
          <w:sz w:val="24"/>
          <w:szCs w:val="24"/>
          <w:highlight w:val="none"/>
          <w:lang w:val="en-US" w:eastAsia="zh-CN"/>
        </w:rPr>
        <w:t>7</w:t>
      </w:r>
      <w:r>
        <w:rPr>
          <w:rFonts w:hint="default" w:ascii="Times New Roman" w:hAnsi="Times New Roman" w:eastAsia="宋体" w:cs="Times New Roman"/>
          <w:bCs/>
          <w:color w:val="auto"/>
          <w:sz w:val="24"/>
          <w:szCs w:val="24"/>
          <w:highlight w:val="none"/>
          <w:lang w:val="en-US" w:eastAsia="zh-CN"/>
        </w:rPr>
        <w:t>月</w:t>
      </w:r>
      <w:r>
        <w:rPr>
          <w:rFonts w:hint="eastAsia" w:ascii="Times New Roman" w:hAnsi="Times New Roman" w:eastAsia="宋体" w:cs="Times New Roman"/>
          <w:bCs/>
          <w:color w:val="auto"/>
          <w:sz w:val="24"/>
          <w:szCs w:val="24"/>
          <w:highlight w:val="none"/>
          <w:lang w:val="en-US" w:eastAsia="zh-CN"/>
        </w:rPr>
        <w:t>10</w:t>
      </w:r>
      <w:r>
        <w:rPr>
          <w:rFonts w:hint="default" w:ascii="Times New Roman" w:hAnsi="Times New Roman" w:eastAsia="宋体" w:cs="Times New Roman"/>
          <w:bCs/>
          <w:color w:val="auto"/>
          <w:sz w:val="24"/>
          <w:szCs w:val="24"/>
          <w:highlight w:val="none"/>
          <w:lang w:val="en-US" w:eastAsia="zh-CN"/>
        </w:rPr>
        <w:t>日，开滦（集团）有限责任公司唐山矿业分公司完成企业事业单位突发环境事件应急预案的备案，备案编号为13020</w:t>
      </w:r>
      <w:r>
        <w:rPr>
          <w:rFonts w:hint="eastAsia" w:ascii="Times New Roman" w:hAnsi="Times New Roman" w:eastAsia="宋体" w:cs="Times New Roman"/>
          <w:bCs/>
          <w:color w:val="auto"/>
          <w:sz w:val="24"/>
          <w:szCs w:val="24"/>
          <w:highlight w:val="none"/>
          <w:lang w:val="en-US" w:eastAsia="zh-CN"/>
        </w:rPr>
        <w:t>2</w:t>
      </w:r>
      <w:r>
        <w:rPr>
          <w:rFonts w:hint="default" w:ascii="Times New Roman" w:hAnsi="Times New Roman" w:eastAsia="宋体" w:cs="Times New Roman"/>
          <w:bCs/>
          <w:color w:val="auto"/>
          <w:sz w:val="24"/>
          <w:szCs w:val="24"/>
          <w:highlight w:val="none"/>
          <w:lang w:val="en-US" w:eastAsia="zh-CN"/>
        </w:rPr>
        <w:t>-202</w:t>
      </w:r>
      <w:r>
        <w:rPr>
          <w:rFonts w:hint="eastAsia" w:ascii="Times New Roman" w:hAnsi="Times New Roman" w:eastAsia="宋体" w:cs="Times New Roman"/>
          <w:bCs/>
          <w:color w:val="auto"/>
          <w:sz w:val="24"/>
          <w:szCs w:val="24"/>
          <w:highlight w:val="none"/>
          <w:lang w:val="en-US" w:eastAsia="zh-CN"/>
        </w:rPr>
        <w:t>3</w:t>
      </w:r>
      <w:r>
        <w:rPr>
          <w:rFonts w:hint="default" w:ascii="Times New Roman" w:hAnsi="Times New Roman" w:eastAsia="宋体" w:cs="Times New Roman"/>
          <w:bCs/>
          <w:color w:val="auto"/>
          <w:sz w:val="24"/>
          <w:szCs w:val="24"/>
          <w:highlight w:val="none"/>
          <w:lang w:val="en-US" w:eastAsia="zh-CN"/>
        </w:rPr>
        <w:t>-0</w:t>
      </w:r>
      <w:r>
        <w:rPr>
          <w:rFonts w:hint="eastAsia" w:ascii="Times New Roman" w:hAnsi="Times New Roman" w:eastAsia="宋体" w:cs="Times New Roman"/>
          <w:bCs/>
          <w:color w:val="auto"/>
          <w:sz w:val="24"/>
          <w:szCs w:val="24"/>
          <w:highlight w:val="none"/>
          <w:lang w:val="en-US" w:eastAsia="zh-CN"/>
        </w:rPr>
        <w:t>19</w:t>
      </w:r>
      <w:r>
        <w:rPr>
          <w:rFonts w:hint="default" w:ascii="Times New Roman" w:hAnsi="Times New Roman" w:eastAsia="宋体" w:cs="Times New Roman"/>
          <w:bCs/>
          <w:color w:val="auto"/>
          <w:sz w:val="24"/>
          <w:szCs w:val="24"/>
          <w:highlight w:val="none"/>
          <w:lang w:val="en-US" w:eastAsia="zh-CN"/>
        </w:rPr>
        <w:t>-</w:t>
      </w:r>
      <w:r>
        <w:rPr>
          <w:rFonts w:hint="eastAsia" w:ascii="Times New Roman" w:hAnsi="Times New Roman" w:eastAsia="宋体" w:cs="Times New Roman"/>
          <w:bCs/>
          <w:color w:val="auto"/>
          <w:sz w:val="24"/>
          <w:szCs w:val="24"/>
          <w:highlight w:val="none"/>
          <w:lang w:val="en-US" w:eastAsia="zh-CN"/>
        </w:rPr>
        <w:t>L</w:t>
      </w:r>
      <w:r>
        <w:rPr>
          <w:rFonts w:hint="default" w:ascii="Times New Roman" w:hAnsi="Times New Roman" w:eastAsia="宋体" w:cs="Times New Roman"/>
          <w:bCs/>
          <w:color w:val="auto"/>
          <w:sz w:val="24"/>
          <w:szCs w:val="24"/>
          <w:highlight w:val="none"/>
          <w:lang w:val="en-US" w:eastAsia="zh-CN"/>
        </w:rPr>
        <w:t>。</w:t>
      </w:r>
    </w:p>
    <w:p>
      <w:pPr>
        <w:pStyle w:val="5"/>
        <w:bidi w:val="0"/>
        <w:rPr>
          <w:rFonts w:hint="eastAsia"/>
          <w:lang w:val="en-US" w:eastAsia="zh-CN"/>
        </w:rPr>
      </w:pPr>
      <w:r>
        <w:rPr>
          <w:rFonts w:hint="default"/>
        </w:rPr>
        <w:t>4.</w:t>
      </w:r>
      <w:r>
        <w:rPr>
          <w:rFonts w:hint="eastAsia"/>
          <w:lang w:val="en-US" w:eastAsia="zh-CN"/>
        </w:rPr>
        <w:t>2</w:t>
      </w:r>
      <w:r>
        <w:rPr>
          <w:rFonts w:hint="default"/>
        </w:rPr>
        <w:t>.</w:t>
      </w:r>
      <w:r>
        <w:rPr>
          <w:rFonts w:hint="eastAsia"/>
          <w:lang w:val="en-US" w:eastAsia="zh-CN"/>
        </w:rPr>
        <w:t>3排污许可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30"/>
          <w:szCs w:val="30"/>
          <w:highlight w:val="yellow"/>
          <w:lang w:val="en-US" w:eastAsia="zh-CN"/>
        </w:rPr>
      </w:pPr>
      <w:r>
        <w:rPr>
          <w:rFonts w:hint="eastAsia" w:ascii="Times New Roman" w:hAnsi="Times New Roman" w:eastAsia="宋体" w:cs="Times New Roman"/>
          <w:bCs/>
          <w:color w:val="auto"/>
          <w:sz w:val="24"/>
          <w:szCs w:val="24"/>
          <w:highlight w:val="none"/>
          <w:lang w:val="en-US" w:eastAsia="zh-CN"/>
        </w:rPr>
        <w:t>2023年5月8日，</w:t>
      </w:r>
      <w:r>
        <w:rPr>
          <w:rFonts w:hint="default" w:ascii="Times New Roman" w:hAnsi="Times New Roman" w:eastAsia="宋体" w:cs="Times New Roman"/>
          <w:bCs/>
          <w:color w:val="auto"/>
          <w:sz w:val="24"/>
          <w:szCs w:val="24"/>
          <w:highlight w:val="none"/>
          <w:lang w:val="en-US" w:eastAsia="zh-CN"/>
        </w:rPr>
        <w:t>开滦（集团）有限责任公司唐山矿业分公司排污许可证</w:t>
      </w:r>
      <w:r>
        <w:rPr>
          <w:rFonts w:hint="eastAsia" w:ascii="Times New Roman" w:hAnsi="Times New Roman" w:eastAsia="宋体" w:cs="Times New Roman"/>
          <w:bCs/>
          <w:color w:val="auto"/>
          <w:sz w:val="24"/>
          <w:szCs w:val="24"/>
          <w:highlight w:val="none"/>
          <w:lang w:val="en-US" w:eastAsia="zh-CN"/>
        </w:rPr>
        <w:t>变更申领完成</w:t>
      </w:r>
      <w:r>
        <w:rPr>
          <w:rFonts w:hint="default" w:ascii="Times New Roman" w:hAnsi="Times New Roman" w:eastAsia="宋体" w:cs="Times New Roman"/>
          <w:bCs/>
          <w:color w:val="auto"/>
          <w:sz w:val="24"/>
          <w:szCs w:val="24"/>
          <w:highlight w:val="none"/>
          <w:lang w:val="en-US" w:eastAsia="zh-CN"/>
        </w:rPr>
        <w:t>（证书编号：91130200601041537N001V），有效期为202</w:t>
      </w:r>
      <w:r>
        <w:rPr>
          <w:rFonts w:hint="eastAsia" w:ascii="Times New Roman" w:hAnsi="Times New Roman" w:eastAsia="宋体" w:cs="Times New Roman"/>
          <w:bCs/>
          <w:color w:val="auto"/>
          <w:sz w:val="24"/>
          <w:szCs w:val="24"/>
          <w:highlight w:val="none"/>
          <w:lang w:val="en-US" w:eastAsia="zh-CN"/>
        </w:rPr>
        <w:t>3</w:t>
      </w:r>
      <w:r>
        <w:rPr>
          <w:rFonts w:hint="default" w:ascii="Times New Roman" w:hAnsi="Times New Roman" w:eastAsia="宋体" w:cs="Times New Roman"/>
          <w:bCs/>
          <w:color w:val="auto"/>
          <w:sz w:val="24"/>
          <w:szCs w:val="24"/>
          <w:highlight w:val="none"/>
          <w:lang w:val="en-US" w:eastAsia="zh-CN"/>
        </w:rPr>
        <w:t>年</w:t>
      </w:r>
      <w:r>
        <w:rPr>
          <w:rFonts w:hint="eastAsia" w:ascii="Times New Roman" w:hAnsi="Times New Roman" w:eastAsia="宋体" w:cs="Times New Roman"/>
          <w:bCs/>
          <w:color w:val="auto"/>
          <w:sz w:val="24"/>
          <w:szCs w:val="24"/>
          <w:highlight w:val="none"/>
          <w:lang w:val="en-US" w:eastAsia="zh-CN"/>
        </w:rPr>
        <w:t>7</w:t>
      </w:r>
      <w:r>
        <w:rPr>
          <w:rFonts w:hint="default" w:ascii="Times New Roman" w:hAnsi="Times New Roman" w:eastAsia="宋体" w:cs="Times New Roman"/>
          <w:bCs/>
          <w:color w:val="auto"/>
          <w:sz w:val="24"/>
          <w:szCs w:val="24"/>
          <w:highlight w:val="none"/>
          <w:lang w:val="en-US" w:eastAsia="zh-CN"/>
        </w:rPr>
        <w:t>月31日至202</w:t>
      </w:r>
      <w:r>
        <w:rPr>
          <w:rFonts w:hint="eastAsia" w:ascii="Times New Roman" w:hAnsi="Times New Roman" w:eastAsia="宋体" w:cs="Times New Roman"/>
          <w:bCs/>
          <w:color w:val="auto"/>
          <w:sz w:val="24"/>
          <w:szCs w:val="24"/>
          <w:highlight w:val="none"/>
          <w:lang w:val="en-US" w:eastAsia="zh-CN"/>
        </w:rPr>
        <w:t>8</w:t>
      </w:r>
      <w:r>
        <w:rPr>
          <w:rFonts w:hint="default" w:ascii="Times New Roman" w:hAnsi="Times New Roman" w:eastAsia="宋体" w:cs="Times New Roman"/>
          <w:bCs/>
          <w:color w:val="auto"/>
          <w:sz w:val="24"/>
          <w:szCs w:val="24"/>
          <w:highlight w:val="none"/>
          <w:lang w:val="en-US" w:eastAsia="zh-CN"/>
        </w:rPr>
        <w:t>年</w:t>
      </w:r>
      <w:r>
        <w:rPr>
          <w:rFonts w:hint="eastAsia" w:ascii="Times New Roman" w:hAnsi="Times New Roman" w:eastAsia="宋体" w:cs="Times New Roman"/>
          <w:bCs/>
          <w:color w:val="auto"/>
          <w:sz w:val="24"/>
          <w:szCs w:val="24"/>
          <w:highlight w:val="none"/>
          <w:lang w:val="en-US" w:eastAsia="zh-CN"/>
        </w:rPr>
        <w:t>7</w:t>
      </w:r>
      <w:r>
        <w:rPr>
          <w:rFonts w:hint="default" w:ascii="Times New Roman" w:hAnsi="Times New Roman" w:eastAsia="宋体" w:cs="Times New Roman"/>
          <w:bCs/>
          <w:color w:val="auto"/>
          <w:sz w:val="24"/>
          <w:szCs w:val="24"/>
          <w:highlight w:val="none"/>
          <w:lang w:val="en-US" w:eastAsia="zh-CN"/>
        </w:rPr>
        <w:t>月30日。</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19" w:name="_Toc26041"/>
      <w:r>
        <w:rPr>
          <w:rFonts w:hint="default" w:ascii="Times New Roman" w:hAnsi="Times New Roman" w:eastAsia="宋体" w:cs="Times New Roman"/>
          <w:color w:val="000000" w:themeColor="text1"/>
          <w14:textFill>
            <w14:solidFill>
              <w14:schemeClr w14:val="tx1"/>
            </w14:solidFill>
          </w14:textFill>
        </w:rPr>
        <w:t>4.</w:t>
      </w:r>
      <w:r>
        <w:rPr>
          <w:rFonts w:hint="eastAsia"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环保设施投资及“三同时”落实情况</w:t>
      </w:r>
      <w:bookmarkEnd w:id="19"/>
    </w:p>
    <w:p>
      <w:pPr>
        <w:pStyle w:val="26"/>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eastAsia="宋体" w:cs="Times New Roman"/>
          <w:color w:val="auto"/>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color w:val="auto"/>
        </w:rPr>
        <w:t>开滦（集团）有限责任公司唐山矿业分公司块石场封闭工程项目环保设施投资及“三同时”落实情况具体见表4-</w:t>
      </w:r>
      <w:r>
        <w:rPr>
          <w:rFonts w:hint="eastAsia" w:ascii="Times New Roman" w:cs="Times New Roman"/>
          <w:color w:val="auto"/>
          <w:lang w:val="en-US" w:eastAsia="zh-CN"/>
        </w:rPr>
        <w:t>1</w:t>
      </w:r>
      <w:r>
        <w:rPr>
          <w:rFonts w:hint="default" w:ascii="Times New Roman" w:hAnsi="Times New Roman" w:eastAsia="宋体" w:cs="Times New Roman"/>
          <w:color w:val="auto"/>
        </w:rPr>
        <w:t>。</w:t>
      </w:r>
    </w:p>
    <w:p>
      <w:pPr>
        <w:pStyle w:val="45"/>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baseline"/>
        <w:rPr>
          <w:rFonts w:hint="default" w:ascii="Times New Roman" w:hAnsi="Times New Roman" w:eastAsia="宋体" w:cs="Times New Roman"/>
          <w:b/>
          <w:color w:val="000000" w:themeColor="text1"/>
          <w:kern w:val="2"/>
          <w:sz w:val="24"/>
          <w:szCs w:val="24"/>
          <w:highlight w:val="yellow"/>
          <w14:textFill>
            <w14:solidFill>
              <w14:schemeClr w14:val="tx1"/>
            </w14:solidFill>
          </w14:textFill>
        </w:rPr>
      </w:pPr>
      <w:r>
        <w:rPr>
          <w:rFonts w:hint="default" w:ascii="Times New Roman" w:hAnsi="Times New Roman" w:eastAsia="宋体" w:cs="Times New Roman"/>
          <w:b/>
          <w:bCs/>
          <w:color w:val="000000" w:themeColor="text1"/>
          <w:kern w:val="2"/>
          <w:sz w:val="24"/>
          <w:szCs w:val="24"/>
          <w:highlight w:val="none"/>
          <w:lang w:val="en-US" w:eastAsia="zh-CN" w:bidi="ar-SA"/>
          <w14:textFill>
            <w14:solidFill>
              <w14:schemeClr w14:val="tx1"/>
            </w14:solidFill>
          </w14:textFill>
        </w:rPr>
        <w:t>表4-</w:t>
      </w:r>
      <w:r>
        <w:rPr>
          <w:rFonts w:hint="eastAsia" w:eastAsia="宋体" w:cs="Times New Roman"/>
          <w:b/>
          <w:bCs/>
          <w:color w:val="000000" w:themeColor="text1"/>
          <w:kern w:val="2"/>
          <w:sz w:val="24"/>
          <w:szCs w:val="24"/>
          <w:highlight w:val="none"/>
          <w:lang w:val="en-US" w:eastAsia="zh-CN" w:bidi="ar-SA"/>
          <w14:textFill>
            <w14:solidFill>
              <w14:schemeClr w14:val="tx1"/>
            </w14:solidFill>
          </w14:textFill>
        </w:rPr>
        <w:t>1</w:t>
      </w:r>
      <w:r>
        <w:rPr>
          <w:rFonts w:hint="default" w:ascii="Times New Roman" w:hAnsi="Times New Roman" w:eastAsia="宋体" w:cs="Times New Roman"/>
          <w:b/>
          <w:bCs/>
          <w:color w:val="000000" w:themeColor="text1"/>
          <w:kern w:val="2"/>
          <w:sz w:val="24"/>
          <w:szCs w:val="24"/>
          <w:highlight w:val="none"/>
          <w:lang w:val="en-US" w:eastAsia="zh-CN" w:bidi="ar-SA"/>
          <w14:textFill>
            <w14:solidFill>
              <w14:schemeClr w14:val="tx1"/>
            </w14:solidFill>
          </w14:textFill>
        </w:rPr>
        <w:t>环境设施投资及“三同时”落实情况</w:t>
      </w:r>
    </w:p>
    <w:tbl>
      <w:tblPr>
        <w:tblStyle w:val="33"/>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944"/>
        <w:gridCol w:w="960"/>
        <w:gridCol w:w="2235"/>
        <w:gridCol w:w="1680"/>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50" w:type="dxa"/>
            <w:vAlign w:val="center"/>
            <mc:AlternateContent>
              <mc:Choice Requires="wpsCustomData">
                <wpsCustomData:diagonals>
                  <wpsCustomData:diagonal from="10000" to="30000">
                    <wpsCustomData:border w:val="single" w:color="auto" w:sz="4" w:space="0"/>
                  </wpsCustomData:diagonal>
                </wpsCustomData:diagonals>
              </mc:Choice>
            </mc:AlternateContent>
          </w:tcPr>
          <w:p>
            <w:pPr>
              <w:pStyle w:val="45"/>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baseline"/>
              <mc:AlternateContent>
                <mc:Choice Requires="wpsCustomData">
                  <wpsCustomData:diagonalParaType/>
                </mc:Choice>
              </mc:AlternateContent>
              <w:rPr>
                <w:rFonts w:eastAsiaTheme="minorEastAsia"/>
                <w:color w:val="000000" w:themeColor="text1"/>
                <w:kern w:val="2"/>
                <w:sz w:val="21"/>
                <w:szCs w:val="21"/>
                <w:vertAlign w:val="baseline"/>
                <w14:textFill>
                  <w14:solidFill>
                    <w14:schemeClr w14:val="tx1"/>
                  </w14:solidFill>
                </w14:textFill>
              </w:rPr>
            </w:pPr>
            <w:r>
              <w:rPr>
                <w:sz w:val="21"/>
                <w:szCs w:val="21"/>
              </w:rPr>
              <mc:AlternateContent>
                <mc:Choice Requires="wps">
                  <w:drawing>
                    <wp:anchor distT="0" distB="0" distL="114300" distR="114300" simplePos="0" relativeHeight="251661312" behindDoc="0" locked="0" layoutInCell="1" allowOverlap="1">
                      <wp:simplePos x="0" y="0"/>
                      <wp:positionH relativeFrom="column">
                        <wp:posOffset>-121285</wp:posOffset>
                      </wp:positionH>
                      <wp:positionV relativeFrom="paragraph">
                        <wp:posOffset>309880</wp:posOffset>
                      </wp:positionV>
                      <wp:extent cx="506095" cy="353060"/>
                      <wp:effectExtent l="0" t="0" r="8255" b="8890"/>
                      <wp:wrapNone/>
                      <wp:docPr id="1" name="文本框 1"/>
                      <wp:cNvGraphicFramePr/>
                      <a:graphic xmlns:a="http://schemas.openxmlformats.org/drawingml/2006/main">
                        <a:graphicData uri="http://schemas.microsoft.com/office/word/2010/wordprocessingShape">
                          <wps:wsp>
                            <wps:cNvSpPr txBox="1"/>
                            <wps:spPr>
                              <a:xfrm>
                                <a:off x="1579880" y="1869440"/>
                                <a:ext cx="506095" cy="3530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5pt;margin-top:24.4pt;height:27.8pt;width:39.85pt;z-index:251661312;mso-width-relative:page;mso-height-relative:page;" filled="f" stroked="f" coordsize="21600,21600" o:gfxdata="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la4+XZAAAACQEAAA8AAAAAAAAAAQAgAAAA&#10;IgAAAGRycy9kb3ducmV2LnhtbFBLAQIUABQAAAAIAIdO4kBjosxHQwIAAHEEAAAOAAAAAAAAAAEA&#10;IAAAACgBAABkcnMvZTJvRG9jLnhtbFBLBQYAAAAABgAGAFkBAADdBQAAAAA=&#10;">
                      <v:fill on="f" focussize="0,0"/>
                      <v:stroke on="f" weight="0.5pt"/>
                      <v:imagedata o:title=""/>
                      <o:lock v:ext="edit" aspectratio="f"/>
                      <v:textbox>
                        <w:txbxContent>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要素</w:t>
                            </w:r>
                          </w:p>
                        </w:txbxContent>
                      </v:textbox>
                    </v:shape>
                  </w:pict>
                </mc:Fallback>
              </mc:AlternateContent>
            </w:r>
          </w:p>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eastAsia"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内容</w:t>
            </w:r>
          </w:p>
        </w:tc>
        <w:tc>
          <w:tcPr>
            <w:tcW w:w="1944"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eastAsia"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排放口（编号、名称）/污染源</w:t>
            </w:r>
          </w:p>
        </w:tc>
        <w:tc>
          <w:tcPr>
            <w:tcW w:w="960"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eastAsia"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污染物项目</w:t>
            </w:r>
          </w:p>
        </w:tc>
        <w:tc>
          <w:tcPr>
            <w:tcW w:w="2235"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default"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环境保护措施</w:t>
            </w:r>
          </w:p>
        </w:tc>
        <w:tc>
          <w:tcPr>
            <w:tcW w:w="1680"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default"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执行标准</w:t>
            </w:r>
          </w:p>
        </w:tc>
        <w:tc>
          <w:tcPr>
            <w:tcW w:w="852"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eastAsia"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eastAsia"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大气环境</w:t>
            </w:r>
          </w:p>
        </w:tc>
        <w:tc>
          <w:tcPr>
            <w:tcW w:w="1944"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default"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煤矸石落料废气、煤矸石装卸、存储废气</w:t>
            </w:r>
          </w:p>
        </w:tc>
        <w:tc>
          <w:tcPr>
            <w:tcW w:w="960"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default" w:eastAsiaTheme="minorEastAsia"/>
                <w:color w:val="000000" w:themeColor="text1"/>
                <w:kern w:val="2"/>
                <w:sz w:val="21"/>
                <w:szCs w:val="21"/>
                <w:vertAlign w:val="baseline"/>
                <w:lang w:val="en-US"/>
                <w14:textFill>
                  <w14:solidFill>
                    <w14:schemeClr w14:val="tx1"/>
                  </w14:solidFill>
                </w14:textFill>
              </w:rPr>
            </w:pPr>
            <w:r>
              <w:rPr>
                <w:rFonts w:hint="default" w:ascii="Times New Roman" w:hAnsi="Times New Roman" w:eastAsia="宋体" w:cs="Times New Roman"/>
                <w:color w:val="auto"/>
                <w:sz w:val="21"/>
                <w:szCs w:val="21"/>
                <w:highlight w:val="none"/>
                <w:lang w:val="en-US" w:eastAsia="zh-CN"/>
              </w:rPr>
              <w:t>颗粒物</w:t>
            </w:r>
          </w:p>
        </w:tc>
        <w:tc>
          <w:tcPr>
            <w:tcW w:w="223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highlight w:val="none"/>
                <w:lang w:val="en-US" w:eastAsia="zh-CN"/>
              </w:rPr>
              <w:t>经</w:t>
            </w:r>
            <w:r>
              <w:rPr>
                <w:rFonts w:hint="default" w:ascii="Times New Roman" w:hAnsi="Times New Roman" w:eastAsia="宋体" w:cs="Times New Roman"/>
                <w:color w:val="auto"/>
                <w:sz w:val="21"/>
                <w:szCs w:val="21"/>
                <w:highlight w:val="none"/>
                <w:lang w:val="en-US" w:eastAsia="zh-CN"/>
              </w:rPr>
              <w:t>料棚封闭</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高压微雾降尘</w:t>
            </w:r>
            <w:r>
              <w:rPr>
                <w:rFonts w:hint="eastAsia" w:ascii="Times New Roman" w:hAnsi="Times New Roman" w:eastAsia="宋体" w:cs="Times New Roman"/>
                <w:color w:val="auto"/>
                <w:sz w:val="21"/>
                <w:szCs w:val="21"/>
                <w:highlight w:val="none"/>
                <w:lang w:val="en-US" w:eastAsia="zh-CN"/>
              </w:rPr>
              <w:t>措施后通过无组织的形似排放至大气环境；新增洗车平台1座，用于减少运输车辆扬尘</w:t>
            </w:r>
          </w:p>
        </w:tc>
        <w:tc>
          <w:tcPr>
            <w:tcW w:w="1680" w:type="dxa"/>
            <w:vAlign w:val="center"/>
          </w:tcPr>
          <w:p>
            <w:pPr>
              <w:pageBreakBefore w:val="0"/>
              <w:kinsoku/>
              <w:wordWrap/>
              <w:overflowPunct/>
              <w:bidi w:val="0"/>
              <w:adjustRightInd w:val="0"/>
              <w:snapToGrid w:val="0"/>
              <w:spacing w:line="240" w:lineRule="auto"/>
              <w:jc w:val="center"/>
              <w:textAlignment w:val="auto"/>
              <w:rPr>
                <w:rFonts w:eastAsiaTheme="minorEastAsia"/>
                <w:color w:val="000000" w:themeColor="text1"/>
                <w:kern w:val="2"/>
                <w:sz w:val="21"/>
                <w:szCs w:val="21"/>
                <w:vertAlign w:val="baseline"/>
                <w14:textFill>
                  <w14:solidFill>
                    <w14:schemeClr w14:val="tx1"/>
                  </w14:solidFill>
                </w14:textFill>
              </w:rPr>
            </w:pPr>
            <w:r>
              <w:rPr>
                <w:rFonts w:hint="default" w:ascii="Times New Roman" w:hAnsi="Times New Roman" w:eastAsia="宋体" w:cs="Times New Roman"/>
                <w:color w:val="auto"/>
                <w:sz w:val="21"/>
                <w:szCs w:val="21"/>
              </w:rPr>
              <w:t>执行《煤炭工业污染物排放标准》（GB20426-2006）表5中煤炭贮存场所、煤矸石堆置场颗粒物无组织排放限值：1.0mg/m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（周界外质量浓度最高点）的要求</w:t>
            </w:r>
          </w:p>
        </w:tc>
        <w:tc>
          <w:tcPr>
            <w:tcW w:w="852"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eastAsia"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eastAsiaTheme="minorEastAsia"/>
                <w:color w:val="000000" w:themeColor="text1"/>
                <w:kern w:val="2"/>
                <w:sz w:val="21"/>
                <w:szCs w:val="21"/>
                <w:vertAlign w:val="baseline"/>
                <w14:textFill>
                  <w14:solidFill>
                    <w14:schemeClr w14:val="tx1"/>
                  </w14:solidFill>
                </w14:textFill>
              </w:rPr>
            </w:pPr>
            <w:r>
              <w:rPr>
                <w:rFonts w:hint="default" w:ascii="Times New Roman" w:hAnsi="Times New Roman" w:eastAsia="宋体" w:cs="Times New Roman"/>
                <w:color w:val="auto"/>
                <w:sz w:val="21"/>
                <w:szCs w:val="21"/>
              </w:rPr>
              <w:t>声环境</w:t>
            </w:r>
          </w:p>
        </w:tc>
        <w:tc>
          <w:tcPr>
            <w:tcW w:w="1944"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eastAsiaTheme="minorEastAsia"/>
                <w:color w:val="000000" w:themeColor="text1"/>
                <w:kern w:val="2"/>
                <w:sz w:val="21"/>
                <w:szCs w:val="21"/>
                <w:vertAlign w:val="baseline"/>
                <w14:textFill>
                  <w14:solidFill>
                    <w14:schemeClr w14:val="tx1"/>
                  </w14:solidFill>
                </w14:textFill>
              </w:rPr>
            </w:pPr>
            <w:r>
              <w:rPr>
                <w:rFonts w:hint="default" w:ascii="Times New Roman" w:hAnsi="Times New Roman" w:eastAsia="宋体" w:cs="Times New Roman"/>
                <w:color w:val="auto"/>
                <w:sz w:val="21"/>
                <w:szCs w:val="21"/>
                <w:highlight w:val="none"/>
                <w:lang w:val="en-US" w:eastAsia="zh-CN"/>
              </w:rPr>
              <w:t>生产设备</w:t>
            </w:r>
            <w:r>
              <w:rPr>
                <w:rFonts w:hint="default" w:ascii="Times New Roman" w:hAnsi="Times New Roman" w:eastAsia="宋体" w:cs="Times New Roman"/>
                <w:color w:val="auto"/>
                <w:sz w:val="21"/>
                <w:szCs w:val="21"/>
                <w:highlight w:val="none"/>
              </w:rPr>
              <w:t>等</w:t>
            </w:r>
          </w:p>
        </w:tc>
        <w:tc>
          <w:tcPr>
            <w:tcW w:w="960"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eastAsiaTheme="minorEastAsia"/>
                <w:color w:val="000000" w:themeColor="text1"/>
                <w:kern w:val="2"/>
                <w:sz w:val="21"/>
                <w:szCs w:val="21"/>
                <w:vertAlign w:val="baseline"/>
                <w14:textFill>
                  <w14:solidFill>
                    <w14:schemeClr w14:val="tx1"/>
                  </w14:solidFill>
                </w14:textFill>
              </w:rPr>
            </w:pPr>
            <w:r>
              <w:rPr>
                <w:rFonts w:hint="default" w:ascii="Times New Roman" w:hAnsi="Times New Roman" w:eastAsia="宋体" w:cs="Times New Roman"/>
                <w:color w:val="auto"/>
                <w:sz w:val="21"/>
                <w:szCs w:val="21"/>
                <w:highlight w:val="none"/>
              </w:rPr>
              <w:t>噪声</w:t>
            </w:r>
          </w:p>
        </w:tc>
        <w:tc>
          <w:tcPr>
            <w:tcW w:w="2235" w:type="dxa"/>
            <w:vAlign w:val="center"/>
          </w:tcPr>
          <w:p>
            <w:pPr>
              <w:pageBreakBefore w:val="0"/>
              <w:kinsoku/>
              <w:wordWrap/>
              <w:overflowPunct/>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选用低噪设备、料棚封闭</w:t>
            </w:r>
          </w:p>
        </w:tc>
        <w:tc>
          <w:tcPr>
            <w:tcW w:w="1680" w:type="dxa"/>
            <w:vAlign w:val="center"/>
          </w:tcPr>
          <w:p>
            <w:pPr>
              <w:pageBreakBefore w:val="0"/>
              <w:kinsoku/>
              <w:wordWrap/>
              <w:overflowPunct/>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由于本项目未增加产噪设备，且对原有露天块石料场进行封闭，可有效降低装卸噪声。</w:t>
            </w:r>
          </w:p>
        </w:tc>
        <w:tc>
          <w:tcPr>
            <w:tcW w:w="852"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eastAsiaTheme="minorEastAsia"/>
                <w:color w:val="000000" w:themeColor="text1"/>
                <w:kern w:val="2"/>
                <w:sz w:val="21"/>
                <w:szCs w:val="21"/>
                <w:vertAlign w:val="baseline"/>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eastAsia" w:ascii="Times New Roman" w:hAnsi="Times New Roman" w:eastAsia="宋体" w:cs="Times New Roman"/>
                <w:color w:val="auto"/>
                <w:sz w:val="21"/>
                <w:szCs w:val="21"/>
                <w:lang w:val="en-US" w:eastAsia="zh-CN"/>
              </w:rPr>
            </w:pPr>
            <w:r>
              <w:rPr>
                <w:rFonts w:hint="eastAsia" w:eastAsia="宋体" w:cs="Times New Roman"/>
                <w:color w:val="auto"/>
                <w:sz w:val="21"/>
                <w:szCs w:val="21"/>
                <w:lang w:val="en-US" w:eastAsia="zh-CN"/>
              </w:rPr>
              <w:t>固体废物</w:t>
            </w:r>
          </w:p>
        </w:tc>
        <w:tc>
          <w:tcPr>
            <w:tcW w:w="6819" w:type="dxa"/>
            <w:gridSpan w:val="4"/>
            <w:vAlign w:val="center"/>
          </w:tcPr>
          <w:p>
            <w:pPr>
              <w:pageBreakBefore w:val="0"/>
              <w:kinsoku/>
              <w:wordWrap/>
              <w:overflowPunct/>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洗车平台沉淀池底泥：经吸污车集中收集后填坑铺路</w:t>
            </w:r>
          </w:p>
        </w:tc>
        <w:tc>
          <w:tcPr>
            <w:tcW w:w="852" w:type="dxa"/>
            <w:vAlign w:val="center"/>
          </w:tcPr>
          <w:p>
            <w:pPr>
              <w:pStyle w:val="45"/>
              <w:keepNext w:val="0"/>
              <w:keepLines w:val="0"/>
              <w:pageBreakBefore w:val="0"/>
              <w:widowControl w:val="0"/>
              <w:kinsoku/>
              <w:wordWrap/>
              <w:overflowPunct/>
              <w:topLinePunct w:val="0"/>
              <w:autoSpaceDE/>
              <w:autoSpaceDN/>
              <w:bidi w:val="0"/>
              <w:adjustRightInd w:val="0"/>
              <w:spacing w:line="440" w:lineRule="exact"/>
              <w:ind w:firstLine="0"/>
              <w:jc w:val="center"/>
              <w:textAlignment w:val="baseline"/>
              <w:rPr>
                <w:rFonts w:hint="eastAsia" w:eastAsiaTheme="minorEastAsia"/>
                <w:color w:val="000000" w:themeColor="text1"/>
                <w:kern w:val="2"/>
                <w:sz w:val="21"/>
                <w:szCs w:val="21"/>
                <w:vertAlign w:val="baseline"/>
                <w:lang w:val="en-US" w:eastAsia="zh-CN"/>
                <w14:textFill>
                  <w14:solidFill>
                    <w14:schemeClr w14:val="tx1"/>
                  </w14:solidFill>
                </w14:textFill>
              </w:rPr>
            </w:pPr>
            <w:r>
              <w:rPr>
                <w:rFonts w:hint="eastAsia" w:eastAsiaTheme="minorEastAsia"/>
                <w:color w:val="000000" w:themeColor="text1"/>
                <w:kern w:val="2"/>
                <w:sz w:val="21"/>
                <w:szCs w:val="21"/>
                <w:vertAlign w:val="baseline"/>
                <w:lang w:val="en-US" w:eastAsia="zh-CN"/>
                <w14:textFill>
                  <w14:solidFill>
                    <w14:schemeClr w14:val="tx1"/>
                  </w14:solidFill>
                </w14:textFill>
              </w:rPr>
              <w:t>已落实</w:t>
            </w:r>
          </w:p>
        </w:tc>
      </w:tr>
    </w:tbl>
    <w:p>
      <w:pPr>
        <w:pStyle w:val="45"/>
        <w:spacing w:line="440" w:lineRule="exact"/>
        <w:ind w:firstLine="480" w:firstLineChars="200"/>
        <w:jc w:val="both"/>
        <w:rPr>
          <w:rFonts w:eastAsiaTheme="minorEastAsia"/>
          <w:color w:val="000000" w:themeColor="text1"/>
          <w:kern w:val="2"/>
          <w:sz w:val="24"/>
          <w:szCs w:val="24"/>
          <w14:textFill>
            <w14:solidFill>
              <w14:schemeClr w14:val="tx1"/>
            </w14:solidFill>
          </w14:textFill>
        </w:rPr>
      </w:pPr>
    </w:p>
    <w:p>
      <w:pPr>
        <w:pStyle w:val="45"/>
        <w:spacing w:line="440" w:lineRule="exact"/>
        <w:ind w:firstLine="480" w:firstLineChars="200"/>
        <w:jc w:val="both"/>
        <w:rPr>
          <w:rFonts w:eastAsiaTheme="minorEastAsia"/>
          <w:color w:val="000000" w:themeColor="text1"/>
          <w:kern w:val="2"/>
          <w:sz w:val="24"/>
          <w:szCs w:val="24"/>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14:textFill>
            <w14:solidFill>
              <w14:schemeClr w14:val="tx1"/>
            </w14:solidFill>
          </w14:textFill>
        </w:rPr>
      </w:pPr>
      <w:bookmarkStart w:id="20" w:name="_Toc11236"/>
      <w:r>
        <w:rPr>
          <w:rFonts w:hint="eastAsia" w:ascii="宋体" w:hAnsi="宋体" w:eastAsia="宋体" w:cs="宋体"/>
          <w:color w:val="000000" w:themeColor="text1"/>
          <w14:textFill>
            <w14:solidFill>
              <w14:schemeClr w14:val="tx1"/>
            </w14:solidFill>
          </w14:textFill>
        </w:rPr>
        <w:t>5环境影响报告表主要结论与建议及其审批部门审批决定</w:t>
      </w:r>
      <w:bookmarkEnd w:id="20"/>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lang w:val="en-US" w:eastAsia="zh-CN"/>
          <w14:textFill>
            <w14:solidFill>
              <w14:schemeClr w14:val="tx1"/>
            </w14:solidFill>
          </w14:textFill>
        </w:rPr>
      </w:pPr>
      <w:bookmarkStart w:id="21" w:name="_Toc30033"/>
      <w:r>
        <w:rPr>
          <w:rFonts w:hint="default" w:ascii="Times New Roman" w:hAnsi="Times New Roman" w:eastAsia="宋体" w:cs="Times New Roman"/>
          <w:color w:val="000000" w:themeColor="text1"/>
          <w14:textFill>
            <w14:solidFill>
              <w14:schemeClr w14:val="tx1"/>
            </w14:solidFill>
          </w14:textFill>
        </w:rPr>
        <w:t>5.1结论</w:t>
      </w:r>
      <w:r>
        <w:rPr>
          <w:rFonts w:hint="default" w:ascii="Times New Roman" w:hAnsi="Times New Roman" w:eastAsia="宋体" w:cs="Times New Roman"/>
          <w:color w:val="000000" w:themeColor="text1"/>
          <w:lang w:val="en-US" w:eastAsia="zh-CN"/>
          <w14:textFill>
            <w14:solidFill>
              <w14:schemeClr w14:val="tx1"/>
            </w14:solidFill>
          </w14:textFill>
        </w:rPr>
        <w:t>及建议</w:t>
      </w:r>
      <w:bookmarkEnd w:id="21"/>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5.1.1产业政策符合性和选址合理性分析结论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rPr>
      </w:pPr>
      <w:r>
        <w:rPr>
          <w:rFonts w:hint="default" w:ascii="Times New Roman" w:hAnsi="Times New Roman" w:eastAsia="宋体" w:cs="Times New Roman"/>
          <w:bCs/>
          <w:color w:val="auto"/>
          <w:sz w:val="24"/>
          <w:szCs w:val="24"/>
          <w:lang w:val="en-US" w:eastAsia="zh-CN"/>
        </w:rPr>
        <w:t>本项目位于河北省唐山市路南区唐山矿风井工业广场内部</w:t>
      </w:r>
      <w:r>
        <w:rPr>
          <w:rFonts w:hint="eastAsia"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highlight w:val="none"/>
          <w:lang w:val="en-US" w:eastAsia="zh-CN"/>
        </w:rPr>
        <w:t>不在唐山市生态保护红线范围内，工程建设符合国家产业政策和“三线一单”及环境管控要求。</w:t>
      </w:r>
      <w:r>
        <w:rPr>
          <w:rFonts w:hint="default" w:ascii="Times New Roman" w:hAnsi="Times New Roman" w:eastAsia="宋体" w:cs="Times New Roman"/>
          <w:bCs/>
          <w:color w:val="auto"/>
          <w:sz w:val="24"/>
          <w:szCs w:val="24"/>
          <w:highlight w:val="none"/>
          <w:lang w:val="en-US" w:eastAsia="zh-CN"/>
        </w:rPr>
        <w:t>开滦（集团）有限责任公司唐山矿业分公司块石场封闭工程项目，采取适当的污染防治措施后，污染物可达标排放，满足总量控制要求。只要切实落实工程环保方案，做到“环境保护措施监督检查清单”，从环保角度而言，该项目建设可行</w:t>
      </w:r>
      <w:r>
        <w:rPr>
          <w:rFonts w:hint="eastAsia" w:ascii="Times New Roman" w:hAnsi="Times New Roman" w:eastAsia="宋体" w:cs="Times New Roman"/>
          <w:bCs/>
          <w:color w:val="auto"/>
          <w:sz w:val="24"/>
          <w:szCs w:val="24"/>
          <w:highlight w:val="none"/>
          <w:lang w:val="en-US" w:eastAsia="zh-CN"/>
        </w:rPr>
        <w:t>。</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rPr>
      </w:pPr>
      <w:bookmarkStart w:id="22" w:name="_Toc27377"/>
      <w:r>
        <w:rPr>
          <w:rFonts w:hint="default" w:ascii="Times New Roman" w:hAnsi="Times New Roman" w:eastAsia="宋体" w:cs="Times New Roman"/>
          <w:color w:val="auto"/>
        </w:rPr>
        <w:t>5.2</w:t>
      </w:r>
      <w:r>
        <w:rPr>
          <w:rFonts w:hint="default" w:ascii="Times New Roman" w:hAnsi="Times New Roman" w:eastAsia="宋体" w:cs="Times New Roman"/>
          <w:color w:val="auto"/>
          <w:highlight w:val="none"/>
        </w:rPr>
        <w:t>审批部门审批决定</w:t>
      </w:r>
      <w:bookmarkEnd w:id="2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本项目仅为在露天堆放块石料场原址上进行封闭，同时增加洗车平台，以减少无组织废气排放，因此属于《建设项目环境影响评价分类管理名录》中第100 脱硫、脱硝、除尘、VOCs治理等大气污染治理工程项中全部，因此开滦（集团）有限责任公司唐山矿业分公司委托唐山鼎清环保科技有限公司于2023年1月17日填报完成了《开滦（集团）有限责任公司唐山矿业分公司块石场封闭工程项目环境影响登记表》，备案号：202313020200000002。</w:t>
      </w:r>
    </w:p>
    <w:p>
      <w:pPr>
        <w:pStyle w:val="4"/>
        <w:keepNext/>
        <w:keepLines/>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color w:val="000000" w:themeColor="text1"/>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23" w:name="_Toc25420"/>
      <w:r>
        <w:rPr>
          <w:rFonts w:hint="default" w:ascii="Times New Roman" w:hAnsi="Times New Roman" w:eastAsia="宋体" w:cs="Times New Roman"/>
          <w:color w:val="000000" w:themeColor="text1"/>
          <w14:textFill>
            <w14:solidFill>
              <w14:schemeClr w14:val="tx1"/>
            </w14:solidFill>
          </w14:textFill>
        </w:rPr>
        <w:t>5.3审批意见落实情况</w:t>
      </w:r>
      <w:bookmarkEnd w:id="2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登记表</w:t>
      </w:r>
      <w:r>
        <w:rPr>
          <w:rFonts w:hint="default" w:ascii="Times New Roman" w:hAnsi="Times New Roman" w:eastAsia="宋体" w:cs="Times New Roman"/>
          <w:color w:val="000000" w:themeColor="text1"/>
          <w:sz w:val="24"/>
          <w:szCs w:val="24"/>
          <w14:textFill>
            <w14:solidFill>
              <w14:schemeClr w14:val="tx1"/>
            </w14:solidFill>
          </w14:textFill>
        </w:rPr>
        <w:t>落实情况详见表5-1。</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表5-1</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登记表</w:t>
      </w:r>
      <w:r>
        <w:rPr>
          <w:rFonts w:hint="default" w:ascii="Times New Roman" w:hAnsi="Times New Roman" w:eastAsia="宋体" w:cs="Times New Roman"/>
          <w:b/>
          <w:color w:val="000000" w:themeColor="text1"/>
          <w:sz w:val="24"/>
          <w:szCs w:val="24"/>
          <w14:textFill>
            <w14:solidFill>
              <w14:schemeClr w14:val="tx1"/>
            </w14:solidFill>
          </w14:textFill>
        </w:rPr>
        <w:t>落实情况</w:t>
      </w:r>
    </w:p>
    <w:tbl>
      <w:tblPr>
        <w:tblStyle w:val="32"/>
        <w:tblW w:w="8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8"/>
        <w:gridCol w:w="3356"/>
        <w:gridCol w:w="3377"/>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2" w:hRule="atLeast"/>
          <w:tblHeader/>
          <w:jc w:val="center"/>
        </w:trPr>
        <w:tc>
          <w:tcPr>
            <w:tcW w:w="42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spacing w:val="-10"/>
                <w:sz w:val="21"/>
                <w:szCs w:val="21"/>
              </w:rPr>
            </w:pPr>
            <w:r>
              <w:rPr>
                <w:rFonts w:hint="default" w:ascii="Times New Roman" w:hAnsi="Times New Roman" w:eastAsia="宋体" w:cs="Times New Roman"/>
                <w:b/>
                <w:spacing w:val="-10"/>
                <w:sz w:val="21"/>
                <w:szCs w:val="21"/>
              </w:rPr>
              <w:t>序号</w:t>
            </w:r>
          </w:p>
        </w:tc>
        <w:tc>
          <w:tcPr>
            <w:tcW w:w="3356"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spacing w:val="-10"/>
                <w:sz w:val="21"/>
                <w:szCs w:val="21"/>
              </w:rPr>
            </w:pPr>
            <w:r>
              <w:rPr>
                <w:rFonts w:hint="default" w:ascii="Times New Roman" w:hAnsi="Times New Roman" w:eastAsia="宋体" w:cs="Times New Roman"/>
                <w:b/>
                <w:spacing w:val="-10"/>
                <w:sz w:val="21"/>
                <w:szCs w:val="21"/>
              </w:rPr>
              <w:t>审批意见内容</w:t>
            </w:r>
          </w:p>
        </w:tc>
        <w:tc>
          <w:tcPr>
            <w:tcW w:w="33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spacing w:val="-10"/>
                <w:kern w:val="2"/>
                <w:sz w:val="21"/>
                <w:szCs w:val="21"/>
                <w:lang w:val="en-US" w:eastAsia="zh-CN" w:bidi="ar-SA"/>
              </w:rPr>
            </w:pPr>
            <w:r>
              <w:rPr>
                <w:rFonts w:hint="default" w:ascii="Times New Roman" w:hAnsi="Times New Roman" w:eastAsia="宋体" w:cs="Times New Roman"/>
                <w:b/>
                <w:bCs/>
                <w:color w:val="000000" w:themeColor="text1"/>
                <w:spacing w:val="0"/>
                <w:sz w:val="21"/>
                <w:szCs w:val="21"/>
                <w:lang w:val="en-US" w:eastAsia="zh-CN"/>
                <w14:textFill>
                  <w14:solidFill>
                    <w14:schemeClr w14:val="tx1"/>
                  </w14:solidFill>
                </w14:textFill>
              </w:rPr>
              <w:t>实际建设内容</w:t>
            </w:r>
          </w:p>
        </w:tc>
        <w:tc>
          <w:tcPr>
            <w:tcW w:w="102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spacing w:val="-10"/>
                <w:sz w:val="21"/>
                <w:szCs w:val="21"/>
              </w:rPr>
            </w:pPr>
            <w:r>
              <w:rPr>
                <w:rFonts w:hint="default" w:ascii="Times New Roman" w:hAnsi="Times New Roman" w:eastAsia="宋体" w:cs="Times New Roman"/>
                <w:b/>
                <w:spacing w:val="-10"/>
                <w:sz w:val="21"/>
                <w:szCs w:val="21"/>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2" w:hRule="atLeast"/>
          <w:jc w:val="center"/>
        </w:trPr>
        <w:tc>
          <w:tcPr>
            <w:tcW w:w="42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1</w:t>
            </w:r>
          </w:p>
        </w:tc>
        <w:tc>
          <w:tcPr>
            <w:tcW w:w="3356"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rPr>
              <w:t>建设单位：</w:t>
            </w:r>
            <w:r>
              <w:rPr>
                <w:rFonts w:hint="eastAsia" w:ascii="Times New Roman" w:hAnsi="Times New Roman" w:eastAsia="宋体" w:cs="Times New Roman"/>
                <w:bCs/>
                <w:sz w:val="21"/>
                <w:szCs w:val="21"/>
                <w:lang w:val="en-US" w:eastAsia="zh-CN"/>
              </w:rPr>
              <w:t>开滦（集团）有限责任公</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司唐山矿业分公司</w:t>
            </w:r>
          </w:p>
        </w:tc>
        <w:tc>
          <w:tcPr>
            <w:tcW w:w="3377"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bCs/>
                <w:sz w:val="21"/>
                <w:szCs w:val="21"/>
              </w:rPr>
            </w:pPr>
            <w:r>
              <w:rPr>
                <w:rFonts w:hint="default" w:ascii="Times New Roman" w:hAnsi="Times New Roman" w:eastAsia="宋体" w:cs="Times New Roman"/>
                <w:bCs/>
                <w:sz w:val="21"/>
                <w:szCs w:val="21"/>
              </w:rPr>
              <w:t>建设单位：</w:t>
            </w:r>
            <w:r>
              <w:rPr>
                <w:rFonts w:hint="eastAsia" w:ascii="Times New Roman" w:hAnsi="Times New Roman" w:eastAsia="宋体" w:cs="Times New Roman"/>
                <w:bCs/>
                <w:sz w:val="21"/>
                <w:szCs w:val="21"/>
              </w:rPr>
              <w:t>开滦（集团）有限责任公</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sz w:val="21"/>
                <w:szCs w:val="21"/>
              </w:rPr>
              <w:t>司唐山矿业分公司</w:t>
            </w:r>
          </w:p>
        </w:tc>
        <w:tc>
          <w:tcPr>
            <w:tcW w:w="102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建设单位不变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42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2</w:t>
            </w:r>
          </w:p>
        </w:tc>
        <w:tc>
          <w:tcPr>
            <w:tcW w:w="3356"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bCs/>
                <w:sz w:val="21"/>
                <w:szCs w:val="21"/>
              </w:rPr>
            </w:pPr>
            <w:r>
              <w:rPr>
                <w:rFonts w:hint="default" w:ascii="Times New Roman" w:hAnsi="Times New Roman" w:eastAsia="宋体" w:cs="Times New Roman"/>
                <w:bCs/>
                <w:sz w:val="21"/>
                <w:szCs w:val="21"/>
              </w:rPr>
              <w:t>建设地点：</w:t>
            </w:r>
            <w:r>
              <w:rPr>
                <w:rFonts w:hint="eastAsia" w:ascii="Times New Roman" w:hAnsi="Times New Roman" w:eastAsia="宋体" w:cs="Times New Roman"/>
                <w:bCs/>
                <w:sz w:val="21"/>
                <w:szCs w:val="21"/>
              </w:rPr>
              <w:t>河北省唐山市路南区唐山</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rPr>
            </w:pPr>
            <w:r>
              <w:rPr>
                <w:rFonts w:hint="eastAsia" w:ascii="Times New Roman" w:hAnsi="Times New Roman" w:eastAsia="宋体" w:cs="Times New Roman"/>
                <w:bCs/>
                <w:sz w:val="21"/>
                <w:szCs w:val="21"/>
              </w:rPr>
              <w:t>矿风井工业广场内部</w:t>
            </w:r>
          </w:p>
        </w:tc>
        <w:tc>
          <w:tcPr>
            <w:tcW w:w="3377"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bCs/>
                <w:sz w:val="21"/>
                <w:szCs w:val="21"/>
              </w:rPr>
            </w:pPr>
            <w:r>
              <w:rPr>
                <w:rFonts w:hint="default" w:ascii="Times New Roman" w:hAnsi="Times New Roman" w:eastAsia="宋体" w:cs="Times New Roman"/>
                <w:bCs/>
                <w:sz w:val="21"/>
                <w:szCs w:val="21"/>
              </w:rPr>
              <w:t>建设地点：</w:t>
            </w:r>
            <w:r>
              <w:rPr>
                <w:rFonts w:hint="eastAsia" w:ascii="Times New Roman" w:hAnsi="Times New Roman" w:eastAsia="宋体" w:cs="Times New Roman"/>
                <w:bCs/>
                <w:sz w:val="21"/>
                <w:szCs w:val="21"/>
              </w:rPr>
              <w:t>河北省唐山市路南区唐山</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sz w:val="21"/>
                <w:szCs w:val="21"/>
              </w:rPr>
              <w:t>矿风井工业广场内部</w:t>
            </w:r>
          </w:p>
        </w:tc>
        <w:tc>
          <w:tcPr>
            <w:tcW w:w="102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建设地点不变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2" w:hRule="atLeast"/>
          <w:jc w:val="center"/>
        </w:trPr>
        <w:tc>
          <w:tcPr>
            <w:tcW w:w="42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3</w:t>
            </w:r>
          </w:p>
        </w:tc>
        <w:tc>
          <w:tcPr>
            <w:tcW w:w="3356"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rPr>
              <w:t>项目总投资</w:t>
            </w:r>
            <w:r>
              <w:rPr>
                <w:rFonts w:hint="eastAsia" w:ascii="Times New Roman" w:hAnsi="Times New Roman" w:eastAsia="宋体" w:cs="Times New Roman"/>
                <w:bCs/>
                <w:sz w:val="21"/>
                <w:szCs w:val="21"/>
                <w:lang w:val="en-US" w:eastAsia="zh-CN"/>
              </w:rPr>
              <w:t>453.19</w:t>
            </w:r>
            <w:r>
              <w:rPr>
                <w:rFonts w:hint="default" w:ascii="Times New Roman" w:hAnsi="Times New Roman" w:eastAsia="宋体" w:cs="Times New Roman"/>
                <w:bCs/>
                <w:sz w:val="21"/>
                <w:szCs w:val="21"/>
              </w:rPr>
              <w:t>万元，</w:t>
            </w:r>
            <w:r>
              <w:rPr>
                <w:rFonts w:hint="eastAsia" w:ascii="Times New Roman" w:hAnsi="Times New Roman" w:eastAsia="宋体" w:cs="Times New Roman"/>
                <w:bCs/>
                <w:sz w:val="21"/>
                <w:szCs w:val="21"/>
                <w:lang w:val="en-US" w:eastAsia="zh-CN"/>
              </w:rPr>
              <w:t>占地2493.68平方米</w:t>
            </w:r>
          </w:p>
        </w:tc>
        <w:tc>
          <w:tcPr>
            <w:tcW w:w="3377"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项目总投资453.19万元，占地</w:t>
            </w:r>
            <w:r>
              <w:rPr>
                <w:rFonts w:hint="eastAsia" w:ascii="Times New Roman" w:hAnsi="Times New Roman" w:eastAsia="宋体" w:cs="Times New Roman"/>
                <w:bCs/>
                <w:color w:val="auto"/>
                <w:sz w:val="21"/>
                <w:szCs w:val="21"/>
                <w:lang w:val="en-US" w:eastAsia="zh-CN"/>
              </w:rPr>
              <w:t>1924.53</w:t>
            </w:r>
            <w:r>
              <w:rPr>
                <w:rFonts w:hint="default" w:ascii="Times New Roman" w:hAnsi="Times New Roman" w:eastAsia="宋体" w:cs="Times New Roman"/>
                <w:bCs/>
                <w:sz w:val="21"/>
                <w:szCs w:val="21"/>
              </w:rPr>
              <w:t>平方米</w:t>
            </w:r>
          </w:p>
        </w:tc>
        <w:tc>
          <w:tcPr>
            <w:tcW w:w="102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rPr>
            </w:pPr>
            <w:r>
              <w:rPr>
                <w:rFonts w:hint="eastAsia" w:ascii="Times New Roman" w:hAnsi="Times New Roman" w:eastAsia="宋体" w:cs="Times New Roman"/>
                <w:bCs/>
                <w:color w:val="auto"/>
                <w:sz w:val="21"/>
                <w:szCs w:val="21"/>
                <w:lang w:val="en-US" w:eastAsia="zh-CN"/>
              </w:rPr>
              <w:t>有变动</w:t>
            </w:r>
            <w:r>
              <w:rPr>
                <w:rFonts w:hint="eastAsia" w:ascii="Times New Roman" w:hAnsi="Times New Roman" w:eastAsia="宋体" w:cs="Times New Roman"/>
                <w:bCs/>
                <w:color w:val="auto"/>
                <w:sz w:val="21"/>
                <w:szCs w:val="21"/>
                <w:lang w:eastAsia="zh-CN"/>
              </w:rPr>
              <w:t>，</w:t>
            </w:r>
            <w:r>
              <w:rPr>
                <w:rFonts w:hint="default" w:ascii="Times New Roman" w:hAnsi="Times New Roman" w:eastAsia="宋体" w:cs="Times New Roman"/>
                <w:bCs/>
                <w:color w:val="auto"/>
                <w:sz w:val="21"/>
                <w:szCs w:val="21"/>
              </w:rPr>
              <w:t>实际建设封闭料棚与洗车平台合计占地面积为1924.53m</w:t>
            </w:r>
            <w:r>
              <w:rPr>
                <w:rFonts w:hint="default" w:ascii="Times New Roman" w:hAnsi="Times New Roman" w:eastAsia="宋体" w:cs="Times New Roman"/>
                <w:bCs/>
                <w:color w:val="auto"/>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17" w:hRule="atLeast"/>
          <w:jc w:val="center"/>
        </w:trPr>
        <w:tc>
          <w:tcPr>
            <w:tcW w:w="42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4</w:t>
            </w:r>
          </w:p>
        </w:tc>
        <w:tc>
          <w:tcPr>
            <w:tcW w:w="3356"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废气：</w:t>
            </w:r>
            <w:r>
              <w:rPr>
                <w:rFonts w:hint="eastAsia" w:ascii="Times New Roman" w:hAnsi="Times New Roman" w:eastAsia="宋体" w:cs="Times New Roman"/>
                <w:bCs/>
                <w:sz w:val="21"/>
                <w:szCs w:val="21"/>
                <w:lang w:eastAsia="zh-CN"/>
              </w:rPr>
              <w:t>煤矸石落料废气、煤矸石装卸、存储废气采取经料棚封闭</w:t>
            </w:r>
            <w:r>
              <w:rPr>
                <w:rFonts w:hint="eastAsia" w:ascii="Times New Roman" w:hAnsi="Times New Roman" w:eastAsia="宋体" w:cs="Times New Roman"/>
                <w:bCs/>
                <w:sz w:val="21"/>
                <w:szCs w:val="21"/>
                <w:lang w:val="en-US" w:eastAsia="zh-CN"/>
              </w:rPr>
              <w:t>+</w:t>
            </w:r>
            <w:r>
              <w:rPr>
                <w:rFonts w:hint="eastAsia" w:ascii="Times New Roman" w:hAnsi="Times New Roman" w:eastAsia="宋体" w:cs="Times New Roman"/>
                <w:bCs/>
                <w:sz w:val="21"/>
                <w:szCs w:val="21"/>
                <w:lang w:eastAsia="zh-CN"/>
              </w:rPr>
              <w:t>高压微雾降尘措施后通过无组织的形式排放至大气环境；</w:t>
            </w:r>
            <w:r>
              <w:rPr>
                <w:rFonts w:hint="eastAsia" w:ascii="Times New Roman" w:hAnsi="Times New Roman" w:eastAsia="宋体" w:cs="Times New Roman"/>
                <w:bCs/>
                <w:sz w:val="21"/>
                <w:szCs w:val="21"/>
                <w:lang w:val="en-US" w:eastAsia="zh-CN"/>
              </w:rPr>
              <w:t>新增洗车平台</w:t>
            </w:r>
          </w:p>
        </w:tc>
        <w:tc>
          <w:tcPr>
            <w:tcW w:w="3377"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sz w:val="21"/>
                <w:szCs w:val="21"/>
                <w:lang w:eastAsia="zh-CN"/>
              </w:rPr>
              <w:t>废气：煤矸石落料废气、煤矸石装卸、存储废气采取经料棚封闭</w:t>
            </w:r>
            <w:r>
              <w:rPr>
                <w:rFonts w:hint="eastAsia" w:ascii="Times New Roman" w:hAnsi="Times New Roman" w:eastAsia="宋体" w:cs="Times New Roman"/>
                <w:bCs/>
                <w:sz w:val="21"/>
                <w:szCs w:val="21"/>
                <w:lang w:val="en-US" w:eastAsia="zh-CN"/>
              </w:rPr>
              <w:t>+</w:t>
            </w:r>
            <w:r>
              <w:rPr>
                <w:rFonts w:hint="eastAsia" w:ascii="Times New Roman" w:hAnsi="Times New Roman" w:eastAsia="宋体" w:cs="Times New Roman"/>
                <w:bCs/>
                <w:sz w:val="21"/>
                <w:szCs w:val="21"/>
                <w:lang w:eastAsia="zh-CN"/>
              </w:rPr>
              <w:t>高压微雾降尘措施后通过无组织的形式排放至大气环境；</w:t>
            </w:r>
            <w:r>
              <w:rPr>
                <w:rFonts w:hint="eastAsia" w:ascii="Times New Roman" w:hAnsi="Times New Roman" w:eastAsia="宋体" w:cs="Times New Roman"/>
                <w:bCs/>
                <w:sz w:val="21"/>
                <w:szCs w:val="21"/>
                <w:lang w:val="en-US" w:eastAsia="zh-CN"/>
              </w:rPr>
              <w:t>新增</w:t>
            </w:r>
            <w:r>
              <w:rPr>
                <w:rFonts w:hint="eastAsia" w:ascii="Times New Roman" w:hAnsi="Times New Roman" w:eastAsia="宋体" w:cs="Times New Roman"/>
                <w:bCs/>
                <w:sz w:val="21"/>
                <w:szCs w:val="21"/>
                <w:lang w:eastAsia="zh-CN"/>
              </w:rPr>
              <w:t>洗车平台</w:t>
            </w:r>
          </w:p>
        </w:tc>
        <w:tc>
          <w:tcPr>
            <w:tcW w:w="102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2" w:hRule="atLeast"/>
          <w:jc w:val="center"/>
        </w:trPr>
        <w:tc>
          <w:tcPr>
            <w:tcW w:w="42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5</w:t>
            </w:r>
          </w:p>
        </w:tc>
        <w:tc>
          <w:tcPr>
            <w:tcW w:w="3356"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固废：洗车平台沉淀池底泥：经吸污车集中收集后填坑铺路</w:t>
            </w:r>
          </w:p>
        </w:tc>
        <w:tc>
          <w:tcPr>
            <w:tcW w:w="3377"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固废：洗车平台沉淀池底泥：经吸污车集中收集后填坑铺路</w:t>
            </w:r>
          </w:p>
        </w:tc>
        <w:tc>
          <w:tcPr>
            <w:tcW w:w="102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42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6</w:t>
            </w:r>
          </w:p>
        </w:tc>
        <w:tc>
          <w:tcPr>
            <w:tcW w:w="3356"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噪声：经选用低噪声设备，料棚封闭等措施进行综合降噪</w:t>
            </w:r>
          </w:p>
        </w:tc>
        <w:tc>
          <w:tcPr>
            <w:tcW w:w="3377"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color w:val="auto"/>
                <w:sz w:val="21"/>
                <w:szCs w:val="21"/>
                <w:lang w:val="en-US" w:eastAsia="zh-CN"/>
              </w:rPr>
              <w:t>本项目未增加产噪设备，且对原有露天块石料场进行封闭，可有效降低装卸噪声。</w:t>
            </w:r>
          </w:p>
        </w:tc>
        <w:tc>
          <w:tcPr>
            <w:tcW w:w="102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已落实</w:t>
            </w:r>
          </w:p>
        </w:tc>
      </w:tr>
    </w:tbl>
    <w:p>
      <w:pPr>
        <w:pStyle w:val="7"/>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0"/>
        <w:rPr>
          <w:rFonts w:hint="eastAsia" w:ascii="宋体" w:hAnsi="宋体" w:eastAsia="宋体" w:cs="宋体"/>
          <w:color w:val="000000" w:themeColor="text1"/>
          <w:sz w:val="30"/>
          <w:szCs w:val="30"/>
          <w14:textFill>
            <w14:solidFill>
              <w14:schemeClr w14:val="tx1"/>
            </w14:solidFill>
          </w14:textFill>
        </w:rPr>
      </w:pPr>
      <w:bookmarkStart w:id="24" w:name="_Toc519846606"/>
      <w:bookmarkStart w:id="25" w:name="_Toc16826"/>
      <w:r>
        <w:rPr>
          <w:rFonts w:hint="eastAsia" w:ascii="宋体" w:hAnsi="宋体" w:eastAsia="宋体" w:cs="宋体"/>
          <w:b/>
          <w:bCs/>
          <w:color w:val="000000" w:themeColor="text1"/>
          <w:sz w:val="30"/>
          <w:szCs w:val="30"/>
          <w14:textFill>
            <w14:solidFill>
              <w14:schemeClr w14:val="tx1"/>
            </w14:solidFill>
          </w14:textFill>
        </w:rPr>
        <w:t>6</w:t>
      </w:r>
      <w:r>
        <w:rPr>
          <w:rFonts w:hint="eastAsia" w:ascii="宋体" w:hAnsi="宋体" w:eastAsia="宋体" w:cs="宋体"/>
          <w:b/>
          <w:bCs/>
          <w:color w:val="000000" w:themeColor="text1"/>
          <w:sz w:val="30"/>
          <w:szCs w:val="30"/>
          <w:highlight w:val="none"/>
          <w14:textFill>
            <w14:solidFill>
              <w14:schemeClr w14:val="tx1"/>
            </w14:solidFill>
          </w14:textFill>
        </w:rPr>
        <w:t>污染物排放标准</w:t>
      </w:r>
      <w:bookmarkEnd w:id="24"/>
      <w:bookmarkEnd w:id="25"/>
    </w:p>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000000" w:themeColor="text1"/>
          <w14:textFill>
            <w14:solidFill>
              <w14:schemeClr w14:val="tx1"/>
            </w14:solidFill>
          </w14:textFill>
        </w:rPr>
      </w:pPr>
      <w:bookmarkStart w:id="26" w:name="_Toc5730"/>
      <w:r>
        <w:rPr>
          <w:rFonts w:hint="default" w:ascii="Times New Roman" w:hAnsi="Times New Roman" w:eastAsia="宋体" w:cs="Times New Roman"/>
          <w:color w:val="000000" w:themeColor="text1"/>
          <w14:textFill>
            <w14:solidFill>
              <w14:schemeClr w14:val="tx1"/>
            </w14:solidFill>
          </w14:textFill>
        </w:rPr>
        <w:t>6.1废水</w:t>
      </w:r>
      <w:bookmarkEnd w:id="26"/>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Theme="minorEastAsia"/>
          <w:color w:val="000000" w:themeColor="text1"/>
          <w:sz w:val="24"/>
          <w:szCs w:val="24"/>
          <w:lang w:val="en-US" w:eastAsia="zh-CN"/>
          <w14:textFill>
            <w14:solidFill>
              <w14:schemeClr w14:val="tx1"/>
            </w14:solidFill>
          </w14:textFill>
        </w:rPr>
      </w:pPr>
      <w:r>
        <w:rPr>
          <w:rFonts w:hint="eastAsia"/>
          <w:lang w:val="en-US" w:eastAsia="zh-CN"/>
        </w:rPr>
        <w:t xml:space="preserve">    </w:t>
      </w:r>
      <w:r>
        <w:rPr>
          <w:rFonts w:hint="eastAsia" w:ascii="Times New Roman" w:hAnsi="Times New Roman" w:eastAsiaTheme="minorEastAsia"/>
          <w:color w:val="000000" w:themeColor="text1"/>
          <w:sz w:val="24"/>
          <w:szCs w:val="24"/>
          <w:lang w:val="en-US" w:eastAsia="zh-CN"/>
          <w14:textFill>
            <w14:solidFill>
              <w14:schemeClr w14:val="tx1"/>
            </w14:solidFill>
          </w14:textFill>
        </w:rPr>
        <w:t>本项目无生产、生活废水外排。</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000000" w:themeColor="text1"/>
          <w14:textFill>
            <w14:solidFill>
              <w14:schemeClr w14:val="tx1"/>
            </w14:solidFill>
          </w14:textFill>
        </w:rPr>
      </w:pPr>
      <w:bookmarkStart w:id="27" w:name="_Toc13633"/>
      <w:r>
        <w:rPr>
          <w:rFonts w:hint="eastAsia" w:eastAsia="宋体" w:cs="Times New Roman"/>
          <w:color w:val="000000" w:themeColor="text1"/>
          <w:lang w:val="en-US" w:eastAsia="zh-CN"/>
          <w14:textFill>
            <w14:solidFill>
              <w14:schemeClr w14:val="tx1"/>
            </w14:solidFill>
          </w14:textFill>
        </w:rPr>
        <w:t>6.2</w:t>
      </w:r>
      <w:r>
        <w:rPr>
          <w:rFonts w:hint="eastAsia" w:ascii="Times New Roman" w:hAnsi="Times New Roman" w:eastAsia="宋体" w:cs="Times New Roman"/>
          <w:color w:val="000000" w:themeColor="text1"/>
          <w14:textFill>
            <w14:solidFill>
              <w14:schemeClr w14:val="tx1"/>
            </w14:solidFill>
          </w14:textFill>
        </w:rPr>
        <w:t>废气</w:t>
      </w:r>
      <w:bookmarkEnd w:id="27"/>
    </w:p>
    <w:p>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本项目无组废气的排放执行《煤炭工业污染物排放标准》（GB20426-2006）表5中煤炭贮存场所、煤矸石堆置场颗粒物无组织排放限值：1.0mg/m</w:t>
      </w:r>
      <w:r>
        <w:rPr>
          <w:rFonts w:hint="eastAsia" w:ascii="Times New Roman" w:hAnsi="Times New Roman" w:eastAsia="宋体" w:cs="Times New Roman"/>
          <w:color w:val="auto"/>
          <w:sz w:val="24"/>
          <w:szCs w:val="24"/>
          <w:vertAlign w:val="superscript"/>
          <w:lang w:val="en-US" w:eastAsia="zh-CN"/>
        </w:rPr>
        <w:t>3</w:t>
      </w:r>
      <w:r>
        <w:rPr>
          <w:rFonts w:hint="eastAsia" w:ascii="Times New Roman" w:hAnsi="Times New Roman" w:eastAsia="宋体" w:cs="Times New Roman"/>
          <w:color w:val="auto"/>
          <w:sz w:val="24"/>
          <w:szCs w:val="24"/>
          <w:lang w:val="en-US" w:eastAsia="zh-CN"/>
        </w:rPr>
        <w:t>（周界外质量浓度最高点）的要求。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表6-</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b/>
          <w:color w:val="000000" w:themeColor="text1"/>
          <w:sz w:val="24"/>
          <w:szCs w:val="24"/>
          <w14:textFill>
            <w14:solidFill>
              <w14:schemeClr w14:val="tx1"/>
            </w14:solidFill>
          </w14:textFill>
        </w:rPr>
        <w:t>废气污染物排放限值表</w:t>
      </w:r>
    </w:p>
    <w:tbl>
      <w:tblPr>
        <w:tblStyle w:val="32"/>
        <w:tblW w:w="7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4"/>
        <w:gridCol w:w="1024"/>
        <w:gridCol w:w="850"/>
        <w:gridCol w:w="1134"/>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102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val="0"/>
                <w:sz w:val="21"/>
                <w:szCs w:val="21"/>
                <w:lang w:val="en-US" w:eastAsia="zh-CN"/>
              </w:rPr>
            </w:pPr>
            <w:r>
              <w:rPr>
                <w:rFonts w:hint="eastAsia" w:ascii="Times New Roman" w:hAnsi="Times New Roman" w:eastAsia="宋体" w:cs="Times New Roman"/>
                <w:bCs w:val="0"/>
                <w:sz w:val="21"/>
                <w:szCs w:val="21"/>
                <w:lang w:val="en-US" w:eastAsia="zh-CN"/>
              </w:rPr>
              <w:t>类别</w:t>
            </w:r>
          </w:p>
        </w:tc>
        <w:tc>
          <w:tcPr>
            <w:tcW w:w="102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Cs w:val="0"/>
                <w:kern w:val="0"/>
                <w:sz w:val="21"/>
                <w:szCs w:val="21"/>
                <w:lang w:eastAsia="zh-CN"/>
              </w:rPr>
            </w:pPr>
            <w:r>
              <w:rPr>
                <w:rFonts w:hint="eastAsia" w:ascii="Times New Roman" w:hAnsi="Times New Roman" w:eastAsia="宋体" w:cs="Times New Roman"/>
                <w:bCs w:val="0"/>
                <w:sz w:val="21"/>
                <w:szCs w:val="21"/>
                <w:lang w:val="en-US" w:eastAsia="zh-CN"/>
              </w:rPr>
              <w:t>污染源</w:t>
            </w:r>
          </w:p>
        </w:tc>
        <w:tc>
          <w:tcPr>
            <w:tcW w:w="85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val="0"/>
                <w:kern w:val="0"/>
                <w:sz w:val="21"/>
                <w:szCs w:val="21"/>
              </w:rPr>
            </w:pPr>
            <w:r>
              <w:rPr>
                <w:rFonts w:hint="default" w:ascii="Times New Roman" w:hAnsi="Times New Roman" w:eastAsia="宋体" w:cs="Times New Roman"/>
                <w:bCs w:val="0"/>
                <w:kern w:val="0"/>
                <w:sz w:val="21"/>
                <w:szCs w:val="21"/>
              </w:rPr>
              <w:t>污染物</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Cs w:val="0"/>
                <w:kern w:val="0"/>
                <w:sz w:val="21"/>
                <w:szCs w:val="21"/>
                <w:lang w:eastAsia="zh-CN"/>
              </w:rPr>
            </w:pPr>
            <w:r>
              <w:rPr>
                <w:rFonts w:hint="eastAsia" w:ascii="Times New Roman" w:hAnsi="Times New Roman" w:eastAsia="宋体" w:cs="Times New Roman"/>
                <w:bCs w:val="0"/>
                <w:kern w:val="0"/>
                <w:sz w:val="21"/>
                <w:szCs w:val="21"/>
                <w:lang w:val="en-US" w:eastAsia="zh-CN"/>
              </w:rPr>
              <w:t>标准值</w:t>
            </w:r>
          </w:p>
        </w:tc>
        <w:tc>
          <w:tcPr>
            <w:tcW w:w="393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val="0"/>
                <w:kern w:val="0"/>
                <w:sz w:val="21"/>
                <w:szCs w:val="21"/>
                <w:lang w:val="en-US" w:eastAsia="zh-CN"/>
              </w:rPr>
            </w:pPr>
            <w:r>
              <w:rPr>
                <w:rFonts w:hint="eastAsia" w:ascii="Times New Roman" w:hAnsi="Times New Roman" w:eastAsia="宋体" w:cs="Times New Roman"/>
                <w:bCs w:val="0"/>
                <w:kern w:val="0"/>
                <w:sz w:val="21"/>
                <w:szCs w:val="21"/>
                <w:lang w:val="en-US" w:eastAsia="zh-CN"/>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atLeast"/>
          <w:jc w:val="center"/>
        </w:trPr>
        <w:tc>
          <w:tcPr>
            <w:tcW w:w="1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val="0"/>
                <w:kern w:val="0"/>
                <w:sz w:val="21"/>
                <w:szCs w:val="21"/>
                <w:lang w:val="en-US" w:eastAsia="zh-CN"/>
              </w:rPr>
            </w:pPr>
            <w:r>
              <w:rPr>
                <w:rFonts w:hint="eastAsia" w:ascii="Times New Roman" w:hAnsi="Times New Roman" w:eastAsia="宋体" w:cs="Times New Roman"/>
                <w:bCs w:val="0"/>
                <w:kern w:val="0"/>
                <w:sz w:val="21"/>
                <w:szCs w:val="21"/>
                <w:lang w:val="en-US" w:eastAsia="zh-CN"/>
              </w:rPr>
              <w:t>无组织废气</w:t>
            </w:r>
          </w:p>
        </w:tc>
        <w:tc>
          <w:tcPr>
            <w:tcW w:w="1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Cs w:val="0"/>
                <w:kern w:val="0"/>
                <w:sz w:val="21"/>
                <w:szCs w:val="21"/>
                <w:lang w:val="en-US" w:eastAsia="zh-CN"/>
              </w:rPr>
            </w:pPr>
            <w:r>
              <w:rPr>
                <w:rFonts w:hint="eastAsia" w:ascii="Times New Roman" w:hAnsi="Times New Roman" w:eastAsia="宋体" w:cs="Times New Roman"/>
                <w:bCs w:val="0"/>
                <w:kern w:val="0"/>
                <w:sz w:val="21"/>
                <w:szCs w:val="21"/>
                <w:lang w:val="en-US" w:eastAsia="zh-CN"/>
              </w:rPr>
              <w:t>煤矸石落料废气、煤矸石装卸、存储废气</w:t>
            </w:r>
          </w:p>
        </w:tc>
        <w:tc>
          <w:tcPr>
            <w:tcW w:w="85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val="0"/>
                <w:sz w:val="21"/>
                <w:szCs w:val="21"/>
              </w:rPr>
            </w:pPr>
            <w:r>
              <w:rPr>
                <w:rFonts w:hint="default" w:ascii="Times New Roman" w:hAnsi="Times New Roman" w:eastAsia="宋体" w:cs="Times New Roman"/>
                <w:bCs w:val="0"/>
                <w:sz w:val="21"/>
                <w:szCs w:val="21"/>
              </w:rPr>
              <w:t>颗粒物</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val="0"/>
                <w:sz w:val="21"/>
                <w:szCs w:val="21"/>
                <w:lang w:val="en-US" w:eastAsia="zh-CN"/>
              </w:rPr>
            </w:pPr>
            <w:r>
              <w:rPr>
                <w:rFonts w:hint="eastAsia" w:ascii="Times New Roman" w:hAnsi="Times New Roman" w:eastAsia="宋体" w:cs="Times New Roman"/>
                <w:bCs w:val="0"/>
                <w:kern w:val="0"/>
                <w:sz w:val="21"/>
                <w:szCs w:val="21"/>
                <w:lang w:val="en-US" w:eastAsia="zh-CN"/>
              </w:rPr>
              <w:t>1.0</w:t>
            </w:r>
            <w:r>
              <w:rPr>
                <w:rFonts w:hint="default" w:ascii="Times New Roman" w:hAnsi="Times New Roman" w:eastAsia="宋体" w:cs="Times New Roman"/>
                <w:bCs w:val="0"/>
                <w:spacing w:val="0"/>
                <w:position w:val="0"/>
                <w:sz w:val="21"/>
                <w:szCs w:val="21"/>
              </w:rPr>
              <w:t>mg/m</w:t>
            </w:r>
            <w:r>
              <w:rPr>
                <w:rFonts w:hint="default" w:ascii="Times New Roman" w:hAnsi="Times New Roman" w:eastAsia="宋体" w:cs="Times New Roman"/>
                <w:bCs w:val="0"/>
                <w:spacing w:val="0"/>
                <w:position w:val="0"/>
                <w:sz w:val="21"/>
                <w:szCs w:val="21"/>
                <w:vertAlign w:val="superscript"/>
              </w:rPr>
              <w:t>3</w:t>
            </w:r>
          </w:p>
        </w:tc>
        <w:tc>
          <w:tcPr>
            <w:tcW w:w="3931" w:type="dxa"/>
            <w:noWrap w:val="0"/>
            <w:vAlign w:val="center"/>
          </w:tcPr>
          <w:p>
            <w:pPr>
              <w:pStyle w:val="2"/>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bCs w:val="0"/>
                <w:sz w:val="21"/>
                <w:szCs w:val="21"/>
                <w:lang w:val="en-US"/>
              </w:rPr>
            </w:pPr>
            <w:r>
              <w:rPr>
                <w:rFonts w:hint="eastAsia" w:ascii="Times New Roman" w:hAnsi="Times New Roman" w:eastAsia="宋体" w:cs="Times New Roman"/>
                <w:bCs w:val="0"/>
                <w:color w:val="auto"/>
                <w:sz w:val="21"/>
                <w:szCs w:val="21"/>
                <w:lang w:val="en-US" w:eastAsia="zh-CN"/>
              </w:rPr>
              <w:t>执行《煤炭工业污染物排放标准》（GB20426-2006）表5中煤炭贮存场所、煤矸石堆置场颗粒物无组织排放限值：1.0mg/m</w:t>
            </w:r>
            <w:r>
              <w:rPr>
                <w:rFonts w:hint="eastAsia" w:ascii="Times New Roman" w:hAnsi="Times New Roman" w:eastAsia="宋体" w:cs="Times New Roman"/>
                <w:bCs w:val="0"/>
                <w:color w:val="auto"/>
                <w:sz w:val="21"/>
                <w:szCs w:val="21"/>
                <w:vertAlign w:val="superscript"/>
                <w:lang w:val="en-US" w:eastAsia="zh-CN"/>
              </w:rPr>
              <w:t>3</w:t>
            </w:r>
            <w:r>
              <w:rPr>
                <w:rFonts w:hint="eastAsia" w:ascii="Times New Roman" w:hAnsi="Times New Roman" w:eastAsia="宋体" w:cs="Times New Roman"/>
                <w:bCs w:val="0"/>
                <w:color w:val="auto"/>
                <w:sz w:val="21"/>
                <w:szCs w:val="21"/>
                <w:lang w:val="en-US" w:eastAsia="zh-CN"/>
              </w:rPr>
              <w:t>（周界外质量浓度最高点）的要求。</w:t>
            </w:r>
          </w:p>
        </w:tc>
      </w:tr>
    </w:tbl>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000000" w:themeColor="text1"/>
          <w14:textFill>
            <w14:solidFill>
              <w14:schemeClr w14:val="tx1"/>
            </w14:solidFill>
          </w14:textFill>
        </w:rPr>
      </w:pPr>
      <w:bookmarkStart w:id="28" w:name="_Toc31761"/>
      <w:r>
        <w:rPr>
          <w:rFonts w:hint="default" w:ascii="Times New Roman" w:hAnsi="Times New Roman" w:eastAsia="宋体" w:cs="Times New Roman"/>
          <w:color w:val="000000" w:themeColor="text1"/>
          <w14:textFill>
            <w14:solidFill>
              <w14:schemeClr w14:val="tx1"/>
            </w14:solidFill>
          </w14:textFill>
        </w:rPr>
        <w:t>6.3噪声</w:t>
      </w:r>
      <w:bookmarkEnd w:id="2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FF0000"/>
        </w:rPr>
      </w:pPr>
      <w:r>
        <w:rPr>
          <w:rFonts w:hint="eastAsia" w:ascii="Times New Roman" w:hAnsi="Times New Roman" w:eastAsia="宋体" w:cs="Times New Roman"/>
          <w:color w:val="auto"/>
          <w:kern w:val="0"/>
          <w:sz w:val="24"/>
          <w:szCs w:val="24"/>
          <w:highlight w:val="none"/>
          <w:lang w:val="en-US" w:eastAsia="zh-CN"/>
        </w:rPr>
        <w:t>由于</w:t>
      </w:r>
      <w:r>
        <w:rPr>
          <w:rFonts w:hint="default" w:ascii="Times New Roman" w:hAnsi="Times New Roman" w:eastAsia="宋体" w:cs="Times New Roman"/>
          <w:color w:val="auto"/>
          <w:sz w:val="24"/>
          <w:szCs w:val="24"/>
          <w:highlight w:val="none"/>
        </w:rPr>
        <w:t>本项目</w:t>
      </w:r>
      <w:r>
        <w:rPr>
          <w:rFonts w:hint="eastAsia" w:ascii="Times New Roman" w:hAnsi="Times New Roman" w:eastAsia="宋体" w:cs="Times New Roman"/>
          <w:color w:val="auto"/>
          <w:sz w:val="24"/>
          <w:szCs w:val="24"/>
          <w:highlight w:val="none"/>
          <w:lang w:val="en-US" w:eastAsia="zh-CN"/>
        </w:rPr>
        <w:t>未增加产噪设备，且对原有露天</w:t>
      </w:r>
      <w:r>
        <w:rPr>
          <w:rFonts w:hint="eastAsia" w:ascii="Times New Roman" w:hAnsi="Times New Roman" w:eastAsia="宋体" w:cs="Times New Roman"/>
          <w:color w:val="auto"/>
          <w:kern w:val="0"/>
          <w:sz w:val="24"/>
          <w:szCs w:val="24"/>
          <w:highlight w:val="none"/>
          <w:lang w:val="en-US" w:eastAsia="zh-CN"/>
        </w:rPr>
        <w:t>块石料场进行封闭，可有效降低装卸噪声。</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000000" w:themeColor="text1"/>
          <w14:textFill>
            <w14:solidFill>
              <w14:schemeClr w14:val="tx1"/>
            </w14:solidFill>
          </w14:textFill>
        </w:rPr>
      </w:pPr>
      <w:bookmarkStart w:id="29" w:name="_Toc3973"/>
      <w:r>
        <w:rPr>
          <w:rFonts w:hint="eastAsia" w:ascii="宋体" w:hAnsi="宋体" w:eastAsia="宋体" w:cs="宋体"/>
          <w:color w:val="000000" w:themeColor="text1"/>
          <w14:textFill>
            <w14:solidFill>
              <w14:schemeClr w14:val="tx1"/>
            </w14:solidFill>
          </w14:textFill>
        </w:rPr>
        <w:t>6.</w:t>
      </w:r>
      <w:r>
        <w:rPr>
          <w:rFonts w:hint="default" w:ascii="Times New Roman" w:hAnsi="Times New Roman" w:eastAsia="宋体" w:cs="Times New Roman"/>
          <w:color w:val="000000" w:themeColor="text1"/>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固体废物</w:t>
      </w:r>
      <w:bookmarkEnd w:id="2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本项目产生固体废物为洗车平台沉淀池底泥：经吸污车集中收集后填坑铺路。</w:t>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highlight w:val="none"/>
          <w14:textFill>
            <w14:solidFill>
              <w14:schemeClr w14:val="tx1"/>
            </w14:solidFill>
          </w14:textFill>
        </w:rPr>
      </w:pPr>
      <w:bookmarkStart w:id="30" w:name="_Toc26352"/>
      <w:r>
        <w:rPr>
          <w:rFonts w:hint="default" w:ascii="Times New Roman" w:hAnsi="Times New Roman" w:eastAsia="宋体" w:cs="Times New Roman"/>
          <w:color w:val="000000" w:themeColor="text1"/>
          <w:highlight w:val="none"/>
          <w14:textFill>
            <w14:solidFill>
              <w14:schemeClr w14:val="tx1"/>
            </w14:solidFill>
          </w14:textFill>
        </w:rPr>
        <w:t>7验收监测内容</w:t>
      </w:r>
      <w:bookmarkEnd w:id="30"/>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1" w:name="_Toc3856"/>
      <w:r>
        <w:rPr>
          <w:rFonts w:hint="default" w:ascii="Times New Roman" w:hAnsi="Times New Roman" w:eastAsia="宋体" w:cs="Times New Roman"/>
          <w:color w:val="000000" w:themeColor="text1"/>
          <w14:textFill>
            <w14:solidFill>
              <w14:schemeClr w14:val="tx1"/>
            </w14:solidFill>
          </w14:textFill>
        </w:rPr>
        <w:t>7.1环境保护设施调试运行效果</w:t>
      </w:r>
      <w:bookmarkEnd w:id="31"/>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7.1.1废水</w:t>
      </w:r>
    </w:p>
    <w:p>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lang w:val="en-US" w:eastAsia="zh-CN"/>
          <w14:textFill>
            <w14:solidFill>
              <w14:schemeClr w14:val="tx1"/>
            </w14:solidFill>
          </w14:textFill>
        </w:rPr>
        <w:t>本项目无生产、生活废水外排。</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Theme="minorEastAsia"/>
          <w:color w:val="000000" w:themeColor="text1"/>
          <w:lang w:val="en-US" w:eastAsia="zh-CN"/>
          <w14:textFill>
            <w14:solidFill>
              <w14:schemeClr w14:val="tx1"/>
            </w14:solidFill>
          </w14:textFill>
        </w:rPr>
      </w:pPr>
      <w:r>
        <w:rPr>
          <w:color w:val="000000" w:themeColor="text1"/>
          <w:highlight w:val="none"/>
          <w14:textFill>
            <w14:solidFill>
              <w14:schemeClr w14:val="tx1"/>
            </w14:solidFill>
          </w14:textFill>
        </w:rPr>
        <w:t>7.1.2废气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auto"/>
          <w:sz w:val="24"/>
          <w:szCs w:val="24"/>
        </w:rPr>
        <w:t>项目</w:t>
      </w:r>
      <w:r>
        <w:rPr>
          <w:rFonts w:hint="eastAsia" w:ascii="Times New Roman" w:hAnsi="Times New Roman" w:eastAsia="宋体" w:cs="Times New Roman"/>
          <w:color w:val="auto"/>
          <w:sz w:val="24"/>
          <w:szCs w:val="24"/>
          <w:lang w:val="en-US" w:eastAsia="zh-CN"/>
        </w:rPr>
        <w:t>无组织废气主要为煤矸石落料废气、煤矸石装卸、存储废气</w:t>
      </w:r>
      <w:r>
        <w:rPr>
          <w:rFonts w:hint="eastAsia" w:ascii="Times New Roman" w:hAnsi="Times New Roman" w:eastAsia="宋体" w:cs="Times New Roman"/>
          <w:color w:val="auto"/>
          <w:sz w:val="24"/>
          <w:szCs w:val="24"/>
        </w:rPr>
        <w:t>，具体监测内容见表7-</w:t>
      </w:r>
      <w:r>
        <w:rPr>
          <w:rFonts w:hint="eastAsia" w:ascii="Times New Roman" w:hAnsi="Times New Roman" w:eastAsia="宋体" w:cs="Times New Roman"/>
          <w:color w:val="auto"/>
          <w:sz w:val="24"/>
          <w:szCs w:val="24"/>
          <w:lang w:val="en-US" w:eastAsia="zh-CN"/>
        </w:rPr>
        <w:t>1</w:t>
      </w:r>
      <w:r>
        <w:rPr>
          <w:rFonts w:hint="eastAsia"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表7-</w:t>
      </w:r>
      <w:r>
        <w:rPr>
          <w:rFonts w:hint="eastAsia" w:ascii="Times New Roman" w:hAnsi="Times New Roman" w:eastAsia="宋体" w:cs="Times New Roman"/>
          <w:b/>
          <w:sz w:val="24"/>
          <w:szCs w:val="24"/>
          <w:lang w:val="en-US" w:eastAsia="zh-CN"/>
        </w:rPr>
        <w:t>1</w:t>
      </w:r>
      <w:r>
        <w:rPr>
          <w:rFonts w:hint="eastAsia" w:ascii="Times New Roman" w:hAnsi="Times New Roman" w:eastAsia="宋体" w:cs="Times New Roman"/>
          <w:b/>
          <w:sz w:val="24"/>
          <w:szCs w:val="24"/>
          <w:highlight w:val="none"/>
          <w:lang w:val="en-US" w:eastAsia="zh-CN"/>
        </w:rPr>
        <w:t>无</w:t>
      </w:r>
      <w:r>
        <w:rPr>
          <w:rFonts w:hint="default" w:ascii="Times New Roman" w:hAnsi="Times New Roman" w:eastAsia="宋体" w:cs="Times New Roman"/>
          <w:b/>
          <w:sz w:val="24"/>
          <w:szCs w:val="24"/>
          <w:highlight w:val="none"/>
        </w:rPr>
        <w:t>组织排放废气检测点位、项目及频次</w:t>
      </w:r>
    </w:p>
    <w:tbl>
      <w:tblPr>
        <w:tblStyle w:val="32"/>
        <w:tblW w:w="50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96"/>
        <w:gridCol w:w="2286"/>
        <w:gridCol w:w="1838"/>
        <w:gridCol w:w="1488"/>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101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项目</w:t>
            </w:r>
          </w:p>
        </w:tc>
        <w:tc>
          <w:tcPr>
            <w:tcW w:w="137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default" w:ascii="宋体" w:hAnsi="宋体" w:eastAsia="宋体" w:cs="宋体"/>
                <w:sz w:val="21"/>
                <w:szCs w:val="21"/>
              </w:rPr>
              <w:t>监测位置</w:t>
            </w:r>
          </w:p>
        </w:tc>
        <w:tc>
          <w:tcPr>
            <w:tcW w:w="110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val="en-US" w:eastAsia="zh-CN"/>
              </w:rPr>
            </w:pPr>
            <w:r>
              <w:rPr>
                <w:rFonts w:hint="default" w:ascii="宋体" w:hAnsi="宋体" w:eastAsia="宋体" w:cs="宋体"/>
                <w:sz w:val="21"/>
                <w:szCs w:val="21"/>
              </w:rPr>
              <w:t>监测</w:t>
            </w:r>
            <w:r>
              <w:rPr>
                <w:rFonts w:hint="eastAsia" w:ascii="宋体" w:hAnsi="宋体" w:eastAsia="宋体" w:cs="宋体"/>
                <w:sz w:val="21"/>
                <w:szCs w:val="21"/>
                <w:lang w:val="en-US" w:eastAsia="zh-CN"/>
              </w:rPr>
              <w:t>因子</w:t>
            </w:r>
          </w:p>
        </w:tc>
        <w:tc>
          <w:tcPr>
            <w:tcW w:w="89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监测频次</w:t>
            </w:r>
          </w:p>
        </w:tc>
        <w:tc>
          <w:tcPr>
            <w:tcW w:w="61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eastAsia="zh-CN"/>
              </w:rPr>
            </w:pPr>
            <w:r>
              <w:rPr>
                <w:rFonts w:hint="default" w:ascii="宋体" w:hAnsi="宋体" w:eastAsia="宋体" w:cs="宋体"/>
                <w:sz w:val="21"/>
                <w:szCs w:val="21"/>
              </w:rPr>
              <w:t>监测</w:t>
            </w:r>
            <w:r>
              <w:rPr>
                <w:rFonts w:hint="eastAsia" w:ascii="宋体" w:hAnsi="宋体" w:eastAsia="宋体" w:cs="宋体"/>
                <w:sz w:val="21"/>
                <w:szCs w:val="21"/>
                <w:lang w:val="en-US" w:eastAsia="zh-CN"/>
              </w:rPr>
              <w:t>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6" w:hRule="atLeast"/>
          <w:jc w:val="center"/>
        </w:trPr>
        <w:tc>
          <w:tcPr>
            <w:tcW w:w="101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lang w:val="en-US"/>
              </w:rPr>
            </w:pPr>
            <w:r>
              <w:rPr>
                <w:rFonts w:hint="eastAsia" w:ascii="宋体" w:hAnsi="宋体" w:eastAsia="宋体" w:cs="宋体"/>
                <w:sz w:val="21"/>
                <w:szCs w:val="21"/>
                <w:lang w:val="en-US" w:eastAsia="zh-CN"/>
              </w:rPr>
              <w:t>无组织废气</w:t>
            </w:r>
          </w:p>
        </w:tc>
        <w:tc>
          <w:tcPr>
            <w:tcW w:w="1372" w:type="pct"/>
            <w:noWrap w:val="0"/>
            <w:vAlign w:val="center"/>
          </w:tcPr>
          <w:p>
            <w:pPr>
              <w:spacing w:line="440" w:lineRule="exact"/>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厂界</w:t>
            </w:r>
            <w:r>
              <w:rPr>
                <w:rFonts w:hint="eastAsia" w:ascii="Times New Roman" w:hAnsi="Times New Roman" w:eastAsia="宋体" w:cs="Times New Roman"/>
                <w:color w:val="auto"/>
                <w:szCs w:val="21"/>
                <w:highlight w:val="none"/>
                <w:lang w:val="en-US" w:eastAsia="zh-CN"/>
              </w:rPr>
              <w:t>参照点</w:t>
            </w:r>
            <w:r>
              <w:rPr>
                <w:rFonts w:hint="default" w:ascii="Times New Roman" w:hAnsi="Times New Roman" w:eastAsia="宋体" w:cs="Times New Roman"/>
                <w:color w:val="auto"/>
                <w:szCs w:val="21"/>
                <w:highlight w:val="none"/>
              </w:rPr>
              <w:t>一个点，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eastAsia" w:ascii="Times New Roman" w:hAnsi="Times New Roman" w:eastAsia="宋体" w:cs="Times New Roman"/>
                <w:color w:val="auto"/>
                <w:szCs w:val="21"/>
                <w:highlight w:val="none"/>
                <w:lang w:val="en-US" w:eastAsia="zh-CN"/>
              </w:rPr>
              <w:t>监控点</w:t>
            </w:r>
            <w:r>
              <w:rPr>
                <w:rFonts w:hint="default" w:ascii="Times New Roman" w:hAnsi="Times New Roman" w:eastAsia="宋体" w:cs="Times New Roman"/>
                <w:color w:val="auto"/>
                <w:szCs w:val="21"/>
                <w:highlight w:val="none"/>
              </w:rPr>
              <w:t>三个点</w:t>
            </w:r>
          </w:p>
        </w:tc>
        <w:tc>
          <w:tcPr>
            <w:tcW w:w="110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颗粒物</w:t>
            </w:r>
          </w:p>
        </w:tc>
        <w:tc>
          <w:tcPr>
            <w:tcW w:w="893" w:type="pct"/>
            <w:noWrap w:val="0"/>
            <w:vAlign w:val="center"/>
          </w:tcPr>
          <w:p>
            <w:pPr>
              <w:spacing w:line="440" w:lineRule="exact"/>
              <w:jc w:val="center"/>
              <w:rPr>
                <w:rFonts w:hint="default" w:ascii="宋体" w:hAnsi="宋体" w:eastAsia="宋体" w:cs="宋体"/>
                <w:sz w:val="21"/>
                <w:szCs w:val="21"/>
              </w:rPr>
            </w:pPr>
            <w:r>
              <w:rPr>
                <w:rFonts w:hint="default" w:ascii="Times New Roman" w:hAnsi="Times New Roman" w:eastAsia="宋体" w:cs="Times New Roman"/>
                <w:color w:val="auto"/>
                <w:szCs w:val="21"/>
                <w:highlight w:val="none"/>
                <w:lang w:val="en-US" w:eastAsia="zh-CN"/>
              </w:rPr>
              <w:t>4</w:t>
            </w:r>
            <w:r>
              <w:rPr>
                <w:rFonts w:hint="default" w:ascii="Times New Roman" w:hAnsi="Times New Roman" w:eastAsia="宋体" w:cs="Times New Roman"/>
                <w:color w:val="auto"/>
                <w:szCs w:val="21"/>
                <w:highlight w:val="none"/>
              </w:rPr>
              <w:t>次/d</w:t>
            </w:r>
          </w:p>
        </w:tc>
        <w:tc>
          <w:tcPr>
            <w:tcW w:w="611" w:type="pct"/>
            <w:noWrap w:val="0"/>
            <w:vAlign w:val="center"/>
          </w:tcPr>
          <w:p>
            <w:pPr>
              <w:spacing w:line="440" w:lineRule="exact"/>
              <w:jc w:val="center"/>
              <w:rPr>
                <w:rFonts w:hint="default" w:ascii="宋体" w:hAnsi="宋体" w:eastAsia="宋体" w:cs="宋体"/>
                <w:sz w:val="21"/>
                <w:szCs w:val="21"/>
              </w:rPr>
            </w:pPr>
            <w:r>
              <w:rPr>
                <w:rFonts w:hint="default" w:ascii="Times New Roman" w:hAnsi="Times New Roman" w:eastAsia="宋体" w:cs="Times New Roman"/>
                <w:color w:val="auto"/>
                <w:szCs w:val="21"/>
                <w:highlight w:val="none"/>
              </w:rPr>
              <w:t>2天</w:t>
            </w:r>
          </w:p>
        </w:tc>
      </w:tr>
    </w:tbl>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color w:val="000000" w:themeColor="text1"/>
          <w14:textFill>
            <w14:solidFill>
              <w14:schemeClr w14:val="tx1"/>
            </w14:solidFill>
          </w14:textFill>
        </w:rPr>
        <w:t>7.1.</w:t>
      </w:r>
      <w:r>
        <w:rPr>
          <w:rFonts w:hint="eastAsia"/>
          <w:color w:val="000000" w:themeColor="text1"/>
          <w:lang w:val="en-US" w:eastAsia="zh-CN"/>
          <w14:textFill>
            <w14:solidFill>
              <w14:schemeClr w14:val="tx1"/>
            </w14:solidFill>
          </w14:textFill>
        </w:rPr>
        <w:t>3</w:t>
      </w:r>
      <w:r>
        <w:rPr>
          <w:rFonts w:ascii="Times New Roman" w:hAnsi="Times New Roman"/>
          <w:b/>
        </w:rPr>
        <w:t>厂界噪声监测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auto"/>
          <w:sz w:val="24"/>
          <w:szCs w:val="24"/>
          <w:highlight w:val="none"/>
        </w:rPr>
        <w:t>项目噪声具体监测内容见表7-</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表7-</w:t>
      </w:r>
      <w:r>
        <w:rPr>
          <w:rFonts w:hint="eastAsia" w:ascii="Times New Roman" w:hAnsi="Times New Roman" w:eastAsia="宋体" w:cs="Times New Roman"/>
          <w:b/>
          <w:sz w:val="24"/>
          <w:szCs w:val="24"/>
          <w:lang w:val="en-US" w:eastAsia="zh-CN"/>
        </w:rPr>
        <w:t>2</w:t>
      </w:r>
      <w:r>
        <w:rPr>
          <w:rFonts w:hint="default" w:ascii="Times New Roman" w:hAnsi="Times New Roman" w:eastAsia="宋体" w:cs="Times New Roman"/>
          <w:b/>
          <w:sz w:val="24"/>
          <w:szCs w:val="24"/>
        </w:rPr>
        <w:t>项目噪声监测内容一览表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02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监测点位</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监测因子</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监测频次</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监测周期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场界</w:t>
            </w:r>
            <w:r>
              <w:rPr>
                <w:rFonts w:hint="eastAsia" w:ascii="宋体" w:hAnsi="宋体" w:eastAsia="宋体" w:cs="宋体"/>
                <w:sz w:val="21"/>
                <w:szCs w:val="21"/>
              </w:rPr>
              <w:t>四周</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dB(A)</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昼夜间检测1次</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2天</w:t>
            </w:r>
          </w:p>
        </w:tc>
      </w:tr>
    </w:tbl>
    <w:p>
      <w:pPr>
        <w:pStyle w:val="7"/>
      </w:pPr>
    </w:p>
    <w:p>
      <w:pPr>
        <w:pStyle w:val="3"/>
        <w:spacing w:line="360" w:lineRule="auto"/>
        <w:outlineLvl w:val="9"/>
        <w:rPr>
          <w:color w:val="000000" w:themeColor="text1"/>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2" w:name="_Toc8318"/>
      <w:r>
        <w:rPr>
          <w:rFonts w:hint="default" w:ascii="Times New Roman" w:hAnsi="Times New Roman" w:eastAsia="宋体" w:cs="Times New Roman"/>
          <w:color w:val="000000" w:themeColor="text1"/>
          <w14:textFill>
            <w14:solidFill>
              <w14:schemeClr w14:val="tx1"/>
            </w14:solidFill>
          </w14:textFill>
        </w:rPr>
        <w:t>8质量保证和质量控制</w:t>
      </w:r>
      <w:bookmarkEnd w:id="32"/>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开滦（集团）有限责任公司唐山矿业分公司</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委托</w:t>
      </w:r>
      <w:r>
        <w:rPr>
          <w:rFonts w:hint="default" w:ascii="Times New Roman" w:hAnsi="Times New Roman" w:eastAsia="宋体" w:cs="Times New Roman"/>
          <w:color w:val="auto"/>
          <w:sz w:val="24"/>
          <w:szCs w:val="24"/>
          <w:highlight w:val="none"/>
          <w:lang w:val="en-US" w:eastAsia="zh-CN"/>
        </w:rPr>
        <w:t>唐山赫力环境检测有限公司</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于</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11</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17</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日至</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11</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18</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进行了竣工验收检测并出具了检测报告。</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3" w:name="_Toc20472"/>
      <w:r>
        <w:rPr>
          <w:rFonts w:hint="default" w:ascii="Times New Roman" w:hAnsi="Times New Roman" w:eastAsia="宋体" w:cs="Times New Roman"/>
          <w:color w:val="000000" w:themeColor="text1"/>
          <w14:textFill>
            <w14:solidFill>
              <w14:schemeClr w14:val="tx1"/>
            </w14:solidFill>
          </w14:textFill>
        </w:rPr>
        <w:t>8.1</w:t>
      </w:r>
      <w:r>
        <w:rPr>
          <w:rFonts w:hint="default" w:ascii="Times New Roman" w:hAnsi="Times New Roman" w:eastAsia="宋体" w:cs="Times New Roman"/>
          <w:color w:val="000000" w:themeColor="text1"/>
          <w:highlight w:val="none"/>
          <w14:textFill>
            <w14:solidFill>
              <w14:schemeClr w14:val="tx1"/>
            </w14:solidFill>
          </w14:textFill>
        </w:rPr>
        <w:t>监测分析方法</w:t>
      </w:r>
      <w:bookmarkEnd w:id="3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（1）废气监测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废气监测具体分析方法见表8-1。</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表8-1</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无</w:t>
      </w:r>
      <w:r>
        <w:rPr>
          <w:rFonts w:hint="default" w:ascii="Times New Roman" w:hAnsi="Times New Roman" w:eastAsia="宋体" w:cs="Times New Roman"/>
          <w:b/>
          <w:color w:val="000000" w:themeColor="text1"/>
          <w:sz w:val="24"/>
          <w:szCs w:val="24"/>
          <w14:textFill>
            <w14:solidFill>
              <w14:schemeClr w14:val="tx1"/>
            </w14:solidFill>
          </w14:textFill>
        </w:rPr>
        <w:t>组织排放废气污染物检测项目分析方法及所用仪器</w:t>
      </w:r>
    </w:p>
    <w:tbl>
      <w:tblPr>
        <w:tblStyle w:val="32"/>
        <w:tblW w:w="8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061"/>
        <w:gridCol w:w="2424"/>
        <w:gridCol w:w="3182"/>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38" w:type="dxa"/>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lang w:val="en-US" w:eastAsia="zh-CN"/>
              </w:rPr>
            </w:pPr>
            <w:r>
              <w:rPr>
                <w:rFonts w:hint="eastAsia" w:ascii="Times New Roman" w:hAnsi="Times New Roman" w:eastAsia="宋体" w:cs="Times New Roman"/>
                <w:b/>
                <w:sz w:val="21"/>
                <w:szCs w:val="21"/>
                <w:lang w:val="en-US" w:eastAsia="zh-CN"/>
              </w:rPr>
              <w:t>检测类别</w:t>
            </w:r>
          </w:p>
        </w:tc>
        <w:tc>
          <w:tcPr>
            <w:tcW w:w="1061" w:type="dxa"/>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检测项目</w:t>
            </w:r>
          </w:p>
        </w:tc>
        <w:tc>
          <w:tcPr>
            <w:tcW w:w="2424" w:type="dxa"/>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检测方法</w:t>
            </w:r>
          </w:p>
        </w:tc>
        <w:tc>
          <w:tcPr>
            <w:tcW w:w="3182" w:type="dxa"/>
            <w:tcBorders>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仪器型号名称</w:t>
            </w:r>
          </w:p>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（编号）</w:t>
            </w:r>
          </w:p>
        </w:tc>
        <w:tc>
          <w:tcPr>
            <w:tcW w:w="1136" w:type="dxa"/>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检出限/</w:t>
            </w:r>
          </w:p>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最低检出浓度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38"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无组织废气</w:t>
            </w:r>
          </w:p>
        </w:tc>
        <w:tc>
          <w:tcPr>
            <w:tcW w:w="1061"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w:t>
            </w:r>
          </w:p>
        </w:tc>
        <w:tc>
          <w:tcPr>
            <w:tcW w:w="2424"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highlight w:val="none"/>
                <w:lang w:val="en-US" w:eastAsia="zh-CN"/>
              </w:rPr>
              <w:t>环境空气 总悬浮颗粒物的测定 重量法</w:t>
            </w:r>
            <w:r>
              <w:rPr>
                <w:rFonts w:hint="default" w:ascii="Times New Roman" w:hAnsi="Times New Roman" w:eastAsia="宋体" w:cs="Times New Roman"/>
                <w:sz w:val="21"/>
                <w:szCs w:val="21"/>
              </w:rPr>
              <w:t xml:space="preserve">》HJ </w:t>
            </w:r>
            <w:r>
              <w:rPr>
                <w:rFonts w:hint="eastAsia" w:ascii="Times New Roman" w:hAnsi="Times New Roman" w:eastAsia="宋体" w:cs="Times New Roman"/>
                <w:sz w:val="21"/>
                <w:szCs w:val="21"/>
                <w:lang w:val="en-US" w:eastAsia="zh-CN"/>
              </w:rPr>
              <w:t>1263</w:t>
            </w:r>
            <w:r>
              <w:rPr>
                <w:rFonts w:hint="default" w:ascii="Times New Roman" w:hAnsi="Times New Roman" w:eastAsia="宋体" w:cs="Times New Roman"/>
                <w:sz w:val="21"/>
                <w:szCs w:val="21"/>
              </w:rPr>
              <w:t>-20</w:t>
            </w:r>
            <w:r>
              <w:rPr>
                <w:rFonts w:hint="eastAsia" w:ascii="Times New Roman" w:hAnsi="Times New Roman" w:eastAsia="宋体" w:cs="Times New Roman"/>
                <w:sz w:val="21"/>
                <w:szCs w:val="21"/>
                <w:lang w:val="en-US" w:eastAsia="zh-CN"/>
              </w:rPr>
              <w:t>22</w:t>
            </w:r>
          </w:p>
        </w:tc>
        <w:tc>
          <w:tcPr>
            <w:tcW w:w="3182" w:type="dxa"/>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全自动大气颗粒物采样器MH1200型（21代）（TSHL-YQ-133、TSHL-YQ-132、TSHL-YQ-131、TSHL-YQ-130）</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电子天平AUW120D（TSHL-YQ-017）</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恒温恒湿间YKX-3WS（TSHL-YQ-061）</w:t>
            </w:r>
          </w:p>
        </w:tc>
        <w:tc>
          <w:tcPr>
            <w:tcW w:w="11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Style w:val="36"/>
                <w:rFonts w:hint="eastAsia" w:ascii="Arial" w:hAnsi="Arial" w:eastAsia="宋体" w:cs="Arial"/>
                <w:i w:val="0"/>
                <w:iCs w:val="0"/>
                <w:caps w:val="0"/>
                <w:color w:val="auto"/>
                <w:spacing w:val="0"/>
                <w:sz w:val="19"/>
                <w:szCs w:val="19"/>
                <w:shd w:val="clear" w:fill="FFFFFF"/>
                <w:lang w:val="en-US" w:eastAsia="zh-CN"/>
              </w:rPr>
              <w:t>7</w:t>
            </w:r>
            <w:r>
              <w:rPr>
                <w:rStyle w:val="36"/>
                <w:rFonts w:ascii="Arial" w:hAnsi="Arial" w:eastAsia="宋体" w:cs="Arial"/>
                <w:i w:val="0"/>
                <w:iCs w:val="0"/>
                <w:caps w:val="0"/>
                <w:color w:val="auto"/>
                <w:spacing w:val="0"/>
                <w:sz w:val="19"/>
                <w:szCs w:val="19"/>
                <w:shd w:val="clear" w:fill="FFFFFF"/>
              </w:rPr>
              <w:t>μ</w:t>
            </w:r>
            <w:r>
              <w:rPr>
                <w:rFonts w:hint="default" w:ascii="Times New Roman" w:hAnsi="Times New Roman" w:eastAsia="宋体" w:cs="Times New Roman"/>
                <w:bCs/>
                <w:sz w:val="21"/>
                <w:szCs w:val="21"/>
              </w:rPr>
              <w:t>g</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3</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噪声监测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噪声</w:t>
      </w:r>
      <w:r>
        <w:rPr>
          <w:rFonts w:hint="default" w:ascii="Times New Roman" w:hAnsi="Times New Roman" w:eastAsia="宋体" w:cs="Times New Roman"/>
          <w:color w:val="000000" w:themeColor="text1"/>
          <w:sz w:val="24"/>
          <w:szCs w:val="24"/>
          <w14:textFill>
            <w14:solidFill>
              <w14:schemeClr w14:val="tx1"/>
            </w14:solidFill>
          </w14:textFill>
        </w:rPr>
        <w:t>监测具体分析方法见表8-</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表8-</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b/>
          <w:color w:val="000000" w:themeColor="text1"/>
          <w:sz w:val="24"/>
          <w:szCs w:val="24"/>
          <w14:textFill>
            <w14:solidFill>
              <w14:schemeClr w14:val="tx1"/>
            </w14:solidFill>
          </w14:textFill>
        </w:rPr>
        <w:t>项目噪声监测具体分析方法</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3285"/>
        <w:gridCol w:w="2555"/>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12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检测项目</w:t>
            </w:r>
          </w:p>
        </w:tc>
        <w:tc>
          <w:tcPr>
            <w:tcW w:w="32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40" w:lineRule="auto"/>
              <w:jc w:val="center"/>
              <w:textAlignment w:val="center"/>
              <w:rPr>
                <w:rFonts w:hint="default" w:ascii="Times New Roman" w:hAnsi="Times New Roman" w:eastAsia="宋体" w:cs="Times New Roman"/>
                <w:b/>
                <w:kern w:val="0"/>
                <w:sz w:val="21"/>
                <w:szCs w:val="21"/>
                <w:lang w:bidi="ar"/>
              </w:rPr>
            </w:pPr>
            <w:r>
              <w:rPr>
                <w:rFonts w:hint="default" w:ascii="Times New Roman" w:hAnsi="Times New Roman" w:eastAsia="宋体" w:cs="Times New Roman"/>
                <w:b/>
                <w:kern w:val="0"/>
                <w:sz w:val="21"/>
                <w:szCs w:val="21"/>
                <w:lang w:bidi="ar"/>
              </w:rPr>
              <w:t>分析方法</w:t>
            </w:r>
          </w:p>
        </w:tc>
        <w:tc>
          <w:tcPr>
            <w:tcW w:w="25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40" w:lineRule="auto"/>
              <w:jc w:val="center"/>
              <w:textAlignment w:val="bottom"/>
              <w:rPr>
                <w:rFonts w:hint="default" w:ascii="Times New Roman" w:hAnsi="Times New Roman" w:eastAsia="宋体" w:cs="Times New Roman"/>
                <w:b/>
                <w:kern w:val="0"/>
                <w:sz w:val="21"/>
                <w:szCs w:val="21"/>
                <w:lang w:bidi="ar"/>
              </w:rPr>
            </w:pPr>
            <w:r>
              <w:rPr>
                <w:rFonts w:hint="default" w:ascii="Times New Roman" w:hAnsi="Times New Roman" w:eastAsia="宋体" w:cs="Times New Roman"/>
                <w:b/>
                <w:kern w:val="0"/>
                <w:sz w:val="21"/>
                <w:szCs w:val="21"/>
                <w:lang w:bidi="ar"/>
              </w:rPr>
              <w:t>分析仪器</w:t>
            </w:r>
          </w:p>
        </w:tc>
        <w:tc>
          <w:tcPr>
            <w:tcW w:w="14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18"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场界噪声</w:t>
            </w:r>
          </w:p>
        </w:tc>
        <w:tc>
          <w:tcPr>
            <w:tcW w:w="328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《工业企业厂界环境噪声排放标准》GB12348-2008</w:t>
            </w:r>
          </w:p>
        </w:tc>
        <w:tc>
          <w:tcPr>
            <w:tcW w:w="2555" w:type="dxa"/>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多功能声级计AWA5688（TSHL-YQ-057）</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轻便三杯风向风速表DEM6（TSHL-YQ-058）</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声校准器AWA6022A（TSHL-YQ-100）</w:t>
            </w:r>
          </w:p>
        </w:tc>
        <w:tc>
          <w:tcPr>
            <w:tcW w:w="1464" w:type="dxa"/>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kern w:val="0"/>
                <w:sz w:val="21"/>
                <w:szCs w:val="21"/>
                <w:lang w:bidi="ar"/>
              </w:rPr>
            </w:pPr>
            <w:r>
              <w:rPr>
                <w:rFonts w:hint="default" w:ascii="Times New Roman" w:hAnsi="Times New Roman" w:eastAsia="宋体" w:cs="Times New Roman"/>
                <w:sz w:val="21"/>
                <w:szCs w:val="21"/>
              </w:rPr>
              <w:t>--</w:t>
            </w:r>
          </w:p>
        </w:tc>
      </w:tr>
    </w:tbl>
    <w:p>
      <w:pPr>
        <w:bidi w:val="0"/>
        <w:rPr>
          <w:rFonts w:hint="default"/>
        </w:rPr>
      </w:pP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4" w:name="_Toc21164"/>
      <w:r>
        <w:rPr>
          <w:rFonts w:hint="default" w:ascii="Times New Roman" w:hAnsi="Times New Roman" w:eastAsia="宋体" w:cs="Times New Roman"/>
          <w:color w:val="000000" w:themeColor="text1"/>
          <w14:textFill>
            <w14:solidFill>
              <w14:schemeClr w14:val="tx1"/>
            </w14:solidFill>
          </w14:textFill>
        </w:rPr>
        <w:t>8.2人员能力</w:t>
      </w:r>
      <w:bookmarkEnd w:id="3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参加本项目检测人员均持证上岗，检测人员均具备采样及分析等相关能力。</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5" w:name="_Toc8663"/>
      <w:r>
        <w:rPr>
          <w:rFonts w:hint="default" w:ascii="Times New Roman" w:hAnsi="Times New Roman" w:eastAsia="宋体" w:cs="Times New Roman"/>
          <w:color w:val="000000" w:themeColor="text1"/>
          <w14:textFill>
            <w14:solidFill>
              <w14:schemeClr w14:val="tx1"/>
            </w14:solidFill>
          </w14:textFill>
        </w:rPr>
        <w:t>8.3监测分析</w:t>
      </w:r>
      <w:r>
        <w:rPr>
          <w:rFonts w:hint="default" w:ascii="Times New Roman" w:hAnsi="Times New Roman" w:eastAsia="宋体" w:cs="Times New Roman"/>
          <w:color w:val="000000" w:themeColor="text1"/>
          <w:highlight w:val="none"/>
          <w14:textFill>
            <w14:solidFill>
              <w14:schemeClr w14:val="tx1"/>
            </w14:solidFill>
          </w14:textFill>
        </w:rPr>
        <w:t>过程中的质量保证和质量控制</w:t>
      </w:r>
      <w:bookmarkEnd w:id="3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（1）严格按照《大气污染物无组织排放监测技术导则》（HJ/T 55-2000）及有关环境监测质量保证的要求进行样品采集、保存、分析等，全程进行质量控制。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lang w:val="en-GB"/>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（2）废气：无组织排放采样和分析过程严格按照相关国家标准和《大气污染物综合排放标准》（GB 16297-1996）和《大气污染物无组织排放监测技术导则》（HJ/T 55-2000）等技术规范中相关要求进行，风速小于3.0m/s。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（3）</w:t>
      </w:r>
      <w:r>
        <w:rPr>
          <w:rFonts w:hint="default" w:ascii="Times New Roman" w:hAnsi="Times New Roman" w:eastAsia="宋体" w:cs="Times New Roman"/>
          <w:color w:val="000000" w:themeColor="text1"/>
          <w:sz w:val="24"/>
          <w:lang w:val="en-GB"/>
          <w14:textFill>
            <w14:solidFill>
              <w14:schemeClr w14:val="tx1"/>
            </w14:solidFill>
          </w14:textFill>
        </w:rPr>
        <w:t>噪声：</w:t>
      </w:r>
      <w:r>
        <w:rPr>
          <w:rFonts w:hint="default" w:ascii="Times New Roman" w:hAnsi="Times New Roman" w:eastAsia="宋体" w:cs="Times New Roman"/>
          <w:color w:val="000000" w:themeColor="text1"/>
          <w:sz w:val="24"/>
          <w14:textFill>
            <w14:solidFill>
              <w14:schemeClr w14:val="tx1"/>
            </w14:solidFill>
          </w14:textFill>
        </w:rPr>
        <w:t>噪声检测严格按照相关国家标准和环境噪声检测技术规范进行。声级计测量前后均经标准声源校准且合格，测量时无雨雪、无雷电，风速小于5m/s。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（4）监测数据严格执行三级审核制度。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（5）检测分析方法均采用污染物排放标准列出的标准测试方法及国家有关部门颁布的标（或推荐）分析方法进行。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lang w:val="en-GB"/>
          <w14:textFill>
            <w14:solidFill>
              <w14:schemeClr w14:val="tx1"/>
            </w14:solidFill>
          </w14:textFill>
        </w:rPr>
      </w:pPr>
      <w:r>
        <w:rPr>
          <w:rFonts w:hint="default" w:ascii="Times New Roman" w:hAnsi="Times New Roman" w:eastAsia="宋体" w:cs="Times New Roman"/>
          <w:color w:val="000000" w:themeColor="text1"/>
          <w:sz w:val="24"/>
          <w:lang w:val="en-GB"/>
          <w14:textFill>
            <w14:solidFill>
              <w14:schemeClr w14:val="tx1"/>
            </w14:solidFill>
          </w14:textFill>
        </w:rPr>
        <w:t>（</w:t>
      </w:r>
      <w:r>
        <w:rPr>
          <w:rFonts w:hint="default" w:ascii="Times New Roman" w:hAnsi="Times New Roman" w:eastAsia="宋体" w:cs="Times New Roman"/>
          <w:color w:val="000000" w:themeColor="text1"/>
          <w:sz w:val="24"/>
          <w14:textFill>
            <w14:solidFill>
              <w14:schemeClr w14:val="tx1"/>
            </w14:solidFill>
          </w14:textFill>
        </w:rPr>
        <w:t>6</w:t>
      </w:r>
      <w:r>
        <w:rPr>
          <w:rFonts w:hint="default" w:ascii="Times New Roman" w:hAnsi="Times New Roman" w:eastAsia="宋体" w:cs="Times New Roman"/>
          <w:color w:val="000000" w:themeColor="text1"/>
          <w:sz w:val="24"/>
          <w:lang w:val="en-GB"/>
          <w14:textFill>
            <w14:solidFill>
              <w14:schemeClr w14:val="tx1"/>
            </w14:solidFill>
          </w14:textFill>
        </w:rPr>
        <w:t>）监测过程生产工况稳定，确保监测期间</w:t>
      </w:r>
      <w:r>
        <w:rPr>
          <w:rFonts w:hint="eastAsia" w:ascii="Times New Roman" w:hAnsi="Times New Roman" w:eastAsia="宋体" w:cs="Times New Roman"/>
          <w:color w:val="000000" w:themeColor="text1"/>
          <w:sz w:val="24"/>
          <w:lang w:val="en-US" w:eastAsia="zh-CN"/>
          <w14:textFill>
            <w14:solidFill>
              <w14:schemeClr w14:val="tx1"/>
            </w14:solidFill>
          </w14:textFill>
        </w:rPr>
        <w:t>正常生产</w:t>
      </w:r>
      <w:r>
        <w:rPr>
          <w:rFonts w:hint="default" w:ascii="Times New Roman" w:hAnsi="Times New Roman" w:eastAsia="宋体" w:cs="Times New Roman"/>
          <w:color w:val="000000" w:themeColor="text1"/>
          <w:sz w:val="24"/>
          <w:lang w:val="en-GB"/>
          <w14:textFill>
            <w14:solidFill>
              <w14:schemeClr w14:val="tx1"/>
            </w14:solidFill>
          </w14:textFill>
        </w:rPr>
        <w:t>并记录监测期间生产工况有关参数。</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highlight w:val="none"/>
          <w14:textFill>
            <w14:solidFill>
              <w14:schemeClr w14:val="tx1"/>
            </w14:solidFill>
          </w14:textFill>
        </w:rPr>
      </w:pPr>
      <w:bookmarkStart w:id="36" w:name="_Toc45522677"/>
      <w:bookmarkStart w:id="37" w:name="_Toc20082"/>
      <w:r>
        <w:rPr>
          <w:rFonts w:hint="default" w:ascii="Times New Roman" w:hAnsi="Times New Roman" w:eastAsia="宋体" w:cs="Times New Roman"/>
          <w:color w:val="000000" w:themeColor="text1"/>
          <w:highlight w:val="none"/>
          <w14:textFill>
            <w14:solidFill>
              <w14:schemeClr w14:val="tx1"/>
            </w14:solidFill>
          </w14:textFill>
        </w:rPr>
        <w:t>8.4监测仪器</w:t>
      </w:r>
      <w:bookmarkEnd w:id="36"/>
      <w:bookmarkEnd w:id="37"/>
    </w:p>
    <w:p>
      <w:pPr>
        <w:spacing w:line="360" w:lineRule="auto"/>
        <w:ind w:firstLine="480" w:firstLineChars="200"/>
        <w:rPr>
          <w:rFonts w:hint="eastAsia" w:ascii="Times New Roman" w:hAnsi="Times New Roman" w:eastAsia="宋体" w:cs="Times New Roman"/>
          <w:color w:val="auto"/>
          <w:sz w:val="24"/>
          <w:lang w:val="en-GB" w:eastAsia="zh-CN"/>
        </w:rPr>
      </w:pPr>
      <w:r>
        <w:rPr>
          <w:rFonts w:hint="default" w:ascii="Times New Roman" w:hAnsi="Times New Roman" w:eastAsia="宋体" w:cs="Times New Roman"/>
          <w:color w:val="auto"/>
          <w:sz w:val="24"/>
          <w:lang w:val="en-GB"/>
        </w:rPr>
        <w:t>监测仪器及量值溯源记录见表</w:t>
      </w:r>
      <w:r>
        <w:rPr>
          <w:rFonts w:hint="eastAsia" w:ascii="Times New Roman" w:hAnsi="Times New Roman" w:eastAsia="宋体" w:cs="Times New Roman"/>
          <w:color w:val="auto"/>
          <w:sz w:val="24"/>
          <w:lang w:val="en-US" w:eastAsia="zh-CN"/>
        </w:rPr>
        <w:t>8</w:t>
      </w:r>
      <w:r>
        <w:rPr>
          <w:rFonts w:hint="default" w:ascii="Times New Roman" w:hAnsi="Times New Roman" w:eastAsia="宋体" w:cs="Times New Roman"/>
          <w:color w:val="auto"/>
          <w:sz w:val="24"/>
          <w:lang w:val="en-GB"/>
        </w:rPr>
        <w:t>-</w:t>
      </w:r>
      <w:r>
        <w:rPr>
          <w:rFonts w:hint="eastAsia" w:ascii="Times New Roman" w:hAnsi="Times New Roman" w:eastAsia="宋体" w:cs="Times New Roman"/>
          <w:color w:val="auto"/>
          <w:sz w:val="24"/>
          <w:lang w:val="en-US" w:eastAsia="zh-CN"/>
        </w:rPr>
        <w:t>3</w:t>
      </w:r>
      <w:r>
        <w:rPr>
          <w:rFonts w:hint="eastAsia" w:ascii="Times New Roman" w:hAnsi="Times New Roman" w:eastAsia="宋体" w:cs="Times New Roman"/>
          <w:color w:val="auto"/>
          <w:sz w:val="24"/>
          <w:lang w:val="en-GB"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表8-3 监测仪器量值溯源统计表</w:t>
      </w:r>
    </w:p>
    <w:tbl>
      <w:tblPr>
        <w:tblStyle w:val="3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5004"/>
        <w:gridCol w:w="1464"/>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94" w:type="pct"/>
            <w:noWrap w:val="0"/>
            <w:vAlign w:val="center"/>
          </w:tcPr>
          <w:p>
            <w:pPr>
              <w:spacing w:line="28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类别</w:t>
            </w:r>
          </w:p>
        </w:tc>
        <w:tc>
          <w:tcPr>
            <w:tcW w:w="2936" w:type="pct"/>
            <w:noWrap w:val="0"/>
            <w:vAlign w:val="center"/>
          </w:tcPr>
          <w:p>
            <w:pPr>
              <w:spacing w:line="28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仪器名称及型号（编号）</w:t>
            </w:r>
          </w:p>
        </w:tc>
        <w:tc>
          <w:tcPr>
            <w:tcW w:w="859" w:type="pct"/>
            <w:noWrap w:val="0"/>
            <w:vAlign w:val="center"/>
          </w:tcPr>
          <w:p>
            <w:pPr>
              <w:spacing w:line="28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溯源形式</w:t>
            </w:r>
          </w:p>
        </w:tc>
        <w:tc>
          <w:tcPr>
            <w:tcW w:w="809" w:type="pct"/>
            <w:noWrap w:val="0"/>
            <w:vAlign w:val="center"/>
          </w:tcPr>
          <w:p>
            <w:pPr>
              <w:spacing w:line="28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有效日期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restart"/>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r>
              <w:rPr>
                <w:rFonts w:hint="default" w:ascii="Times New Roman" w:hAnsi="Times New Roman" w:eastAsia="宋体" w:cs="Times New Roman"/>
                <w:color w:val="auto"/>
                <w:sz w:val="21"/>
                <w:szCs w:val="21"/>
                <w:highlight w:val="none"/>
                <w:lang w:eastAsia="zh-CN"/>
              </w:rPr>
              <w:t>废气</w:t>
            </w:r>
          </w:p>
        </w:tc>
        <w:tc>
          <w:tcPr>
            <w:tcW w:w="2936" w:type="pct"/>
            <w:noWrap w:val="0"/>
            <w:vAlign w:val="center"/>
          </w:tcPr>
          <w:p>
            <w:pPr>
              <w:spacing w:line="240" w:lineRule="atLeast"/>
              <w:jc w:val="center"/>
              <w:rPr>
                <w:rFonts w:hint="default" w:ascii="Times New Roman" w:hAnsi="Times New Roman" w:eastAsia="宋体" w:cs="Times New Roman"/>
                <w:color w:val="auto"/>
                <w:sz w:val="21"/>
                <w:szCs w:val="21"/>
                <w:highlight w:val="yellow"/>
                <w:lang w:val="en-US"/>
              </w:rPr>
            </w:pPr>
            <w:r>
              <w:rPr>
                <w:rFonts w:hint="eastAsia" w:ascii="Times New Roman" w:hAnsi="Times New Roman" w:eastAsia="宋体" w:cs="Times New Roman"/>
                <w:color w:val="auto"/>
                <w:sz w:val="21"/>
                <w:szCs w:val="21"/>
                <w:lang w:val="en-US" w:eastAsia="zh-CN"/>
              </w:rPr>
              <w:t>全自动大气颗粒物采样器MH1200型（21代）TSHL-YQ-133</w:t>
            </w:r>
          </w:p>
        </w:tc>
        <w:tc>
          <w:tcPr>
            <w:tcW w:w="85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校准</w:t>
            </w:r>
          </w:p>
        </w:tc>
        <w:tc>
          <w:tcPr>
            <w:tcW w:w="80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2023.12.</w:t>
            </w:r>
            <w:r>
              <w:rPr>
                <w:rFonts w:hint="default" w:ascii="Times New Roman" w:hAnsi="Times New Roman"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6" w:type="pct"/>
            <w:noWrap w:val="0"/>
            <w:vAlign w:val="center"/>
          </w:tcPr>
          <w:p>
            <w:pPr>
              <w:spacing w:line="240" w:lineRule="atLeast"/>
              <w:jc w:val="center"/>
              <w:rPr>
                <w:rFonts w:hint="default" w:ascii="Times New Roman" w:hAnsi="Times New Roman" w:eastAsia="宋体" w:cs="Times New Roman"/>
                <w:color w:val="auto"/>
                <w:sz w:val="21"/>
                <w:szCs w:val="21"/>
                <w:highlight w:val="yellow"/>
                <w:lang w:eastAsia="zh-CN"/>
              </w:rPr>
            </w:pPr>
            <w:r>
              <w:rPr>
                <w:rFonts w:hint="eastAsia" w:ascii="Times New Roman" w:hAnsi="Times New Roman" w:eastAsia="宋体" w:cs="Times New Roman"/>
                <w:color w:val="auto"/>
                <w:sz w:val="21"/>
                <w:szCs w:val="21"/>
                <w:lang w:val="en-US" w:eastAsia="zh-CN"/>
              </w:rPr>
              <w:t>全自动大气颗粒物采样器MH1200型（21代）TSHL-YQ-132</w:t>
            </w:r>
          </w:p>
        </w:tc>
        <w:tc>
          <w:tcPr>
            <w:tcW w:w="85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校准</w:t>
            </w:r>
          </w:p>
        </w:tc>
        <w:tc>
          <w:tcPr>
            <w:tcW w:w="80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2023.12.</w:t>
            </w:r>
            <w:r>
              <w:rPr>
                <w:rFonts w:hint="default" w:ascii="Times New Roman" w:hAnsi="Times New Roman"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6" w:type="pct"/>
            <w:noWrap w:val="0"/>
            <w:vAlign w:val="center"/>
          </w:tcPr>
          <w:p>
            <w:pPr>
              <w:spacing w:line="240" w:lineRule="atLeast"/>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全自动大气颗粒物采样器MH1200型（21代）TSHL-YQ-131</w:t>
            </w:r>
          </w:p>
        </w:tc>
        <w:tc>
          <w:tcPr>
            <w:tcW w:w="85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校准</w:t>
            </w:r>
          </w:p>
        </w:tc>
        <w:tc>
          <w:tcPr>
            <w:tcW w:w="80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2023.12.</w:t>
            </w:r>
            <w:r>
              <w:rPr>
                <w:rFonts w:hint="default" w:ascii="Times New Roman" w:hAnsi="Times New Roman"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6" w:type="pct"/>
            <w:noWrap w:val="0"/>
            <w:vAlign w:val="center"/>
          </w:tcPr>
          <w:p>
            <w:pPr>
              <w:spacing w:line="240" w:lineRule="atLeast"/>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全自动大气颗粒物采样器MH1200型（21代）TSHL-YQ-130</w:t>
            </w:r>
          </w:p>
        </w:tc>
        <w:tc>
          <w:tcPr>
            <w:tcW w:w="85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eastAsia="zh-CN"/>
              </w:rPr>
            </w:pPr>
            <w:r>
              <w:rPr>
                <w:rFonts w:hint="eastAsia" w:ascii="宋体" w:hAnsi="宋体" w:eastAsia="宋体" w:cs="宋体"/>
                <w:i w:val="0"/>
                <w:iCs w:val="0"/>
                <w:color w:val="000000"/>
                <w:kern w:val="0"/>
                <w:sz w:val="21"/>
                <w:szCs w:val="21"/>
                <w:u w:val="none"/>
                <w:lang w:val="en-US" w:eastAsia="zh-CN" w:bidi="ar"/>
              </w:rPr>
              <w:t>校准</w:t>
            </w:r>
          </w:p>
        </w:tc>
        <w:tc>
          <w:tcPr>
            <w:tcW w:w="80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2023.12.</w:t>
            </w:r>
            <w:r>
              <w:rPr>
                <w:rFonts w:hint="default" w:ascii="Times New Roman" w:hAnsi="Times New Roman"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6" w:type="pct"/>
            <w:noWrap w:val="0"/>
            <w:vAlign w:val="center"/>
          </w:tcPr>
          <w:p>
            <w:pPr>
              <w:spacing w:line="240" w:lineRule="atLeast"/>
              <w:jc w:val="center"/>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color w:val="auto"/>
                <w:sz w:val="21"/>
                <w:szCs w:val="21"/>
                <w:lang w:eastAsia="zh-CN"/>
              </w:rPr>
              <w:t>电子天平AUW120D（TSHL-YQ-017）</w:t>
            </w:r>
          </w:p>
        </w:tc>
        <w:tc>
          <w:tcPr>
            <w:tcW w:w="85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i w:val="0"/>
                <w:iCs w:val="0"/>
                <w:color w:val="000000"/>
                <w:kern w:val="0"/>
                <w:sz w:val="21"/>
                <w:szCs w:val="21"/>
                <w:u w:val="none"/>
                <w:lang w:val="en-US" w:eastAsia="zh-CN" w:bidi="ar"/>
              </w:rPr>
              <w:t>检定</w:t>
            </w:r>
          </w:p>
        </w:tc>
        <w:tc>
          <w:tcPr>
            <w:tcW w:w="80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2024.03.12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6" w:type="pct"/>
            <w:noWrap w:val="0"/>
            <w:vAlign w:val="center"/>
          </w:tcPr>
          <w:p>
            <w:pPr>
              <w:spacing w:line="240" w:lineRule="atLeast"/>
              <w:jc w:val="center"/>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color w:val="auto"/>
                <w:sz w:val="21"/>
                <w:szCs w:val="21"/>
                <w:lang w:eastAsia="zh-CN"/>
              </w:rPr>
              <w:t>恒温恒湿间YKX-3WS（TSHL-YQ-061）</w:t>
            </w:r>
          </w:p>
        </w:tc>
        <w:tc>
          <w:tcPr>
            <w:tcW w:w="85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i w:val="0"/>
                <w:iCs w:val="0"/>
                <w:color w:val="000000"/>
                <w:kern w:val="0"/>
                <w:sz w:val="21"/>
                <w:szCs w:val="21"/>
                <w:u w:val="none"/>
                <w:lang w:val="en-US" w:eastAsia="zh-CN" w:bidi="ar"/>
              </w:rPr>
              <w:t>校准</w:t>
            </w:r>
          </w:p>
        </w:tc>
        <w:tc>
          <w:tcPr>
            <w:tcW w:w="809"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2024.07.10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restart"/>
            <w:noWrap w:val="0"/>
            <w:vAlign w:val="center"/>
          </w:tcPr>
          <w:p>
            <w:pPr>
              <w:spacing w:line="280" w:lineRule="exact"/>
              <w:jc w:val="center"/>
              <w:rPr>
                <w:rFonts w:hint="default" w:ascii="Times New Roman" w:hAnsi="Times New Roman" w:eastAsia="宋体" w:cs="Times New Roman"/>
                <w:color w:val="auto"/>
                <w:sz w:val="21"/>
                <w:szCs w:val="21"/>
                <w:highlight w:val="yellow"/>
                <w:lang w:val="en-US" w:eastAsia="zh-CN"/>
              </w:rPr>
            </w:pPr>
            <w:r>
              <w:rPr>
                <w:rFonts w:hint="eastAsia" w:ascii="Times New Roman" w:hAnsi="Times New Roman" w:eastAsia="宋体" w:cs="Times New Roman"/>
                <w:color w:val="auto"/>
                <w:sz w:val="21"/>
                <w:szCs w:val="21"/>
                <w:highlight w:val="none"/>
                <w:lang w:val="en-US" w:eastAsia="zh-CN"/>
              </w:rPr>
              <w:t>噪声</w:t>
            </w:r>
          </w:p>
        </w:tc>
        <w:tc>
          <w:tcPr>
            <w:tcW w:w="2936"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多功能声级计AWA</w:t>
            </w:r>
            <w:r>
              <w:rPr>
                <w:rFonts w:hint="eastAsia" w:ascii="Times New Roman" w:hAnsi="Times New Roman" w:eastAsia="宋体" w:cs="Times New Roman"/>
                <w:color w:val="auto"/>
                <w:sz w:val="21"/>
                <w:szCs w:val="21"/>
                <w:lang w:val="en-US" w:eastAsia="zh-CN"/>
              </w:rPr>
              <w:t>5688</w:t>
            </w:r>
            <w:r>
              <w:rPr>
                <w:rFonts w:hint="default" w:ascii="Times New Roman" w:hAnsi="Times New Roman" w:eastAsia="宋体" w:cs="Times New Roman"/>
                <w:color w:val="auto"/>
                <w:sz w:val="21"/>
                <w:szCs w:val="21"/>
                <w:lang w:val="en-US" w:eastAsia="zh-CN"/>
              </w:rPr>
              <w:t>（TSHL-YQ-0</w:t>
            </w:r>
            <w:r>
              <w:rPr>
                <w:rFonts w:hint="eastAsia" w:ascii="Times New Roman" w:hAnsi="Times New Roman" w:eastAsia="宋体" w:cs="Times New Roman"/>
                <w:color w:val="auto"/>
                <w:sz w:val="21"/>
                <w:szCs w:val="21"/>
                <w:lang w:val="en-US" w:eastAsia="zh-CN"/>
              </w:rPr>
              <w:t>57</w:t>
            </w:r>
            <w:r>
              <w:rPr>
                <w:rFonts w:hint="default" w:ascii="Times New Roman" w:hAnsi="Times New Roman" w:eastAsia="宋体" w:cs="Times New Roman"/>
                <w:color w:val="auto"/>
                <w:sz w:val="21"/>
                <w:szCs w:val="21"/>
                <w:lang w:val="en-US" w:eastAsia="zh-CN"/>
              </w:rPr>
              <w:t>）</w:t>
            </w:r>
          </w:p>
        </w:tc>
        <w:tc>
          <w:tcPr>
            <w:tcW w:w="859"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检定</w:t>
            </w:r>
          </w:p>
        </w:tc>
        <w:tc>
          <w:tcPr>
            <w:tcW w:w="809"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2024.03.05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6"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轻便三杯风向风速表DEM6（TSHL-YQ-0</w:t>
            </w:r>
            <w:r>
              <w:rPr>
                <w:rFonts w:hint="eastAsia" w:ascii="Times New Roman" w:hAnsi="Times New Roman" w:eastAsia="宋体" w:cs="Times New Roman"/>
                <w:color w:val="auto"/>
                <w:sz w:val="21"/>
                <w:szCs w:val="21"/>
                <w:lang w:val="en-US" w:eastAsia="zh-CN"/>
              </w:rPr>
              <w:t>58</w:t>
            </w:r>
            <w:r>
              <w:rPr>
                <w:rFonts w:hint="default" w:ascii="Times New Roman" w:hAnsi="Times New Roman" w:eastAsia="宋体" w:cs="Times New Roman"/>
                <w:color w:val="auto"/>
                <w:sz w:val="21"/>
                <w:szCs w:val="21"/>
                <w:lang w:eastAsia="zh-CN"/>
              </w:rPr>
              <w:t>）</w:t>
            </w:r>
          </w:p>
        </w:tc>
        <w:tc>
          <w:tcPr>
            <w:tcW w:w="859"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检定</w:t>
            </w:r>
          </w:p>
        </w:tc>
        <w:tc>
          <w:tcPr>
            <w:tcW w:w="809"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2024.07.18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vMerge w:val="continue"/>
            <w:noWrap w:val="0"/>
            <w:vAlign w:val="center"/>
          </w:tcPr>
          <w:p>
            <w:pPr>
              <w:spacing w:line="280" w:lineRule="exact"/>
              <w:jc w:val="center"/>
              <w:rPr>
                <w:rFonts w:hint="default" w:ascii="Times New Roman" w:hAnsi="Times New Roman" w:eastAsia="宋体" w:cs="Times New Roman"/>
                <w:color w:val="auto"/>
                <w:sz w:val="21"/>
                <w:szCs w:val="21"/>
                <w:highlight w:val="yellow"/>
                <w:lang w:eastAsia="zh-CN"/>
              </w:rPr>
            </w:pPr>
          </w:p>
        </w:tc>
        <w:tc>
          <w:tcPr>
            <w:tcW w:w="2936"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声校准器AWA6022A（TSHL-YQ-100）</w:t>
            </w:r>
          </w:p>
        </w:tc>
        <w:tc>
          <w:tcPr>
            <w:tcW w:w="859"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检定</w:t>
            </w:r>
          </w:p>
        </w:tc>
        <w:tc>
          <w:tcPr>
            <w:tcW w:w="809" w:type="pct"/>
            <w:noWrap w:val="0"/>
            <w:vAlign w:val="center"/>
          </w:tcPr>
          <w:p>
            <w:pPr>
              <w:spacing w:line="240" w:lineRule="atLeast"/>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2024.03.05</w:t>
            </w:r>
          </w:p>
        </w:tc>
      </w:tr>
    </w:tbl>
    <w:p>
      <w:pPr>
        <w:pStyle w:val="26"/>
        <w:rPr>
          <w:rFonts w:hint="default"/>
        </w:rPr>
      </w:pPr>
    </w:p>
    <w:p>
      <w:pPr>
        <w:pStyle w:val="7"/>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highlight w:val="none"/>
          <w14:textFill>
            <w14:solidFill>
              <w14:schemeClr w14:val="tx1"/>
            </w14:solidFill>
          </w14:textFill>
        </w:rPr>
      </w:pPr>
      <w:bookmarkStart w:id="38" w:name="_Toc23169"/>
      <w:r>
        <w:rPr>
          <w:rFonts w:hint="default" w:ascii="Times New Roman" w:hAnsi="Times New Roman" w:eastAsia="宋体" w:cs="Times New Roman"/>
          <w:color w:val="000000" w:themeColor="text1"/>
          <w:highlight w:val="none"/>
          <w14:textFill>
            <w14:solidFill>
              <w14:schemeClr w14:val="tx1"/>
            </w14:solidFill>
          </w14:textFill>
        </w:rPr>
        <w:t>9验收监测结果</w:t>
      </w:r>
      <w:bookmarkEnd w:id="38"/>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9" w:name="_Toc8225"/>
      <w:r>
        <w:rPr>
          <w:rFonts w:hint="default" w:ascii="Times New Roman" w:hAnsi="Times New Roman" w:eastAsia="宋体" w:cs="Times New Roman"/>
          <w:color w:val="000000" w:themeColor="text1"/>
          <w14:textFill>
            <w14:solidFill>
              <w14:schemeClr w14:val="tx1"/>
            </w14:solidFill>
          </w14:textFill>
        </w:rPr>
        <w:t>9.1生产工况</w:t>
      </w:r>
      <w:bookmarkEnd w:id="3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auto"/>
          <w:kern w:val="2"/>
          <w:sz w:val="24"/>
          <w:szCs w:val="24"/>
          <w:highlight w:val="none"/>
          <w:lang w:val="en-US" w:eastAsia="zh-CN" w:bidi="ar-SA"/>
        </w:rPr>
        <w:t>开滦（集团）有限责任公司唐山矿业分公司</w:t>
      </w:r>
      <w:r>
        <w:rPr>
          <w:rFonts w:hint="default"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t>委托</w:t>
      </w:r>
      <w:r>
        <w:rPr>
          <w:rFonts w:hint="eastAsia"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t>唐山赫力环境检测有限公司</w:t>
      </w:r>
      <w:r>
        <w:rPr>
          <w:rFonts w:hint="default" w:ascii="Times New Roman" w:hAnsi="Times New Roman" w:eastAsia="宋体" w:cs="Times New Roman"/>
          <w:color w:val="000000" w:themeColor="text1"/>
          <w:sz w:val="24"/>
          <w14:textFill>
            <w14:solidFill>
              <w14:schemeClr w14:val="tx1"/>
            </w14:solidFill>
          </w14:textFill>
        </w:rPr>
        <w:t>于</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11</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17</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日至</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11</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18</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w:t>
      </w:r>
      <w:r>
        <w:rPr>
          <w:rFonts w:hint="default" w:ascii="Times New Roman" w:hAnsi="Times New Roman" w:eastAsia="宋体" w:cs="Times New Roman"/>
          <w:color w:val="000000" w:themeColor="text1"/>
          <w:sz w:val="24"/>
          <w:lang w:val="en-US" w:eastAsia="zh-CN"/>
          <w14:textFill>
            <w14:solidFill>
              <w14:schemeClr w14:val="tx1"/>
            </w14:solidFill>
          </w14:textFill>
        </w:rPr>
        <w:t>进</w:t>
      </w:r>
      <w:r>
        <w:rPr>
          <w:rFonts w:hint="default" w:ascii="Times New Roman" w:hAnsi="Times New Roman" w:eastAsia="宋体" w:cs="Times New Roman"/>
          <w:color w:val="000000" w:themeColor="text1"/>
          <w:sz w:val="24"/>
          <w14:textFill>
            <w14:solidFill>
              <w14:schemeClr w14:val="tx1"/>
            </w14:solidFill>
          </w14:textFill>
        </w:rPr>
        <w:t>行了竣工验收检测并出具检测报告，监测期间企业</w:t>
      </w:r>
      <w:r>
        <w:rPr>
          <w:rFonts w:hint="default" w:ascii="Times New Roman" w:hAnsi="Times New Roman" w:eastAsia="宋体" w:cs="Times New Roman"/>
          <w:color w:val="000000" w:themeColor="text1"/>
          <w:sz w:val="24"/>
          <w:lang w:val="en-US" w:eastAsia="zh-CN"/>
          <w14:textFill>
            <w14:solidFill>
              <w14:schemeClr w14:val="tx1"/>
            </w14:solidFill>
          </w14:textFill>
        </w:rPr>
        <w:t>正常生产</w:t>
      </w:r>
      <w:r>
        <w:rPr>
          <w:rFonts w:hint="default" w:ascii="Times New Roman" w:hAnsi="Times New Roman" w:eastAsia="宋体" w:cs="Times New Roman"/>
          <w:color w:val="000000" w:themeColor="text1"/>
          <w:sz w:val="24"/>
          <w14:textFill>
            <w14:solidFill>
              <w14:schemeClr w14:val="tx1"/>
            </w14:solidFill>
          </w14:textFill>
        </w:rPr>
        <w:t>，满足环保验收检测技术要求。</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40" w:name="_Toc29578"/>
      <w:r>
        <w:rPr>
          <w:rFonts w:hint="default" w:ascii="Times New Roman" w:hAnsi="Times New Roman" w:eastAsia="宋体" w:cs="Times New Roman"/>
          <w:color w:val="000000" w:themeColor="text1"/>
          <w14:textFill>
            <w14:solidFill>
              <w14:schemeClr w14:val="tx1"/>
            </w14:solidFill>
          </w14:textFill>
        </w:rPr>
        <w:t>9.2环保设施调试运行效果</w:t>
      </w:r>
      <w:bookmarkEnd w:id="40"/>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9.2.1废气治理设施</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表9-</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b/>
          <w:color w:val="000000" w:themeColor="text1"/>
          <w:sz w:val="24"/>
          <w:szCs w:val="24"/>
          <w14:textFill>
            <w14:solidFill>
              <w14:schemeClr w14:val="tx1"/>
            </w14:solidFill>
          </w14:textFill>
        </w:rPr>
        <w:t>项目</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无</w:t>
      </w:r>
      <w:r>
        <w:rPr>
          <w:rFonts w:hint="default" w:ascii="Times New Roman" w:hAnsi="Times New Roman" w:eastAsia="宋体" w:cs="Times New Roman"/>
          <w:b/>
          <w:color w:val="000000" w:themeColor="text1"/>
          <w:sz w:val="24"/>
          <w:szCs w:val="24"/>
          <w14:textFill>
            <w14:solidFill>
              <w14:schemeClr w14:val="tx1"/>
            </w14:solidFill>
          </w14:textFill>
        </w:rPr>
        <w:t>组织废气监测结果一览表</w:t>
      </w:r>
    </w:p>
    <w:tbl>
      <w:tblPr>
        <w:tblStyle w:val="32"/>
        <w:tblW w:w="51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1364"/>
        <w:gridCol w:w="636"/>
        <w:gridCol w:w="652"/>
        <w:gridCol w:w="692"/>
        <w:gridCol w:w="607"/>
        <w:gridCol w:w="807"/>
        <w:gridCol w:w="1636"/>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672" w:type="pct"/>
            <w:vMerge w:val="restar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eastAsia" w:ascii="Times New Roman" w:cs="Times New Roman"/>
                <w:sz w:val="21"/>
                <w:szCs w:val="21"/>
                <w:lang w:val="en-US" w:eastAsia="zh-CN"/>
              </w:rPr>
              <w:t>检测项目及</w:t>
            </w:r>
            <w:r>
              <w:rPr>
                <w:rFonts w:hint="default" w:ascii="Times New Roman" w:hAnsi="Times New Roman" w:eastAsia="宋体" w:cs="Times New Roman"/>
                <w:sz w:val="21"/>
                <w:szCs w:val="21"/>
              </w:rPr>
              <w:t>日期</w:t>
            </w:r>
          </w:p>
        </w:tc>
        <w:tc>
          <w:tcPr>
            <w:tcW w:w="778" w:type="pct"/>
            <w:vMerge w:val="restar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检测</w:t>
            </w:r>
            <w:r>
              <w:rPr>
                <w:rFonts w:hint="eastAsia" w:ascii="Times New Roman" w:cs="Times New Roman"/>
                <w:sz w:val="21"/>
                <w:szCs w:val="21"/>
                <w:lang w:val="en-US" w:eastAsia="zh-CN"/>
              </w:rPr>
              <w:t>点位</w:t>
            </w:r>
          </w:p>
        </w:tc>
        <w:tc>
          <w:tcPr>
            <w:tcW w:w="1937" w:type="pct"/>
            <w:gridSpan w:val="5"/>
            <w:noWrap w:val="0"/>
            <w:vAlign w:val="center"/>
          </w:tcPr>
          <w:p>
            <w:pPr>
              <w:pStyle w:val="26"/>
              <w:keepNext w:val="0"/>
              <w:keepLines w:val="0"/>
              <w:pageBreakBefore w:val="0"/>
              <w:widowControl w:val="0"/>
              <w:kinsoku/>
              <w:wordWrap/>
              <w:overflowPunct/>
              <w:topLinePunct w:val="0"/>
              <w:autoSpaceDE w:val="0"/>
              <w:autoSpaceDN w:val="0"/>
              <w:bidi w:val="0"/>
              <w:adjustRightInd w:val="0"/>
              <w:snapToGrid/>
              <w:spacing w:beforeLines="0" w:afterLines="0"/>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检测</w:t>
            </w:r>
            <w:r>
              <w:rPr>
                <w:rFonts w:hint="eastAsia" w:ascii="Times New Roman" w:cs="Times New Roman"/>
                <w:sz w:val="21"/>
                <w:szCs w:val="21"/>
                <w:lang w:val="en-US" w:eastAsia="zh-CN"/>
              </w:rPr>
              <w:t>频次及</w:t>
            </w:r>
            <w:r>
              <w:rPr>
                <w:rFonts w:hint="default" w:ascii="Times New Roman" w:hAnsi="Times New Roman" w:eastAsia="宋体" w:cs="Times New Roman"/>
                <w:sz w:val="21"/>
                <w:szCs w:val="21"/>
              </w:rPr>
              <w:t>结果</w:t>
            </w:r>
            <w:r>
              <w:rPr>
                <w:rFonts w:hint="eastAsia" w:ascii="Times New Roman" w:cs="Times New Roman"/>
                <w:sz w:val="21"/>
                <w:szCs w:val="21"/>
                <w:lang w:val="en-US" w:eastAsia="zh-CN"/>
              </w:rPr>
              <w:t>(单位：</w:t>
            </w:r>
            <w:r>
              <w:rPr>
                <w:rStyle w:val="36"/>
                <w:rFonts w:ascii="Arial" w:hAnsi="Arial" w:eastAsia="宋体" w:cs="Arial"/>
                <w:i w:val="0"/>
                <w:iCs w:val="0"/>
                <w:caps w:val="0"/>
                <w:color w:val="auto"/>
                <w:spacing w:val="0"/>
                <w:sz w:val="19"/>
                <w:szCs w:val="19"/>
                <w:shd w:val="clear" w:fill="FFFFFF"/>
              </w:rPr>
              <w:t>μ</w:t>
            </w:r>
            <w:r>
              <w:rPr>
                <w:rFonts w:hint="default" w:ascii="Times New Roman" w:hAnsi="Times New Roman" w:eastAsia="宋体" w:cs="Times New Roman"/>
                <w:bCs/>
                <w:sz w:val="21"/>
                <w:szCs w:val="21"/>
              </w:rPr>
              <w:t>g/m</w:t>
            </w:r>
            <w:r>
              <w:rPr>
                <w:rFonts w:hint="default" w:ascii="Times New Roman" w:hAnsi="Times New Roman" w:eastAsia="宋体" w:cs="Times New Roman"/>
                <w:bCs/>
                <w:sz w:val="21"/>
                <w:szCs w:val="21"/>
                <w:vertAlign w:val="superscript"/>
              </w:rPr>
              <w:t>3</w:t>
            </w:r>
            <w:r>
              <w:rPr>
                <w:rFonts w:hint="eastAsia" w:ascii="Times New Roman" w:cs="Times New Roman"/>
                <w:bCs/>
                <w:sz w:val="21"/>
                <w:szCs w:val="21"/>
                <w:vertAlign w:val="baseline"/>
                <w:lang w:eastAsia="zh-CN"/>
              </w:rPr>
              <w:t>）</w:t>
            </w:r>
          </w:p>
        </w:tc>
        <w:tc>
          <w:tcPr>
            <w:tcW w:w="1611" w:type="pct"/>
            <w:gridSpan w:val="2"/>
            <w:noWrap w:val="0"/>
            <w:vAlign w:val="center"/>
          </w:tcPr>
          <w:p>
            <w:pPr>
              <w:pStyle w:val="26"/>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left="0" w:lef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672" w:type="pct"/>
            <w:vMerge w:val="continue"/>
            <w:noWrap w:val="0"/>
            <w:vAlign w:val="center"/>
          </w:tcPr>
          <w:p>
            <w:pPr>
              <w:pStyle w:val="26"/>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17.5</w:t>
            </w:r>
          </w:p>
        </w:tc>
        <w:tc>
          <w:tcPr>
            <w:tcW w:w="778" w:type="pct"/>
            <w:vMerge w:val="continue"/>
            <w:noWrap w:val="0"/>
            <w:vAlign w:val="center"/>
          </w:tcPr>
          <w:p>
            <w:pPr>
              <w:pStyle w:val="26"/>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363"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372"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395"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346"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eastAsia" w:ascii="Times New Roman" w:hAnsi="Times New Roman" w:eastAsia="宋体" w:cs="Times New Roman"/>
                <w:sz w:val="21"/>
                <w:szCs w:val="21"/>
                <w:lang w:val="en-US" w:eastAsia="zh-CN"/>
              </w:rPr>
            </w:pPr>
            <w:r>
              <w:rPr>
                <w:rFonts w:hint="eastAsia" w:ascii="Times New Roman" w:cs="Times New Roman"/>
                <w:sz w:val="21"/>
                <w:szCs w:val="21"/>
                <w:lang w:val="en-US" w:eastAsia="zh-CN"/>
              </w:rPr>
              <w:t>4</w:t>
            </w:r>
          </w:p>
        </w:tc>
        <w:tc>
          <w:tcPr>
            <w:tcW w:w="46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eastAsia" w:ascii="Times New Roman" w:cs="Times New Roman"/>
                <w:sz w:val="21"/>
                <w:szCs w:val="21"/>
                <w:lang w:val="en-US" w:eastAsia="zh-CN"/>
              </w:rPr>
              <w:t>最大</w:t>
            </w:r>
            <w:r>
              <w:rPr>
                <w:rFonts w:hint="default" w:ascii="Times New Roman" w:hAnsi="Times New Roman" w:eastAsia="宋体" w:cs="Times New Roman"/>
                <w:sz w:val="21"/>
                <w:szCs w:val="21"/>
              </w:rPr>
              <w:t>值</w:t>
            </w:r>
          </w:p>
        </w:tc>
        <w:tc>
          <w:tcPr>
            <w:tcW w:w="934"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w:t>
            </w:r>
          </w:p>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限值</w:t>
            </w:r>
          </w:p>
        </w:tc>
        <w:tc>
          <w:tcPr>
            <w:tcW w:w="677"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72"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总悬浮颗粒物</w:t>
            </w:r>
          </w:p>
          <w:p>
            <w:pPr>
              <w:keepNext/>
              <w:keepLines/>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lang w:val="en-US" w:eastAsia="zh-CN"/>
              </w:rPr>
            </w:pPr>
            <w:r>
              <w:rPr>
                <w:rFonts w:hint="eastAsia" w:ascii="Times New Roman" w:hAnsi="Times New Roman" w:eastAsia="宋体" w:cs="Times New Roman"/>
                <w:b w:val="0"/>
                <w:bCs w:val="0"/>
                <w:color w:val="000000"/>
                <w:kern w:val="0"/>
                <w:sz w:val="21"/>
                <w:szCs w:val="21"/>
                <w:highlight w:val="none"/>
                <w:lang w:val="en-US" w:eastAsia="zh-CN" w:bidi="ar-SA"/>
              </w:rPr>
              <w:t>2023.11.17</w:t>
            </w:r>
          </w:p>
        </w:tc>
        <w:tc>
          <w:tcPr>
            <w:tcW w:w="778"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参照点 1#</w:t>
            </w:r>
          </w:p>
        </w:tc>
        <w:tc>
          <w:tcPr>
            <w:tcW w:w="363"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201</w:t>
            </w:r>
          </w:p>
        </w:tc>
        <w:tc>
          <w:tcPr>
            <w:tcW w:w="372"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198</w:t>
            </w:r>
          </w:p>
        </w:tc>
        <w:tc>
          <w:tcPr>
            <w:tcW w:w="3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194</w:t>
            </w:r>
          </w:p>
        </w:tc>
        <w:tc>
          <w:tcPr>
            <w:tcW w:w="346"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202</w:t>
            </w:r>
          </w:p>
        </w:tc>
        <w:tc>
          <w:tcPr>
            <w:tcW w:w="460" w:type="pct"/>
            <w:vMerge w:val="restar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333</w:t>
            </w:r>
          </w:p>
        </w:tc>
        <w:tc>
          <w:tcPr>
            <w:tcW w:w="934" w:type="pct"/>
            <w:vMerge w:val="restart"/>
            <w:noWrap w:val="0"/>
            <w:vAlign w:val="center"/>
          </w:tcPr>
          <w:p>
            <w:pPr>
              <w:keepNext w:val="0"/>
              <w:keepLines w:val="0"/>
              <w:pageBreakBefore w:val="0"/>
              <w:widowControl/>
              <w:kinsoku/>
              <w:wordWrap/>
              <w:overflowPunct/>
              <w:topLinePunct w:val="0"/>
              <w:bidi w:val="0"/>
              <w:snapToGrid/>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执行《煤炭工业污染物排放标准》（GB20426-2006）表5中煤炭贮存场所、煤矸石堆置场颗粒物无组织排放限值：1.0mg/m</w:t>
            </w:r>
            <w:r>
              <w:rPr>
                <w:rFonts w:hint="default" w:ascii="Times New Roman" w:hAnsi="Times New Roman" w:eastAsia="宋体" w:cs="Times New Roman"/>
                <w:sz w:val="21"/>
                <w:szCs w:val="21"/>
                <w:highlight w:val="none"/>
                <w:vertAlign w:val="superscript"/>
              </w:rPr>
              <w:t>3</w:t>
            </w:r>
            <w:r>
              <w:rPr>
                <w:rFonts w:hint="default" w:ascii="Times New Roman" w:hAnsi="Times New Roman" w:eastAsia="宋体" w:cs="Times New Roman"/>
                <w:sz w:val="21"/>
                <w:szCs w:val="21"/>
                <w:highlight w:val="none"/>
              </w:rPr>
              <w:t>（周界外质量浓度最高点）的要求</w:t>
            </w:r>
          </w:p>
        </w:tc>
        <w:tc>
          <w:tcPr>
            <w:tcW w:w="677" w:type="pct"/>
            <w:vMerge w:val="restart"/>
            <w:noWrap w:val="0"/>
            <w:vAlign w:val="center"/>
          </w:tcPr>
          <w:p>
            <w:pPr>
              <w:keepNext w:val="0"/>
              <w:keepLines w:val="0"/>
              <w:pageBreakBefore w:val="0"/>
              <w:widowControl/>
              <w:kinsoku/>
              <w:wordWrap/>
              <w:overflowPunct/>
              <w:topLinePunct w:val="0"/>
              <w:bidi w:val="0"/>
              <w:snapToGrid/>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72" w:type="pct"/>
            <w:vMerge w:val="continue"/>
            <w:noWrap w:val="0"/>
            <w:vAlign w:val="center"/>
          </w:tcPr>
          <w:p>
            <w:pPr>
              <w:pStyle w:val="26"/>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778"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 2#</w:t>
            </w:r>
          </w:p>
        </w:tc>
        <w:tc>
          <w:tcPr>
            <w:tcW w:w="363"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rPr>
            </w:pPr>
            <w:r>
              <w:rPr>
                <w:rFonts w:hint="eastAsia" w:ascii="Times New Roman" w:hAnsi="Times New Roman" w:eastAsia="宋体" w:cs="Times New Roman"/>
                <w:i w:val="0"/>
                <w:iCs w:val="0"/>
                <w:color w:val="000000"/>
                <w:kern w:val="0"/>
                <w:sz w:val="21"/>
                <w:szCs w:val="21"/>
                <w:u w:val="none"/>
                <w:lang w:val="en-US" w:eastAsia="zh-CN" w:bidi="ar"/>
              </w:rPr>
              <w:t>256</w:t>
            </w:r>
          </w:p>
        </w:tc>
        <w:tc>
          <w:tcPr>
            <w:tcW w:w="372"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269</w:t>
            </w:r>
          </w:p>
        </w:tc>
        <w:tc>
          <w:tcPr>
            <w:tcW w:w="3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274</w:t>
            </w:r>
          </w:p>
        </w:tc>
        <w:tc>
          <w:tcPr>
            <w:tcW w:w="346"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268</w:t>
            </w:r>
          </w:p>
        </w:tc>
        <w:tc>
          <w:tcPr>
            <w:tcW w:w="460" w:type="pct"/>
            <w:vMerge w:val="continue"/>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p>
        </w:tc>
        <w:tc>
          <w:tcPr>
            <w:tcW w:w="934"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p>
        </w:tc>
        <w:tc>
          <w:tcPr>
            <w:tcW w:w="677"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72" w:type="pct"/>
            <w:vMerge w:val="continue"/>
            <w:noWrap w:val="0"/>
            <w:vAlign w:val="center"/>
          </w:tcPr>
          <w:p>
            <w:pPr>
              <w:pStyle w:val="26"/>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778"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 3#</w:t>
            </w:r>
          </w:p>
        </w:tc>
        <w:tc>
          <w:tcPr>
            <w:tcW w:w="363"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317</w:t>
            </w:r>
          </w:p>
        </w:tc>
        <w:tc>
          <w:tcPr>
            <w:tcW w:w="372"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309</w:t>
            </w:r>
          </w:p>
        </w:tc>
        <w:tc>
          <w:tcPr>
            <w:tcW w:w="3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325</w:t>
            </w:r>
          </w:p>
        </w:tc>
        <w:tc>
          <w:tcPr>
            <w:tcW w:w="346"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333</w:t>
            </w:r>
          </w:p>
        </w:tc>
        <w:tc>
          <w:tcPr>
            <w:tcW w:w="460" w:type="pct"/>
            <w:vMerge w:val="continue"/>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p>
        </w:tc>
        <w:tc>
          <w:tcPr>
            <w:tcW w:w="934"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p>
        </w:tc>
        <w:tc>
          <w:tcPr>
            <w:tcW w:w="677"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72" w:type="pct"/>
            <w:vMerge w:val="continue"/>
            <w:noWrap w:val="0"/>
            <w:vAlign w:val="center"/>
          </w:tcPr>
          <w:p>
            <w:pPr>
              <w:pStyle w:val="26"/>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778"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监控点4#</w:t>
            </w:r>
          </w:p>
        </w:tc>
        <w:tc>
          <w:tcPr>
            <w:tcW w:w="363"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273</w:t>
            </w:r>
          </w:p>
        </w:tc>
        <w:tc>
          <w:tcPr>
            <w:tcW w:w="372"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269</w:t>
            </w:r>
          </w:p>
        </w:tc>
        <w:tc>
          <w:tcPr>
            <w:tcW w:w="3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283</w:t>
            </w:r>
          </w:p>
        </w:tc>
        <w:tc>
          <w:tcPr>
            <w:tcW w:w="346"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280</w:t>
            </w:r>
          </w:p>
        </w:tc>
        <w:tc>
          <w:tcPr>
            <w:tcW w:w="460" w:type="pct"/>
            <w:vMerge w:val="continue"/>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p>
        </w:tc>
        <w:tc>
          <w:tcPr>
            <w:tcW w:w="934"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lang w:val="en-US" w:eastAsia="zh-CN"/>
              </w:rPr>
            </w:pPr>
          </w:p>
        </w:tc>
        <w:tc>
          <w:tcPr>
            <w:tcW w:w="677"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72"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总悬浮颗粒物</w:t>
            </w:r>
          </w:p>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sz w:val="21"/>
                <w:szCs w:val="21"/>
                <w:highlight w:val="none"/>
                <w:lang w:val="en-US" w:eastAsia="zh-CN"/>
              </w:rPr>
              <w:t>2023.11.1</w:t>
            </w:r>
            <w:r>
              <w:rPr>
                <w:rFonts w:hint="default" w:ascii="Times New Roman" w:hAnsi="Times New Roman" w:cs="Times New Roman"/>
                <w:b w:val="0"/>
                <w:bCs w:val="0"/>
                <w:sz w:val="21"/>
                <w:szCs w:val="21"/>
                <w:highlight w:val="none"/>
                <w:lang w:val="en-US" w:eastAsia="zh-CN"/>
              </w:rPr>
              <w:t>8</w:t>
            </w:r>
          </w:p>
        </w:tc>
        <w:tc>
          <w:tcPr>
            <w:tcW w:w="778"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参照点 1#</w:t>
            </w:r>
          </w:p>
        </w:tc>
        <w:tc>
          <w:tcPr>
            <w:tcW w:w="363"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194</w:t>
            </w:r>
          </w:p>
        </w:tc>
        <w:tc>
          <w:tcPr>
            <w:tcW w:w="372"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202</w:t>
            </w:r>
          </w:p>
        </w:tc>
        <w:tc>
          <w:tcPr>
            <w:tcW w:w="3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209</w:t>
            </w:r>
          </w:p>
        </w:tc>
        <w:tc>
          <w:tcPr>
            <w:tcW w:w="346"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202</w:t>
            </w:r>
          </w:p>
        </w:tc>
        <w:tc>
          <w:tcPr>
            <w:tcW w:w="460" w:type="pct"/>
            <w:vMerge w:val="restar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337</w:t>
            </w:r>
          </w:p>
        </w:tc>
        <w:tc>
          <w:tcPr>
            <w:tcW w:w="934"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p>
        </w:tc>
        <w:tc>
          <w:tcPr>
            <w:tcW w:w="677" w:type="pct"/>
            <w:vMerge w:val="restart"/>
            <w:noWrap w:val="0"/>
            <w:vAlign w:val="center"/>
          </w:tcPr>
          <w:p>
            <w:pPr>
              <w:keepNext w:val="0"/>
              <w:keepLines w:val="0"/>
              <w:pageBreakBefore w:val="0"/>
              <w:kinsoku/>
              <w:wordWrap/>
              <w:overflowPunct/>
              <w:topLinePunct w:val="0"/>
              <w:bidi w:val="0"/>
              <w:snapToGrid/>
              <w:jc w:val="center"/>
              <w:rPr>
                <w:rFonts w:hint="eastAsia" w:ascii="Times New Roman" w:hAnsi="Times New Roman" w:eastAsia="宋体" w:cs="Times New Roman"/>
                <w:spacing w:val="-20"/>
                <w:w w:val="90"/>
                <w:sz w:val="21"/>
                <w:szCs w:val="21"/>
                <w:lang w:val="en-US" w:eastAsia="zh-CN"/>
              </w:rPr>
            </w:pPr>
            <w:r>
              <w:rPr>
                <w:rFonts w:hint="eastAsia" w:ascii="Times New Roman" w:hAnsi="Times New Roman" w:eastAsia="宋体" w:cs="Times New Roman"/>
                <w:sz w:val="21"/>
                <w:szCs w:val="21"/>
                <w:highlight w:val="no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72" w:type="pct"/>
            <w:vMerge w:val="continue"/>
            <w:noWrap w:val="0"/>
            <w:vAlign w:val="center"/>
          </w:tcPr>
          <w:p>
            <w:pPr>
              <w:pStyle w:val="26"/>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778"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 2#</w:t>
            </w:r>
          </w:p>
        </w:tc>
        <w:tc>
          <w:tcPr>
            <w:tcW w:w="363"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266</w:t>
            </w:r>
          </w:p>
        </w:tc>
        <w:tc>
          <w:tcPr>
            <w:tcW w:w="372"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285</w:t>
            </w:r>
          </w:p>
        </w:tc>
        <w:tc>
          <w:tcPr>
            <w:tcW w:w="3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284</w:t>
            </w:r>
          </w:p>
        </w:tc>
        <w:tc>
          <w:tcPr>
            <w:tcW w:w="346"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284</w:t>
            </w:r>
          </w:p>
        </w:tc>
        <w:tc>
          <w:tcPr>
            <w:tcW w:w="460" w:type="pct"/>
            <w:vMerge w:val="continue"/>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p>
        </w:tc>
        <w:tc>
          <w:tcPr>
            <w:tcW w:w="934"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p>
        </w:tc>
        <w:tc>
          <w:tcPr>
            <w:tcW w:w="677"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72" w:type="pct"/>
            <w:vMerge w:val="continue"/>
            <w:noWrap w:val="0"/>
            <w:vAlign w:val="center"/>
          </w:tcPr>
          <w:p>
            <w:pPr>
              <w:pStyle w:val="26"/>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778"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 3#</w:t>
            </w:r>
          </w:p>
        </w:tc>
        <w:tc>
          <w:tcPr>
            <w:tcW w:w="363"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317</w:t>
            </w:r>
          </w:p>
        </w:tc>
        <w:tc>
          <w:tcPr>
            <w:tcW w:w="372"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337</w:t>
            </w:r>
          </w:p>
        </w:tc>
        <w:tc>
          <w:tcPr>
            <w:tcW w:w="3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324</w:t>
            </w:r>
          </w:p>
        </w:tc>
        <w:tc>
          <w:tcPr>
            <w:tcW w:w="346"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313</w:t>
            </w:r>
          </w:p>
        </w:tc>
        <w:tc>
          <w:tcPr>
            <w:tcW w:w="460" w:type="pct"/>
            <w:vMerge w:val="continue"/>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p>
        </w:tc>
        <w:tc>
          <w:tcPr>
            <w:tcW w:w="934"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p>
        </w:tc>
        <w:tc>
          <w:tcPr>
            <w:tcW w:w="677"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72" w:type="pct"/>
            <w:vMerge w:val="continue"/>
            <w:noWrap w:val="0"/>
            <w:vAlign w:val="center"/>
          </w:tcPr>
          <w:p>
            <w:pPr>
              <w:pStyle w:val="26"/>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778"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监控点4#</w:t>
            </w:r>
          </w:p>
        </w:tc>
        <w:tc>
          <w:tcPr>
            <w:tcW w:w="363"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273</w:t>
            </w:r>
          </w:p>
        </w:tc>
        <w:tc>
          <w:tcPr>
            <w:tcW w:w="372"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280</w:t>
            </w:r>
          </w:p>
        </w:tc>
        <w:tc>
          <w:tcPr>
            <w:tcW w:w="3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292</w:t>
            </w:r>
          </w:p>
        </w:tc>
        <w:tc>
          <w:tcPr>
            <w:tcW w:w="346"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274</w:t>
            </w:r>
          </w:p>
        </w:tc>
        <w:tc>
          <w:tcPr>
            <w:tcW w:w="460" w:type="pct"/>
            <w:vMerge w:val="continue"/>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p>
        </w:tc>
        <w:tc>
          <w:tcPr>
            <w:tcW w:w="934"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p>
        </w:tc>
        <w:tc>
          <w:tcPr>
            <w:tcW w:w="677" w:type="pct"/>
            <w:vMerge w:val="continue"/>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rPr>
      </w:pPr>
      <w:r>
        <w:rPr>
          <w:rFonts w:hint="default" w:ascii="Times New Roman" w:hAnsi="Times New Roman" w:eastAsia="宋体" w:cs="Times New Roman"/>
          <w:color w:val="000000" w:themeColor="text1"/>
          <w:sz w:val="24"/>
          <w14:textFill>
            <w14:solidFill>
              <w14:schemeClr w14:val="tx1"/>
            </w14:solidFill>
          </w14:textFill>
        </w:rPr>
        <w:t>经</w:t>
      </w:r>
      <w:r>
        <w:rPr>
          <w:rFonts w:hint="eastAsia" w:ascii="Times New Roman" w:hAnsi="Times New Roman" w:eastAsia="宋体" w:cs="Times New Roman"/>
          <w:color w:val="000000" w:themeColor="text1"/>
          <w:sz w:val="24"/>
          <w:lang w:val="en-US" w:eastAsia="zh-CN"/>
          <w14:textFill>
            <w14:solidFill>
              <w14:schemeClr w14:val="tx1"/>
            </w14:solidFill>
          </w14:textFill>
        </w:rPr>
        <w:t>检</w:t>
      </w:r>
      <w:r>
        <w:rPr>
          <w:rFonts w:hint="default" w:ascii="Times New Roman" w:hAnsi="Times New Roman" w:eastAsia="宋体" w:cs="Times New Roman"/>
          <w:color w:val="000000" w:themeColor="text1"/>
          <w:sz w:val="24"/>
          <w14:textFill>
            <w14:solidFill>
              <w14:schemeClr w14:val="tx1"/>
            </w14:solidFill>
          </w14:textFill>
        </w:rPr>
        <w:t>测</w:t>
      </w:r>
      <w:r>
        <w:rPr>
          <w:rFonts w:hint="eastAsia" w:ascii="Times New Roman" w:hAnsi="Times New Roman" w:eastAsia="宋体" w:cs="Times New Roman"/>
          <w:color w:val="000000" w:themeColor="text1"/>
          <w:sz w:val="24"/>
          <w:lang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无组织</w:t>
      </w:r>
      <w:r>
        <w:rPr>
          <w:rFonts w:hint="default" w:ascii="Times New Roman" w:hAnsi="Times New Roman" w:eastAsia="宋体" w:cs="Times New Roman"/>
          <w:color w:val="000000" w:themeColor="text1"/>
          <w:sz w:val="24"/>
          <w14:textFill>
            <w14:solidFill>
              <w14:schemeClr w14:val="tx1"/>
            </w14:solidFill>
          </w14:textFill>
        </w:rPr>
        <w:t>颗粒物最大排放浓度为</w:t>
      </w:r>
      <w:r>
        <w:rPr>
          <w:rFonts w:hint="eastAsia" w:ascii="Times New Roman" w:hAnsi="Times New Roman" w:eastAsia="宋体" w:cs="Times New Roman"/>
          <w:color w:val="000000" w:themeColor="text1"/>
          <w:sz w:val="24"/>
          <w:lang w:val="en-US" w:eastAsia="zh-CN"/>
          <w14:textFill>
            <w14:solidFill>
              <w14:schemeClr w14:val="tx1"/>
            </w14:solidFill>
          </w14:textFill>
        </w:rPr>
        <w:t>0.337</w:t>
      </w:r>
      <w:r>
        <w:rPr>
          <w:rFonts w:hint="default" w:ascii="Times New Roman" w:hAnsi="Times New Roman" w:eastAsia="宋体" w:cs="Times New Roman"/>
          <w:color w:val="000000" w:themeColor="text1"/>
          <w:sz w:val="24"/>
          <w14:textFill>
            <w14:solidFill>
              <w14:schemeClr w14:val="tx1"/>
            </w14:solidFill>
          </w14:textFill>
        </w:rPr>
        <w:t>mg/m</w:t>
      </w:r>
      <w:r>
        <w:rPr>
          <w:rFonts w:hint="default" w:ascii="Times New Roman" w:hAnsi="Times New Roman" w:eastAsia="宋体" w:cs="Times New Roman"/>
          <w:color w:val="000000" w:themeColor="text1"/>
          <w:sz w:val="24"/>
          <w:vertAlign w:val="superscript"/>
          <w14:textFill>
            <w14:solidFill>
              <w14:schemeClr w14:val="tx1"/>
            </w14:solidFill>
          </w14:textFill>
        </w:rPr>
        <w:t>3</w:t>
      </w:r>
      <w:r>
        <w:rPr>
          <w:rFonts w:hint="default" w:ascii="Times New Roman" w:hAnsi="Times New Roman" w:eastAsia="宋体" w:cs="Times New Roman"/>
          <w:color w:val="000000" w:themeColor="text1"/>
          <w:sz w:val="24"/>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满足</w:t>
      </w:r>
      <w:r>
        <w:rPr>
          <w:rFonts w:hint="default" w:ascii="Times New Roman" w:hAnsi="Times New Roman" w:eastAsia="宋体" w:cs="Times New Roman"/>
          <w:color w:val="000000" w:themeColor="text1"/>
          <w:sz w:val="24"/>
          <w14:textFill>
            <w14:solidFill>
              <w14:schemeClr w14:val="tx1"/>
            </w14:solidFill>
          </w14:textFill>
        </w:rPr>
        <w:t>《煤炭工业污染物排放标准》（GB20426-2006）表5中煤炭贮存场所、煤矸石堆置场颗粒物无组织排放限值：1.0mg/m</w:t>
      </w:r>
      <w:r>
        <w:rPr>
          <w:rFonts w:hint="default" w:ascii="Times New Roman" w:hAnsi="Times New Roman" w:eastAsia="宋体" w:cs="Times New Roman"/>
          <w:color w:val="000000" w:themeColor="text1"/>
          <w:sz w:val="24"/>
          <w:vertAlign w:val="superscript"/>
          <w14:textFill>
            <w14:solidFill>
              <w14:schemeClr w14:val="tx1"/>
            </w14:solidFill>
          </w14:textFill>
        </w:rPr>
        <w:t>3</w:t>
      </w:r>
      <w:r>
        <w:rPr>
          <w:rFonts w:hint="default" w:ascii="Times New Roman" w:hAnsi="Times New Roman" w:eastAsia="宋体" w:cs="Times New Roman"/>
          <w:color w:val="000000" w:themeColor="text1"/>
          <w:sz w:val="24"/>
          <w14:textFill>
            <w14:solidFill>
              <w14:schemeClr w14:val="tx1"/>
            </w14:solidFill>
          </w14:textFill>
        </w:rPr>
        <w:t>（周界外质量浓度最高点）的要求</w:t>
      </w:r>
      <w:r>
        <w:rPr>
          <w:rFonts w:hint="default" w:ascii="Times New Roman" w:hAnsi="Times New Roman" w:eastAsia="宋体" w:cs="Times New Roman"/>
          <w:color w:val="auto"/>
          <w:sz w:val="24"/>
          <w:szCs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w:t>
      </w:r>
      <w:r>
        <w:rPr>
          <w:rFonts w:hint="eastAsia" w:ascii="Times New Roman" w:hAnsi="Times New Roman" w:eastAsia="宋体" w:cs="Times New Roman"/>
          <w:color w:val="000000" w:themeColor="text1"/>
          <w:lang w:val="en-US" w:eastAsia="zh-CN"/>
          <w14:textFill>
            <w14:solidFill>
              <w14:schemeClr w14:val="tx1"/>
            </w14:solidFill>
          </w14:textFill>
        </w:rPr>
        <w:t>2</w:t>
      </w:r>
      <w:r>
        <w:rPr>
          <w:rFonts w:hint="default" w:ascii="Times New Roman" w:hAnsi="Times New Roman" w:eastAsia="宋体" w:cs="Times New Roman"/>
          <w:color w:val="000000" w:themeColor="text1"/>
          <w14:textFill>
            <w14:solidFill>
              <w14:schemeClr w14:val="tx1"/>
            </w14:solidFill>
          </w14:textFill>
        </w:rPr>
        <w:t>噪声治理设施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rPr>
      </w:pPr>
      <w:r>
        <w:rPr>
          <w:rFonts w:hint="default" w:ascii="Times New Roman" w:hAnsi="Times New Roman" w:eastAsia="宋体" w:cs="Times New Roman"/>
          <w:color w:val="auto"/>
          <w:kern w:val="0"/>
          <w:sz w:val="24"/>
          <w:szCs w:val="21"/>
          <w:highlight w:val="none"/>
        </w:rPr>
        <w:t>由企业原有例行监测可知企业现有各厂界噪声均能够满足相关排放标准。由于本项目未增加产噪设备，且对原有露天块石料场进行封闭，可有效降低装卸噪声。本次仅对本项目周界噪声进行了现状监测</w:t>
      </w:r>
      <w:r>
        <w:rPr>
          <w:rFonts w:hint="eastAsia" w:ascii="Times New Roman" w:hAnsi="Times New Roman" w:eastAsia="宋体" w:cs="Times New Roman"/>
          <w:color w:val="auto"/>
          <w:kern w:val="0"/>
          <w:sz w:val="24"/>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color w:val="000000" w:themeColor="text1"/>
          <w:sz w:val="24"/>
          <w:szCs w:val="24"/>
          <w:lang w:eastAsia="zh-CN"/>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表9-</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2场</w:t>
      </w:r>
      <w:r>
        <w:rPr>
          <w:rFonts w:hint="default" w:ascii="Times New Roman" w:hAnsi="Times New Roman" w:eastAsia="宋体" w:cs="Times New Roman"/>
          <w:b/>
          <w:color w:val="000000" w:themeColor="text1"/>
          <w:sz w:val="24"/>
          <w:szCs w:val="24"/>
          <w14:textFill>
            <w14:solidFill>
              <w14:schemeClr w14:val="tx1"/>
            </w14:solidFill>
          </w14:textFill>
        </w:rPr>
        <w:t>界噪声监测结果</w:t>
      </w:r>
      <w:r>
        <w:rPr>
          <w:rFonts w:hint="default" w:ascii="Times New Roman" w:hAnsi="Times New Roman" w:eastAsia="宋体" w:cs="Times New Roman"/>
          <w:b/>
          <w:color w:val="000000" w:themeColor="text1"/>
          <w:sz w:val="24"/>
          <w:szCs w:val="24"/>
          <w:lang w:eastAsia="zh-CN"/>
          <w14:textFill>
            <w14:solidFill>
              <w14:schemeClr w14:val="tx1"/>
            </w14:solidFill>
          </w14:textFill>
        </w:rPr>
        <w:t>（</w:t>
      </w:r>
      <w:r>
        <w:rPr>
          <w:rFonts w:hint="default" w:ascii="Times New Roman" w:hAnsi="Times New Roman" w:eastAsia="宋体" w:cs="Times New Roman"/>
          <w:b/>
          <w:color w:val="000000" w:themeColor="text1"/>
          <w:sz w:val="24"/>
          <w:szCs w:val="24"/>
          <w14:textFill>
            <w14:solidFill>
              <w14:schemeClr w14:val="tx1"/>
            </w14:solidFill>
          </w14:textFill>
        </w:rPr>
        <w:t>单位：dB（A）</w:t>
      </w:r>
      <w:r>
        <w:rPr>
          <w:rFonts w:hint="default" w:ascii="Times New Roman" w:hAnsi="Times New Roman" w:eastAsia="宋体" w:cs="Times New Roman"/>
          <w:b/>
          <w:color w:val="000000" w:themeColor="text1"/>
          <w:sz w:val="24"/>
          <w:szCs w:val="24"/>
          <w:lang w:eastAsia="zh-CN"/>
          <w14:textFill>
            <w14:solidFill>
              <w14:schemeClr w14:val="tx1"/>
            </w14:solidFill>
          </w14:textFill>
        </w:rPr>
        <w:t>）</w:t>
      </w:r>
    </w:p>
    <w:tbl>
      <w:tblPr>
        <w:tblStyle w:val="32"/>
        <w:tblW w:w="48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3"/>
        <w:gridCol w:w="1937"/>
        <w:gridCol w:w="1872"/>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38" w:type="pct"/>
            <w:gridSpan w:val="2"/>
            <w:vMerge w:val="restart"/>
            <w:tcBorders>
              <w:tl2br w:val="single" w:color="auto" w:sz="4" w:space="0"/>
            </w:tcBorders>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mc:AlternateContent>
                <mc:Choice Requires="wps">
                  <w:drawing>
                    <wp:anchor distT="0" distB="0" distL="114300" distR="114300" simplePos="0" relativeHeight="251663360" behindDoc="0" locked="0" layoutInCell="1" allowOverlap="1">
                      <wp:simplePos x="0" y="0"/>
                      <wp:positionH relativeFrom="column">
                        <wp:posOffset>-73660</wp:posOffset>
                      </wp:positionH>
                      <wp:positionV relativeFrom="paragraph">
                        <wp:posOffset>332105</wp:posOffset>
                      </wp:positionV>
                      <wp:extent cx="1024890" cy="47942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024890" cy="479425"/>
                              </a:xfrm>
                              <a:prstGeom prst="rect">
                                <a:avLst/>
                              </a:prstGeom>
                              <a:noFill/>
                              <a:ln>
                                <a:noFill/>
                              </a:ln>
                            </wps:spPr>
                            <wps:txbx>
                              <w:txbxContent>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日期及点位</w:t>
                                  </w:r>
                                </w:p>
                              </w:txbxContent>
                            </wps:txbx>
                            <wps:bodyPr upright="1"/>
                          </wps:wsp>
                        </a:graphicData>
                      </a:graphic>
                    </wp:anchor>
                  </w:drawing>
                </mc:Choice>
                <mc:Fallback>
                  <w:pict>
                    <v:shape id="_x0000_s1026" o:spid="_x0000_s1026" o:spt="202" type="#_x0000_t202" style="position:absolute;left:0pt;margin-left:-5.8pt;margin-top:26.15pt;height:37.75pt;width:80.7pt;z-index:251663360;mso-width-relative:page;mso-height-relative:page;" filled="f" stroked="f" coordsize="21600,21600" o:gfxdata="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yi3rtgA&#10;AAAKAQAADwAAAAAAAAABACAAAAAiAAAAZHJzL2Rvd25yZXYueG1sUEsBAhQAFAAAAAgAh07iQPAL&#10;4EKtAQAAUAMAAA4AAAAAAAAAAQAgAAAAJwEAAGRycy9lMm9Eb2MueG1sUEsFBgAAAAAGAAYAWQEA&#10;AEYFAAAAAA==&#10;">
                      <v:fill on="f" focussize="0,0"/>
                      <v:stroke on="f"/>
                      <v:imagedata o:title=""/>
                      <o:lock v:ext="edit" aspectratio="f"/>
                      <v:textbox>
                        <w:txbxContent>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日期及点位</w:t>
                            </w:r>
                          </w:p>
                        </w:txbxContent>
                      </v:textbox>
                    </v:shape>
                  </w:pict>
                </mc:Fallback>
              </mc:AlternateContent>
            </w:r>
            <w:r>
              <w:rPr>
                <w:rFonts w:hint="default" w:ascii="Times New Roman" w:hAnsi="Times New Roman" w:eastAsia="宋体" w:cs="Times New Roman"/>
                <w:sz w:val="21"/>
                <w:szCs w:val="21"/>
              </w:rPr>
              <mc:AlternateContent>
                <mc:Choice Requires="wps">
                  <w:drawing>
                    <wp:anchor distT="0" distB="0" distL="114300" distR="114300" simplePos="0" relativeHeight="251662336" behindDoc="0" locked="0" layoutInCell="1" allowOverlap="1">
                      <wp:simplePos x="0" y="0"/>
                      <wp:positionH relativeFrom="column">
                        <wp:posOffset>1562735</wp:posOffset>
                      </wp:positionH>
                      <wp:positionV relativeFrom="paragraph">
                        <wp:posOffset>60960</wp:posOffset>
                      </wp:positionV>
                      <wp:extent cx="728345" cy="28702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728345" cy="287020"/>
                              </a:xfrm>
                              <a:prstGeom prst="rect">
                                <a:avLst/>
                              </a:prstGeom>
                              <a:noFill/>
                              <a:ln>
                                <a:noFill/>
                              </a:ln>
                            </wps:spPr>
                            <wps:txbx>
                              <w:txbxContent>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噪声值</w:t>
                                  </w:r>
                                </w:p>
                              </w:txbxContent>
                            </wps:txbx>
                            <wps:bodyPr upright="1"/>
                          </wps:wsp>
                        </a:graphicData>
                      </a:graphic>
                    </wp:anchor>
                  </w:drawing>
                </mc:Choice>
                <mc:Fallback>
                  <w:pict>
                    <v:shape id="_x0000_s1026" o:spid="_x0000_s1026" o:spt="202" type="#_x0000_t202" style="position:absolute;left:0pt;margin-left:123.05pt;margin-top:4.8pt;height:22.6pt;width:57.35pt;z-index:251662336;mso-width-relative:page;mso-height-relative:page;" filled="f" stroked="f" coordsize="21600,21600" o:gfxdata="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ezcra1gAA&#10;AAgBAAAPAAAAAAAAAAEAIAAAACIAAABkcnMvZG93bnJldi54bWxQSwECFAAUAAAACACHTuJAOwrs&#10;sa4BAABPAwAADgAAAAAAAAABACAAAAAlAQAAZHJzL2Uyb0RvYy54bWxQSwUGAAAAAAYABgBZAQAA&#10;RQUAAAAA&#10;">
                      <v:fill on="f" focussize="0,0"/>
                      <v:stroke on="f"/>
                      <v:imagedata o:title=""/>
                      <o:lock v:ext="edit" aspectratio="f"/>
                      <v:textbox>
                        <w:txbxContent>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噪声值</w:t>
                            </w:r>
                          </w:p>
                        </w:txbxContent>
                      </v:textbox>
                    </v:shape>
                  </w:pict>
                </mc:Fallback>
              </mc:AlternateConten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昼间</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eastAsia" w:ascii="Times New Roman" w:hAnsi="Times New Roman" w:eastAsia="宋体" w:cs="Times New Roman"/>
                <w:sz w:val="21"/>
                <w:szCs w:val="21"/>
                <w:lang w:eastAsia="zh-CN"/>
              </w:rPr>
            </w:pPr>
            <w:r>
              <w:rPr>
                <w:rFonts w:hint="eastAsia" w:ascii="Times New Roman" w:cs="Times New Roman"/>
                <w:sz w:val="21"/>
                <w:szCs w:val="21"/>
                <w:lang w:val="en-US" w:eastAsia="zh-CN"/>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38" w:type="pct"/>
            <w:gridSpan w:val="2"/>
            <w:vMerge w:val="continue"/>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测定值</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eastAsia" w:ascii="Times New Roman" w:cs="Times New Roman"/>
                <w:sz w:val="21"/>
                <w:szCs w:val="21"/>
                <w:lang w:val="en-US" w:eastAsia="zh-CN"/>
              </w:rPr>
            </w:pPr>
            <w:r>
              <w:rPr>
                <w:rFonts w:hint="eastAsia" w:ascii="Times New Roman" w:cs="Times New Roman"/>
                <w:sz w:val="21"/>
                <w:szCs w:val="21"/>
                <w:lang w:val="en-US" w:eastAsia="zh-CN"/>
              </w:rPr>
              <w:t>测定值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56" w:type="pct"/>
            <w:vMerge w:val="restar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2023.11.17(19:52-20:41)</w:t>
            </w:r>
          </w:p>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(22:46-23:33)</w:t>
            </w:r>
          </w:p>
        </w:tc>
        <w:tc>
          <w:tcPr>
            <w:tcW w:w="118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sz w:val="21"/>
                <w:szCs w:val="21"/>
                <w:lang w:val="en-US" w:eastAsia="zh-CN"/>
              </w:rPr>
              <w:t>场</w:t>
            </w:r>
            <w:r>
              <w:rPr>
                <w:rFonts w:hint="default" w:ascii="Times New Roman" w:hAnsi="Times New Roman" w:eastAsia="宋体" w:cs="Times New Roman"/>
                <w:sz w:val="21"/>
                <w:szCs w:val="21"/>
              </w:rPr>
              <w:t>界</w:t>
            </w:r>
            <w:r>
              <w:rPr>
                <w:rFonts w:hint="eastAsia" w:ascii="Times New Roman" w:cs="Times New Roman"/>
                <w:sz w:val="21"/>
                <w:szCs w:val="21"/>
                <w:lang w:val="en-US" w:eastAsia="zh-CN"/>
              </w:rPr>
              <w:t>东</w:t>
            </w:r>
            <w:r>
              <w:rPr>
                <w:rFonts w:hint="default" w:ascii="Times New Roman" w:hAnsi="Times New Roman" w:eastAsia="宋体" w:cs="Times New Roman"/>
                <w:sz w:val="21"/>
                <w:szCs w:val="21"/>
              </w:rPr>
              <w:t>1#</w: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55</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556" w:type="pct"/>
            <w:vMerge w:val="continue"/>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118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sz w:val="21"/>
                <w:szCs w:val="21"/>
                <w:lang w:val="en-US" w:eastAsia="zh-CN"/>
              </w:rPr>
              <w:t>场</w:t>
            </w:r>
            <w:r>
              <w:rPr>
                <w:rFonts w:hint="default" w:ascii="Times New Roman" w:hAnsi="Times New Roman" w:eastAsia="宋体" w:cs="Times New Roman"/>
                <w:sz w:val="21"/>
                <w:szCs w:val="21"/>
              </w:rPr>
              <w:t>界</w:t>
            </w:r>
            <w:r>
              <w:rPr>
                <w:rFonts w:hint="default" w:ascii="Times New Roman" w:hAnsi="Times New Roman" w:eastAsia="宋体" w:cs="Times New Roman"/>
                <w:sz w:val="21"/>
                <w:szCs w:val="21"/>
                <w:lang w:eastAsia="zh-CN"/>
              </w:rPr>
              <w:t>南</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w: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53</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556" w:type="pct"/>
            <w:vMerge w:val="continue"/>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p>
        </w:tc>
        <w:tc>
          <w:tcPr>
            <w:tcW w:w="118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sz w:val="21"/>
                <w:szCs w:val="21"/>
                <w:lang w:val="en-US" w:eastAsia="zh-CN"/>
              </w:rPr>
              <w:t>场</w:t>
            </w:r>
            <w:r>
              <w:rPr>
                <w:rFonts w:hint="default" w:ascii="Times New Roman" w:hAnsi="Times New Roman" w:eastAsia="宋体" w:cs="Times New Roman"/>
                <w:sz w:val="21"/>
                <w:szCs w:val="21"/>
              </w:rPr>
              <w:t>界</w:t>
            </w:r>
            <w:r>
              <w:rPr>
                <w:rFonts w:hint="default" w:ascii="Times New Roman" w:hAnsi="Times New Roman" w:eastAsia="宋体" w:cs="Times New Roman"/>
                <w:sz w:val="21"/>
                <w:szCs w:val="21"/>
                <w:lang w:eastAsia="zh-CN"/>
              </w:rPr>
              <w:t>西</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w: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53</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56" w:type="pct"/>
            <w:vMerge w:val="continue"/>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p>
        </w:tc>
        <w:tc>
          <w:tcPr>
            <w:tcW w:w="118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sz w:val="21"/>
                <w:szCs w:val="21"/>
                <w:lang w:val="en-US" w:eastAsia="zh-CN"/>
              </w:rPr>
              <w:t>场</w:t>
            </w:r>
            <w:r>
              <w:rPr>
                <w:rFonts w:hint="default" w:ascii="Times New Roman" w:hAnsi="Times New Roman" w:eastAsia="宋体" w:cs="Times New Roman"/>
                <w:sz w:val="21"/>
                <w:szCs w:val="21"/>
              </w:rPr>
              <w:t>界</w:t>
            </w:r>
            <w:r>
              <w:rPr>
                <w:rFonts w:hint="default" w:ascii="Times New Roman" w:hAnsi="Times New Roman" w:eastAsia="宋体" w:cs="Times New Roman"/>
                <w:sz w:val="21"/>
                <w:szCs w:val="21"/>
                <w:lang w:eastAsia="zh-CN"/>
              </w:rPr>
              <w:t>北</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w: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50</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56" w:type="pct"/>
            <w:vMerge w:val="restar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2023.11.18(19:27-20:14)</w:t>
            </w:r>
          </w:p>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sz w:val="21"/>
                <w:szCs w:val="21"/>
              </w:rPr>
              <w:t>(22:04-22:51)</w:t>
            </w:r>
          </w:p>
        </w:tc>
        <w:tc>
          <w:tcPr>
            <w:tcW w:w="118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sz w:val="21"/>
                <w:szCs w:val="21"/>
                <w:lang w:val="en-US" w:eastAsia="zh-CN"/>
              </w:rPr>
              <w:t>场</w:t>
            </w:r>
            <w:r>
              <w:rPr>
                <w:rFonts w:hint="default" w:ascii="Times New Roman" w:hAnsi="Times New Roman" w:eastAsia="宋体" w:cs="Times New Roman"/>
                <w:sz w:val="21"/>
                <w:szCs w:val="21"/>
              </w:rPr>
              <w:t>界</w:t>
            </w:r>
            <w:r>
              <w:rPr>
                <w:rFonts w:hint="eastAsia" w:ascii="Times New Roman" w:cs="Times New Roman"/>
                <w:sz w:val="21"/>
                <w:szCs w:val="21"/>
                <w:lang w:val="en-US" w:eastAsia="zh-CN"/>
              </w:rPr>
              <w:t>东</w:t>
            </w:r>
            <w:r>
              <w:rPr>
                <w:rFonts w:hint="default" w:ascii="Times New Roman" w:hAnsi="Times New Roman" w:eastAsia="宋体" w:cs="Times New Roman"/>
                <w:sz w:val="21"/>
                <w:szCs w:val="21"/>
              </w:rPr>
              <w:t>1#</w: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cs="Times New Roman"/>
                <w:sz w:val="21"/>
                <w:szCs w:val="21"/>
                <w:lang w:val="en-US" w:eastAsia="zh-CN"/>
              </w:rPr>
              <w:t>50</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cs="Times New Roman"/>
                <w:color w:val="000000"/>
                <w:kern w:val="0"/>
                <w:sz w:val="21"/>
                <w:szCs w:val="21"/>
                <w:lang w:val="en-US" w:eastAsia="zh-CN" w:bidi="ar-SA"/>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56" w:type="pct"/>
            <w:vMerge w:val="continue"/>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p>
        </w:tc>
        <w:tc>
          <w:tcPr>
            <w:tcW w:w="118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sz w:val="21"/>
                <w:szCs w:val="21"/>
                <w:lang w:val="en-US" w:eastAsia="zh-CN"/>
              </w:rPr>
              <w:t>场</w:t>
            </w:r>
            <w:r>
              <w:rPr>
                <w:rFonts w:hint="default" w:ascii="Times New Roman" w:hAnsi="Times New Roman" w:eastAsia="宋体" w:cs="Times New Roman"/>
                <w:sz w:val="21"/>
                <w:szCs w:val="21"/>
              </w:rPr>
              <w:t>界</w:t>
            </w:r>
            <w:r>
              <w:rPr>
                <w:rFonts w:hint="default" w:ascii="Times New Roman" w:hAnsi="Times New Roman" w:eastAsia="宋体" w:cs="Times New Roman"/>
                <w:sz w:val="21"/>
                <w:szCs w:val="21"/>
                <w:lang w:eastAsia="zh-CN"/>
              </w:rPr>
              <w:t>南</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w: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cs="Times New Roman"/>
                <w:color w:val="000000"/>
                <w:kern w:val="0"/>
                <w:sz w:val="21"/>
                <w:szCs w:val="21"/>
                <w:lang w:val="en-US" w:eastAsia="zh-CN" w:bidi="ar-SA"/>
              </w:rPr>
              <w:t>55</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cs="Times New Roman"/>
                <w:color w:val="000000"/>
                <w:kern w:val="0"/>
                <w:sz w:val="21"/>
                <w:szCs w:val="21"/>
                <w:lang w:val="en-US" w:eastAsia="zh-CN" w:bidi="ar-SA"/>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56" w:type="pct"/>
            <w:vMerge w:val="continue"/>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p>
        </w:tc>
        <w:tc>
          <w:tcPr>
            <w:tcW w:w="118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sz w:val="21"/>
                <w:szCs w:val="21"/>
                <w:lang w:val="en-US" w:eastAsia="zh-CN"/>
              </w:rPr>
              <w:t>场</w:t>
            </w:r>
            <w:r>
              <w:rPr>
                <w:rFonts w:hint="default" w:ascii="Times New Roman" w:hAnsi="Times New Roman" w:eastAsia="宋体" w:cs="Times New Roman"/>
                <w:sz w:val="21"/>
                <w:szCs w:val="21"/>
              </w:rPr>
              <w:t>界</w:t>
            </w:r>
            <w:r>
              <w:rPr>
                <w:rFonts w:hint="default" w:ascii="Times New Roman" w:hAnsi="Times New Roman" w:eastAsia="宋体" w:cs="Times New Roman"/>
                <w:sz w:val="21"/>
                <w:szCs w:val="21"/>
                <w:lang w:eastAsia="zh-CN"/>
              </w:rPr>
              <w:t>西</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w: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cs="Times New Roman"/>
                <w:color w:val="000000"/>
                <w:kern w:val="0"/>
                <w:sz w:val="21"/>
                <w:szCs w:val="21"/>
                <w:lang w:val="en-US" w:eastAsia="zh-CN" w:bidi="ar-SA"/>
              </w:rPr>
              <w:t>58</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cs="Times New Roman"/>
                <w:color w:val="000000"/>
                <w:kern w:val="0"/>
                <w:sz w:val="21"/>
                <w:szCs w:val="21"/>
                <w:lang w:val="en-US" w:eastAsia="zh-CN" w:bidi="ar-SA"/>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556" w:type="pct"/>
            <w:vMerge w:val="continue"/>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p>
        </w:tc>
        <w:tc>
          <w:tcPr>
            <w:tcW w:w="118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sz w:val="21"/>
                <w:szCs w:val="21"/>
                <w:lang w:val="en-US" w:eastAsia="zh-CN"/>
              </w:rPr>
              <w:t>场</w:t>
            </w:r>
            <w:r>
              <w:rPr>
                <w:rFonts w:hint="default" w:ascii="Times New Roman" w:hAnsi="Times New Roman" w:eastAsia="宋体" w:cs="Times New Roman"/>
                <w:sz w:val="21"/>
                <w:szCs w:val="21"/>
              </w:rPr>
              <w:t>界</w:t>
            </w:r>
            <w:r>
              <w:rPr>
                <w:rFonts w:hint="default" w:ascii="Times New Roman" w:hAnsi="Times New Roman" w:eastAsia="宋体" w:cs="Times New Roman"/>
                <w:sz w:val="21"/>
                <w:szCs w:val="21"/>
                <w:lang w:eastAsia="zh-CN"/>
              </w:rPr>
              <w:t>北</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w:t>
            </w:r>
          </w:p>
        </w:tc>
        <w:tc>
          <w:tcPr>
            <w:tcW w:w="1141"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cs="Times New Roman"/>
                <w:color w:val="000000"/>
                <w:kern w:val="0"/>
                <w:sz w:val="21"/>
                <w:szCs w:val="21"/>
                <w:lang w:val="en-US" w:eastAsia="zh-CN" w:bidi="ar-SA"/>
              </w:rPr>
              <w:t>53</w:t>
            </w:r>
          </w:p>
        </w:tc>
        <w:tc>
          <w:tcPr>
            <w:tcW w:w="1120" w:type="pct"/>
            <w:noWrap w:val="0"/>
            <w:vAlign w:val="center"/>
          </w:tcPr>
          <w:p>
            <w:pPr>
              <w:pStyle w:val="26"/>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eastAsia" w:ascii="Times New Roman" w:cs="Times New Roman"/>
                <w:color w:val="000000"/>
                <w:kern w:val="0"/>
                <w:sz w:val="21"/>
                <w:szCs w:val="21"/>
                <w:lang w:val="en-US" w:eastAsia="zh-CN" w:bidi="ar-SA"/>
              </w:rPr>
              <w:t>52</w:t>
            </w:r>
          </w:p>
        </w:tc>
      </w:tr>
    </w:tbl>
    <w:p>
      <w:pPr>
        <w:bidi w:val="0"/>
      </w:pPr>
      <w:r>
        <w:drawing>
          <wp:inline distT="0" distB="0" distL="114300" distR="114300">
            <wp:extent cx="5272405" cy="3183890"/>
            <wp:effectExtent l="0" t="0" r="4445" b="1651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272405" cy="3183890"/>
                    </a:xfrm>
                    <a:prstGeom prst="rect">
                      <a:avLst/>
                    </a:prstGeom>
                    <a:noFill/>
                    <a:ln>
                      <a:noFill/>
                    </a:ln>
                  </pic:spPr>
                </pic:pic>
              </a:graphicData>
            </a:graphic>
          </wp:inline>
        </w:drawing>
      </w:r>
    </w:p>
    <w:p>
      <w:pPr>
        <w:pStyle w:val="26"/>
        <w:jc w:val="center"/>
        <w:rPr>
          <w:rFonts w:hint="default" w:ascii="Times New Roman" w:hAnsi="Times New Roman" w:eastAsia="宋体" w:cs="Times New Roman"/>
          <w:color w:val="000000" w:themeColor="text1"/>
          <w:sz w:val="24"/>
          <w14:textFill>
            <w14:solidFill>
              <w14:schemeClr w14:val="tx1"/>
            </w14:solidFill>
          </w14:textFill>
        </w:rPr>
      </w:pPr>
      <w:r>
        <w:rPr>
          <w:rFonts w:hint="eastAsia" w:ascii="宋体" w:hAnsi="宋体" w:eastAsia="宋体" w:cs="宋体"/>
          <w:b/>
          <w:bCs/>
          <w:sz w:val="24"/>
          <w:szCs w:val="24"/>
          <w:lang w:val="en-US" w:eastAsia="zh-CN"/>
        </w:rPr>
        <w:t>图</w:t>
      </w:r>
      <w:r>
        <w:rPr>
          <w:rFonts w:hint="default" w:ascii="Times New Roman" w:hAnsi="Times New Roman" w:eastAsia="宋体" w:cs="Times New Roman"/>
          <w:b/>
          <w:bCs/>
          <w:sz w:val="24"/>
          <w:szCs w:val="24"/>
          <w:lang w:val="en-US" w:eastAsia="zh-CN"/>
        </w:rPr>
        <w:t>9-1</w:t>
      </w:r>
      <w:r>
        <w:rPr>
          <w:rFonts w:hint="eastAsia" w:ascii="宋体" w:hAnsi="宋体" w:eastAsia="宋体" w:cs="宋体"/>
          <w:b/>
          <w:bCs/>
          <w:sz w:val="24"/>
          <w:szCs w:val="24"/>
          <w:lang w:val="en-US" w:eastAsia="zh-CN"/>
        </w:rPr>
        <w:t xml:space="preserve"> </w:t>
      </w:r>
      <w:r>
        <w:rPr>
          <w:rFonts w:hint="eastAsia" w:ascii="宋体" w:hAnsi="宋体" w:cs="宋体"/>
          <w:b/>
          <w:bCs/>
          <w:sz w:val="24"/>
          <w:szCs w:val="24"/>
          <w:lang w:val="en-US" w:eastAsia="zh-CN"/>
        </w:rPr>
        <w:t>噪声、</w:t>
      </w:r>
      <w:r>
        <w:rPr>
          <w:rFonts w:hint="eastAsia" w:ascii="宋体" w:hAnsi="宋体" w:eastAsia="宋体" w:cs="宋体"/>
          <w:b/>
          <w:bCs/>
          <w:sz w:val="24"/>
          <w:szCs w:val="24"/>
          <w:lang w:val="en-US" w:eastAsia="zh-CN"/>
        </w:rPr>
        <w:t>无组织检测点位示意图</w:t>
      </w:r>
      <w:bookmarkStart w:id="41" w:name="_Toc45522693"/>
    </w:p>
    <w:bookmarkEnd w:id="41"/>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FF"/>
        </w:rPr>
      </w:pPr>
      <w:r>
        <w:rPr>
          <w:rFonts w:hint="default" w:ascii="Times New Roman" w:hAnsi="Times New Roman" w:eastAsia="宋体" w:cs="Times New Roman"/>
          <w:color w:val="000000" w:themeColor="text1"/>
          <w14:textFill>
            <w14:solidFill>
              <w14:schemeClr w14:val="tx1"/>
            </w14:solidFill>
          </w14:textFill>
        </w:rPr>
        <w:t>9.2.</w:t>
      </w:r>
      <w:r>
        <w:rPr>
          <w:rFonts w:hint="eastAsia"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auto"/>
        </w:rPr>
        <w:t>污染物排放总量核算</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1"/>
        </w:rPr>
      </w:pPr>
      <w:r>
        <w:rPr>
          <w:rFonts w:hint="default" w:ascii="Times New Roman" w:hAnsi="Times New Roman" w:eastAsia="宋体" w:cs="Times New Roman"/>
          <w:color w:val="auto"/>
          <w:kern w:val="0"/>
          <w:sz w:val="24"/>
          <w:szCs w:val="21"/>
        </w:rPr>
        <w:t>环评中污染物</w:t>
      </w:r>
      <w:r>
        <w:rPr>
          <w:rFonts w:hint="eastAsia" w:ascii="Times New Roman" w:hAnsi="Times New Roman" w:eastAsia="宋体" w:cs="Times New Roman"/>
          <w:color w:val="auto"/>
          <w:kern w:val="0"/>
          <w:sz w:val="24"/>
          <w:szCs w:val="21"/>
          <w:lang w:val="en-US" w:eastAsia="zh-CN"/>
        </w:rPr>
        <w:t>控制</w:t>
      </w:r>
      <w:r>
        <w:rPr>
          <w:rFonts w:hint="default" w:ascii="Times New Roman" w:hAnsi="Times New Roman" w:eastAsia="宋体" w:cs="Times New Roman"/>
          <w:color w:val="auto"/>
          <w:kern w:val="0"/>
          <w:sz w:val="24"/>
          <w:szCs w:val="21"/>
        </w:rPr>
        <w:t>总量为：</w:t>
      </w:r>
      <w:r>
        <w:rPr>
          <w:rFonts w:hint="default" w:ascii="Times New Roman" w:hAnsi="Times New Roman" w:eastAsia="宋体" w:cs="Times New Roman"/>
          <w:b w:val="0"/>
          <w:bCs w:val="0"/>
          <w:color w:val="auto"/>
          <w:spacing w:val="0"/>
          <w:sz w:val="24"/>
          <w:szCs w:val="24"/>
        </w:rPr>
        <w:t>SO₂</w:t>
      </w:r>
      <w:r>
        <w:rPr>
          <w:rFonts w:hint="default" w:ascii="Times New Roman" w:hAnsi="Times New Roman" w:eastAsia="宋体" w:cs="Times New Roman"/>
          <w:color w:val="auto"/>
          <w:kern w:val="0"/>
          <w:sz w:val="24"/>
          <w:szCs w:val="21"/>
        </w:rPr>
        <w:t>：</w:t>
      </w:r>
      <w:r>
        <w:rPr>
          <w:rFonts w:hint="eastAsia" w:ascii="Times New Roman" w:hAnsi="Times New Roman" w:eastAsia="宋体" w:cs="Times New Roman"/>
          <w:color w:val="auto"/>
          <w:kern w:val="0"/>
          <w:sz w:val="24"/>
          <w:szCs w:val="21"/>
          <w:lang w:val="en-US" w:eastAsia="zh-CN"/>
        </w:rPr>
        <w:t>0</w:t>
      </w:r>
      <w:r>
        <w:rPr>
          <w:rFonts w:hint="default" w:ascii="Times New Roman" w:hAnsi="Times New Roman" w:eastAsia="宋体" w:cs="Times New Roman"/>
          <w:color w:val="auto"/>
          <w:kern w:val="0"/>
          <w:sz w:val="24"/>
          <w:szCs w:val="21"/>
        </w:rPr>
        <w:t>t/a，NOx：</w:t>
      </w:r>
      <w:r>
        <w:rPr>
          <w:rFonts w:hint="eastAsia" w:ascii="Times New Roman" w:hAnsi="Times New Roman" w:eastAsia="宋体" w:cs="Times New Roman"/>
          <w:color w:val="auto"/>
          <w:kern w:val="0"/>
          <w:sz w:val="24"/>
          <w:szCs w:val="21"/>
          <w:lang w:val="en-US" w:eastAsia="zh-CN"/>
        </w:rPr>
        <w:t>0</w:t>
      </w:r>
      <w:r>
        <w:rPr>
          <w:rFonts w:hint="default" w:ascii="Times New Roman" w:hAnsi="Times New Roman" w:eastAsia="宋体" w:cs="Times New Roman"/>
          <w:color w:val="auto"/>
          <w:kern w:val="0"/>
          <w:sz w:val="24"/>
          <w:szCs w:val="21"/>
        </w:rPr>
        <w:t>t/a；COD：0t/a，NH</w:t>
      </w:r>
      <w:r>
        <w:rPr>
          <w:rFonts w:hint="default" w:ascii="Times New Roman" w:hAnsi="Times New Roman" w:eastAsia="宋体" w:cs="Times New Roman"/>
          <w:color w:val="auto"/>
          <w:kern w:val="0"/>
          <w:sz w:val="24"/>
          <w:szCs w:val="21"/>
          <w:vertAlign w:val="subscript"/>
        </w:rPr>
        <w:t>3</w:t>
      </w:r>
      <w:r>
        <w:rPr>
          <w:rFonts w:hint="default" w:ascii="Times New Roman" w:hAnsi="Times New Roman" w:eastAsia="宋体" w:cs="Times New Roman"/>
          <w:color w:val="auto"/>
          <w:kern w:val="0"/>
          <w:sz w:val="24"/>
          <w:szCs w:val="21"/>
        </w:rPr>
        <w:t>-N：0t/a。</w:t>
      </w:r>
      <w:r>
        <w:rPr>
          <w:rFonts w:hint="eastAsia" w:ascii="Times New Roman" w:hAnsi="Times New Roman" w:eastAsia="宋体" w:cs="Times New Roman"/>
          <w:color w:val="auto"/>
          <w:kern w:val="0"/>
          <w:sz w:val="24"/>
          <w:szCs w:val="21"/>
          <w:lang w:val="en-US" w:eastAsia="zh-CN"/>
        </w:rPr>
        <w:t>本项目</w:t>
      </w:r>
      <w:r>
        <w:rPr>
          <w:rFonts w:hint="default" w:ascii="Times New Roman" w:hAnsi="Times New Roman" w:eastAsia="宋体" w:cs="Times New Roman"/>
          <w:color w:val="auto"/>
          <w:kern w:val="0"/>
          <w:sz w:val="24"/>
          <w:szCs w:val="21"/>
        </w:rPr>
        <w:t>污染物总量满足环评要求。</w:t>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14:textFill>
            <w14:solidFill>
              <w14:schemeClr w14:val="tx1"/>
            </w14:solidFill>
          </w14:textFill>
        </w:rPr>
      </w:pPr>
      <w:bookmarkStart w:id="42" w:name="_Toc10080"/>
      <w:r>
        <w:rPr>
          <w:rFonts w:hint="eastAsia" w:ascii="宋体" w:hAnsi="宋体" w:eastAsia="宋体" w:cs="宋体"/>
          <w:color w:val="000000" w:themeColor="text1"/>
          <w:highlight w:val="none"/>
          <w14:textFill>
            <w14:solidFill>
              <w14:schemeClr w14:val="tx1"/>
            </w14:solidFill>
          </w14:textFill>
        </w:rPr>
        <w:t>10验收监测结论</w:t>
      </w:r>
      <w:bookmarkEnd w:id="42"/>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14:textFill>
            <w14:solidFill>
              <w14:schemeClr w14:val="tx1"/>
            </w14:solidFill>
          </w14:textFill>
        </w:rPr>
      </w:pPr>
      <w:r>
        <w:rPr>
          <w:rFonts w:hint="eastAsia" w:ascii="Times New Roman" w:hAnsi="Times New Roman" w:eastAsiaTheme="minorEastAsia"/>
          <w:bCs/>
          <w:color w:val="000000" w:themeColor="text1"/>
          <w:sz w:val="24"/>
          <w:szCs w:val="24"/>
          <w14:textFill>
            <w14:solidFill>
              <w14:schemeClr w14:val="tx1"/>
            </w14:solidFill>
          </w14:textFill>
        </w:rPr>
        <w:t>检测期间，企业生产正常，设施运行稳定，满足验收检测技术规范要求。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lang w:eastAsia="zh-CN"/>
          <w14:textFill>
            <w14:solidFill>
              <w14:schemeClr w14:val="tx1"/>
            </w14:solidFill>
          </w14:textFill>
        </w:rPr>
      </w:pPr>
      <w:r>
        <w:rPr>
          <w:rFonts w:hint="eastAsia" w:ascii="Times New Roman" w:hAnsi="Times New Roman" w:eastAsiaTheme="minorEastAsia"/>
          <w:bCs/>
          <w:color w:val="000000" w:themeColor="text1"/>
          <w:sz w:val="24"/>
          <w:szCs w:val="24"/>
          <w14:textFill>
            <w14:solidFill>
              <w14:schemeClr w14:val="tx1"/>
            </w14:solidFill>
          </w14:textFill>
        </w:rPr>
        <w:t>（1）废</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水</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本项目无生产、生活废水外排。</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14:textFill>
            <w14:solidFill>
              <w14:schemeClr w14:val="tx1"/>
            </w14:solidFill>
          </w14:textFill>
        </w:rPr>
      </w:pPr>
      <w:r>
        <w:rPr>
          <w:rFonts w:hint="eastAsia" w:ascii="Times New Roman" w:hAnsi="Times New Roman" w:eastAsiaTheme="minorEastAsia"/>
          <w:bCs/>
          <w:color w:val="000000" w:themeColor="text1"/>
          <w:sz w:val="24"/>
          <w:szCs w:val="24"/>
          <w14:textFill>
            <w14:solidFill>
              <w14:schemeClr w14:val="tx1"/>
            </w14:solidFill>
          </w14:textFill>
        </w:rPr>
        <w:t>（</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3</w:t>
      </w:r>
      <w:r>
        <w:rPr>
          <w:rFonts w:hint="eastAsia" w:ascii="Times New Roman" w:hAnsi="Times New Roman" w:eastAsiaTheme="minorEastAsia"/>
          <w:bCs/>
          <w:color w:val="000000" w:themeColor="text1"/>
          <w:sz w:val="24"/>
          <w:szCs w:val="24"/>
          <w14:textFill>
            <w14:solidFill>
              <w14:schemeClr w14:val="tx1"/>
            </w14:solidFill>
          </w14:textFill>
        </w:rPr>
        <w:t>）废气</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14:textFill>
            <w14:solidFill>
              <w14:schemeClr w14:val="tx1"/>
            </w14:solidFill>
          </w14:textFill>
        </w:rPr>
      </w:pPr>
      <w:bookmarkStart w:id="43" w:name="_Hlk496998889"/>
      <w:bookmarkStart w:id="44" w:name="_Hlk496998701"/>
      <w:r>
        <w:rPr>
          <w:rFonts w:hint="default" w:ascii="Times New Roman" w:hAnsi="Times New Roman" w:eastAsia="宋体" w:cs="Times New Roman"/>
          <w:color w:val="000000" w:themeColor="text1"/>
          <w:sz w:val="24"/>
          <w14:textFill>
            <w14:solidFill>
              <w14:schemeClr w14:val="tx1"/>
            </w14:solidFill>
          </w14:textFill>
        </w:rPr>
        <w:t>经</w:t>
      </w:r>
      <w:r>
        <w:rPr>
          <w:rFonts w:hint="eastAsia" w:ascii="Times New Roman" w:hAnsi="Times New Roman" w:eastAsia="宋体" w:cs="Times New Roman"/>
          <w:color w:val="000000" w:themeColor="text1"/>
          <w:sz w:val="24"/>
          <w:lang w:val="en-US" w:eastAsia="zh-CN"/>
          <w14:textFill>
            <w14:solidFill>
              <w14:schemeClr w14:val="tx1"/>
            </w14:solidFill>
          </w14:textFill>
        </w:rPr>
        <w:t>检</w:t>
      </w:r>
      <w:r>
        <w:rPr>
          <w:rFonts w:hint="default" w:ascii="Times New Roman" w:hAnsi="Times New Roman" w:eastAsia="宋体" w:cs="Times New Roman"/>
          <w:color w:val="000000" w:themeColor="text1"/>
          <w:sz w:val="24"/>
          <w14:textFill>
            <w14:solidFill>
              <w14:schemeClr w14:val="tx1"/>
            </w14:solidFill>
          </w14:textFill>
        </w:rPr>
        <w:t>测</w:t>
      </w:r>
      <w:r>
        <w:rPr>
          <w:rFonts w:hint="eastAsia" w:ascii="Times New Roman" w:hAnsi="Times New Roman" w:eastAsia="宋体" w:cs="Times New Roman"/>
          <w:color w:val="000000" w:themeColor="text1"/>
          <w:sz w:val="24"/>
          <w:lang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无组织</w:t>
      </w:r>
      <w:r>
        <w:rPr>
          <w:rFonts w:hint="default" w:ascii="Times New Roman" w:hAnsi="Times New Roman" w:eastAsia="宋体" w:cs="Times New Roman"/>
          <w:color w:val="000000" w:themeColor="text1"/>
          <w:sz w:val="24"/>
          <w14:textFill>
            <w14:solidFill>
              <w14:schemeClr w14:val="tx1"/>
            </w14:solidFill>
          </w14:textFill>
        </w:rPr>
        <w:t>颗粒物最大排放浓度为</w:t>
      </w:r>
      <w:r>
        <w:rPr>
          <w:rFonts w:hint="eastAsia" w:ascii="Times New Roman" w:hAnsi="Times New Roman" w:eastAsia="宋体" w:cs="Times New Roman"/>
          <w:color w:val="000000" w:themeColor="text1"/>
          <w:sz w:val="24"/>
          <w:lang w:val="en-US" w:eastAsia="zh-CN"/>
          <w14:textFill>
            <w14:solidFill>
              <w14:schemeClr w14:val="tx1"/>
            </w14:solidFill>
          </w14:textFill>
        </w:rPr>
        <w:t>0.337</w:t>
      </w:r>
      <w:r>
        <w:rPr>
          <w:rFonts w:hint="default" w:ascii="Times New Roman" w:hAnsi="Times New Roman" w:eastAsia="宋体" w:cs="Times New Roman"/>
          <w:color w:val="000000" w:themeColor="text1"/>
          <w:sz w:val="24"/>
          <w14:textFill>
            <w14:solidFill>
              <w14:schemeClr w14:val="tx1"/>
            </w14:solidFill>
          </w14:textFill>
        </w:rPr>
        <w:t>mg/m</w:t>
      </w:r>
      <w:r>
        <w:rPr>
          <w:rFonts w:hint="default" w:ascii="Times New Roman" w:hAnsi="Times New Roman" w:eastAsia="宋体" w:cs="Times New Roman"/>
          <w:color w:val="000000" w:themeColor="text1"/>
          <w:sz w:val="24"/>
          <w:vertAlign w:val="superscript"/>
          <w14:textFill>
            <w14:solidFill>
              <w14:schemeClr w14:val="tx1"/>
            </w14:solidFill>
          </w14:textFill>
        </w:rPr>
        <w:t>3</w:t>
      </w:r>
      <w:r>
        <w:rPr>
          <w:rFonts w:hint="default" w:ascii="Times New Roman" w:hAnsi="Times New Roman" w:eastAsia="宋体" w:cs="Times New Roman"/>
          <w:color w:val="000000" w:themeColor="text1"/>
          <w:sz w:val="24"/>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满足</w:t>
      </w:r>
      <w:r>
        <w:rPr>
          <w:rFonts w:hint="default" w:ascii="Times New Roman" w:hAnsi="Times New Roman" w:eastAsia="宋体" w:cs="Times New Roman"/>
          <w:color w:val="000000" w:themeColor="text1"/>
          <w:sz w:val="24"/>
          <w14:textFill>
            <w14:solidFill>
              <w14:schemeClr w14:val="tx1"/>
            </w14:solidFill>
          </w14:textFill>
        </w:rPr>
        <w:t>《煤炭工业污染物排放标准》（GB20426-2006）表5中煤炭贮存场所、煤矸石堆置场颗粒物无组织排放限值：1.0mg/m</w:t>
      </w:r>
      <w:r>
        <w:rPr>
          <w:rFonts w:hint="default" w:ascii="Times New Roman" w:hAnsi="Times New Roman" w:eastAsia="宋体" w:cs="Times New Roman"/>
          <w:color w:val="000000" w:themeColor="text1"/>
          <w:sz w:val="24"/>
          <w:vertAlign w:val="superscript"/>
          <w14:textFill>
            <w14:solidFill>
              <w14:schemeClr w14:val="tx1"/>
            </w14:solidFill>
          </w14:textFill>
        </w:rPr>
        <w:t>3</w:t>
      </w:r>
      <w:r>
        <w:rPr>
          <w:rFonts w:hint="default" w:ascii="Times New Roman" w:hAnsi="Times New Roman" w:eastAsia="宋体" w:cs="Times New Roman"/>
          <w:color w:val="000000" w:themeColor="text1"/>
          <w:sz w:val="24"/>
          <w14:textFill>
            <w14:solidFill>
              <w14:schemeClr w14:val="tx1"/>
            </w14:solidFill>
          </w14:textFill>
        </w:rPr>
        <w:t>（周界外质量浓度最高点）的要求</w:t>
      </w:r>
      <w:r>
        <w:rPr>
          <w:rFonts w:hint="eastAsia" w:ascii="Times New Roman" w:hAnsi="Times New Roman" w:eastAsiaTheme="minorEastAsia"/>
          <w:bCs/>
          <w:color w:val="000000" w:themeColor="text1"/>
          <w:sz w:val="24"/>
          <w:szCs w:val="24"/>
          <w14:textFill>
            <w14:solidFill>
              <w14:schemeClr w14:val="tx1"/>
            </w14:solidFill>
          </w14:textFill>
        </w:rPr>
        <w:t>。</w:t>
      </w:r>
    </w:p>
    <w:bookmarkEnd w:id="43"/>
    <w:bookmarkEnd w:id="44"/>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eastAsia="宋体"/>
          <w:color w:val="000000" w:themeColor="text1"/>
          <w:sz w:val="24"/>
          <w14:textFill>
            <w14:solidFill>
              <w14:schemeClr w14:val="tx1"/>
            </w14:solidFill>
          </w14:textFill>
        </w:rPr>
      </w:pPr>
      <w:r>
        <w:rPr>
          <w:rFonts w:ascii="Times New Roman" w:hAnsi="Times New Roman" w:eastAsia="宋体"/>
          <w:color w:val="000000" w:themeColor="text1"/>
          <w:sz w:val="24"/>
          <w14:textFill>
            <w14:solidFill>
              <w14:schemeClr w14:val="tx1"/>
            </w14:solidFill>
          </w14:textFill>
        </w:rPr>
        <w:t>（</w:t>
      </w:r>
      <w:r>
        <w:rPr>
          <w:rFonts w:hint="eastAsia" w:ascii="Times New Roman" w:hAnsi="Times New Roman" w:eastAsia="宋体"/>
          <w:color w:val="000000" w:themeColor="text1"/>
          <w:sz w:val="24"/>
          <w:lang w:val="en-US" w:eastAsia="zh-CN"/>
          <w14:textFill>
            <w14:solidFill>
              <w14:schemeClr w14:val="tx1"/>
            </w14:solidFill>
          </w14:textFill>
        </w:rPr>
        <w:t>3</w:t>
      </w:r>
      <w:r>
        <w:rPr>
          <w:rFonts w:ascii="Times New Roman" w:hAnsi="Times New Roman" w:eastAsia="宋体"/>
          <w:color w:val="000000" w:themeColor="text1"/>
          <w:sz w:val="24"/>
          <w14:textFill>
            <w14:solidFill>
              <w14:schemeClr w14:val="tx1"/>
            </w14:solidFill>
          </w14:textFill>
        </w:rPr>
        <w:t>）噪声</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bCs/>
          <w:color w:val="auto"/>
          <w:sz w:val="24"/>
          <w:szCs w:val="24"/>
          <w:lang w:val="en-US" w:eastAsia="zh-CN"/>
        </w:rPr>
      </w:pPr>
      <w:r>
        <w:rPr>
          <w:rFonts w:hint="default" w:ascii="Times New Roman" w:hAnsi="Times New Roman" w:eastAsia="宋体" w:cs="Times New Roman"/>
          <w:color w:val="auto"/>
          <w:kern w:val="0"/>
          <w:sz w:val="24"/>
          <w:szCs w:val="21"/>
          <w:highlight w:val="none"/>
        </w:rPr>
        <w:t>由企业原有例行监测可知企业现有各厂界噪声均能够满足相关排放标准。由于本项目未增加产噪设备，且对原有露天块石料场进行封闭，可有效降低装卸噪声。本次仅对本项目周界噪声进行了现状监测</w:t>
      </w:r>
      <w:r>
        <w:rPr>
          <w:rFonts w:hint="eastAsia" w:ascii="Times New Roman" w:hAnsi="Times New Roman" w:eastAsia="宋体" w:cs="Times New Roman"/>
          <w:color w:val="auto"/>
          <w:kern w:val="0"/>
          <w:sz w:val="24"/>
          <w:szCs w:val="21"/>
          <w:highlight w:val="none"/>
          <w:lang w:eastAsia="zh-CN"/>
        </w:rPr>
        <w:t>。</w:t>
      </w:r>
    </w:p>
    <w:p>
      <w:pPr>
        <w:pStyle w:val="47"/>
        <w:keepNext w:val="0"/>
        <w:keepLines w:val="0"/>
        <w:pageBreakBefore w:val="0"/>
        <w:widowControl/>
        <w:kinsoku/>
        <w:wordWrap/>
        <w:overflowPunct/>
        <w:topLinePunct w:val="0"/>
        <w:autoSpaceDE/>
        <w:autoSpaceDN/>
        <w:bidi w:val="0"/>
        <w:adjustRightInd/>
        <w:snapToGrid/>
        <w:spacing w:line="360" w:lineRule="auto"/>
        <w:ind w:left="482" w:firstLine="0" w:firstLineChars="0"/>
        <w:textAlignment w:val="auto"/>
        <w:outlineLvl w:val="9"/>
        <w:rPr>
          <w:color w:val="auto"/>
        </w:rPr>
      </w:pPr>
      <w:r>
        <w:rPr>
          <w:color w:val="auto"/>
        </w:rPr>
        <w:t>（</w:t>
      </w:r>
      <w:r>
        <w:rPr>
          <w:rFonts w:hint="eastAsia"/>
          <w:color w:val="auto"/>
          <w:lang w:val="en-US" w:eastAsia="zh-CN"/>
        </w:rPr>
        <w:t>4</w:t>
      </w:r>
      <w:r>
        <w:rPr>
          <w:color w:val="auto"/>
        </w:rPr>
        <w:t>）固体废弃物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color w:val="auto"/>
          <w:sz w:val="24"/>
          <w:szCs w:val="24"/>
        </w:rPr>
        <w:t>本项目产生的固废为洗车平台沉淀池底泥，经吸污车集中收集后填坑铺路。</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eastAsia="宋体"/>
          <w:color w:val="000000" w:themeColor="text1"/>
          <w:sz w:val="24"/>
          <w:szCs w:val="24"/>
          <w14:textFill>
            <w14:solidFill>
              <w14:schemeClr w14:val="tx1"/>
            </w14:solidFill>
          </w14:textFill>
        </w:rPr>
      </w:pPr>
      <w:bookmarkStart w:id="45" w:name="_Hlk496999304"/>
      <w:r>
        <w:rPr>
          <w:rFonts w:ascii="Times New Roman" w:hAnsi="Times New Roman" w:eastAsia="宋体"/>
          <w:color w:val="000000" w:themeColor="text1"/>
          <w:sz w:val="24"/>
          <w:szCs w:val="24"/>
          <w14:textFill>
            <w14:solidFill>
              <w14:schemeClr w14:val="tx1"/>
            </w14:solidFill>
          </w14:textFill>
        </w:rPr>
        <w:t>（</w:t>
      </w:r>
      <w:r>
        <w:rPr>
          <w:rFonts w:hint="eastAsia" w:ascii="Times New Roman" w:hAnsi="Times New Roman" w:eastAsia="宋体"/>
          <w:color w:val="000000" w:themeColor="text1"/>
          <w:sz w:val="24"/>
          <w:szCs w:val="24"/>
          <w:lang w:val="en-US" w:eastAsia="zh-CN"/>
          <w14:textFill>
            <w14:solidFill>
              <w14:schemeClr w14:val="tx1"/>
            </w14:solidFill>
          </w14:textFill>
        </w:rPr>
        <w:t>5</w:t>
      </w:r>
      <w:r>
        <w:rPr>
          <w:rFonts w:ascii="Times New Roman" w:hAnsi="Times New Roman" w:eastAsia="宋体"/>
          <w:color w:val="000000" w:themeColor="text1"/>
          <w:sz w:val="24"/>
          <w:szCs w:val="24"/>
          <w14:textFill>
            <w14:solidFill>
              <w14:schemeClr w14:val="tx1"/>
            </w14:solidFill>
          </w14:textFill>
        </w:rPr>
        <w:t>）结论</w:t>
      </w:r>
    </w:p>
    <w:p>
      <w:pPr>
        <w:widowControl/>
        <w:spacing w:line="360" w:lineRule="auto"/>
        <w:ind w:firstLine="480" w:firstLineChars="200"/>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综上分析，项目已按环评及批复要求进行了环境保护设施建设，根据监测结果可满足相关环境排放标准要求。</w:t>
      </w:r>
    </w:p>
    <w:bookmarkEnd w:id="45"/>
    <w:p>
      <w:pPr>
        <w:spacing w:line="440" w:lineRule="exact"/>
        <w:ind w:firstLine="480" w:firstLineChars="200"/>
        <w:rPr>
          <w:rFonts w:ascii="Times New Roman" w:hAnsi="Times New Roman" w:eastAsiaTheme="minorEastAsia"/>
          <w:color w:val="000000" w:themeColor="text1"/>
          <w:sz w:val="24"/>
          <w:szCs w:val="24"/>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156" w:beforeLines="50" w:after="312" w:afterLines="100"/>
        <w:jc w:val="center"/>
        <w:textAlignment w:val="auto"/>
        <w:outlineLvl w:val="0"/>
        <w:rPr>
          <w:rFonts w:ascii="Times New Roman" w:hAnsi="Times New Roman" w:eastAsiaTheme="minorEastAsia"/>
          <w:color w:val="auto"/>
        </w:rPr>
      </w:pPr>
      <w:bookmarkStart w:id="46" w:name="_Toc28889"/>
      <w:r>
        <w:rPr>
          <w:rFonts w:hint="eastAsia" w:ascii="Times New Roman" w:hAnsi="Times New Roman" w:eastAsiaTheme="minorEastAsia"/>
          <w:color w:val="FFFFFF" w:themeColor="background1"/>
          <w:lang w:val="en-US" w:eastAsia="zh-CN"/>
          <w14:textFill>
            <w14:solidFill>
              <w14:schemeClr w14:val="bg1"/>
            </w14:solidFill>
          </w14:textFill>
        </w:rPr>
        <w:t>11</w:t>
      </w:r>
      <w:r>
        <w:rPr>
          <w:rFonts w:ascii="Times New Roman" w:hAnsi="Times New Roman" w:eastAsiaTheme="minorEastAsia"/>
          <w:color w:val="auto"/>
        </w:rPr>
        <w:t>建设项目工程竣工环境保护“三同时”验收登记表</w:t>
      </w:r>
      <w:bookmarkEnd w:id="46"/>
    </w:p>
    <w:p>
      <w:pPr>
        <w:rPr>
          <w:rFonts w:ascii="Times New Roman" w:hAnsi="Times New Roman" w:eastAsiaTheme="minorEastAsia"/>
          <w:color w:val="auto"/>
        </w:rPr>
      </w:pPr>
      <w:r>
        <w:rPr>
          <w:rFonts w:ascii="Times New Roman" w:hAnsi="Times New Roman" w:eastAsiaTheme="minorEastAsia"/>
          <w:color w:val="auto"/>
        </w:rPr>
        <w:t>填表单位（盖章）：</w:t>
      </w:r>
      <w:r>
        <w:rPr>
          <w:rFonts w:hint="eastAsia" w:ascii="Times New Roman" w:hAnsi="Times New Roman" w:eastAsiaTheme="minorEastAsia"/>
          <w:color w:val="auto"/>
          <w:lang w:val="en-US" w:eastAsia="zh-CN"/>
        </w:rPr>
        <w:t>开滦（集团）有限责任公司唐山矿业分公司</w:t>
      </w:r>
      <w:r>
        <w:rPr>
          <w:rFonts w:ascii="Times New Roman" w:hAnsi="Times New Roman" w:eastAsiaTheme="minorEastAsia"/>
          <w:color w:val="auto"/>
        </w:rPr>
        <w:t xml:space="preserve">                  填表人（签字）：                            项目经办人（签字）：</w:t>
      </w:r>
    </w:p>
    <w:tbl>
      <w:tblPr>
        <w:tblStyle w:val="32"/>
        <w:tblW w:w="15993"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165"/>
        <w:gridCol w:w="872"/>
        <w:gridCol w:w="992"/>
        <w:gridCol w:w="663"/>
        <w:gridCol w:w="142"/>
        <w:gridCol w:w="1134"/>
        <w:gridCol w:w="850"/>
        <w:gridCol w:w="284"/>
        <w:gridCol w:w="992"/>
        <w:gridCol w:w="896"/>
        <w:gridCol w:w="238"/>
        <w:gridCol w:w="1134"/>
        <w:gridCol w:w="471"/>
        <w:gridCol w:w="663"/>
        <w:gridCol w:w="1444"/>
        <w:gridCol w:w="445"/>
        <w:gridCol w:w="455"/>
        <w:gridCol w:w="504"/>
        <w:gridCol w:w="764"/>
        <w:gridCol w:w="229"/>
        <w:gridCol w:w="480"/>
        <w:gridCol w:w="709"/>
        <w:gridCol w:w="25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360" w:type="dxa"/>
            <w:vMerge w:val="restart"/>
            <w:shd w:val="clear" w:color="auto" w:fill="auto"/>
          </w:tcPr>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建设项目</w:t>
            </w:r>
          </w:p>
        </w:tc>
        <w:tc>
          <w:tcPr>
            <w:tcW w:w="2029" w:type="dxa"/>
            <w:gridSpan w:val="3"/>
            <w:shd w:val="clear" w:color="auto" w:fill="auto"/>
            <w:vAlign w:val="center"/>
          </w:tcPr>
          <w:p>
            <w:pPr>
              <w:spacing w:line="260" w:lineRule="exact"/>
              <w:jc w:val="both"/>
              <w:rPr>
                <w:rFonts w:ascii="Times New Roman" w:hAnsi="Times New Roman" w:eastAsiaTheme="minorEastAsia"/>
                <w:color w:val="auto"/>
                <w:sz w:val="15"/>
                <w:szCs w:val="15"/>
              </w:rPr>
            </w:pPr>
            <w:r>
              <w:rPr>
                <w:rFonts w:ascii="Times New Roman" w:hAnsi="Times New Roman" w:eastAsiaTheme="minorEastAsia"/>
                <w:color w:val="auto"/>
                <w:sz w:val="15"/>
                <w:szCs w:val="15"/>
              </w:rPr>
              <w:t>项目名称</w:t>
            </w:r>
          </w:p>
        </w:tc>
        <w:tc>
          <w:tcPr>
            <w:tcW w:w="4961" w:type="dxa"/>
            <w:gridSpan w:val="7"/>
            <w:shd w:val="clear" w:color="auto" w:fill="auto"/>
            <w:vAlign w:val="center"/>
          </w:tcPr>
          <w:p>
            <w:pPr>
              <w:spacing w:line="260" w:lineRule="exact"/>
              <w:jc w:val="center"/>
              <w:rPr>
                <w:rFonts w:ascii="Times New Roman" w:hAnsi="Times New Roman" w:eastAsiaTheme="minorEastAsia"/>
                <w:color w:val="auto"/>
                <w:sz w:val="15"/>
                <w:szCs w:val="15"/>
              </w:rPr>
            </w:pPr>
            <w:r>
              <w:rPr>
                <w:rFonts w:hint="eastAsia" w:ascii="Times New Roman" w:hAnsi="Times New Roman" w:eastAsiaTheme="minorEastAsia"/>
                <w:bCs/>
                <w:color w:val="auto"/>
                <w:sz w:val="15"/>
                <w:szCs w:val="15"/>
                <w:lang w:val="en-US" w:eastAsia="zh-CN"/>
              </w:rPr>
              <w:t>块石场封闭工程项目</w:t>
            </w:r>
          </w:p>
        </w:tc>
        <w:tc>
          <w:tcPr>
            <w:tcW w:w="1843" w:type="dxa"/>
            <w:gridSpan w:val="3"/>
            <w:shd w:val="clear" w:color="auto" w:fill="auto"/>
            <w:vAlign w:val="center"/>
          </w:tcPr>
          <w:p>
            <w:pPr>
              <w:spacing w:line="260" w:lineRule="exact"/>
              <w:jc w:val="both"/>
              <w:rPr>
                <w:rFonts w:ascii="Times New Roman" w:hAnsi="Times New Roman" w:eastAsiaTheme="minorEastAsia"/>
                <w:color w:val="auto"/>
                <w:sz w:val="15"/>
                <w:szCs w:val="15"/>
              </w:rPr>
            </w:pPr>
            <w:r>
              <w:rPr>
                <w:rFonts w:ascii="Times New Roman" w:hAnsi="Times New Roman" w:eastAsiaTheme="minorEastAsia"/>
                <w:color w:val="auto"/>
                <w:sz w:val="15"/>
                <w:szCs w:val="15"/>
              </w:rPr>
              <w:t>项目代码</w:t>
            </w:r>
          </w:p>
        </w:tc>
        <w:tc>
          <w:tcPr>
            <w:tcW w:w="2107" w:type="dxa"/>
            <w:gridSpan w:val="2"/>
            <w:shd w:val="clear" w:color="auto" w:fill="auto"/>
            <w:vAlign w:val="center"/>
          </w:tcPr>
          <w:p>
            <w:pPr>
              <w:spacing w:line="260" w:lineRule="exact"/>
              <w:jc w:val="center"/>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00"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建设地点</w:t>
            </w:r>
          </w:p>
        </w:tc>
        <w:tc>
          <w:tcPr>
            <w:tcW w:w="3793" w:type="dxa"/>
            <w:gridSpan w:val="7"/>
            <w:shd w:val="clear" w:color="auto" w:fill="auto"/>
          </w:tcPr>
          <w:p>
            <w:pPr>
              <w:spacing w:line="260" w:lineRule="exact"/>
              <w:rPr>
                <w:rFonts w:hint="default" w:ascii="Times New Roman" w:hAnsi="Times New Roman" w:eastAsiaTheme="minorEastAsia"/>
                <w:color w:val="auto"/>
                <w:spacing w:val="-6"/>
                <w:sz w:val="15"/>
                <w:szCs w:val="15"/>
                <w:lang w:val="en-US" w:eastAsia="zh-CN"/>
              </w:rPr>
            </w:pPr>
            <w:r>
              <w:rPr>
                <w:rFonts w:hint="eastAsia" w:ascii="Times New Roman" w:hAnsi="Times New Roman" w:eastAsiaTheme="minorEastAsia"/>
                <w:color w:val="auto"/>
                <w:kern w:val="0"/>
                <w:sz w:val="15"/>
                <w:szCs w:val="15"/>
                <w:lang w:val="en-US" w:eastAsia="zh-CN"/>
              </w:rPr>
              <w:t>河北省唐山市路南区唐山矿风井工业广场内部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vAlign w:val="center"/>
          </w:tcPr>
          <w:p>
            <w:pPr>
              <w:spacing w:line="260" w:lineRule="exact"/>
              <w:jc w:val="both"/>
              <w:rPr>
                <w:rFonts w:ascii="Times New Roman" w:hAnsi="Times New Roman" w:eastAsiaTheme="minorEastAsia"/>
                <w:color w:val="auto"/>
                <w:sz w:val="15"/>
                <w:szCs w:val="15"/>
              </w:rPr>
            </w:pPr>
            <w:r>
              <w:rPr>
                <w:rFonts w:ascii="Times New Roman" w:hAnsi="Times New Roman" w:eastAsiaTheme="minorEastAsia"/>
                <w:color w:val="auto"/>
                <w:sz w:val="15"/>
                <w:szCs w:val="15"/>
              </w:rPr>
              <w:t>行业分类(分类管理名录)</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default" w:ascii="Times New Roman" w:hAnsi="Times New Roman" w:eastAsiaTheme="minorEastAsia"/>
                <w:color w:val="auto"/>
                <w:sz w:val="15"/>
                <w:szCs w:val="15"/>
                <w:lang w:val="en-US" w:eastAsia="zh-CN"/>
              </w:rPr>
              <w:t>6 其他煤炭采选</w:t>
            </w:r>
          </w:p>
        </w:tc>
        <w:tc>
          <w:tcPr>
            <w:tcW w:w="1843" w:type="dxa"/>
            <w:gridSpan w:val="3"/>
            <w:shd w:val="clear" w:color="auto" w:fill="auto"/>
            <w:vAlign w:val="center"/>
          </w:tcPr>
          <w:p>
            <w:pPr>
              <w:spacing w:line="260" w:lineRule="exact"/>
              <w:jc w:val="both"/>
              <w:rPr>
                <w:rFonts w:hint="eastAsia" w:ascii="Times New Roman" w:hAnsi="Times New Roman" w:eastAsiaTheme="minorEastAsia"/>
                <w:color w:val="auto"/>
                <w:sz w:val="15"/>
                <w:szCs w:val="15"/>
                <w:lang w:val="en-US" w:eastAsia="zh-CN"/>
              </w:rPr>
            </w:pPr>
            <w:r>
              <w:rPr>
                <w:rFonts w:ascii="Times New Roman" w:hAnsi="Times New Roman" w:eastAsiaTheme="minorEastAsia"/>
                <w:color w:val="auto"/>
                <w:sz w:val="15"/>
                <w:szCs w:val="15"/>
              </w:rPr>
              <w:t>建设性质</w:t>
            </w:r>
          </w:p>
        </w:tc>
        <w:tc>
          <w:tcPr>
            <w:tcW w:w="6800" w:type="dxa"/>
            <w:gridSpan w:val="11"/>
            <w:shd w:val="clear" w:color="auto" w:fill="auto"/>
          </w:tcPr>
          <w:p>
            <w:pPr>
              <w:spacing w:line="260" w:lineRule="exact"/>
              <w:ind w:firstLine="150" w:firstLineChars="100"/>
              <w:rPr>
                <w:rFonts w:ascii="Times New Roman" w:hAnsi="Times New Roman" w:eastAsiaTheme="minorEastAsia"/>
                <w:color w:val="auto"/>
                <w:sz w:val="15"/>
                <w:szCs w:val="15"/>
              </w:rPr>
            </w:pPr>
            <w:r>
              <w:rPr>
                <w:rFonts w:ascii="Times New Roman" w:hAnsi="Times New Roman" w:eastAsiaTheme="minorEastAsia"/>
                <w:color w:val="auto"/>
                <w:sz w:val="15"/>
                <w:szCs w:val="15"/>
              </w:rPr>
              <mc:AlternateContent>
                <mc:Choice Requires="wps">
                  <w:drawing>
                    <wp:anchor distT="0" distB="0" distL="114300" distR="114300" simplePos="0" relativeHeight="251659264" behindDoc="0" locked="0" layoutInCell="1" allowOverlap="1">
                      <wp:simplePos x="0" y="0"/>
                      <wp:positionH relativeFrom="column">
                        <wp:posOffset>386715</wp:posOffset>
                      </wp:positionH>
                      <wp:positionV relativeFrom="paragraph">
                        <wp:posOffset>39370</wp:posOffset>
                      </wp:positionV>
                      <wp:extent cx="66675" cy="71120"/>
                      <wp:effectExtent l="6350" t="6350" r="22225" b="17780"/>
                      <wp:wrapNone/>
                      <wp:docPr id="34" name="矩形 34"/>
                      <wp:cNvGraphicFramePr/>
                      <a:graphic xmlns:a="http://schemas.openxmlformats.org/drawingml/2006/main">
                        <a:graphicData uri="http://schemas.microsoft.com/office/word/2010/wordprocessingShape">
                          <wps:wsp>
                            <wps:cNvSpPr/>
                            <wps:spPr>
                              <a:xfrm>
                                <a:off x="0" y="0"/>
                                <a:ext cx="66675" cy="71120"/>
                              </a:xfrm>
                              <a:prstGeom prst="rect">
                                <a:avLst/>
                              </a:prstGeom>
                              <a:solidFill>
                                <a:schemeClr val="tx1"/>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45pt;margin-top:3.1pt;height:5.6pt;width:5.25pt;z-index:251659264;v-text-anchor:middle;mso-width-relative:page;mso-height-relative:page;" fillcolor="#000000 [3213]" filled="t" stroked="t" coordsize="21600,21600" o:gfxdata="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CcNb8LWAAAABgEAAA8AAAAAAAAAAQAgAAAA&#10;IgAAAGRycy9kb3ducmV2LnhtbFBLAQIUABQAAAAIAIdO4kBDwGDLfwIAABUFAAAOAAAAAAAAAAEA&#10;IAAAACUBAABkcnMvZTJvRG9jLnhtbFBLBQYAAAAABgAGAFkBAAAWBgAAAAA=&#10;">
                      <v:fill on="t" focussize="0,0"/>
                      <v:stroke weight="1pt" color="#000000" miterlimit="8" joinstyle="miter"/>
                      <v:imagedata o:title=""/>
                      <o:lock v:ext="edit" aspectratio="f"/>
                    </v:rect>
                  </w:pict>
                </mc:Fallback>
              </mc:AlternateContent>
            </w:r>
            <w:r>
              <w:rPr>
                <w:rFonts w:ascii="Times New Roman" w:hAnsi="Times New Roman" w:eastAsiaTheme="minorEastAsia"/>
                <w:color w:val="auto"/>
                <w:sz w:val="15"/>
                <w:szCs w:val="15"/>
              </w:rPr>
              <mc:AlternateContent>
                <mc:Choice Requires="wps">
                  <w:drawing>
                    <wp:anchor distT="0" distB="0" distL="114300" distR="114300" simplePos="0" relativeHeight="251660288" behindDoc="0" locked="0" layoutInCell="1" allowOverlap="1">
                      <wp:simplePos x="0" y="0"/>
                      <wp:positionH relativeFrom="column">
                        <wp:posOffset>5080</wp:posOffset>
                      </wp:positionH>
                      <wp:positionV relativeFrom="paragraph">
                        <wp:posOffset>50165</wp:posOffset>
                      </wp:positionV>
                      <wp:extent cx="66675" cy="71120"/>
                      <wp:effectExtent l="6350" t="6350" r="22225" b="17780"/>
                      <wp:wrapNone/>
                      <wp:docPr id="35" name="矩形 35"/>
                      <wp:cNvGraphicFramePr/>
                      <a:graphic xmlns:a="http://schemas.openxmlformats.org/drawingml/2006/main">
                        <a:graphicData uri="http://schemas.microsoft.com/office/word/2010/wordprocessingShape">
                          <wps:wsp>
                            <wps:cNvSpPr/>
                            <wps:spPr>
                              <a:xfrm>
                                <a:off x="0" y="0"/>
                                <a:ext cx="66675" cy="7112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4pt;margin-top:3.95pt;height:5.6pt;width:5.25pt;z-index:251660288;v-text-anchor:middle;mso-width-relative:page;mso-height-relative:page;" fillcolor="#FFFFFF" filled="t" stroked="t" coordsize="21600,21600" o:gfxdata="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VZ6uJ0gAAAAQBAAAPAAAAAAAAAAEAIAAA&#10;ACIAAABkcnMvZG93bnJldi54bWxQSwECFAAUAAAACACHTuJAAj9zFIQCAAAlBQAADgAAAAAAAAAB&#10;ACAAAAAhAQAAZHJzL2Uyb0RvYy54bWxQSwUGAAAAAAYABgBZAQAAFwYAAAAA&#10;">
                      <v:fill on="t" focussize="0,0"/>
                      <v:stroke weight="1pt" color="#000000" miterlimit="8" joinstyle="miter"/>
                      <v:imagedata o:title=""/>
                      <o:lock v:ext="edit" aspectratio="f"/>
                    </v:rect>
                  </w:pict>
                </mc:Fallback>
              </mc:AlternateContent>
            </w:r>
            <w:r>
              <w:rPr>
                <w:rFonts w:ascii="Times New Roman" w:hAnsi="Times New Roman" w:eastAsiaTheme="minorEastAsia"/>
                <w:color w:val="auto"/>
                <w:sz w:val="15"/>
                <w:szCs w:val="15"/>
              </w:rPr>
              <w:t xml:space="preserve">新建    改扩建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设计生产能力</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实际生产能力</w:t>
            </w:r>
          </w:p>
        </w:tc>
        <w:tc>
          <w:tcPr>
            <w:tcW w:w="2552" w:type="dxa"/>
            <w:gridSpan w:val="3"/>
            <w:shd w:val="clear" w:color="auto" w:fill="auto"/>
          </w:tcPr>
          <w:p>
            <w:pPr>
              <w:spacing w:line="260" w:lineRule="exact"/>
              <w:rPr>
                <w:rFonts w:hint="eastAsia" w:ascii="Times New Roman" w:hAnsi="Times New Roman" w:eastAsiaTheme="minorEastAsia"/>
                <w:color w:val="auto"/>
                <w:sz w:val="15"/>
                <w:szCs w:val="15"/>
                <w:lang w:eastAsia="zh-CN"/>
              </w:rPr>
            </w:pPr>
            <w:r>
              <w:rPr>
                <w:rFonts w:hint="eastAsia" w:ascii="Times New Roman" w:hAnsi="Times New Roman" w:eastAsiaTheme="minorEastAsia"/>
                <w:color w:val="auto"/>
                <w:sz w:val="15"/>
                <w:szCs w:val="15"/>
                <w:lang w:val="en-US" w:eastAsia="zh-CN"/>
              </w:rPr>
              <w:t>/</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环评单位</w:t>
            </w:r>
          </w:p>
        </w:tc>
        <w:tc>
          <w:tcPr>
            <w:tcW w:w="2525" w:type="dxa"/>
            <w:gridSpan w:val="5"/>
            <w:shd w:val="clear" w:color="auto" w:fill="auto"/>
          </w:tcPr>
          <w:p>
            <w:pPr>
              <w:spacing w:line="260" w:lineRule="exact"/>
              <w:jc w:val="left"/>
              <w:rPr>
                <w:rFonts w:hint="default" w:ascii="Times New Roman" w:hAnsi="Times New Roman" w:eastAsiaTheme="minorEastAsia"/>
                <w:color w:val="auto"/>
                <w:spacing w:val="-15"/>
                <w:sz w:val="15"/>
                <w:szCs w:val="15"/>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环评文件审批机关</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审批文号</w:t>
            </w:r>
          </w:p>
        </w:tc>
        <w:tc>
          <w:tcPr>
            <w:tcW w:w="2552" w:type="dxa"/>
            <w:gridSpan w:val="3"/>
            <w:shd w:val="clear" w:color="auto" w:fill="auto"/>
          </w:tcPr>
          <w:p>
            <w:pPr>
              <w:spacing w:line="260" w:lineRule="exact"/>
              <w:rPr>
                <w:rFonts w:ascii="Times New Roman" w:hAnsi="Times New Roman" w:eastAsiaTheme="minorEastAsia"/>
                <w:color w:val="auto"/>
                <w:sz w:val="15"/>
                <w:szCs w:val="15"/>
              </w:rPr>
            </w:pPr>
            <w:r>
              <w:rPr>
                <w:rFonts w:hint="eastAsia" w:ascii="Times New Roman" w:hAnsi="Times New Roman" w:eastAsiaTheme="minorEastAsia"/>
                <w:color w:val="auto"/>
                <w:sz w:val="15"/>
                <w:szCs w:val="15"/>
                <w:highlight w:val="none"/>
                <w:lang w:val="en-US" w:eastAsia="zh-CN"/>
              </w:rPr>
              <w:t>202313020200000002</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环评文件类型</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建设项目环境影响登记表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开工日期</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竣工日期</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2023.10</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排污许可证申领时间</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highlight w:val="yellow"/>
                <w:lang w:val="en-US" w:eastAsia="zh-CN"/>
              </w:rPr>
            </w:pPr>
            <w:r>
              <w:rPr>
                <w:rFonts w:hint="eastAsia" w:ascii="Times New Roman" w:hAnsi="Times New Roman" w:eastAsiaTheme="minorEastAsia"/>
                <w:color w:val="auto"/>
                <w:sz w:val="15"/>
                <w:szCs w:val="15"/>
                <w:highlight w:val="none"/>
                <w:lang w:val="en-US" w:eastAsia="zh-CN"/>
              </w:rPr>
              <w:t>2023.5.8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环保设施设计单位</w:t>
            </w:r>
          </w:p>
        </w:tc>
        <w:tc>
          <w:tcPr>
            <w:tcW w:w="4961" w:type="dxa"/>
            <w:gridSpan w:val="7"/>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环保设施施工单位</w:t>
            </w:r>
          </w:p>
        </w:tc>
        <w:tc>
          <w:tcPr>
            <w:tcW w:w="2552"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723"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本工程排污许可证编号</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eastAsia="zh-CN"/>
              </w:rPr>
              <w:t>91130200601041537N001V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验收单位</w:t>
            </w:r>
          </w:p>
        </w:tc>
        <w:tc>
          <w:tcPr>
            <w:tcW w:w="4961" w:type="dxa"/>
            <w:gridSpan w:val="7"/>
            <w:shd w:val="clear" w:color="auto" w:fill="auto"/>
          </w:tcPr>
          <w:p>
            <w:pPr>
              <w:spacing w:line="260" w:lineRule="exact"/>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bCs/>
                <w:color w:val="auto"/>
                <w:sz w:val="15"/>
                <w:szCs w:val="15"/>
                <w:lang w:val="en-US" w:eastAsia="zh-CN"/>
              </w:rPr>
              <w:t>开滦（集团）有限责任公司唐山矿业分公司</w:t>
            </w:r>
          </w:p>
        </w:tc>
        <w:tc>
          <w:tcPr>
            <w:tcW w:w="1843"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环保设施监测单位</w:t>
            </w:r>
          </w:p>
        </w:tc>
        <w:tc>
          <w:tcPr>
            <w:tcW w:w="2552"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rPr>
              <w:t>唐山赫力环境检测有限公司</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验收监测时工况</w:t>
            </w:r>
          </w:p>
        </w:tc>
        <w:tc>
          <w:tcPr>
            <w:tcW w:w="2525" w:type="dxa"/>
            <w:gridSpan w:val="5"/>
            <w:shd w:val="clear" w:color="auto" w:fill="auto"/>
          </w:tcPr>
          <w:p>
            <w:pPr>
              <w:spacing w:line="260" w:lineRule="exact"/>
              <w:rPr>
                <w:rFonts w:hint="default" w:ascii="Times New Roman" w:hAnsi="Times New Roman" w:eastAsia="宋体"/>
                <w:color w:val="auto"/>
                <w:sz w:val="15"/>
                <w:szCs w:val="15"/>
                <w:lang w:val="en-US" w:eastAsia="zh-CN"/>
              </w:rPr>
            </w:pPr>
            <w:r>
              <w:rPr>
                <w:rFonts w:hint="eastAsia" w:ascii="Times New Roman" w:hAnsi="Times New Roman" w:eastAsia="宋体"/>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投资总概算（万元）</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环保投资总概算(万元)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所占比例（%）</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实际总投资（万元）</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453.19</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实际环保投资 (万元)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所占比例(%）</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废水治理（万元）</w:t>
            </w:r>
          </w:p>
        </w:tc>
        <w:tc>
          <w:tcPr>
            <w:tcW w:w="663" w:type="dxa"/>
            <w:shd w:val="clear" w:color="auto" w:fill="auto"/>
          </w:tcPr>
          <w:p>
            <w:pPr>
              <w:spacing w:line="260" w:lineRule="exact"/>
              <w:rPr>
                <w:rFonts w:hint="default" w:ascii="Times New Roman" w:hAnsi="Times New Roman" w:eastAsiaTheme="minorEastAsia"/>
                <w:color w:val="auto"/>
                <w:sz w:val="15"/>
                <w:szCs w:val="15"/>
                <w:lang w:val="en-US" w:eastAsia="zh-CN"/>
              </w:rPr>
            </w:pPr>
          </w:p>
        </w:tc>
        <w:tc>
          <w:tcPr>
            <w:tcW w:w="127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废气治理（万元）</w:t>
            </w:r>
          </w:p>
        </w:tc>
        <w:tc>
          <w:tcPr>
            <w:tcW w:w="850" w:type="dxa"/>
            <w:shd w:val="clear" w:color="auto" w:fill="auto"/>
          </w:tcPr>
          <w:p>
            <w:pPr>
              <w:spacing w:line="260" w:lineRule="exact"/>
              <w:rPr>
                <w:rFonts w:hint="default" w:ascii="Times New Roman" w:hAnsi="Times New Roman" w:eastAsiaTheme="minorEastAsia"/>
                <w:color w:val="auto"/>
                <w:sz w:val="15"/>
                <w:szCs w:val="15"/>
                <w:highlight w:val="yellow"/>
                <w:lang w:val="en-US" w:eastAsia="zh-CN"/>
              </w:rPr>
            </w:pPr>
          </w:p>
        </w:tc>
        <w:tc>
          <w:tcPr>
            <w:tcW w:w="127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噪声治理(万元)</w:t>
            </w:r>
          </w:p>
        </w:tc>
        <w:tc>
          <w:tcPr>
            <w:tcW w:w="896" w:type="dxa"/>
            <w:shd w:val="clear" w:color="auto" w:fill="auto"/>
          </w:tcPr>
          <w:p>
            <w:pPr>
              <w:spacing w:line="260" w:lineRule="exact"/>
              <w:rPr>
                <w:rFonts w:hint="default" w:ascii="Times New Roman" w:hAnsi="Times New Roman" w:eastAsiaTheme="minorEastAsia"/>
                <w:color w:val="auto"/>
                <w:sz w:val="15"/>
                <w:szCs w:val="15"/>
                <w:highlight w:val="yellow"/>
                <w:lang w:val="en-US" w:eastAsia="zh-CN"/>
              </w:rPr>
            </w:pPr>
            <w:r>
              <w:rPr>
                <w:rFonts w:hint="eastAsia" w:ascii="Times New Roman" w:hAnsi="Times New Roman" w:eastAsiaTheme="minorEastAsia"/>
                <w:color w:val="auto"/>
                <w:sz w:val="15"/>
                <w:szCs w:val="15"/>
                <w:highlight w:val="none"/>
                <w:lang w:val="en-US" w:eastAsia="zh-CN"/>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固体废物治理（万元）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highlight w:val="yellow"/>
                <w:lang w:val="en-US" w:eastAsia="zh-CN"/>
              </w:rPr>
            </w:pPr>
            <w:r>
              <w:rPr>
                <w:rFonts w:hint="eastAsia" w:ascii="Times New Roman" w:hAnsi="Times New Roman" w:eastAsiaTheme="minorEastAsia"/>
                <w:color w:val="auto"/>
                <w:sz w:val="15"/>
                <w:szCs w:val="15"/>
                <w:highlight w:val="none"/>
                <w:lang w:val="en-US" w:eastAsia="zh-CN"/>
              </w:rPr>
              <w:t>/</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绿化及生态（万元 ）</w:t>
            </w:r>
          </w:p>
        </w:tc>
        <w:tc>
          <w:tcPr>
            <w:tcW w:w="709" w:type="dxa"/>
            <w:gridSpan w:val="2"/>
            <w:shd w:val="clear" w:color="auto" w:fill="auto"/>
          </w:tcPr>
          <w:p>
            <w:pPr>
              <w:spacing w:line="260" w:lineRule="exact"/>
              <w:rPr>
                <w:rFonts w:hint="eastAsia" w:ascii="Times New Roman" w:hAnsi="Times New Roman" w:eastAsiaTheme="minorEastAsia"/>
                <w:color w:val="auto"/>
                <w:sz w:val="15"/>
                <w:szCs w:val="15"/>
                <w:lang w:eastAsia="zh-CN"/>
              </w:rPr>
            </w:pPr>
            <w:r>
              <w:rPr>
                <w:rFonts w:hint="eastAsia" w:ascii="Times New Roman" w:hAnsi="Times New Roman" w:eastAsiaTheme="minorEastAsia"/>
                <w:color w:val="auto"/>
                <w:sz w:val="15"/>
                <w:szCs w:val="15"/>
                <w:lang w:val="en-US" w:eastAsia="zh-CN"/>
              </w:rPr>
              <w:t>/</w:t>
            </w:r>
          </w:p>
        </w:tc>
        <w:tc>
          <w:tcPr>
            <w:tcW w:w="96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其他（万元）</w:t>
            </w:r>
          </w:p>
        </w:tc>
        <w:tc>
          <w:tcPr>
            <w:tcW w:w="850" w:type="dxa"/>
            <w:shd w:val="clear" w:color="auto" w:fill="auto"/>
          </w:tcPr>
          <w:p>
            <w:pPr>
              <w:spacing w:line="260" w:lineRule="exact"/>
              <w:rPr>
                <w:rFonts w:ascii="Times New Roman" w:hAnsi="Times New Roman" w:eastAsiaTheme="minorEastAsia"/>
                <w:color w:val="0000FF"/>
                <w:sz w:val="15"/>
                <w:szCs w:val="15"/>
              </w:rPr>
            </w:pPr>
            <w:r>
              <w:rPr>
                <w:rFonts w:ascii="Times New Roman" w:hAnsi="Times New Roman" w:eastAsiaTheme="minorEastAsia"/>
                <w:color w:val="0000FF"/>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新增废水处理设施能力</w:t>
            </w:r>
          </w:p>
        </w:tc>
        <w:tc>
          <w:tcPr>
            <w:tcW w:w="4961" w:type="dxa"/>
            <w:gridSpan w:val="7"/>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新增废气处理设施能力</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年平均工作时间</w:t>
            </w:r>
          </w:p>
        </w:tc>
        <w:tc>
          <w:tcPr>
            <w:tcW w:w="2525" w:type="dxa"/>
            <w:gridSpan w:val="5"/>
            <w:shd w:val="clear" w:color="auto" w:fill="auto"/>
          </w:tcPr>
          <w:p>
            <w:pPr>
              <w:spacing w:line="260" w:lineRule="exact"/>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9" w:type="dxa"/>
            <w:gridSpan w:val="4"/>
            <w:shd w:val="clear" w:color="auto" w:fill="auto"/>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运营单位</w:t>
            </w:r>
          </w:p>
        </w:tc>
        <w:tc>
          <w:tcPr>
            <w:tcW w:w="4065" w:type="dxa"/>
            <w:gridSpan w:val="6"/>
            <w:shd w:val="clear" w:color="auto" w:fill="auto"/>
          </w:tcPr>
          <w:p>
            <w:pPr>
              <w:spacing w:line="260" w:lineRule="exact"/>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bCs/>
                <w:color w:val="auto"/>
                <w:sz w:val="15"/>
                <w:szCs w:val="15"/>
                <w:lang w:val="en-US" w:eastAsia="zh-CN"/>
              </w:rPr>
              <w:t>开滦（集团）有限责任公司唐山矿业分公司</w:t>
            </w:r>
          </w:p>
        </w:tc>
        <w:tc>
          <w:tcPr>
            <w:tcW w:w="3402" w:type="dxa"/>
            <w:gridSpan w:val="5"/>
            <w:shd w:val="clear" w:color="auto" w:fill="auto"/>
          </w:tcPr>
          <w:p>
            <w:pPr>
              <w:spacing w:line="260" w:lineRule="exact"/>
              <w:rPr>
                <w:rFonts w:hint="eastAsia" w:ascii="Times New Roman" w:hAnsi="Times New Roman" w:cs="Times New Roman" w:eastAsiaTheme="minorEastAsia"/>
                <w:color w:val="auto"/>
                <w:sz w:val="15"/>
                <w:szCs w:val="15"/>
                <w:lang w:val="en-US" w:eastAsia="zh-CN"/>
              </w:rPr>
            </w:pPr>
            <w:r>
              <w:rPr>
                <w:rFonts w:hint="eastAsia" w:ascii="Times New Roman" w:hAnsi="Times New Roman" w:cs="Times New Roman" w:eastAsiaTheme="minorEastAsia"/>
                <w:color w:val="auto"/>
                <w:sz w:val="15"/>
                <w:szCs w:val="15"/>
                <w:lang w:val="en-US" w:eastAsia="zh-CN"/>
              </w:rPr>
              <w:t>运营单位社会统一信用代码(或组织机构代码)</w:t>
            </w:r>
          </w:p>
        </w:tc>
        <w:tc>
          <w:tcPr>
            <w:tcW w:w="1889" w:type="dxa"/>
            <w:gridSpan w:val="2"/>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91130200601041537N</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验收时间</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highlight w:val="none"/>
                <w:lang w:val="en-US" w:eastAsia="zh-CN"/>
              </w:rPr>
              <w:t>2023.11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gridSpan w:val="2"/>
            <w:vMerge w:val="restart"/>
            <w:shd w:val="clear" w:color="auto" w:fill="auto"/>
          </w:tcPr>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污染物排放达标与总量控制（工业建设项目详填）</w:t>
            </w: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污染物</w:t>
            </w:r>
          </w:p>
        </w:tc>
        <w:tc>
          <w:tcPr>
            <w:tcW w:w="805"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原有排放量(1)</w:t>
            </w:r>
          </w:p>
        </w:tc>
        <w:tc>
          <w:tcPr>
            <w:tcW w:w="1134" w:type="dxa"/>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本期工程实际排放浓度(2)</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本期工程允许排放浓度(3)</w:t>
            </w:r>
          </w:p>
        </w:tc>
        <w:tc>
          <w:tcPr>
            <w:tcW w:w="992" w:type="dxa"/>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本期工程产生量(4)</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本期工程自身削减量(5)</w:t>
            </w:r>
          </w:p>
        </w:tc>
        <w:tc>
          <w:tcPr>
            <w:tcW w:w="1134" w:type="dxa"/>
            <w:shd w:val="clear" w:color="auto" w:fill="auto"/>
          </w:tcPr>
          <w:p>
            <w:pPr>
              <w:spacing w:line="260" w:lineRule="exact"/>
              <w:jc w:val="lef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本期工程实际排放量(6)</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本期工程核定排放总量(7)</w:t>
            </w:r>
          </w:p>
        </w:tc>
        <w:tc>
          <w:tcPr>
            <w:tcW w:w="188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本期工程“以新带老”削减量(8)</w:t>
            </w:r>
          </w:p>
        </w:tc>
        <w:tc>
          <w:tcPr>
            <w:tcW w:w="95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全厂实际排放总量(9)</w:t>
            </w:r>
          </w:p>
        </w:tc>
        <w:tc>
          <w:tcPr>
            <w:tcW w:w="993"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全厂核定排放总量(10)</w:t>
            </w:r>
          </w:p>
        </w:tc>
        <w:tc>
          <w:tcPr>
            <w:tcW w:w="118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区域平衡替代削减量(11)</w:t>
            </w:r>
          </w:p>
        </w:tc>
        <w:tc>
          <w:tcPr>
            <w:tcW w:w="1107"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排放增减量(12)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排气量</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hint="default" w:ascii="Times New Roman" w:hAnsi="Times New Roman" w:cs="Times New Roman" w:eastAsiaTheme="minorEastAsia"/>
                <w:color w:val="auto"/>
                <w:kern w:val="2"/>
                <w:sz w:val="15"/>
                <w:szCs w:val="15"/>
                <w:highlight w:val="none"/>
                <w:lang w:val="en-US" w:eastAsia="zh-CN" w:bidi="ar-SA"/>
              </w:rPr>
            </w:pPr>
            <w:r>
              <w:rPr>
                <w:rFonts w:hint="eastAsia" w:ascii="Times New Roman" w:hAnsi="Times New Roman" w:eastAsiaTheme="minorEastAsia"/>
                <w:color w:val="auto"/>
                <w:sz w:val="15"/>
                <w:szCs w:val="15"/>
                <w:highlight w:val="none"/>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颗粒物</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hint="default" w:ascii="Times New Roman" w:hAnsi="Times New Roman" w:cs="Times New Roman" w:eastAsiaTheme="minorEastAsia"/>
                <w:color w:val="auto"/>
                <w:kern w:val="2"/>
                <w:sz w:val="15"/>
                <w:szCs w:val="15"/>
                <w:highlight w:val="none"/>
                <w:lang w:val="en-US" w:eastAsia="zh-CN" w:bidi="ar-SA"/>
              </w:rPr>
            </w:pPr>
            <w:r>
              <w:rPr>
                <w:rFonts w:hint="eastAsia" w:ascii="Times New Roman" w:hAnsi="Times New Roman" w:eastAsiaTheme="minorEastAsia"/>
                <w:color w:val="auto"/>
                <w:sz w:val="15"/>
                <w:szCs w:val="15"/>
                <w:highlight w:val="none"/>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二氧化硫</w:t>
            </w:r>
          </w:p>
        </w:tc>
        <w:tc>
          <w:tcPr>
            <w:tcW w:w="805" w:type="dxa"/>
            <w:gridSpan w:val="2"/>
            <w:shd w:val="clear" w:color="auto" w:fill="auto"/>
            <w:vAlign w:val="center"/>
          </w:tcPr>
          <w:p>
            <w:pPr>
              <w:spacing w:line="240" w:lineRule="exact"/>
              <w:ind w:left="-107" w:leftChars="-51" w:right="-67" w:rightChars="-32"/>
              <w:jc w:val="center"/>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highlight w:val="none"/>
                <w:lang w:val="en-US" w:eastAsia="zh-CN" w:bidi="ar-SA"/>
              </w:rPr>
            </w:pPr>
            <w:r>
              <w:rPr>
                <w:rFonts w:hint="eastAsia" w:ascii="Times New Roman" w:hAnsi="Times New Roman" w:eastAsiaTheme="minorEastAsia"/>
                <w:color w:val="auto"/>
                <w:sz w:val="15"/>
                <w:szCs w:val="15"/>
                <w:highlight w:val="none"/>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氮氧化物</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cs="Times New Roman" w:eastAsiaTheme="minorEastAsia"/>
                <w:color w:val="auto"/>
                <w:kern w:val="2"/>
                <w:sz w:val="15"/>
                <w:szCs w:val="15"/>
                <w:highlight w:val="none"/>
                <w:lang w:val="en-US" w:eastAsia="zh-CN" w:bidi="ar-SA"/>
              </w:rPr>
            </w:pPr>
            <w:r>
              <w:rPr>
                <w:rFonts w:hint="eastAsia" w:ascii="Times New Roman" w:hAnsi="Times New Roman" w:eastAsiaTheme="minorEastAsia"/>
                <w:color w:val="auto"/>
                <w:sz w:val="15"/>
                <w:szCs w:val="15"/>
                <w:highlight w:val="none"/>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非甲烷总烃</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hint="default" w:ascii="Times New Roman" w:hAnsi="Times New Roman" w:cs="Times New Roman" w:eastAsiaTheme="minorEastAsia"/>
                <w:color w:val="auto"/>
                <w:kern w:val="2"/>
                <w:sz w:val="15"/>
                <w:szCs w:val="15"/>
                <w:highlight w:val="none"/>
                <w:lang w:val="en-US" w:eastAsia="zh-CN" w:bidi="ar-SA"/>
              </w:rPr>
            </w:pPr>
            <w:r>
              <w:rPr>
                <w:rFonts w:hint="eastAsia" w:ascii="Times New Roman" w:hAnsi="Times New Roman" w:eastAsiaTheme="minorEastAsia"/>
                <w:color w:val="auto"/>
                <w:sz w:val="15"/>
                <w:szCs w:val="15"/>
                <w:highlight w:val="none"/>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hint="eastAsia"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排水量</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COD</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氨氮</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restart"/>
            <w:shd w:val="clear" w:color="auto" w:fill="auto"/>
          </w:tcPr>
          <w:p>
            <w:pPr>
              <w:spacing w:line="260" w:lineRule="exact"/>
              <w:rPr>
                <w:rFonts w:ascii="Times New Roman" w:hAnsi="Times New Roman" w:eastAsiaTheme="minorEastAsia"/>
                <w:color w:val="auto"/>
                <w:spacing w:val="-10"/>
                <w:sz w:val="15"/>
                <w:szCs w:val="15"/>
              </w:rPr>
            </w:pPr>
            <w:r>
              <w:rPr>
                <w:rFonts w:ascii="Times New Roman" w:hAnsi="Times New Roman" w:eastAsiaTheme="minorEastAsia"/>
                <w:color w:val="auto"/>
                <w:spacing w:val="-10"/>
                <w:sz w:val="15"/>
                <w:szCs w:val="15"/>
              </w:rPr>
              <w:t>与项目有关的其他特征污染物</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continue"/>
            <w:shd w:val="clear" w:color="auto" w:fill="auto"/>
          </w:tcPr>
          <w:p>
            <w:pPr>
              <w:spacing w:line="260" w:lineRule="exact"/>
              <w:rPr>
                <w:rFonts w:ascii="Times New Roman" w:hAnsi="Times New Roman" w:eastAsiaTheme="minorEastAsia"/>
                <w:color w:val="auto"/>
                <w:sz w:val="15"/>
                <w:szCs w:val="15"/>
              </w:rPr>
            </w:pP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continue"/>
            <w:shd w:val="clear" w:color="auto" w:fill="auto"/>
          </w:tcPr>
          <w:p>
            <w:pPr>
              <w:spacing w:line="260" w:lineRule="exact"/>
              <w:rPr>
                <w:rFonts w:ascii="Times New Roman" w:hAnsi="Times New Roman" w:eastAsiaTheme="minorEastAsia"/>
                <w:color w:val="auto"/>
                <w:sz w:val="15"/>
                <w:szCs w:val="15"/>
              </w:rPr>
            </w:pP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cs="Times New Roman" w:eastAsiaTheme="minorEastAsia"/>
                <w:color w:val="auto"/>
                <w:kern w:val="2"/>
                <w:sz w:val="15"/>
                <w:szCs w:val="15"/>
                <w:lang w:val="en-US" w:eastAsia="zh-CN" w:bidi="ar-SA"/>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bl>
    <w:p>
      <w:pPr>
        <w:ind w:firstLine="750" w:firstLineChars="500"/>
        <w:rPr>
          <w:rFonts w:hint="eastAsia"/>
          <w:color w:val="auto"/>
          <w:lang w:val="en-US" w:eastAsia="zh-CN"/>
        </w:rPr>
      </w:pPr>
      <w:r>
        <w:rPr>
          <w:rFonts w:ascii="Times New Roman" w:hAnsi="Times New Roman" w:eastAsiaTheme="minorEastAsia"/>
          <w:color w:val="auto"/>
          <w:sz w:val="15"/>
        </w:rPr>
        <w:t>注：1、排放增减量：(+)表示增加，(-)表示减少。2、(12)=(6)- (8)- (11)，(9)= (4)-(5)-(8)-(11)+(1)。3、计量单位：废水排放量——万吨/年；废气排放量——万标立方米/年；工业固体废物排放量——万吨/年；水污染物排放浓度——毫克/升</w:t>
      </w:r>
    </w:p>
    <w:p>
      <w:pPr>
        <w:keepNext w:val="0"/>
        <w:keepLines w:val="0"/>
        <w:pageBreakBefore w:val="0"/>
        <w:widowControl w:val="0"/>
        <w:kinsoku/>
        <w:wordWrap/>
        <w:overflowPunct/>
        <w:topLinePunct w:val="0"/>
        <w:autoSpaceDE/>
        <w:autoSpaceDN/>
        <w:bidi w:val="0"/>
        <w:adjustRightInd/>
        <w:snapToGrid/>
        <w:spacing w:after="312" w:afterLines="100"/>
        <w:jc w:val="center"/>
        <w:textAlignment w:val="auto"/>
        <w:rPr>
          <w:rFonts w:hint="eastAsia" w:ascii="宋体" w:hAnsi="宋体" w:eastAsia="宋体" w:cs="宋体"/>
          <w:sz w:val="18"/>
          <w:szCs w:val="20"/>
          <w:lang w:eastAsia="zh-CN"/>
        </w:rPr>
      </w:pPr>
    </w:p>
    <w:sectPr>
      <w:pgSz w:w="16838" w:h="11906" w:orient="landscape"/>
      <w:pgMar w:top="1230" w:right="306" w:bottom="1230" w:left="306"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688323"/>
    </w:sdtPr>
    <w:sdtEndPr>
      <w:rPr>
        <w:rFonts w:ascii="Times New Roman" w:hAnsi="Times New Roman"/>
      </w:rPr>
    </w:sdtEndPr>
    <w:sdtContent>
      <w:p>
        <w:pPr>
          <w:pStyle w:val="17"/>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28</w:t>
        </w:r>
        <w:r>
          <w:rPr>
            <w:rFonts w:ascii="Times New Roman" w:hAnsi="Times New Roman"/>
          </w:rPr>
          <w:fldChar w:fldCharType="end"/>
        </w:r>
      </w:p>
    </w:sdtContent>
  </w:sdt>
  <w:p>
    <w:pPr>
      <w:pStyle w:val="1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NmJlMmVhOGY0NTg1Y2MwNTk1YmI2OGQwMzI4NDMifQ=="/>
  </w:docVars>
  <w:rsids>
    <w:rsidRoot w:val="00401FF0"/>
    <w:rsid w:val="0000136E"/>
    <w:rsid w:val="000021B0"/>
    <w:rsid w:val="000052E9"/>
    <w:rsid w:val="000054D5"/>
    <w:rsid w:val="0000772C"/>
    <w:rsid w:val="00010108"/>
    <w:rsid w:val="000105ED"/>
    <w:rsid w:val="00010DC3"/>
    <w:rsid w:val="000111A8"/>
    <w:rsid w:val="000134F5"/>
    <w:rsid w:val="00013A22"/>
    <w:rsid w:val="00013A9D"/>
    <w:rsid w:val="000146A1"/>
    <w:rsid w:val="00015640"/>
    <w:rsid w:val="000157C6"/>
    <w:rsid w:val="00016908"/>
    <w:rsid w:val="00016CB4"/>
    <w:rsid w:val="00020031"/>
    <w:rsid w:val="0002037B"/>
    <w:rsid w:val="000203BE"/>
    <w:rsid w:val="0002312F"/>
    <w:rsid w:val="00025519"/>
    <w:rsid w:val="00027D19"/>
    <w:rsid w:val="000318BB"/>
    <w:rsid w:val="00032C33"/>
    <w:rsid w:val="00034E24"/>
    <w:rsid w:val="00040B68"/>
    <w:rsid w:val="000427A7"/>
    <w:rsid w:val="00043780"/>
    <w:rsid w:val="00044767"/>
    <w:rsid w:val="00044846"/>
    <w:rsid w:val="000448E4"/>
    <w:rsid w:val="00044C3C"/>
    <w:rsid w:val="00045830"/>
    <w:rsid w:val="00045A50"/>
    <w:rsid w:val="0004796F"/>
    <w:rsid w:val="000508F7"/>
    <w:rsid w:val="00050E65"/>
    <w:rsid w:val="000511F6"/>
    <w:rsid w:val="0005120B"/>
    <w:rsid w:val="00052B1A"/>
    <w:rsid w:val="00052B5B"/>
    <w:rsid w:val="00052E3A"/>
    <w:rsid w:val="00053A91"/>
    <w:rsid w:val="00054A71"/>
    <w:rsid w:val="00054ABA"/>
    <w:rsid w:val="00054EC4"/>
    <w:rsid w:val="00055275"/>
    <w:rsid w:val="0005588A"/>
    <w:rsid w:val="000564B5"/>
    <w:rsid w:val="00063EAE"/>
    <w:rsid w:val="00064BED"/>
    <w:rsid w:val="00064FA6"/>
    <w:rsid w:val="00066436"/>
    <w:rsid w:val="000665E8"/>
    <w:rsid w:val="00066CE7"/>
    <w:rsid w:val="00067C7E"/>
    <w:rsid w:val="00067E1A"/>
    <w:rsid w:val="00072A04"/>
    <w:rsid w:val="00072BF5"/>
    <w:rsid w:val="00073DE1"/>
    <w:rsid w:val="0007605E"/>
    <w:rsid w:val="00077484"/>
    <w:rsid w:val="00082187"/>
    <w:rsid w:val="00082ACE"/>
    <w:rsid w:val="00082E1A"/>
    <w:rsid w:val="00084EA4"/>
    <w:rsid w:val="00085680"/>
    <w:rsid w:val="00086B51"/>
    <w:rsid w:val="00091E5C"/>
    <w:rsid w:val="000925CF"/>
    <w:rsid w:val="00093C4E"/>
    <w:rsid w:val="00094BA7"/>
    <w:rsid w:val="00095559"/>
    <w:rsid w:val="00096734"/>
    <w:rsid w:val="00097847"/>
    <w:rsid w:val="000A1EE1"/>
    <w:rsid w:val="000A2157"/>
    <w:rsid w:val="000A4A11"/>
    <w:rsid w:val="000A63C7"/>
    <w:rsid w:val="000A63C8"/>
    <w:rsid w:val="000A6606"/>
    <w:rsid w:val="000A6F75"/>
    <w:rsid w:val="000A7B94"/>
    <w:rsid w:val="000B115A"/>
    <w:rsid w:val="000B1FC1"/>
    <w:rsid w:val="000B25F5"/>
    <w:rsid w:val="000B2B8B"/>
    <w:rsid w:val="000B5A8C"/>
    <w:rsid w:val="000B7091"/>
    <w:rsid w:val="000C010E"/>
    <w:rsid w:val="000C30F2"/>
    <w:rsid w:val="000C360F"/>
    <w:rsid w:val="000C3B04"/>
    <w:rsid w:val="000C701D"/>
    <w:rsid w:val="000C7981"/>
    <w:rsid w:val="000D073F"/>
    <w:rsid w:val="000D1774"/>
    <w:rsid w:val="000D3559"/>
    <w:rsid w:val="000D3799"/>
    <w:rsid w:val="000D3B48"/>
    <w:rsid w:val="000D47E1"/>
    <w:rsid w:val="000D70B1"/>
    <w:rsid w:val="000D74C3"/>
    <w:rsid w:val="000D7D27"/>
    <w:rsid w:val="000E3558"/>
    <w:rsid w:val="000E46E0"/>
    <w:rsid w:val="000E52AD"/>
    <w:rsid w:val="000E59AA"/>
    <w:rsid w:val="000F0895"/>
    <w:rsid w:val="000F3C93"/>
    <w:rsid w:val="000F45FE"/>
    <w:rsid w:val="001009AA"/>
    <w:rsid w:val="001013D9"/>
    <w:rsid w:val="001044BE"/>
    <w:rsid w:val="00104E7F"/>
    <w:rsid w:val="00105CAC"/>
    <w:rsid w:val="00110D8B"/>
    <w:rsid w:val="00110EF4"/>
    <w:rsid w:val="00111E2C"/>
    <w:rsid w:val="00112B5D"/>
    <w:rsid w:val="001152C0"/>
    <w:rsid w:val="00117347"/>
    <w:rsid w:val="00120F5F"/>
    <w:rsid w:val="00121BD0"/>
    <w:rsid w:val="00123AEC"/>
    <w:rsid w:val="00124CD7"/>
    <w:rsid w:val="00124D81"/>
    <w:rsid w:val="00125976"/>
    <w:rsid w:val="00126BC6"/>
    <w:rsid w:val="0012776F"/>
    <w:rsid w:val="00130F95"/>
    <w:rsid w:val="001312A5"/>
    <w:rsid w:val="0013656C"/>
    <w:rsid w:val="0014113A"/>
    <w:rsid w:val="00141F0B"/>
    <w:rsid w:val="001446E2"/>
    <w:rsid w:val="00145F03"/>
    <w:rsid w:val="00146ECE"/>
    <w:rsid w:val="001519E3"/>
    <w:rsid w:val="00151ACA"/>
    <w:rsid w:val="00153B48"/>
    <w:rsid w:val="00154707"/>
    <w:rsid w:val="001548EA"/>
    <w:rsid w:val="0015491D"/>
    <w:rsid w:val="00154C3E"/>
    <w:rsid w:val="0015575F"/>
    <w:rsid w:val="00160B75"/>
    <w:rsid w:val="00160F10"/>
    <w:rsid w:val="00161960"/>
    <w:rsid w:val="0016360E"/>
    <w:rsid w:val="001658FB"/>
    <w:rsid w:val="0017077F"/>
    <w:rsid w:val="001719E0"/>
    <w:rsid w:val="00176542"/>
    <w:rsid w:val="001775B9"/>
    <w:rsid w:val="00177B18"/>
    <w:rsid w:val="00180837"/>
    <w:rsid w:val="0018296A"/>
    <w:rsid w:val="00183CBC"/>
    <w:rsid w:val="001846D7"/>
    <w:rsid w:val="00187704"/>
    <w:rsid w:val="00191B84"/>
    <w:rsid w:val="00193143"/>
    <w:rsid w:val="001938BC"/>
    <w:rsid w:val="0019414C"/>
    <w:rsid w:val="0019494B"/>
    <w:rsid w:val="001A05F5"/>
    <w:rsid w:val="001A0B62"/>
    <w:rsid w:val="001A2CCC"/>
    <w:rsid w:val="001A33DF"/>
    <w:rsid w:val="001A4966"/>
    <w:rsid w:val="001A5395"/>
    <w:rsid w:val="001A6B2D"/>
    <w:rsid w:val="001A6EEF"/>
    <w:rsid w:val="001B0620"/>
    <w:rsid w:val="001B0B2B"/>
    <w:rsid w:val="001B4D01"/>
    <w:rsid w:val="001B6D3E"/>
    <w:rsid w:val="001C076B"/>
    <w:rsid w:val="001C09E8"/>
    <w:rsid w:val="001C0ACA"/>
    <w:rsid w:val="001C30F8"/>
    <w:rsid w:val="001C46DB"/>
    <w:rsid w:val="001C78C1"/>
    <w:rsid w:val="001C795B"/>
    <w:rsid w:val="001D0657"/>
    <w:rsid w:val="001D0E80"/>
    <w:rsid w:val="001D244A"/>
    <w:rsid w:val="001D26CB"/>
    <w:rsid w:val="001D3326"/>
    <w:rsid w:val="001D59E1"/>
    <w:rsid w:val="001E152B"/>
    <w:rsid w:val="001E15A0"/>
    <w:rsid w:val="001E43CE"/>
    <w:rsid w:val="001E4449"/>
    <w:rsid w:val="001E7C88"/>
    <w:rsid w:val="001E7D9B"/>
    <w:rsid w:val="001F094C"/>
    <w:rsid w:val="001F0F2D"/>
    <w:rsid w:val="001F0F9D"/>
    <w:rsid w:val="001F12BB"/>
    <w:rsid w:val="001F18D8"/>
    <w:rsid w:val="001F2BCA"/>
    <w:rsid w:val="001F2FB8"/>
    <w:rsid w:val="001F3289"/>
    <w:rsid w:val="001F560D"/>
    <w:rsid w:val="001F5740"/>
    <w:rsid w:val="001F67D2"/>
    <w:rsid w:val="00201B76"/>
    <w:rsid w:val="002034FB"/>
    <w:rsid w:val="00203B8B"/>
    <w:rsid w:val="00204725"/>
    <w:rsid w:val="00204A55"/>
    <w:rsid w:val="00204D72"/>
    <w:rsid w:val="002056B6"/>
    <w:rsid w:val="00205CFC"/>
    <w:rsid w:val="00206024"/>
    <w:rsid w:val="00207510"/>
    <w:rsid w:val="00207767"/>
    <w:rsid w:val="00207E0D"/>
    <w:rsid w:val="002106A2"/>
    <w:rsid w:val="00210891"/>
    <w:rsid w:val="00210A4A"/>
    <w:rsid w:val="00210F08"/>
    <w:rsid w:val="0021182E"/>
    <w:rsid w:val="00215896"/>
    <w:rsid w:val="00216192"/>
    <w:rsid w:val="002171BF"/>
    <w:rsid w:val="00217610"/>
    <w:rsid w:val="0022009B"/>
    <w:rsid w:val="002203C1"/>
    <w:rsid w:val="00221149"/>
    <w:rsid w:val="0022689C"/>
    <w:rsid w:val="00227BD5"/>
    <w:rsid w:val="00227E0E"/>
    <w:rsid w:val="00230C4B"/>
    <w:rsid w:val="00230D36"/>
    <w:rsid w:val="00231223"/>
    <w:rsid w:val="002316DB"/>
    <w:rsid w:val="00232B50"/>
    <w:rsid w:val="00234C10"/>
    <w:rsid w:val="00234ED2"/>
    <w:rsid w:val="002368FA"/>
    <w:rsid w:val="00236986"/>
    <w:rsid w:val="00237DAB"/>
    <w:rsid w:val="002401F1"/>
    <w:rsid w:val="0024086C"/>
    <w:rsid w:val="00240C9E"/>
    <w:rsid w:val="0024147D"/>
    <w:rsid w:val="00241F8D"/>
    <w:rsid w:val="00242A8D"/>
    <w:rsid w:val="00245041"/>
    <w:rsid w:val="0024639A"/>
    <w:rsid w:val="00246D6E"/>
    <w:rsid w:val="00251A25"/>
    <w:rsid w:val="0025351E"/>
    <w:rsid w:val="00254C29"/>
    <w:rsid w:val="00254F6D"/>
    <w:rsid w:val="00256E0F"/>
    <w:rsid w:val="00257B96"/>
    <w:rsid w:val="002616B2"/>
    <w:rsid w:val="00262F2E"/>
    <w:rsid w:val="002643E5"/>
    <w:rsid w:val="00270BEC"/>
    <w:rsid w:val="0027236E"/>
    <w:rsid w:val="00273F2E"/>
    <w:rsid w:val="00275078"/>
    <w:rsid w:val="00275229"/>
    <w:rsid w:val="002769C1"/>
    <w:rsid w:val="002800C7"/>
    <w:rsid w:val="00281271"/>
    <w:rsid w:val="00282BBC"/>
    <w:rsid w:val="00285047"/>
    <w:rsid w:val="0028612C"/>
    <w:rsid w:val="00286D29"/>
    <w:rsid w:val="00292A6A"/>
    <w:rsid w:val="00293C71"/>
    <w:rsid w:val="00295D60"/>
    <w:rsid w:val="00297DA1"/>
    <w:rsid w:val="002A03F8"/>
    <w:rsid w:val="002A2227"/>
    <w:rsid w:val="002A63E6"/>
    <w:rsid w:val="002A6F77"/>
    <w:rsid w:val="002B3191"/>
    <w:rsid w:val="002B3D01"/>
    <w:rsid w:val="002B56C9"/>
    <w:rsid w:val="002B6B62"/>
    <w:rsid w:val="002C0282"/>
    <w:rsid w:val="002C3562"/>
    <w:rsid w:val="002C375A"/>
    <w:rsid w:val="002C3DB7"/>
    <w:rsid w:val="002C3F05"/>
    <w:rsid w:val="002C4D2A"/>
    <w:rsid w:val="002D0BDB"/>
    <w:rsid w:val="002D0DC3"/>
    <w:rsid w:val="002D0E5D"/>
    <w:rsid w:val="002D12E3"/>
    <w:rsid w:val="002D15E2"/>
    <w:rsid w:val="002D162C"/>
    <w:rsid w:val="002D18E8"/>
    <w:rsid w:val="002D2399"/>
    <w:rsid w:val="002D292B"/>
    <w:rsid w:val="002D2C65"/>
    <w:rsid w:val="002D36F0"/>
    <w:rsid w:val="002D3EBB"/>
    <w:rsid w:val="002D4309"/>
    <w:rsid w:val="002D53D8"/>
    <w:rsid w:val="002D6ABA"/>
    <w:rsid w:val="002D7FFC"/>
    <w:rsid w:val="002E0D20"/>
    <w:rsid w:val="002E55C9"/>
    <w:rsid w:val="002F0B8E"/>
    <w:rsid w:val="002F154C"/>
    <w:rsid w:val="002F212F"/>
    <w:rsid w:val="002F24EC"/>
    <w:rsid w:val="002F2635"/>
    <w:rsid w:val="002F295F"/>
    <w:rsid w:val="002F2AD6"/>
    <w:rsid w:val="002F42C1"/>
    <w:rsid w:val="002F4CEE"/>
    <w:rsid w:val="002F5794"/>
    <w:rsid w:val="002F5A74"/>
    <w:rsid w:val="002F6D86"/>
    <w:rsid w:val="002F753A"/>
    <w:rsid w:val="002F78FA"/>
    <w:rsid w:val="002F79F4"/>
    <w:rsid w:val="003002A0"/>
    <w:rsid w:val="00300FC1"/>
    <w:rsid w:val="00301DBA"/>
    <w:rsid w:val="00302C7C"/>
    <w:rsid w:val="00303374"/>
    <w:rsid w:val="00305527"/>
    <w:rsid w:val="003079EF"/>
    <w:rsid w:val="0031277E"/>
    <w:rsid w:val="003164E6"/>
    <w:rsid w:val="00316F65"/>
    <w:rsid w:val="00317D50"/>
    <w:rsid w:val="003207A2"/>
    <w:rsid w:val="00321EEB"/>
    <w:rsid w:val="00323DB8"/>
    <w:rsid w:val="0032765F"/>
    <w:rsid w:val="003277E1"/>
    <w:rsid w:val="00332EE8"/>
    <w:rsid w:val="00334BCD"/>
    <w:rsid w:val="003361B9"/>
    <w:rsid w:val="00336A0A"/>
    <w:rsid w:val="00341721"/>
    <w:rsid w:val="00341EE6"/>
    <w:rsid w:val="00343B15"/>
    <w:rsid w:val="0034492A"/>
    <w:rsid w:val="00344A00"/>
    <w:rsid w:val="00344CB3"/>
    <w:rsid w:val="003451C4"/>
    <w:rsid w:val="00345572"/>
    <w:rsid w:val="00345BA0"/>
    <w:rsid w:val="003509E4"/>
    <w:rsid w:val="00350D8F"/>
    <w:rsid w:val="0035277C"/>
    <w:rsid w:val="0035331A"/>
    <w:rsid w:val="00360E9B"/>
    <w:rsid w:val="00360F87"/>
    <w:rsid w:val="00361A88"/>
    <w:rsid w:val="003636B0"/>
    <w:rsid w:val="003667B6"/>
    <w:rsid w:val="00366FBA"/>
    <w:rsid w:val="00370E85"/>
    <w:rsid w:val="00370E8E"/>
    <w:rsid w:val="0037111E"/>
    <w:rsid w:val="003734D3"/>
    <w:rsid w:val="00375D69"/>
    <w:rsid w:val="00376602"/>
    <w:rsid w:val="0038119A"/>
    <w:rsid w:val="00381F40"/>
    <w:rsid w:val="00381F65"/>
    <w:rsid w:val="00384513"/>
    <w:rsid w:val="00384D24"/>
    <w:rsid w:val="003858DF"/>
    <w:rsid w:val="00386290"/>
    <w:rsid w:val="00386CB6"/>
    <w:rsid w:val="00390174"/>
    <w:rsid w:val="00391899"/>
    <w:rsid w:val="0039743E"/>
    <w:rsid w:val="00397B2A"/>
    <w:rsid w:val="003A047B"/>
    <w:rsid w:val="003A05D3"/>
    <w:rsid w:val="003A42AA"/>
    <w:rsid w:val="003A67C4"/>
    <w:rsid w:val="003A718A"/>
    <w:rsid w:val="003B2E54"/>
    <w:rsid w:val="003B344C"/>
    <w:rsid w:val="003B3525"/>
    <w:rsid w:val="003B3FFB"/>
    <w:rsid w:val="003B42A8"/>
    <w:rsid w:val="003B60F3"/>
    <w:rsid w:val="003B72F0"/>
    <w:rsid w:val="003B737E"/>
    <w:rsid w:val="003B7D85"/>
    <w:rsid w:val="003C18B9"/>
    <w:rsid w:val="003C1D79"/>
    <w:rsid w:val="003C213D"/>
    <w:rsid w:val="003C2660"/>
    <w:rsid w:val="003C3133"/>
    <w:rsid w:val="003C42A4"/>
    <w:rsid w:val="003D1024"/>
    <w:rsid w:val="003D18C9"/>
    <w:rsid w:val="003D5E3A"/>
    <w:rsid w:val="003D783D"/>
    <w:rsid w:val="003E125B"/>
    <w:rsid w:val="003E295A"/>
    <w:rsid w:val="003E437B"/>
    <w:rsid w:val="003E474C"/>
    <w:rsid w:val="003E5BCB"/>
    <w:rsid w:val="003E5CF3"/>
    <w:rsid w:val="003E735D"/>
    <w:rsid w:val="003E7488"/>
    <w:rsid w:val="003E76B4"/>
    <w:rsid w:val="003F0D61"/>
    <w:rsid w:val="003F17AF"/>
    <w:rsid w:val="003F2257"/>
    <w:rsid w:val="003F2D07"/>
    <w:rsid w:val="003F34EF"/>
    <w:rsid w:val="003F35B2"/>
    <w:rsid w:val="003F365F"/>
    <w:rsid w:val="003F4E56"/>
    <w:rsid w:val="003F5DD8"/>
    <w:rsid w:val="003F67B1"/>
    <w:rsid w:val="003F7616"/>
    <w:rsid w:val="004006FF"/>
    <w:rsid w:val="00401A36"/>
    <w:rsid w:val="00401FF0"/>
    <w:rsid w:val="004029BD"/>
    <w:rsid w:val="00402AC0"/>
    <w:rsid w:val="00403746"/>
    <w:rsid w:val="004102A1"/>
    <w:rsid w:val="00410DCB"/>
    <w:rsid w:val="0041248A"/>
    <w:rsid w:val="004125F9"/>
    <w:rsid w:val="00412FE9"/>
    <w:rsid w:val="00413912"/>
    <w:rsid w:val="00415F55"/>
    <w:rsid w:val="00420D51"/>
    <w:rsid w:val="00422262"/>
    <w:rsid w:val="00422F47"/>
    <w:rsid w:val="00423802"/>
    <w:rsid w:val="00423A2E"/>
    <w:rsid w:val="004246B4"/>
    <w:rsid w:val="004262DB"/>
    <w:rsid w:val="0043045F"/>
    <w:rsid w:val="00430BE6"/>
    <w:rsid w:val="00432674"/>
    <w:rsid w:val="00436B03"/>
    <w:rsid w:val="0044007D"/>
    <w:rsid w:val="004410E5"/>
    <w:rsid w:val="00441465"/>
    <w:rsid w:val="00443D9B"/>
    <w:rsid w:val="0044422D"/>
    <w:rsid w:val="0044529E"/>
    <w:rsid w:val="0044578C"/>
    <w:rsid w:val="00447E68"/>
    <w:rsid w:val="00450DA2"/>
    <w:rsid w:val="00451EE6"/>
    <w:rsid w:val="004530AC"/>
    <w:rsid w:val="00453B13"/>
    <w:rsid w:val="00454A46"/>
    <w:rsid w:val="00455B16"/>
    <w:rsid w:val="004561C3"/>
    <w:rsid w:val="00456408"/>
    <w:rsid w:val="00461E21"/>
    <w:rsid w:val="00464CB9"/>
    <w:rsid w:val="004657C5"/>
    <w:rsid w:val="00465CE5"/>
    <w:rsid w:val="0046634C"/>
    <w:rsid w:val="004700CD"/>
    <w:rsid w:val="00471183"/>
    <w:rsid w:val="0047135F"/>
    <w:rsid w:val="00471A0D"/>
    <w:rsid w:val="004726B8"/>
    <w:rsid w:val="004735CF"/>
    <w:rsid w:val="0047361D"/>
    <w:rsid w:val="00473D01"/>
    <w:rsid w:val="00474CD7"/>
    <w:rsid w:val="00475320"/>
    <w:rsid w:val="0047549F"/>
    <w:rsid w:val="0047621B"/>
    <w:rsid w:val="00477FB2"/>
    <w:rsid w:val="0048122A"/>
    <w:rsid w:val="004812D4"/>
    <w:rsid w:val="00482A2E"/>
    <w:rsid w:val="00484C06"/>
    <w:rsid w:val="0048548B"/>
    <w:rsid w:val="00486182"/>
    <w:rsid w:val="0048661E"/>
    <w:rsid w:val="004866FB"/>
    <w:rsid w:val="00486A23"/>
    <w:rsid w:val="00491EE0"/>
    <w:rsid w:val="0049217E"/>
    <w:rsid w:val="00492662"/>
    <w:rsid w:val="00492DDA"/>
    <w:rsid w:val="00495694"/>
    <w:rsid w:val="00496053"/>
    <w:rsid w:val="004A01F2"/>
    <w:rsid w:val="004A06B7"/>
    <w:rsid w:val="004A3925"/>
    <w:rsid w:val="004A3C88"/>
    <w:rsid w:val="004A6CD2"/>
    <w:rsid w:val="004A72F1"/>
    <w:rsid w:val="004A767F"/>
    <w:rsid w:val="004B09B9"/>
    <w:rsid w:val="004B1994"/>
    <w:rsid w:val="004B1EDB"/>
    <w:rsid w:val="004B71E6"/>
    <w:rsid w:val="004B7AAA"/>
    <w:rsid w:val="004C1642"/>
    <w:rsid w:val="004C3C83"/>
    <w:rsid w:val="004C556F"/>
    <w:rsid w:val="004C5F2F"/>
    <w:rsid w:val="004D05E2"/>
    <w:rsid w:val="004D0B2C"/>
    <w:rsid w:val="004D1ECF"/>
    <w:rsid w:val="004D1F2B"/>
    <w:rsid w:val="004D306A"/>
    <w:rsid w:val="004D49B4"/>
    <w:rsid w:val="004D4A00"/>
    <w:rsid w:val="004D4E3B"/>
    <w:rsid w:val="004E0D92"/>
    <w:rsid w:val="004E16C0"/>
    <w:rsid w:val="004E1A2E"/>
    <w:rsid w:val="004E233A"/>
    <w:rsid w:val="004E2512"/>
    <w:rsid w:val="004E2972"/>
    <w:rsid w:val="004E2FAF"/>
    <w:rsid w:val="004E55D4"/>
    <w:rsid w:val="004E64F1"/>
    <w:rsid w:val="004F0886"/>
    <w:rsid w:val="004F397A"/>
    <w:rsid w:val="004F4EFB"/>
    <w:rsid w:val="004F5F23"/>
    <w:rsid w:val="004F748E"/>
    <w:rsid w:val="0050015A"/>
    <w:rsid w:val="005006A3"/>
    <w:rsid w:val="00503208"/>
    <w:rsid w:val="005044EB"/>
    <w:rsid w:val="005045E6"/>
    <w:rsid w:val="00505287"/>
    <w:rsid w:val="005072BF"/>
    <w:rsid w:val="005101C2"/>
    <w:rsid w:val="0051377A"/>
    <w:rsid w:val="00514781"/>
    <w:rsid w:val="005158CA"/>
    <w:rsid w:val="005176F3"/>
    <w:rsid w:val="00522CD0"/>
    <w:rsid w:val="00523B81"/>
    <w:rsid w:val="00523DD8"/>
    <w:rsid w:val="00525A36"/>
    <w:rsid w:val="00530423"/>
    <w:rsid w:val="005324AC"/>
    <w:rsid w:val="00534825"/>
    <w:rsid w:val="005419F2"/>
    <w:rsid w:val="00542573"/>
    <w:rsid w:val="00543277"/>
    <w:rsid w:val="00544A7B"/>
    <w:rsid w:val="005457E0"/>
    <w:rsid w:val="00547DCC"/>
    <w:rsid w:val="00550C1E"/>
    <w:rsid w:val="00552E7C"/>
    <w:rsid w:val="005542C5"/>
    <w:rsid w:val="0055708C"/>
    <w:rsid w:val="00563BE2"/>
    <w:rsid w:val="005668C1"/>
    <w:rsid w:val="00567FA1"/>
    <w:rsid w:val="00570F74"/>
    <w:rsid w:val="0057290A"/>
    <w:rsid w:val="00572CC7"/>
    <w:rsid w:val="00573A1F"/>
    <w:rsid w:val="00574DFF"/>
    <w:rsid w:val="00576E74"/>
    <w:rsid w:val="0058063E"/>
    <w:rsid w:val="00580F5B"/>
    <w:rsid w:val="00580FA6"/>
    <w:rsid w:val="00581788"/>
    <w:rsid w:val="00582A9A"/>
    <w:rsid w:val="00582AE9"/>
    <w:rsid w:val="00582FE5"/>
    <w:rsid w:val="00583CFF"/>
    <w:rsid w:val="0058531A"/>
    <w:rsid w:val="005858E4"/>
    <w:rsid w:val="005865B6"/>
    <w:rsid w:val="005868DD"/>
    <w:rsid w:val="00586B30"/>
    <w:rsid w:val="00587481"/>
    <w:rsid w:val="00587BAB"/>
    <w:rsid w:val="00587E45"/>
    <w:rsid w:val="00587F46"/>
    <w:rsid w:val="0059172D"/>
    <w:rsid w:val="005924A9"/>
    <w:rsid w:val="00593181"/>
    <w:rsid w:val="005936B8"/>
    <w:rsid w:val="005944F5"/>
    <w:rsid w:val="00594BB2"/>
    <w:rsid w:val="005955F9"/>
    <w:rsid w:val="005A05A1"/>
    <w:rsid w:val="005A27EC"/>
    <w:rsid w:val="005A3995"/>
    <w:rsid w:val="005A52DD"/>
    <w:rsid w:val="005A5A89"/>
    <w:rsid w:val="005A5F09"/>
    <w:rsid w:val="005A705A"/>
    <w:rsid w:val="005A7235"/>
    <w:rsid w:val="005A7C78"/>
    <w:rsid w:val="005B14E0"/>
    <w:rsid w:val="005B27E3"/>
    <w:rsid w:val="005B48C0"/>
    <w:rsid w:val="005B4BAC"/>
    <w:rsid w:val="005B5219"/>
    <w:rsid w:val="005B5FFE"/>
    <w:rsid w:val="005B6614"/>
    <w:rsid w:val="005C0CB2"/>
    <w:rsid w:val="005C49FF"/>
    <w:rsid w:val="005C531E"/>
    <w:rsid w:val="005C58E8"/>
    <w:rsid w:val="005D00EF"/>
    <w:rsid w:val="005D027C"/>
    <w:rsid w:val="005D1B04"/>
    <w:rsid w:val="005D22A5"/>
    <w:rsid w:val="005D2FE8"/>
    <w:rsid w:val="005D41CC"/>
    <w:rsid w:val="005D43BE"/>
    <w:rsid w:val="005D6B7B"/>
    <w:rsid w:val="005D7E24"/>
    <w:rsid w:val="005E1D34"/>
    <w:rsid w:val="005E1F3E"/>
    <w:rsid w:val="005E2520"/>
    <w:rsid w:val="005E523D"/>
    <w:rsid w:val="005E5568"/>
    <w:rsid w:val="005E59B8"/>
    <w:rsid w:val="005E5BF7"/>
    <w:rsid w:val="005E6532"/>
    <w:rsid w:val="005E6730"/>
    <w:rsid w:val="005E72EB"/>
    <w:rsid w:val="005E7845"/>
    <w:rsid w:val="005F023A"/>
    <w:rsid w:val="005F11CD"/>
    <w:rsid w:val="005F1D92"/>
    <w:rsid w:val="005F3BB3"/>
    <w:rsid w:val="00600185"/>
    <w:rsid w:val="006027CC"/>
    <w:rsid w:val="00602D3D"/>
    <w:rsid w:val="00603535"/>
    <w:rsid w:val="006048DC"/>
    <w:rsid w:val="006074D2"/>
    <w:rsid w:val="00610A77"/>
    <w:rsid w:val="00611F00"/>
    <w:rsid w:val="0061549C"/>
    <w:rsid w:val="006160EF"/>
    <w:rsid w:val="006168A2"/>
    <w:rsid w:val="0061695C"/>
    <w:rsid w:val="00621AB1"/>
    <w:rsid w:val="00622BB2"/>
    <w:rsid w:val="006250A2"/>
    <w:rsid w:val="006262DF"/>
    <w:rsid w:val="00626A98"/>
    <w:rsid w:val="00626DCA"/>
    <w:rsid w:val="00626FFB"/>
    <w:rsid w:val="00627CA6"/>
    <w:rsid w:val="00630035"/>
    <w:rsid w:val="00630503"/>
    <w:rsid w:val="0063074E"/>
    <w:rsid w:val="00631091"/>
    <w:rsid w:val="00631731"/>
    <w:rsid w:val="00631F17"/>
    <w:rsid w:val="00635409"/>
    <w:rsid w:val="0063636E"/>
    <w:rsid w:val="006365E8"/>
    <w:rsid w:val="00636A0D"/>
    <w:rsid w:val="0064030F"/>
    <w:rsid w:val="00640BF7"/>
    <w:rsid w:val="00642E04"/>
    <w:rsid w:val="006454A0"/>
    <w:rsid w:val="006469F6"/>
    <w:rsid w:val="00647419"/>
    <w:rsid w:val="00647F42"/>
    <w:rsid w:val="00650EC4"/>
    <w:rsid w:val="0065257C"/>
    <w:rsid w:val="006544C1"/>
    <w:rsid w:val="006546A2"/>
    <w:rsid w:val="00654A29"/>
    <w:rsid w:val="006552BC"/>
    <w:rsid w:val="006572FB"/>
    <w:rsid w:val="00660405"/>
    <w:rsid w:val="0066201E"/>
    <w:rsid w:val="00662FAB"/>
    <w:rsid w:val="00663834"/>
    <w:rsid w:val="00664104"/>
    <w:rsid w:val="0066642A"/>
    <w:rsid w:val="006664EA"/>
    <w:rsid w:val="0066684D"/>
    <w:rsid w:val="00667880"/>
    <w:rsid w:val="006679C9"/>
    <w:rsid w:val="00670318"/>
    <w:rsid w:val="0067125C"/>
    <w:rsid w:val="0067141D"/>
    <w:rsid w:val="006717E1"/>
    <w:rsid w:val="006718AE"/>
    <w:rsid w:val="00673E3D"/>
    <w:rsid w:val="006759E1"/>
    <w:rsid w:val="00676FC2"/>
    <w:rsid w:val="006770EF"/>
    <w:rsid w:val="00677FDC"/>
    <w:rsid w:val="006819FC"/>
    <w:rsid w:val="0068256B"/>
    <w:rsid w:val="006837CF"/>
    <w:rsid w:val="0068381E"/>
    <w:rsid w:val="006930E1"/>
    <w:rsid w:val="00694A56"/>
    <w:rsid w:val="006A429C"/>
    <w:rsid w:val="006A5826"/>
    <w:rsid w:val="006A5BD3"/>
    <w:rsid w:val="006A5DEA"/>
    <w:rsid w:val="006A6045"/>
    <w:rsid w:val="006A6436"/>
    <w:rsid w:val="006A6595"/>
    <w:rsid w:val="006B126A"/>
    <w:rsid w:val="006B1B9F"/>
    <w:rsid w:val="006B42DA"/>
    <w:rsid w:val="006B6534"/>
    <w:rsid w:val="006B6D6E"/>
    <w:rsid w:val="006C1D37"/>
    <w:rsid w:val="006C391B"/>
    <w:rsid w:val="006C5630"/>
    <w:rsid w:val="006C74D0"/>
    <w:rsid w:val="006D2C3D"/>
    <w:rsid w:val="006D39D3"/>
    <w:rsid w:val="006D3C7A"/>
    <w:rsid w:val="006D4235"/>
    <w:rsid w:val="006D513C"/>
    <w:rsid w:val="006E30C9"/>
    <w:rsid w:val="006E5A35"/>
    <w:rsid w:val="006E62DF"/>
    <w:rsid w:val="006F1D1D"/>
    <w:rsid w:val="006F1EAE"/>
    <w:rsid w:val="006F355A"/>
    <w:rsid w:val="006F4015"/>
    <w:rsid w:val="006F48A7"/>
    <w:rsid w:val="006F55F8"/>
    <w:rsid w:val="006F5CC9"/>
    <w:rsid w:val="006F650B"/>
    <w:rsid w:val="006F6D31"/>
    <w:rsid w:val="00700157"/>
    <w:rsid w:val="00702F19"/>
    <w:rsid w:val="00703344"/>
    <w:rsid w:val="007036A7"/>
    <w:rsid w:val="00703A30"/>
    <w:rsid w:val="00704431"/>
    <w:rsid w:val="007062DE"/>
    <w:rsid w:val="00706C20"/>
    <w:rsid w:val="00707F91"/>
    <w:rsid w:val="007123C6"/>
    <w:rsid w:val="0071352D"/>
    <w:rsid w:val="007146A9"/>
    <w:rsid w:val="007157A6"/>
    <w:rsid w:val="00716D28"/>
    <w:rsid w:val="00720922"/>
    <w:rsid w:val="00720A08"/>
    <w:rsid w:val="00721176"/>
    <w:rsid w:val="0072185E"/>
    <w:rsid w:val="00721E6A"/>
    <w:rsid w:val="0073039B"/>
    <w:rsid w:val="00730D50"/>
    <w:rsid w:val="00731211"/>
    <w:rsid w:val="007327F7"/>
    <w:rsid w:val="00732B26"/>
    <w:rsid w:val="00736451"/>
    <w:rsid w:val="00740134"/>
    <w:rsid w:val="00744591"/>
    <w:rsid w:val="00746453"/>
    <w:rsid w:val="00746CF3"/>
    <w:rsid w:val="00747D8D"/>
    <w:rsid w:val="00747DE4"/>
    <w:rsid w:val="00757625"/>
    <w:rsid w:val="00757640"/>
    <w:rsid w:val="00757857"/>
    <w:rsid w:val="007608BD"/>
    <w:rsid w:val="00761211"/>
    <w:rsid w:val="0076398B"/>
    <w:rsid w:val="007641B1"/>
    <w:rsid w:val="00764D44"/>
    <w:rsid w:val="007650EE"/>
    <w:rsid w:val="00766F52"/>
    <w:rsid w:val="00771B71"/>
    <w:rsid w:val="00772194"/>
    <w:rsid w:val="00772B7D"/>
    <w:rsid w:val="00774037"/>
    <w:rsid w:val="007755B9"/>
    <w:rsid w:val="00775FF7"/>
    <w:rsid w:val="0077651A"/>
    <w:rsid w:val="00776D2F"/>
    <w:rsid w:val="0077773D"/>
    <w:rsid w:val="0078257F"/>
    <w:rsid w:val="00783384"/>
    <w:rsid w:val="00784627"/>
    <w:rsid w:val="00784AA5"/>
    <w:rsid w:val="00790676"/>
    <w:rsid w:val="00790EC5"/>
    <w:rsid w:val="00791DDC"/>
    <w:rsid w:val="00792A80"/>
    <w:rsid w:val="00792D2F"/>
    <w:rsid w:val="00793195"/>
    <w:rsid w:val="007A1426"/>
    <w:rsid w:val="007A22BF"/>
    <w:rsid w:val="007A4CDE"/>
    <w:rsid w:val="007A58AD"/>
    <w:rsid w:val="007A5E1F"/>
    <w:rsid w:val="007B0392"/>
    <w:rsid w:val="007B103A"/>
    <w:rsid w:val="007B139E"/>
    <w:rsid w:val="007B1714"/>
    <w:rsid w:val="007B1981"/>
    <w:rsid w:val="007B234E"/>
    <w:rsid w:val="007B26DF"/>
    <w:rsid w:val="007B337A"/>
    <w:rsid w:val="007B52DD"/>
    <w:rsid w:val="007B61B0"/>
    <w:rsid w:val="007B7A98"/>
    <w:rsid w:val="007C1C69"/>
    <w:rsid w:val="007C5AED"/>
    <w:rsid w:val="007C64D1"/>
    <w:rsid w:val="007D10AC"/>
    <w:rsid w:val="007D18FD"/>
    <w:rsid w:val="007D200B"/>
    <w:rsid w:val="007D201B"/>
    <w:rsid w:val="007D2887"/>
    <w:rsid w:val="007D37C0"/>
    <w:rsid w:val="007D4296"/>
    <w:rsid w:val="007D4BB3"/>
    <w:rsid w:val="007D7064"/>
    <w:rsid w:val="007E05DD"/>
    <w:rsid w:val="007E13D8"/>
    <w:rsid w:val="007E1FD9"/>
    <w:rsid w:val="007E2296"/>
    <w:rsid w:val="007E5755"/>
    <w:rsid w:val="007E5BB5"/>
    <w:rsid w:val="007E6A96"/>
    <w:rsid w:val="007E7142"/>
    <w:rsid w:val="007E756B"/>
    <w:rsid w:val="007F2DB6"/>
    <w:rsid w:val="007F3C33"/>
    <w:rsid w:val="007F467B"/>
    <w:rsid w:val="007F50CB"/>
    <w:rsid w:val="007F529C"/>
    <w:rsid w:val="007F58C7"/>
    <w:rsid w:val="007F5A00"/>
    <w:rsid w:val="007F747F"/>
    <w:rsid w:val="00801501"/>
    <w:rsid w:val="008018BD"/>
    <w:rsid w:val="00801BDC"/>
    <w:rsid w:val="00803621"/>
    <w:rsid w:val="00804851"/>
    <w:rsid w:val="00807E2C"/>
    <w:rsid w:val="008108CC"/>
    <w:rsid w:val="008117A2"/>
    <w:rsid w:val="00812262"/>
    <w:rsid w:val="00813FAE"/>
    <w:rsid w:val="0081522A"/>
    <w:rsid w:val="00815A41"/>
    <w:rsid w:val="00817822"/>
    <w:rsid w:val="00820065"/>
    <w:rsid w:val="00820A68"/>
    <w:rsid w:val="00822159"/>
    <w:rsid w:val="0082279A"/>
    <w:rsid w:val="0082396C"/>
    <w:rsid w:val="00825F0B"/>
    <w:rsid w:val="0082798E"/>
    <w:rsid w:val="008320D3"/>
    <w:rsid w:val="00833A1B"/>
    <w:rsid w:val="00833D40"/>
    <w:rsid w:val="00834671"/>
    <w:rsid w:val="00835D74"/>
    <w:rsid w:val="008364BC"/>
    <w:rsid w:val="00836EA8"/>
    <w:rsid w:val="00837D28"/>
    <w:rsid w:val="00840346"/>
    <w:rsid w:val="0084113E"/>
    <w:rsid w:val="00841212"/>
    <w:rsid w:val="0084142D"/>
    <w:rsid w:val="00841507"/>
    <w:rsid w:val="00842038"/>
    <w:rsid w:val="008421AC"/>
    <w:rsid w:val="008463B7"/>
    <w:rsid w:val="008464D3"/>
    <w:rsid w:val="00853D59"/>
    <w:rsid w:val="00854B17"/>
    <w:rsid w:val="0085571E"/>
    <w:rsid w:val="008564CA"/>
    <w:rsid w:val="0085710D"/>
    <w:rsid w:val="008576D5"/>
    <w:rsid w:val="00860AE5"/>
    <w:rsid w:val="00862280"/>
    <w:rsid w:val="008648BD"/>
    <w:rsid w:val="0086511F"/>
    <w:rsid w:val="008651F3"/>
    <w:rsid w:val="00865CE9"/>
    <w:rsid w:val="0086608F"/>
    <w:rsid w:val="00866BC9"/>
    <w:rsid w:val="00867735"/>
    <w:rsid w:val="00871A1D"/>
    <w:rsid w:val="00871A7F"/>
    <w:rsid w:val="0087218E"/>
    <w:rsid w:val="008726DD"/>
    <w:rsid w:val="00873343"/>
    <w:rsid w:val="008771A0"/>
    <w:rsid w:val="00877654"/>
    <w:rsid w:val="00880C5D"/>
    <w:rsid w:val="00881417"/>
    <w:rsid w:val="008847D4"/>
    <w:rsid w:val="0088637F"/>
    <w:rsid w:val="00890ACE"/>
    <w:rsid w:val="008910B5"/>
    <w:rsid w:val="008920AE"/>
    <w:rsid w:val="00893685"/>
    <w:rsid w:val="00893D6A"/>
    <w:rsid w:val="00893E6C"/>
    <w:rsid w:val="00895396"/>
    <w:rsid w:val="00895615"/>
    <w:rsid w:val="00896A25"/>
    <w:rsid w:val="00897D8A"/>
    <w:rsid w:val="008A0267"/>
    <w:rsid w:val="008A1D5A"/>
    <w:rsid w:val="008A3B3F"/>
    <w:rsid w:val="008A3C3B"/>
    <w:rsid w:val="008A3C9D"/>
    <w:rsid w:val="008A4121"/>
    <w:rsid w:val="008A4A2D"/>
    <w:rsid w:val="008B12D7"/>
    <w:rsid w:val="008B2197"/>
    <w:rsid w:val="008B2B75"/>
    <w:rsid w:val="008B33FA"/>
    <w:rsid w:val="008B3C1C"/>
    <w:rsid w:val="008B6402"/>
    <w:rsid w:val="008B6797"/>
    <w:rsid w:val="008B6F9B"/>
    <w:rsid w:val="008B7CD2"/>
    <w:rsid w:val="008B7E0F"/>
    <w:rsid w:val="008C061D"/>
    <w:rsid w:val="008C3228"/>
    <w:rsid w:val="008C4E23"/>
    <w:rsid w:val="008C5DC7"/>
    <w:rsid w:val="008C5E9A"/>
    <w:rsid w:val="008C7573"/>
    <w:rsid w:val="008D03AD"/>
    <w:rsid w:val="008D0ECF"/>
    <w:rsid w:val="008D10B1"/>
    <w:rsid w:val="008D1D4D"/>
    <w:rsid w:val="008D3DBD"/>
    <w:rsid w:val="008D5B9C"/>
    <w:rsid w:val="008D6648"/>
    <w:rsid w:val="008E17D0"/>
    <w:rsid w:val="008E1950"/>
    <w:rsid w:val="008E1B2F"/>
    <w:rsid w:val="008E2A13"/>
    <w:rsid w:val="008E3350"/>
    <w:rsid w:val="008E4861"/>
    <w:rsid w:val="008E5E0C"/>
    <w:rsid w:val="008E7149"/>
    <w:rsid w:val="008F0337"/>
    <w:rsid w:val="008F195A"/>
    <w:rsid w:val="008F1E9A"/>
    <w:rsid w:val="008F2FDA"/>
    <w:rsid w:val="008F47D5"/>
    <w:rsid w:val="008F5155"/>
    <w:rsid w:val="008F5466"/>
    <w:rsid w:val="008F7CA9"/>
    <w:rsid w:val="008F7EC1"/>
    <w:rsid w:val="009041F4"/>
    <w:rsid w:val="009053E7"/>
    <w:rsid w:val="0090687B"/>
    <w:rsid w:val="0090766A"/>
    <w:rsid w:val="00911D2B"/>
    <w:rsid w:val="00912517"/>
    <w:rsid w:val="009137B9"/>
    <w:rsid w:val="00914159"/>
    <w:rsid w:val="009162E5"/>
    <w:rsid w:val="00916592"/>
    <w:rsid w:val="00920899"/>
    <w:rsid w:val="0092239B"/>
    <w:rsid w:val="009225A7"/>
    <w:rsid w:val="00922D9F"/>
    <w:rsid w:val="00923759"/>
    <w:rsid w:val="00925678"/>
    <w:rsid w:val="00925B4B"/>
    <w:rsid w:val="00926836"/>
    <w:rsid w:val="00930CD5"/>
    <w:rsid w:val="00932B64"/>
    <w:rsid w:val="00934A20"/>
    <w:rsid w:val="00934B0B"/>
    <w:rsid w:val="0093659F"/>
    <w:rsid w:val="00936CBA"/>
    <w:rsid w:val="009374AE"/>
    <w:rsid w:val="00937DCC"/>
    <w:rsid w:val="0094371B"/>
    <w:rsid w:val="00945FA5"/>
    <w:rsid w:val="00947283"/>
    <w:rsid w:val="00947D46"/>
    <w:rsid w:val="0095080C"/>
    <w:rsid w:val="0095155A"/>
    <w:rsid w:val="00953C1C"/>
    <w:rsid w:val="009546A5"/>
    <w:rsid w:val="009568AF"/>
    <w:rsid w:val="00960541"/>
    <w:rsid w:val="009608DD"/>
    <w:rsid w:val="00960939"/>
    <w:rsid w:val="00961659"/>
    <w:rsid w:val="00961F82"/>
    <w:rsid w:val="00962AB9"/>
    <w:rsid w:val="00962AE4"/>
    <w:rsid w:val="00962EF0"/>
    <w:rsid w:val="0096339F"/>
    <w:rsid w:val="009647D9"/>
    <w:rsid w:val="00965037"/>
    <w:rsid w:val="00965B44"/>
    <w:rsid w:val="00967E4D"/>
    <w:rsid w:val="00970611"/>
    <w:rsid w:val="009715F6"/>
    <w:rsid w:val="00971834"/>
    <w:rsid w:val="00972FBF"/>
    <w:rsid w:val="0097689A"/>
    <w:rsid w:val="00982ABC"/>
    <w:rsid w:val="009839C5"/>
    <w:rsid w:val="00984E0F"/>
    <w:rsid w:val="0098512B"/>
    <w:rsid w:val="00985585"/>
    <w:rsid w:val="009858AA"/>
    <w:rsid w:val="009867D7"/>
    <w:rsid w:val="0099174E"/>
    <w:rsid w:val="00993DC8"/>
    <w:rsid w:val="00996038"/>
    <w:rsid w:val="00996E67"/>
    <w:rsid w:val="009A005B"/>
    <w:rsid w:val="009A08ED"/>
    <w:rsid w:val="009A14F3"/>
    <w:rsid w:val="009A426F"/>
    <w:rsid w:val="009A47DE"/>
    <w:rsid w:val="009A671E"/>
    <w:rsid w:val="009B0873"/>
    <w:rsid w:val="009B2686"/>
    <w:rsid w:val="009B4E6D"/>
    <w:rsid w:val="009B5099"/>
    <w:rsid w:val="009B6AF4"/>
    <w:rsid w:val="009B6ED9"/>
    <w:rsid w:val="009B7CE0"/>
    <w:rsid w:val="009C3F45"/>
    <w:rsid w:val="009C4DE4"/>
    <w:rsid w:val="009C5535"/>
    <w:rsid w:val="009C56B1"/>
    <w:rsid w:val="009C63BD"/>
    <w:rsid w:val="009C799D"/>
    <w:rsid w:val="009C7BFC"/>
    <w:rsid w:val="009D0706"/>
    <w:rsid w:val="009D1342"/>
    <w:rsid w:val="009D17F1"/>
    <w:rsid w:val="009D303C"/>
    <w:rsid w:val="009D4038"/>
    <w:rsid w:val="009D5A60"/>
    <w:rsid w:val="009D6132"/>
    <w:rsid w:val="009D61D5"/>
    <w:rsid w:val="009D6F38"/>
    <w:rsid w:val="009D7E84"/>
    <w:rsid w:val="009D7ED6"/>
    <w:rsid w:val="009E22AE"/>
    <w:rsid w:val="009E3013"/>
    <w:rsid w:val="009E6493"/>
    <w:rsid w:val="009F295C"/>
    <w:rsid w:val="009F4E69"/>
    <w:rsid w:val="009F4F4F"/>
    <w:rsid w:val="009F57B7"/>
    <w:rsid w:val="009F5D39"/>
    <w:rsid w:val="009F5DCD"/>
    <w:rsid w:val="009F5E32"/>
    <w:rsid w:val="009F6ADC"/>
    <w:rsid w:val="00A0062D"/>
    <w:rsid w:val="00A0178A"/>
    <w:rsid w:val="00A021AA"/>
    <w:rsid w:val="00A05202"/>
    <w:rsid w:val="00A071EA"/>
    <w:rsid w:val="00A07797"/>
    <w:rsid w:val="00A10EC9"/>
    <w:rsid w:val="00A11C75"/>
    <w:rsid w:val="00A12C5C"/>
    <w:rsid w:val="00A15F7B"/>
    <w:rsid w:val="00A16D7D"/>
    <w:rsid w:val="00A20952"/>
    <w:rsid w:val="00A22C95"/>
    <w:rsid w:val="00A23421"/>
    <w:rsid w:val="00A3219B"/>
    <w:rsid w:val="00A321C2"/>
    <w:rsid w:val="00A35857"/>
    <w:rsid w:val="00A35D23"/>
    <w:rsid w:val="00A36EE7"/>
    <w:rsid w:val="00A37FC5"/>
    <w:rsid w:val="00A40198"/>
    <w:rsid w:val="00A407BC"/>
    <w:rsid w:val="00A407E4"/>
    <w:rsid w:val="00A412D3"/>
    <w:rsid w:val="00A45265"/>
    <w:rsid w:val="00A46C5B"/>
    <w:rsid w:val="00A508EE"/>
    <w:rsid w:val="00A51330"/>
    <w:rsid w:val="00A516ED"/>
    <w:rsid w:val="00A53145"/>
    <w:rsid w:val="00A5485B"/>
    <w:rsid w:val="00A56778"/>
    <w:rsid w:val="00A60D05"/>
    <w:rsid w:val="00A624BA"/>
    <w:rsid w:val="00A63058"/>
    <w:rsid w:val="00A640D3"/>
    <w:rsid w:val="00A64972"/>
    <w:rsid w:val="00A64C31"/>
    <w:rsid w:val="00A64FD7"/>
    <w:rsid w:val="00A6673E"/>
    <w:rsid w:val="00A70F05"/>
    <w:rsid w:val="00A72AEF"/>
    <w:rsid w:val="00A7355F"/>
    <w:rsid w:val="00A74480"/>
    <w:rsid w:val="00A76E07"/>
    <w:rsid w:val="00A77968"/>
    <w:rsid w:val="00A81564"/>
    <w:rsid w:val="00A834CA"/>
    <w:rsid w:val="00A853E1"/>
    <w:rsid w:val="00A86C42"/>
    <w:rsid w:val="00A87685"/>
    <w:rsid w:val="00A87856"/>
    <w:rsid w:val="00A90E86"/>
    <w:rsid w:val="00A91316"/>
    <w:rsid w:val="00A9166E"/>
    <w:rsid w:val="00A91E02"/>
    <w:rsid w:val="00A9207D"/>
    <w:rsid w:val="00A92100"/>
    <w:rsid w:val="00A93637"/>
    <w:rsid w:val="00A9556B"/>
    <w:rsid w:val="00A95D58"/>
    <w:rsid w:val="00A9618B"/>
    <w:rsid w:val="00A96665"/>
    <w:rsid w:val="00A967F5"/>
    <w:rsid w:val="00A9736D"/>
    <w:rsid w:val="00A97D07"/>
    <w:rsid w:val="00A97DDE"/>
    <w:rsid w:val="00AA1043"/>
    <w:rsid w:val="00AA148C"/>
    <w:rsid w:val="00AA2748"/>
    <w:rsid w:val="00AA3820"/>
    <w:rsid w:val="00AA4BE1"/>
    <w:rsid w:val="00AA4D51"/>
    <w:rsid w:val="00AA6B69"/>
    <w:rsid w:val="00AA6FE8"/>
    <w:rsid w:val="00AA77CC"/>
    <w:rsid w:val="00AA7C73"/>
    <w:rsid w:val="00AB0038"/>
    <w:rsid w:val="00AB1D34"/>
    <w:rsid w:val="00AB2340"/>
    <w:rsid w:val="00AB30F8"/>
    <w:rsid w:val="00AB33AF"/>
    <w:rsid w:val="00AB420A"/>
    <w:rsid w:val="00AB51CA"/>
    <w:rsid w:val="00AB5C7B"/>
    <w:rsid w:val="00AB632E"/>
    <w:rsid w:val="00AB6FCA"/>
    <w:rsid w:val="00AC0026"/>
    <w:rsid w:val="00AC035C"/>
    <w:rsid w:val="00AC2667"/>
    <w:rsid w:val="00AC320B"/>
    <w:rsid w:val="00AC4099"/>
    <w:rsid w:val="00AC4A98"/>
    <w:rsid w:val="00AC5A4C"/>
    <w:rsid w:val="00AC6A55"/>
    <w:rsid w:val="00AD278D"/>
    <w:rsid w:val="00AD3269"/>
    <w:rsid w:val="00AD45F1"/>
    <w:rsid w:val="00AD5DDB"/>
    <w:rsid w:val="00AD7351"/>
    <w:rsid w:val="00AE1ED5"/>
    <w:rsid w:val="00AE211B"/>
    <w:rsid w:val="00AE3169"/>
    <w:rsid w:val="00AE4EF3"/>
    <w:rsid w:val="00AE6E36"/>
    <w:rsid w:val="00AF2583"/>
    <w:rsid w:val="00AF2AB4"/>
    <w:rsid w:val="00AF40E4"/>
    <w:rsid w:val="00AF41AC"/>
    <w:rsid w:val="00AF6500"/>
    <w:rsid w:val="00B02BBF"/>
    <w:rsid w:val="00B05AFB"/>
    <w:rsid w:val="00B06F61"/>
    <w:rsid w:val="00B12418"/>
    <w:rsid w:val="00B133FF"/>
    <w:rsid w:val="00B1402C"/>
    <w:rsid w:val="00B15353"/>
    <w:rsid w:val="00B1586B"/>
    <w:rsid w:val="00B166A3"/>
    <w:rsid w:val="00B1747B"/>
    <w:rsid w:val="00B21388"/>
    <w:rsid w:val="00B23625"/>
    <w:rsid w:val="00B23E7E"/>
    <w:rsid w:val="00B261C8"/>
    <w:rsid w:val="00B26AE7"/>
    <w:rsid w:val="00B305E6"/>
    <w:rsid w:val="00B31D10"/>
    <w:rsid w:val="00B32B74"/>
    <w:rsid w:val="00B32E0A"/>
    <w:rsid w:val="00B357CF"/>
    <w:rsid w:val="00B37891"/>
    <w:rsid w:val="00B40441"/>
    <w:rsid w:val="00B415B8"/>
    <w:rsid w:val="00B43556"/>
    <w:rsid w:val="00B43D92"/>
    <w:rsid w:val="00B46DFE"/>
    <w:rsid w:val="00B47138"/>
    <w:rsid w:val="00B51B01"/>
    <w:rsid w:val="00B52010"/>
    <w:rsid w:val="00B5240B"/>
    <w:rsid w:val="00B53ADB"/>
    <w:rsid w:val="00B54427"/>
    <w:rsid w:val="00B54F99"/>
    <w:rsid w:val="00B5728B"/>
    <w:rsid w:val="00B574B6"/>
    <w:rsid w:val="00B5773A"/>
    <w:rsid w:val="00B57ABC"/>
    <w:rsid w:val="00B60467"/>
    <w:rsid w:val="00B6083D"/>
    <w:rsid w:val="00B620D3"/>
    <w:rsid w:val="00B6751C"/>
    <w:rsid w:val="00B6751E"/>
    <w:rsid w:val="00B7077B"/>
    <w:rsid w:val="00B70BEE"/>
    <w:rsid w:val="00B70D8C"/>
    <w:rsid w:val="00B728E6"/>
    <w:rsid w:val="00B735AA"/>
    <w:rsid w:val="00B737B1"/>
    <w:rsid w:val="00B7417E"/>
    <w:rsid w:val="00B744B4"/>
    <w:rsid w:val="00B7450D"/>
    <w:rsid w:val="00B75839"/>
    <w:rsid w:val="00B75A32"/>
    <w:rsid w:val="00B75FB4"/>
    <w:rsid w:val="00B76B40"/>
    <w:rsid w:val="00B8113A"/>
    <w:rsid w:val="00B818DB"/>
    <w:rsid w:val="00B82924"/>
    <w:rsid w:val="00B848B4"/>
    <w:rsid w:val="00B8617E"/>
    <w:rsid w:val="00B86CCC"/>
    <w:rsid w:val="00B87198"/>
    <w:rsid w:val="00B879D1"/>
    <w:rsid w:val="00B920A8"/>
    <w:rsid w:val="00B9312E"/>
    <w:rsid w:val="00B94482"/>
    <w:rsid w:val="00B94C8E"/>
    <w:rsid w:val="00B94DB5"/>
    <w:rsid w:val="00B96BE3"/>
    <w:rsid w:val="00B97072"/>
    <w:rsid w:val="00B976A4"/>
    <w:rsid w:val="00B97B61"/>
    <w:rsid w:val="00BA047A"/>
    <w:rsid w:val="00BA0511"/>
    <w:rsid w:val="00BA12D1"/>
    <w:rsid w:val="00BA2F23"/>
    <w:rsid w:val="00BA47B8"/>
    <w:rsid w:val="00BA5177"/>
    <w:rsid w:val="00BA5403"/>
    <w:rsid w:val="00BA65C5"/>
    <w:rsid w:val="00BA6894"/>
    <w:rsid w:val="00BA6E72"/>
    <w:rsid w:val="00BB087F"/>
    <w:rsid w:val="00BB11C6"/>
    <w:rsid w:val="00BB26A4"/>
    <w:rsid w:val="00BB7677"/>
    <w:rsid w:val="00BC00F2"/>
    <w:rsid w:val="00BC04FF"/>
    <w:rsid w:val="00BC2BE3"/>
    <w:rsid w:val="00BC549E"/>
    <w:rsid w:val="00BD217B"/>
    <w:rsid w:val="00BD3116"/>
    <w:rsid w:val="00BD33B4"/>
    <w:rsid w:val="00BD43D2"/>
    <w:rsid w:val="00BD5612"/>
    <w:rsid w:val="00BD5790"/>
    <w:rsid w:val="00BD6E21"/>
    <w:rsid w:val="00BD742F"/>
    <w:rsid w:val="00BE2975"/>
    <w:rsid w:val="00BE4F46"/>
    <w:rsid w:val="00BE5676"/>
    <w:rsid w:val="00BE5ACA"/>
    <w:rsid w:val="00BE5C64"/>
    <w:rsid w:val="00BE72CE"/>
    <w:rsid w:val="00BF0EE6"/>
    <w:rsid w:val="00BF0F7E"/>
    <w:rsid w:val="00BF1AA7"/>
    <w:rsid w:val="00BF22BB"/>
    <w:rsid w:val="00BF2F16"/>
    <w:rsid w:val="00BF34A9"/>
    <w:rsid w:val="00BF4A1C"/>
    <w:rsid w:val="00BF53CF"/>
    <w:rsid w:val="00BF605E"/>
    <w:rsid w:val="00BF6B2C"/>
    <w:rsid w:val="00BF6E87"/>
    <w:rsid w:val="00BF71E5"/>
    <w:rsid w:val="00C001FE"/>
    <w:rsid w:val="00C01445"/>
    <w:rsid w:val="00C04287"/>
    <w:rsid w:val="00C05A08"/>
    <w:rsid w:val="00C071BB"/>
    <w:rsid w:val="00C0758D"/>
    <w:rsid w:val="00C1033D"/>
    <w:rsid w:val="00C10785"/>
    <w:rsid w:val="00C10925"/>
    <w:rsid w:val="00C11B1A"/>
    <w:rsid w:val="00C12A55"/>
    <w:rsid w:val="00C12B7E"/>
    <w:rsid w:val="00C134A0"/>
    <w:rsid w:val="00C155B0"/>
    <w:rsid w:val="00C1636D"/>
    <w:rsid w:val="00C1735B"/>
    <w:rsid w:val="00C17684"/>
    <w:rsid w:val="00C17C1D"/>
    <w:rsid w:val="00C207A8"/>
    <w:rsid w:val="00C22CA6"/>
    <w:rsid w:val="00C233D2"/>
    <w:rsid w:val="00C23407"/>
    <w:rsid w:val="00C2377A"/>
    <w:rsid w:val="00C244E5"/>
    <w:rsid w:val="00C245C7"/>
    <w:rsid w:val="00C248E4"/>
    <w:rsid w:val="00C25BE8"/>
    <w:rsid w:val="00C25F48"/>
    <w:rsid w:val="00C26BB1"/>
    <w:rsid w:val="00C300E3"/>
    <w:rsid w:val="00C30D4F"/>
    <w:rsid w:val="00C31A08"/>
    <w:rsid w:val="00C3200D"/>
    <w:rsid w:val="00C32E92"/>
    <w:rsid w:val="00C34222"/>
    <w:rsid w:val="00C35C61"/>
    <w:rsid w:val="00C36D55"/>
    <w:rsid w:val="00C40347"/>
    <w:rsid w:val="00C404D9"/>
    <w:rsid w:val="00C407E1"/>
    <w:rsid w:val="00C40E3F"/>
    <w:rsid w:val="00C41603"/>
    <w:rsid w:val="00C43D6E"/>
    <w:rsid w:val="00C44617"/>
    <w:rsid w:val="00C46089"/>
    <w:rsid w:val="00C4736F"/>
    <w:rsid w:val="00C47CFE"/>
    <w:rsid w:val="00C5384C"/>
    <w:rsid w:val="00C5422C"/>
    <w:rsid w:val="00C5528C"/>
    <w:rsid w:val="00C55B85"/>
    <w:rsid w:val="00C57285"/>
    <w:rsid w:val="00C6058F"/>
    <w:rsid w:val="00C617C4"/>
    <w:rsid w:val="00C629A5"/>
    <w:rsid w:val="00C70077"/>
    <w:rsid w:val="00C7021F"/>
    <w:rsid w:val="00C70FA6"/>
    <w:rsid w:val="00C724A4"/>
    <w:rsid w:val="00C72F77"/>
    <w:rsid w:val="00C739B8"/>
    <w:rsid w:val="00C739B9"/>
    <w:rsid w:val="00C73B6A"/>
    <w:rsid w:val="00C752E7"/>
    <w:rsid w:val="00C75F85"/>
    <w:rsid w:val="00C7697E"/>
    <w:rsid w:val="00C82A18"/>
    <w:rsid w:val="00C84295"/>
    <w:rsid w:val="00C85393"/>
    <w:rsid w:val="00C85419"/>
    <w:rsid w:val="00C85718"/>
    <w:rsid w:val="00C85CDA"/>
    <w:rsid w:val="00C8775E"/>
    <w:rsid w:val="00C87E09"/>
    <w:rsid w:val="00C920B4"/>
    <w:rsid w:val="00C93418"/>
    <w:rsid w:val="00C942DB"/>
    <w:rsid w:val="00C944BE"/>
    <w:rsid w:val="00C953EB"/>
    <w:rsid w:val="00C96530"/>
    <w:rsid w:val="00C97C29"/>
    <w:rsid w:val="00CA0F8C"/>
    <w:rsid w:val="00CA1B2E"/>
    <w:rsid w:val="00CA353A"/>
    <w:rsid w:val="00CA4121"/>
    <w:rsid w:val="00CA52EA"/>
    <w:rsid w:val="00CA57B6"/>
    <w:rsid w:val="00CA59A3"/>
    <w:rsid w:val="00CA59A8"/>
    <w:rsid w:val="00CA6B2F"/>
    <w:rsid w:val="00CA6E3D"/>
    <w:rsid w:val="00CA77E2"/>
    <w:rsid w:val="00CA780C"/>
    <w:rsid w:val="00CB3445"/>
    <w:rsid w:val="00CB3A5F"/>
    <w:rsid w:val="00CB3FE1"/>
    <w:rsid w:val="00CB68FD"/>
    <w:rsid w:val="00CB746D"/>
    <w:rsid w:val="00CC1798"/>
    <w:rsid w:val="00CC413B"/>
    <w:rsid w:val="00CC50F5"/>
    <w:rsid w:val="00CC6DD4"/>
    <w:rsid w:val="00CD1325"/>
    <w:rsid w:val="00CD2CBB"/>
    <w:rsid w:val="00CD4040"/>
    <w:rsid w:val="00CD62C5"/>
    <w:rsid w:val="00CD683B"/>
    <w:rsid w:val="00CE399C"/>
    <w:rsid w:val="00CE3D7E"/>
    <w:rsid w:val="00CE4860"/>
    <w:rsid w:val="00CE5A9C"/>
    <w:rsid w:val="00CE60C5"/>
    <w:rsid w:val="00CE6B65"/>
    <w:rsid w:val="00CF1631"/>
    <w:rsid w:val="00CF304F"/>
    <w:rsid w:val="00CF331D"/>
    <w:rsid w:val="00CF371F"/>
    <w:rsid w:val="00CF615E"/>
    <w:rsid w:val="00CF6D77"/>
    <w:rsid w:val="00CF71F4"/>
    <w:rsid w:val="00CF7A6E"/>
    <w:rsid w:val="00D0202D"/>
    <w:rsid w:val="00D0230C"/>
    <w:rsid w:val="00D02B28"/>
    <w:rsid w:val="00D03BF5"/>
    <w:rsid w:val="00D03DB8"/>
    <w:rsid w:val="00D040D2"/>
    <w:rsid w:val="00D06E39"/>
    <w:rsid w:val="00D11A89"/>
    <w:rsid w:val="00D1227C"/>
    <w:rsid w:val="00D122BB"/>
    <w:rsid w:val="00D1393F"/>
    <w:rsid w:val="00D13BD5"/>
    <w:rsid w:val="00D140B8"/>
    <w:rsid w:val="00D150D9"/>
    <w:rsid w:val="00D167B8"/>
    <w:rsid w:val="00D16BAE"/>
    <w:rsid w:val="00D17414"/>
    <w:rsid w:val="00D200C2"/>
    <w:rsid w:val="00D2187C"/>
    <w:rsid w:val="00D22829"/>
    <w:rsid w:val="00D25F5D"/>
    <w:rsid w:val="00D265B9"/>
    <w:rsid w:val="00D271CE"/>
    <w:rsid w:val="00D307D0"/>
    <w:rsid w:val="00D30D78"/>
    <w:rsid w:val="00D30E09"/>
    <w:rsid w:val="00D31055"/>
    <w:rsid w:val="00D31680"/>
    <w:rsid w:val="00D32541"/>
    <w:rsid w:val="00D3285A"/>
    <w:rsid w:val="00D32883"/>
    <w:rsid w:val="00D369E5"/>
    <w:rsid w:val="00D36B26"/>
    <w:rsid w:val="00D371DE"/>
    <w:rsid w:val="00D37873"/>
    <w:rsid w:val="00D4089C"/>
    <w:rsid w:val="00D416E8"/>
    <w:rsid w:val="00D446D6"/>
    <w:rsid w:val="00D45437"/>
    <w:rsid w:val="00D45B3F"/>
    <w:rsid w:val="00D474D7"/>
    <w:rsid w:val="00D527A4"/>
    <w:rsid w:val="00D5298F"/>
    <w:rsid w:val="00D540DA"/>
    <w:rsid w:val="00D54185"/>
    <w:rsid w:val="00D54801"/>
    <w:rsid w:val="00D55222"/>
    <w:rsid w:val="00D55364"/>
    <w:rsid w:val="00D60187"/>
    <w:rsid w:val="00D60965"/>
    <w:rsid w:val="00D6148D"/>
    <w:rsid w:val="00D63095"/>
    <w:rsid w:val="00D64EF4"/>
    <w:rsid w:val="00D71144"/>
    <w:rsid w:val="00D72876"/>
    <w:rsid w:val="00D7698D"/>
    <w:rsid w:val="00D7756F"/>
    <w:rsid w:val="00D779CC"/>
    <w:rsid w:val="00D77BF3"/>
    <w:rsid w:val="00D77F3B"/>
    <w:rsid w:val="00D80FBA"/>
    <w:rsid w:val="00D83D04"/>
    <w:rsid w:val="00D84B74"/>
    <w:rsid w:val="00D879BB"/>
    <w:rsid w:val="00D918F0"/>
    <w:rsid w:val="00D91D73"/>
    <w:rsid w:val="00D91EC9"/>
    <w:rsid w:val="00D92833"/>
    <w:rsid w:val="00D9385E"/>
    <w:rsid w:val="00D943B6"/>
    <w:rsid w:val="00D952D1"/>
    <w:rsid w:val="00D9572E"/>
    <w:rsid w:val="00D96089"/>
    <w:rsid w:val="00D96405"/>
    <w:rsid w:val="00DA1E42"/>
    <w:rsid w:val="00DA2CDE"/>
    <w:rsid w:val="00DA6D5A"/>
    <w:rsid w:val="00DA7ED2"/>
    <w:rsid w:val="00DB0F1F"/>
    <w:rsid w:val="00DB1F1F"/>
    <w:rsid w:val="00DB257E"/>
    <w:rsid w:val="00DB2DCC"/>
    <w:rsid w:val="00DB3745"/>
    <w:rsid w:val="00DB3AF6"/>
    <w:rsid w:val="00DB61A0"/>
    <w:rsid w:val="00DB761F"/>
    <w:rsid w:val="00DC0F70"/>
    <w:rsid w:val="00DD0972"/>
    <w:rsid w:val="00DD1C58"/>
    <w:rsid w:val="00DD29A2"/>
    <w:rsid w:val="00DD4550"/>
    <w:rsid w:val="00DD58EF"/>
    <w:rsid w:val="00DD7F09"/>
    <w:rsid w:val="00DE09EE"/>
    <w:rsid w:val="00DE45B8"/>
    <w:rsid w:val="00DE4A37"/>
    <w:rsid w:val="00DE7656"/>
    <w:rsid w:val="00DF0B03"/>
    <w:rsid w:val="00DF176C"/>
    <w:rsid w:val="00DF27D6"/>
    <w:rsid w:val="00DF3399"/>
    <w:rsid w:val="00DF39FE"/>
    <w:rsid w:val="00DF462B"/>
    <w:rsid w:val="00DF5957"/>
    <w:rsid w:val="00DF5D24"/>
    <w:rsid w:val="00DF789D"/>
    <w:rsid w:val="00E001B5"/>
    <w:rsid w:val="00E00DEE"/>
    <w:rsid w:val="00E02121"/>
    <w:rsid w:val="00E0242C"/>
    <w:rsid w:val="00E02ACA"/>
    <w:rsid w:val="00E02CF0"/>
    <w:rsid w:val="00E05C0F"/>
    <w:rsid w:val="00E11896"/>
    <w:rsid w:val="00E150C4"/>
    <w:rsid w:val="00E20906"/>
    <w:rsid w:val="00E21525"/>
    <w:rsid w:val="00E239C2"/>
    <w:rsid w:val="00E24C2B"/>
    <w:rsid w:val="00E2526F"/>
    <w:rsid w:val="00E25584"/>
    <w:rsid w:val="00E266B7"/>
    <w:rsid w:val="00E333A0"/>
    <w:rsid w:val="00E34081"/>
    <w:rsid w:val="00E343E8"/>
    <w:rsid w:val="00E34ACA"/>
    <w:rsid w:val="00E367EE"/>
    <w:rsid w:val="00E37840"/>
    <w:rsid w:val="00E40CB0"/>
    <w:rsid w:val="00E4159A"/>
    <w:rsid w:val="00E42956"/>
    <w:rsid w:val="00E442D9"/>
    <w:rsid w:val="00E45145"/>
    <w:rsid w:val="00E4777B"/>
    <w:rsid w:val="00E47863"/>
    <w:rsid w:val="00E478DA"/>
    <w:rsid w:val="00E50805"/>
    <w:rsid w:val="00E60AAE"/>
    <w:rsid w:val="00E60AE6"/>
    <w:rsid w:val="00E66AB3"/>
    <w:rsid w:val="00E66F9D"/>
    <w:rsid w:val="00E67AA3"/>
    <w:rsid w:val="00E7011B"/>
    <w:rsid w:val="00E72EB6"/>
    <w:rsid w:val="00E740E3"/>
    <w:rsid w:val="00E767F0"/>
    <w:rsid w:val="00E77AB7"/>
    <w:rsid w:val="00E77B5F"/>
    <w:rsid w:val="00E80419"/>
    <w:rsid w:val="00E82559"/>
    <w:rsid w:val="00E84436"/>
    <w:rsid w:val="00E850A8"/>
    <w:rsid w:val="00E85D68"/>
    <w:rsid w:val="00E91FBF"/>
    <w:rsid w:val="00E9270B"/>
    <w:rsid w:val="00E94106"/>
    <w:rsid w:val="00E9476C"/>
    <w:rsid w:val="00E976DE"/>
    <w:rsid w:val="00E97D4B"/>
    <w:rsid w:val="00EA18BC"/>
    <w:rsid w:val="00EA1B77"/>
    <w:rsid w:val="00EA71B2"/>
    <w:rsid w:val="00EA7F17"/>
    <w:rsid w:val="00EB0758"/>
    <w:rsid w:val="00EB24C1"/>
    <w:rsid w:val="00EB25FF"/>
    <w:rsid w:val="00EB2815"/>
    <w:rsid w:val="00EB33A4"/>
    <w:rsid w:val="00EB3FE0"/>
    <w:rsid w:val="00EB4427"/>
    <w:rsid w:val="00EB5EF3"/>
    <w:rsid w:val="00EB697B"/>
    <w:rsid w:val="00EC06AE"/>
    <w:rsid w:val="00EC171A"/>
    <w:rsid w:val="00EC265A"/>
    <w:rsid w:val="00ED129A"/>
    <w:rsid w:val="00ED1D9A"/>
    <w:rsid w:val="00ED20B3"/>
    <w:rsid w:val="00ED5794"/>
    <w:rsid w:val="00EE040C"/>
    <w:rsid w:val="00EE0EA9"/>
    <w:rsid w:val="00EE29F0"/>
    <w:rsid w:val="00EE39A1"/>
    <w:rsid w:val="00EE3C58"/>
    <w:rsid w:val="00EE6207"/>
    <w:rsid w:val="00EF055A"/>
    <w:rsid w:val="00EF0576"/>
    <w:rsid w:val="00EF1501"/>
    <w:rsid w:val="00EF1A01"/>
    <w:rsid w:val="00EF50EE"/>
    <w:rsid w:val="00EF5A15"/>
    <w:rsid w:val="00F01179"/>
    <w:rsid w:val="00F025B4"/>
    <w:rsid w:val="00F0373E"/>
    <w:rsid w:val="00F04189"/>
    <w:rsid w:val="00F04496"/>
    <w:rsid w:val="00F0476E"/>
    <w:rsid w:val="00F04A37"/>
    <w:rsid w:val="00F04F5B"/>
    <w:rsid w:val="00F063C4"/>
    <w:rsid w:val="00F06D82"/>
    <w:rsid w:val="00F06DB2"/>
    <w:rsid w:val="00F0745C"/>
    <w:rsid w:val="00F07B09"/>
    <w:rsid w:val="00F07C2D"/>
    <w:rsid w:val="00F07EA6"/>
    <w:rsid w:val="00F1134B"/>
    <w:rsid w:val="00F11753"/>
    <w:rsid w:val="00F11FBF"/>
    <w:rsid w:val="00F12D3C"/>
    <w:rsid w:val="00F12F39"/>
    <w:rsid w:val="00F14262"/>
    <w:rsid w:val="00F154F1"/>
    <w:rsid w:val="00F16862"/>
    <w:rsid w:val="00F20C03"/>
    <w:rsid w:val="00F20EE7"/>
    <w:rsid w:val="00F21871"/>
    <w:rsid w:val="00F220E5"/>
    <w:rsid w:val="00F31972"/>
    <w:rsid w:val="00F31C3B"/>
    <w:rsid w:val="00F32127"/>
    <w:rsid w:val="00F34790"/>
    <w:rsid w:val="00F411B3"/>
    <w:rsid w:val="00F41A38"/>
    <w:rsid w:val="00F44E75"/>
    <w:rsid w:val="00F453BD"/>
    <w:rsid w:val="00F46594"/>
    <w:rsid w:val="00F505DF"/>
    <w:rsid w:val="00F50831"/>
    <w:rsid w:val="00F50AAC"/>
    <w:rsid w:val="00F51FD9"/>
    <w:rsid w:val="00F524DE"/>
    <w:rsid w:val="00F53D81"/>
    <w:rsid w:val="00F543CB"/>
    <w:rsid w:val="00F613A8"/>
    <w:rsid w:val="00F6167D"/>
    <w:rsid w:val="00F627C2"/>
    <w:rsid w:val="00F62C6F"/>
    <w:rsid w:val="00F65AF9"/>
    <w:rsid w:val="00F677A6"/>
    <w:rsid w:val="00F70858"/>
    <w:rsid w:val="00F71215"/>
    <w:rsid w:val="00F71303"/>
    <w:rsid w:val="00F7137A"/>
    <w:rsid w:val="00F71C06"/>
    <w:rsid w:val="00F72563"/>
    <w:rsid w:val="00F73A93"/>
    <w:rsid w:val="00F7462F"/>
    <w:rsid w:val="00F749AF"/>
    <w:rsid w:val="00F755FD"/>
    <w:rsid w:val="00F77C91"/>
    <w:rsid w:val="00F80E11"/>
    <w:rsid w:val="00F816EE"/>
    <w:rsid w:val="00F82BD0"/>
    <w:rsid w:val="00F9078F"/>
    <w:rsid w:val="00F90914"/>
    <w:rsid w:val="00F93969"/>
    <w:rsid w:val="00F96462"/>
    <w:rsid w:val="00F97429"/>
    <w:rsid w:val="00FA17FE"/>
    <w:rsid w:val="00FA5471"/>
    <w:rsid w:val="00FA73E4"/>
    <w:rsid w:val="00FB154A"/>
    <w:rsid w:val="00FB2CC4"/>
    <w:rsid w:val="00FB3A32"/>
    <w:rsid w:val="00FB4869"/>
    <w:rsid w:val="00FB51BC"/>
    <w:rsid w:val="00FB5270"/>
    <w:rsid w:val="00FC5E86"/>
    <w:rsid w:val="00FC5EDD"/>
    <w:rsid w:val="00FC73F5"/>
    <w:rsid w:val="00FC7B25"/>
    <w:rsid w:val="00FD04AC"/>
    <w:rsid w:val="00FD18AC"/>
    <w:rsid w:val="00FD31D2"/>
    <w:rsid w:val="00FD409A"/>
    <w:rsid w:val="00FD4569"/>
    <w:rsid w:val="00FD5322"/>
    <w:rsid w:val="00FE0BA2"/>
    <w:rsid w:val="00FE0F3F"/>
    <w:rsid w:val="00FE113C"/>
    <w:rsid w:val="00FE24DA"/>
    <w:rsid w:val="00FE2E7F"/>
    <w:rsid w:val="00FE644F"/>
    <w:rsid w:val="00FE7B81"/>
    <w:rsid w:val="00FF0C57"/>
    <w:rsid w:val="00FF0E89"/>
    <w:rsid w:val="00FF205B"/>
    <w:rsid w:val="00FF2810"/>
    <w:rsid w:val="00FF3E62"/>
    <w:rsid w:val="00FF47D8"/>
    <w:rsid w:val="00FF60F3"/>
    <w:rsid w:val="00FF6B0D"/>
    <w:rsid w:val="01A25B95"/>
    <w:rsid w:val="02105A86"/>
    <w:rsid w:val="024860E6"/>
    <w:rsid w:val="033C4B64"/>
    <w:rsid w:val="034C108A"/>
    <w:rsid w:val="03EF0E26"/>
    <w:rsid w:val="04165BF9"/>
    <w:rsid w:val="044C632C"/>
    <w:rsid w:val="045B0683"/>
    <w:rsid w:val="05777AEA"/>
    <w:rsid w:val="06E013B8"/>
    <w:rsid w:val="076F301C"/>
    <w:rsid w:val="08CE609D"/>
    <w:rsid w:val="094B207A"/>
    <w:rsid w:val="0B5931B5"/>
    <w:rsid w:val="0B802D3B"/>
    <w:rsid w:val="0CA2194F"/>
    <w:rsid w:val="0CA90C62"/>
    <w:rsid w:val="0DA44F26"/>
    <w:rsid w:val="0DF17945"/>
    <w:rsid w:val="0E004BF2"/>
    <w:rsid w:val="0E9A7524"/>
    <w:rsid w:val="0EDE3608"/>
    <w:rsid w:val="0F964331"/>
    <w:rsid w:val="0FF92A34"/>
    <w:rsid w:val="100F5FB8"/>
    <w:rsid w:val="10BE719B"/>
    <w:rsid w:val="12373691"/>
    <w:rsid w:val="125B23B7"/>
    <w:rsid w:val="12813FDF"/>
    <w:rsid w:val="13122AB3"/>
    <w:rsid w:val="1347361C"/>
    <w:rsid w:val="134C42B9"/>
    <w:rsid w:val="1387018B"/>
    <w:rsid w:val="13F8694C"/>
    <w:rsid w:val="148D69E9"/>
    <w:rsid w:val="14F72A26"/>
    <w:rsid w:val="15712BD2"/>
    <w:rsid w:val="16A50DC5"/>
    <w:rsid w:val="1732013F"/>
    <w:rsid w:val="180C70C3"/>
    <w:rsid w:val="18D10B54"/>
    <w:rsid w:val="18F30D7E"/>
    <w:rsid w:val="19342942"/>
    <w:rsid w:val="19942357"/>
    <w:rsid w:val="19AA298E"/>
    <w:rsid w:val="1B6F5FBB"/>
    <w:rsid w:val="1B8D2F7E"/>
    <w:rsid w:val="1BA6254A"/>
    <w:rsid w:val="1DCB3CC7"/>
    <w:rsid w:val="1E1440C9"/>
    <w:rsid w:val="1E924230"/>
    <w:rsid w:val="2010128F"/>
    <w:rsid w:val="201338B7"/>
    <w:rsid w:val="2051756F"/>
    <w:rsid w:val="20A402C4"/>
    <w:rsid w:val="212F1846"/>
    <w:rsid w:val="215206DC"/>
    <w:rsid w:val="225F06E1"/>
    <w:rsid w:val="230F5A46"/>
    <w:rsid w:val="23700938"/>
    <w:rsid w:val="240E13BE"/>
    <w:rsid w:val="24174680"/>
    <w:rsid w:val="25E03872"/>
    <w:rsid w:val="273C5904"/>
    <w:rsid w:val="27CE007F"/>
    <w:rsid w:val="27F840FB"/>
    <w:rsid w:val="28536568"/>
    <w:rsid w:val="28921F6D"/>
    <w:rsid w:val="28BE26E5"/>
    <w:rsid w:val="290750D9"/>
    <w:rsid w:val="2995726B"/>
    <w:rsid w:val="29B74766"/>
    <w:rsid w:val="2A0256F4"/>
    <w:rsid w:val="2BB23A12"/>
    <w:rsid w:val="2BF567CD"/>
    <w:rsid w:val="2C8540B3"/>
    <w:rsid w:val="2CA256DD"/>
    <w:rsid w:val="2D4C7F88"/>
    <w:rsid w:val="2DF21392"/>
    <w:rsid w:val="2E2239E1"/>
    <w:rsid w:val="2F194722"/>
    <w:rsid w:val="2F77478E"/>
    <w:rsid w:val="2F842C09"/>
    <w:rsid w:val="2FF92400"/>
    <w:rsid w:val="30083D4E"/>
    <w:rsid w:val="31584492"/>
    <w:rsid w:val="31630F43"/>
    <w:rsid w:val="318260D3"/>
    <w:rsid w:val="320504D2"/>
    <w:rsid w:val="32DC7485"/>
    <w:rsid w:val="32E56037"/>
    <w:rsid w:val="33BD7F2A"/>
    <w:rsid w:val="344C3F70"/>
    <w:rsid w:val="3498111E"/>
    <w:rsid w:val="34DD1293"/>
    <w:rsid w:val="34F202A0"/>
    <w:rsid w:val="35EA6D21"/>
    <w:rsid w:val="36044574"/>
    <w:rsid w:val="360459C6"/>
    <w:rsid w:val="37CB50DB"/>
    <w:rsid w:val="38F12165"/>
    <w:rsid w:val="39380DA9"/>
    <w:rsid w:val="395B3827"/>
    <w:rsid w:val="39683E29"/>
    <w:rsid w:val="39B76B45"/>
    <w:rsid w:val="3A8579E1"/>
    <w:rsid w:val="3B0C280B"/>
    <w:rsid w:val="3BB40004"/>
    <w:rsid w:val="3BF84797"/>
    <w:rsid w:val="3C04240A"/>
    <w:rsid w:val="3C511023"/>
    <w:rsid w:val="3C5E31E7"/>
    <w:rsid w:val="3C885EED"/>
    <w:rsid w:val="3CC82808"/>
    <w:rsid w:val="3D073C7C"/>
    <w:rsid w:val="3EF1194C"/>
    <w:rsid w:val="3F244B34"/>
    <w:rsid w:val="3F3D1FA5"/>
    <w:rsid w:val="3F6F2A2B"/>
    <w:rsid w:val="3FB50F27"/>
    <w:rsid w:val="4043131E"/>
    <w:rsid w:val="404E340E"/>
    <w:rsid w:val="408B24EB"/>
    <w:rsid w:val="410C1C88"/>
    <w:rsid w:val="42351AEE"/>
    <w:rsid w:val="428340A3"/>
    <w:rsid w:val="43BA0A83"/>
    <w:rsid w:val="43F3514A"/>
    <w:rsid w:val="43FC1637"/>
    <w:rsid w:val="440D786E"/>
    <w:rsid w:val="444A2280"/>
    <w:rsid w:val="4459784E"/>
    <w:rsid w:val="44846517"/>
    <w:rsid w:val="44B170B0"/>
    <w:rsid w:val="44FC5315"/>
    <w:rsid w:val="45B63F06"/>
    <w:rsid w:val="45DA62C8"/>
    <w:rsid w:val="46D23B3D"/>
    <w:rsid w:val="47427B38"/>
    <w:rsid w:val="48364715"/>
    <w:rsid w:val="4A022DB8"/>
    <w:rsid w:val="4A3C23FD"/>
    <w:rsid w:val="4B4203CC"/>
    <w:rsid w:val="4B703859"/>
    <w:rsid w:val="4C850165"/>
    <w:rsid w:val="4DD51249"/>
    <w:rsid w:val="4DE75FF7"/>
    <w:rsid w:val="4E0C129C"/>
    <w:rsid w:val="4E4A21B6"/>
    <w:rsid w:val="4EBE6177"/>
    <w:rsid w:val="4F1328D2"/>
    <w:rsid w:val="50254C7A"/>
    <w:rsid w:val="50B43E07"/>
    <w:rsid w:val="51475FBA"/>
    <w:rsid w:val="517C17F0"/>
    <w:rsid w:val="53512A4E"/>
    <w:rsid w:val="5416249B"/>
    <w:rsid w:val="54CA7C66"/>
    <w:rsid w:val="54E04059"/>
    <w:rsid w:val="55002790"/>
    <w:rsid w:val="55BB1160"/>
    <w:rsid w:val="56792FF9"/>
    <w:rsid w:val="56890B29"/>
    <w:rsid w:val="56942A36"/>
    <w:rsid w:val="58290306"/>
    <w:rsid w:val="58770843"/>
    <w:rsid w:val="58D81A21"/>
    <w:rsid w:val="59531225"/>
    <w:rsid w:val="59701109"/>
    <w:rsid w:val="59791D15"/>
    <w:rsid w:val="5B0F3D44"/>
    <w:rsid w:val="5BA621B6"/>
    <w:rsid w:val="5BB115D3"/>
    <w:rsid w:val="5BD801B9"/>
    <w:rsid w:val="5BE7422C"/>
    <w:rsid w:val="5C2C68EB"/>
    <w:rsid w:val="5C2F55D8"/>
    <w:rsid w:val="5C43093B"/>
    <w:rsid w:val="5C451D35"/>
    <w:rsid w:val="5C50268D"/>
    <w:rsid w:val="5D300D93"/>
    <w:rsid w:val="5D3966F0"/>
    <w:rsid w:val="5E1A4AB5"/>
    <w:rsid w:val="5F546472"/>
    <w:rsid w:val="5FAF1A0F"/>
    <w:rsid w:val="60833FFD"/>
    <w:rsid w:val="61972279"/>
    <w:rsid w:val="620C5AF3"/>
    <w:rsid w:val="62E0372D"/>
    <w:rsid w:val="62F90568"/>
    <w:rsid w:val="634204FA"/>
    <w:rsid w:val="63B3092B"/>
    <w:rsid w:val="63C073D0"/>
    <w:rsid w:val="63ED050F"/>
    <w:rsid w:val="64432B02"/>
    <w:rsid w:val="6471285F"/>
    <w:rsid w:val="64A94F08"/>
    <w:rsid w:val="65AB3BB5"/>
    <w:rsid w:val="65CD7C3D"/>
    <w:rsid w:val="66976AB1"/>
    <w:rsid w:val="679507CD"/>
    <w:rsid w:val="68450C11"/>
    <w:rsid w:val="688A67D3"/>
    <w:rsid w:val="68CA6D0F"/>
    <w:rsid w:val="697D43CD"/>
    <w:rsid w:val="69EC5680"/>
    <w:rsid w:val="6A03607F"/>
    <w:rsid w:val="6B5A2AB7"/>
    <w:rsid w:val="6B620D3B"/>
    <w:rsid w:val="6BBB3BA0"/>
    <w:rsid w:val="6C0E0C1D"/>
    <w:rsid w:val="6C4C157D"/>
    <w:rsid w:val="6C7F33EE"/>
    <w:rsid w:val="6CB73B9C"/>
    <w:rsid w:val="6D282870"/>
    <w:rsid w:val="6EA21D1A"/>
    <w:rsid w:val="6EED6EEA"/>
    <w:rsid w:val="6EFA1CA3"/>
    <w:rsid w:val="6F5B49F9"/>
    <w:rsid w:val="703F1F38"/>
    <w:rsid w:val="71B47F63"/>
    <w:rsid w:val="7273680D"/>
    <w:rsid w:val="73AE205B"/>
    <w:rsid w:val="745C4EB3"/>
    <w:rsid w:val="749B28AB"/>
    <w:rsid w:val="749F7D37"/>
    <w:rsid w:val="75512F7D"/>
    <w:rsid w:val="75D6450A"/>
    <w:rsid w:val="760A12DD"/>
    <w:rsid w:val="76701873"/>
    <w:rsid w:val="768A7C75"/>
    <w:rsid w:val="769E5918"/>
    <w:rsid w:val="76F93377"/>
    <w:rsid w:val="772420C9"/>
    <w:rsid w:val="77433483"/>
    <w:rsid w:val="77816AF1"/>
    <w:rsid w:val="78171F39"/>
    <w:rsid w:val="7AC2662E"/>
    <w:rsid w:val="7AD94722"/>
    <w:rsid w:val="7B2C085E"/>
    <w:rsid w:val="7B3B62E0"/>
    <w:rsid w:val="7BDE559F"/>
    <w:rsid w:val="7CED24A8"/>
    <w:rsid w:val="7D56059D"/>
    <w:rsid w:val="7DF81264"/>
    <w:rsid w:val="7EA4406A"/>
    <w:rsid w:val="7F1231D8"/>
    <w:rsid w:val="7F2D5F40"/>
    <w:rsid w:val="7F34417A"/>
    <w:rsid w:val="7FD3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qFormat="1" w:unhideWhenUsed="0" w:uiPriority="0" w:semiHidden="0"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41"/>
    <w:qFormat/>
    <w:uiPriority w:val="9"/>
    <w:pPr>
      <w:keepNext/>
      <w:keepLines/>
      <w:spacing w:before="180" w:after="180" w:line="440" w:lineRule="exact"/>
      <w:outlineLvl w:val="0"/>
    </w:pPr>
    <w:rPr>
      <w:rFonts w:ascii="Times New Roman" w:hAnsi="Times New Roman" w:eastAsia="宋体"/>
      <w:b/>
      <w:bCs/>
      <w:kern w:val="44"/>
      <w:sz w:val="30"/>
      <w:szCs w:val="44"/>
    </w:rPr>
  </w:style>
  <w:style w:type="paragraph" w:styleId="4">
    <w:name w:val="heading 2"/>
    <w:basedOn w:val="1"/>
    <w:next w:val="1"/>
    <w:link w:val="40"/>
    <w:unhideWhenUsed/>
    <w:qFormat/>
    <w:uiPriority w:val="9"/>
    <w:pPr>
      <w:keepNext/>
      <w:keepLines/>
      <w:spacing w:before="120" w:after="120" w:line="440" w:lineRule="exact"/>
      <w:outlineLvl w:val="1"/>
    </w:pPr>
    <w:rPr>
      <w:rFonts w:ascii="Times New Roman" w:hAnsi="Times New Roman" w:eastAsiaTheme="majorEastAsia" w:cstheme="majorBidi"/>
      <w:b/>
      <w:bCs/>
      <w:sz w:val="28"/>
      <w:szCs w:val="32"/>
    </w:rPr>
  </w:style>
  <w:style w:type="paragraph" w:styleId="5">
    <w:name w:val="heading 3"/>
    <w:basedOn w:val="1"/>
    <w:next w:val="1"/>
    <w:link w:val="39"/>
    <w:qFormat/>
    <w:uiPriority w:val="0"/>
    <w:pPr>
      <w:spacing w:before="60" w:after="60" w:line="440" w:lineRule="exact"/>
      <w:jc w:val="left"/>
      <w:outlineLvl w:val="2"/>
    </w:pPr>
    <w:rPr>
      <w:rFonts w:ascii="Times New Roman" w:hAnsi="Times New Roman" w:eastAsiaTheme="minorEastAsia"/>
      <w:b/>
      <w:sz w:val="24"/>
      <w:szCs w:val="24"/>
    </w:rPr>
  </w:style>
  <w:style w:type="paragraph" w:styleId="6">
    <w:name w:val="heading 4"/>
    <w:basedOn w:val="1"/>
    <w:next w:val="1"/>
    <w:link w:val="46"/>
    <w:unhideWhenUsed/>
    <w:qFormat/>
    <w:uiPriority w:val="9"/>
    <w:pPr>
      <w:keepNext/>
      <w:keepLines/>
      <w:spacing w:before="60" w:after="60" w:line="440" w:lineRule="exact"/>
      <w:outlineLvl w:val="3"/>
    </w:pPr>
    <w:rPr>
      <w:rFonts w:ascii="Times New Roman" w:hAnsi="Times New Roman" w:eastAsiaTheme="majorEastAsia" w:cstheme="majorBidi"/>
      <w:bCs/>
      <w:sz w:val="24"/>
      <w:szCs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uiPriority w:val="0"/>
    <w:pPr>
      <w:ind w:left="1440" w:leftChars="700" w:right="700" w:rightChars="700"/>
    </w:pPr>
  </w:style>
  <w:style w:type="paragraph" w:styleId="7">
    <w:name w:val="Normal Indent"/>
    <w:basedOn w:val="8"/>
    <w:next w:val="6"/>
    <w:unhideWhenUsed/>
    <w:qFormat/>
    <w:uiPriority w:val="99"/>
    <w:pPr>
      <w:ind w:firstLine="420" w:firstLineChars="200"/>
    </w:pPr>
  </w:style>
  <w:style w:type="paragraph" w:customStyle="1" w:styleId="8">
    <w:name w:val="正文（首行缩进）"/>
    <w:basedOn w:val="1"/>
    <w:qFormat/>
    <w:uiPriority w:val="0"/>
    <w:pPr>
      <w:widowControl/>
      <w:adjustRightInd w:val="0"/>
      <w:snapToGrid w:val="0"/>
      <w:spacing w:line="360" w:lineRule="auto"/>
      <w:ind w:firstLine="480" w:firstLineChars="200"/>
      <w:jc w:val="left"/>
    </w:pPr>
    <w:rPr>
      <w:color w:val="000000"/>
      <w:sz w:val="24"/>
      <w:szCs w:val="24"/>
    </w:rPr>
  </w:style>
  <w:style w:type="paragraph" w:styleId="9">
    <w:name w:val="annotation text"/>
    <w:basedOn w:val="1"/>
    <w:link w:val="56"/>
    <w:semiHidden/>
    <w:unhideWhenUsed/>
    <w:qFormat/>
    <w:uiPriority w:val="99"/>
    <w:pPr>
      <w:jc w:val="left"/>
    </w:pPr>
  </w:style>
  <w:style w:type="paragraph" w:styleId="10">
    <w:name w:val="Body Text 3"/>
    <w:basedOn w:val="1"/>
    <w:qFormat/>
    <w:uiPriority w:val="0"/>
    <w:pPr>
      <w:spacing w:after="120"/>
    </w:pPr>
    <w:rPr>
      <w:rFonts w:ascii="Times New Roman" w:hAnsi="Times New Roman" w:eastAsia="宋体"/>
      <w:kern w:val="0"/>
      <w:sz w:val="16"/>
      <w:szCs w:val="16"/>
    </w:rPr>
  </w:style>
  <w:style w:type="paragraph" w:styleId="11">
    <w:name w:val="Body Text"/>
    <w:basedOn w:val="1"/>
    <w:link w:val="53"/>
    <w:qFormat/>
    <w:uiPriority w:val="0"/>
    <w:pPr>
      <w:spacing w:line="320" w:lineRule="exact"/>
      <w:jc w:val="center"/>
    </w:pPr>
    <w:rPr>
      <w:rFonts w:asciiTheme="minorHAnsi" w:hAnsiTheme="minorHAnsi" w:eastAsiaTheme="minorEastAsia" w:cstheme="minorBidi"/>
      <w:sz w:val="52"/>
      <w:szCs w:val="20"/>
    </w:rPr>
  </w:style>
  <w:style w:type="paragraph" w:styleId="12">
    <w:name w:val="Body Text Indent"/>
    <w:basedOn w:val="1"/>
    <w:qFormat/>
    <w:uiPriority w:val="0"/>
    <w:pPr>
      <w:spacing w:before="240" w:line="360" w:lineRule="auto"/>
      <w:ind w:firstLine="482"/>
    </w:pPr>
    <w:rPr>
      <w:rFonts w:ascii="宋体"/>
      <w:kern w:val="0"/>
      <w:sz w:val="24"/>
    </w:rPr>
  </w:style>
  <w:style w:type="paragraph" w:styleId="13">
    <w:name w:val="Plain Text"/>
    <w:basedOn w:val="1"/>
    <w:qFormat/>
    <w:uiPriority w:val="0"/>
    <w:pPr>
      <w:widowControl/>
      <w:spacing w:before="100" w:beforeLines="0" w:beforeAutospacing="1" w:after="100" w:afterLines="0" w:afterAutospacing="1"/>
      <w:jc w:val="left"/>
    </w:pPr>
    <w:rPr>
      <w:rFonts w:ascii="ˎ̥" w:hAnsi="ˎ̥"/>
      <w:kern w:val="0"/>
      <w:sz w:val="18"/>
      <w:szCs w:val="18"/>
    </w:rPr>
  </w:style>
  <w:style w:type="paragraph" w:styleId="14">
    <w:name w:val="toc 8"/>
    <w:basedOn w:val="1"/>
    <w:next w:val="1"/>
    <w:qFormat/>
    <w:uiPriority w:val="39"/>
    <w:pPr>
      <w:ind w:left="1470"/>
      <w:jc w:val="left"/>
    </w:pPr>
    <w:rPr>
      <w:rFonts w:ascii="Times New Roman" w:hAnsi="Times New Roman"/>
      <w:kern w:val="0"/>
      <w:sz w:val="18"/>
      <w:szCs w:val="18"/>
    </w:rPr>
  </w:style>
  <w:style w:type="paragraph" w:styleId="15">
    <w:name w:val="endnote text"/>
    <w:basedOn w:val="1"/>
    <w:semiHidden/>
    <w:qFormat/>
    <w:uiPriority w:val="99"/>
    <w:pPr>
      <w:snapToGrid w:val="0"/>
      <w:jc w:val="left"/>
    </w:pPr>
    <w:rPr>
      <w:rFonts w:ascii="Calibri" w:hAnsi="Calibri" w:cs="Calibri"/>
      <w:sz w:val="24"/>
      <w:szCs w:val="24"/>
    </w:rPr>
  </w:style>
  <w:style w:type="paragraph" w:styleId="16">
    <w:name w:val="Balloon Text"/>
    <w:basedOn w:val="1"/>
    <w:link w:val="52"/>
    <w:semiHidden/>
    <w:unhideWhenUsed/>
    <w:qFormat/>
    <w:uiPriority w:val="99"/>
    <w:rPr>
      <w:sz w:val="18"/>
      <w:szCs w:val="18"/>
    </w:rPr>
  </w:style>
  <w:style w:type="paragraph" w:styleId="17">
    <w:name w:val="footer"/>
    <w:basedOn w:val="1"/>
    <w:link w:val="43"/>
    <w:unhideWhenUsed/>
    <w:qFormat/>
    <w:uiPriority w:val="99"/>
    <w:pPr>
      <w:tabs>
        <w:tab w:val="center" w:pos="4153"/>
        <w:tab w:val="right" w:pos="8306"/>
      </w:tabs>
      <w:snapToGrid w:val="0"/>
      <w:jc w:val="left"/>
    </w:pPr>
    <w:rPr>
      <w:sz w:val="18"/>
      <w:szCs w:val="18"/>
    </w:rPr>
  </w:style>
  <w:style w:type="paragraph" w:styleId="18">
    <w:name w:val="header"/>
    <w:basedOn w:val="1"/>
    <w:next w:val="19"/>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9">
    <w:name w:val="样式5"/>
    <w:basedOn w:val="20"/>
    <w:next w:val="15"/>
    <w:qFormat/>
    <w:uiPriority w:val="99"/>
    <w:pPr>
      <w:spacing w:line="460" w:lineRule="exact"/>
      <w:textAlignment w:val="baseline"/>
    </w:pPr>
    <w:rPr>
      <w:rFonts w:ascii="Arial" w:hAnsi="Arial" w:cs="Arial"/>
    </w:rPr>
  </w:style>
  <w:style w:type="paragraph" w:customStyle="1" w:styleId="20">
    <w:name w:val="正文1"/>
    <w:basedOn w:val="1"/>
    <w:next w:val="1"/>
    <w:qFormat/>
    <w:uiPriority w:val="99"/>
    <w:pPr>
      <w:adjustRightInd w:val="0"/>
      <w:snapToGrid w:val="0"/>
      <w:spacing w:line="440" w:lineRule="exact"/>
      <w:ind w:firstLine="200" w:firstLineChars="200"/>
    </w:pPr>
    <w:rPr>
      <w:kern w:val="0"/>
      <w:sz w:val="24"/>
      <w:szCs w:val="24"/>
    </w:rPr>
  </w:style>
  <w:style w:type="paragraph" w:styleId="21">
    <w:name w:val="toc 1"/>
    <w:basedOn w:val="1"/>
    <w:next w:val="1"/>
    <w:unhideWhenUsed/>
    <w:qFormat/>
    <w:uiPriority w:val="39"/>
    <w:pPr>
      <w:spacing w:line="420" w:lineRule="exact"/>
    </w:pPr>
    <w:rPr>
      <w:rFonts w:eastAsia="宋体"/>
      <w:b/>
      <w:sz w:val="24"/>
    </w:rPr>
  </w:style>
  <w:style w:type="paragraph" w:styleId="22">
    <w:name w:val="toc 2"/>
    <w:basedOn w:val="1"/>
    <w:next w:val="1"/>
    <w:unhideWhenUsed/>
    <w:qFormat/>
    <w:uiPriority w:val="39"/>
    <w:pPr>
      <w:spacing w:line="420" w:lineRule="exact"/>
      <w:ind w:left="420" w:leftChars="200"/>
    </w:pPr>
    <w:rPr>
      <w:rFonts w:eastAsia="宋体"/>
      <w:sz w:val="24"/>
    </w:rPr>
  </w:style>
  <w:style w:type="paragraph" w:styleId="23">
    <w:name w:val="Normal (Web)"/>
    <w:basedOn w:val="1"/>
    <w:next w:val="14"/>
    <w:qFormat/>
    <w:uiPriority w:val="0"/>
    <w:pPr>
      <w:widowControl/>
      <w:spacing w:before="100" w:beforeAutospacing="1" w:after="100" w:afterAutospacing="1"/>
      <w:jc w:val="left"/>
    </w:pPr>
    <w:rPr>
      <w:rFonts w:ascii="宋体" w:hAnsi="宋体"/>
      <w:kern w:val="0"/>
      <w:sz w:val="24"/>
      <w:szCs w:val="20"/>
    </w:rPr>
  </w:style>
  <w:style w:type="paragraph" w:styleId="24">
    <w:name w:val="annotation subject"/>
    <w:basedOn w:val="9"/>
    <w:next w:val="9"/>
    <w:link w:val="57"/>
    <w:semiHidden/>
    <w:unhideWhenUsed/>
    <w:qFormat/>
    <w:uiPriority w:val="99"/>
    <w:rPr>
      <w:b/>
      <w:bCs/>
    </w:rPr>
  </w:style>
  <w:style w:type="paragraph" w:styleId="25">
    <w:name w:val="Body Text First Indent 2"/>
    <w:basedOn w:val="12"/>
    <w:next w:val="26"/>
    <w:unhideWhenUsed/>
    <w:qFormat/>
    <w:uiPriority w:val="99"/>
    <w:pPr>
      <w:ind w:firstLine="420" w:firstLineChars="200"/>
    </w:pPr>
  </w:style>
  <w:style w:type="paragraph" w:customStyle="1" w:styleId="26">
    <w:name w:val="Default"/>
    <w:basedOn w:val="27"/>
    <w:next w:val="28"/>
    <w:qFormat/>
    <w:uiPriority w:val="0"/>
    <w:pPr>
      <w:widowControl w:val="0"/>
      <w:autoSpaceDE w:val="0"/>
      <w:autoSpaceDN w:val="0"/>
      <w:adjustRightInd w:val="0"/>
    </w:pPr>
    <w:rPr>
      <w:rFonts w:ascii="黑体" w:hAnsi="Times New Roman" w:eastAsia="宋体" w:cs="Times New Roman"/>
      <w:color w:val="000000"/>
      <w:sz w:val="24"/>
      <w:szCs w:val="22"/>
      <w:lang w:val="en-US" w:eastAsia="zh-CN" w:bidi="ar-SA"/>
    </w:rPr>
  </w:style>
  <w:style w:type="paragraph" w:customStyle="1" w:styleId="27">
    <w:name w:val="纯文本1"/>
    <w:basedOn w:val="1"/>
    <w:qFormat/>
    <w:uiPriority w:val="0"/>
    <w:pPr>
      <w:widowControl/>
      <w:spacing w:beforeLines="10" w:afterLines="10" w:line="360" w:lineRule="auto"/>
      <w:ind w:firstLine="200" w:firstLineChars="200"/>
      <w:jc w:val="left"/>
    </w:pPr>
    <w:rPr>
      <w:rFonts w:hAnsi="宋体" w:cs="宋体"/>
      <w:kern w:val="0"/>
      <w:sz w:val="24"/>
    </w:rPr>
  </w:style>
  <w:style w:type="paragraph" w:customStyle="1" w:styleId="28">
    <w:name w:val="Char Char Char Char Char Char Char Char Char Char Char Char Char"/>
    <w:basedOn w:val="1"/>
    <w:next w:val="29"/>
    <w:qFormat/>
    <w:uiPriority w:val="0"/>
    <w:rPr>
      <w:szCs w:val="24"/>
    </w:rPr>
  </w:style>
  <w:style w:type="paragraph" w:customStyle="1" w:styleId="29">
    <w:name w:val="point101"/>
    <w:basedOn w:val="1"/>
    <w:next w:val="30"/>
    <w:qFormat/>
    <w:uiPriority w:val="0"/>
    <w:pPr>
      <w:widowControl/>
      <w:spacing w:before="100" w:beforeAutospacing="1" w:after="100" w:afterAutospacing="1" w:line="390" w:lineRule="atLeast"/>
      <w:jc w:val="left"/>
    </w:pPr>
    <w:rPr>
      <w:rFonts w:ascii="宋体" w:hAnsi="宋体" w:cs="宋体"/>
      <w:kern w:val="0"/>
      <w:sz w:val="18"/>
      <w:szCs w:val="18"/>
    </w:rPr>
  </w:style>
  <w:style w:type="paragraph" w:customStyle="1" w:styleId="30">
    <w:name w:val="样式1"/>
    <w:basedOn w:val="18"/>
    <w:next w:val="31"/>
    <w:qFormat/>
    <w:uiPriority w:val="0"/>
    <w:pPr>
      <w:suppressAutoHyphens/>
      <w:spacing w:line="480" w:lineRule="exact"/>
      <w:ind w:firstLine="198"/>
    </w:pPr>
    <w:rPr>
      <w:spacing w:val="18"/>
      <w:kern w:val="0"/>
      <w:sz w:val="24"/>
      <w:szCs w:val="20"/>
    </w:rPr>
  </w:style>
  <w:style w:type="paragraph" w:customStyle="1" w:styleId="31">
    <w:name w:val="标题样式2"/>
    <w:basedOn w:val="4"/>
    <w:next w:val="23"/>
    <w:qFormat/>
    <w:uiPriority w:val="0"/>
    <w:pPr>
      <w:widowControl/>
      <w:spacing w:before="120" w:after="120" w:line="360" w:lineRule="auto"/>
    </w:pPr>
    <w:rPr>
      <w:rFonts w:ascii="黑体" w:hAnsi="Times New Roman" w:cs="宋体"/>
      <w:color w:val="0000FF"/>
      <w:kern w:val="0"/>
      <w:sz w:val="24"/>
      <w:szCs w:val="24"/>
    </w:rPr>
  </w:style>
  <w:style w:type="table" w:styleId="33">
    <w:name w:val="Table Grid"/>
    <w:basedOn w:val="32"/>
    <w:qFormat/>
    <w:uiPriority w:val="59"/>
    <w:rPr>
      <w:rFonts w:asciiTheme="minorHAnsi" w:hAnsiTheme="minorHAnsi" w:eastAsiaTheme="minorEastAsia" w:cstheme="minorBidi"/>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FollowedHyperlink"/>
    <w:basedOn w:val="34"/>
    <w:semiHidden/>
    <w:unhideWhenUsed/>
    <w:qFormat/>
    <w:uiPriority w:val="99"/>
    <w:rPr>
      <w:color w:val="185ECF"/>
      <w:u w:val="none"/>
    </w:rPr>
  </w:style>
  <w:style w:type="character" w:styleId="36">
    <w:name w:val="Emphasis"/>
    <w:basedOn w:val="34"/>
    <w:qFormat/>
    <w:uiPriority w:val="20"/>
    <w:rPr>
      <w:i/>
    </w:rPr>
  </w:style>
  <w:style w:type="character" w:styleId="37">
    <w:name w:val="Hyperlink"/>
    <w:basedOn w:val="34"/>
    <w:semiHidden/>
    <w:unhideWhenUsed/>
    <w:qFormat/>
    <w:uiPriority w:val="99"/>
    <w:rPr>
      <w:color w:val="0000FF"/>
      <w:u w:val="single"/>
    </w:rPr>
  </w:style>
  <w:style w:type="character" w:styleId="38">
    <w:name w:val="annotation reference"/>
    <w:basedOn w:val="34"/>
    <w:semiHidden/>
    <w:unhideWhenUsed/>
    <w:qFormat/>
    <w:uiPriority w:val="99"/>
    <w:rPr>
      <w:sz w:val="21"/>
      <w:szCs w:val="21"/>
    </w:rPr>
  </w:style>
  <w:style w:type="character" w:customStyle="1" w:styleId="39">
    <w:name w:val="标题 3 Char"/>
    <w:basedOn w:val="34"/>
    <w:link w:val="5"/>
    <w:qFormat/>
    <w:uiPriority w:val="0"/>
    <w:rPr>
      <w:rFonts w:eastAsiaTheme="minorEastAsia"/>
      <w:b/>
      <w:color w:val="auto"/>
      <w:kern w:val="2"/>
      <w:sz w:val="24"/>
      <w:szCs w:val="24"/>
    </w:rPr>
  </w:style>
  <w:style w:type="character" w:customStyle="1" w:styleId="40">
    <w:name w:val="标题 2 Char"/>
    <w:basedOn w:val="34"/>
    <w:link w:val="4"/>
    <w:qFormat/>
    <w:uiPriority w:val="9"/>
    <w:rPr>
      <w:rFonts w:eastAsiaTheme="majorEastAsia" w:cstheme="majorBidi"/>
      <w:b/>
      <w:bCs/>
      <w:color w:val="auto"/>
      <w:kern w:val="2"/>
      <w:sz w:val="28"/>
      <w:szCs w:val="32"/>
    </w:rPr>
  </w:style>
  <w:style w:type="character" w:customStyle="1" w:styleId="41">
    <w:name w:val="标题 1 Char"/>
    <w:basedOn w:val="34"/>
    <w:link w:val="3"/>
    <w:qFormat/>
    <w:uiPriority w:val="9"/>
    <w:rPr>
      <w:b/>
      <w:bCs/>
      <w:color w:val="auto"/>
      <w:kern w:val="44"/>
      <w:sz w:val="30"/>
      <w:szCs w:val="44"/>
    </w:rPr>
  </w:style>
  <w:style w:type="character" w:customStyle="1" w:styleId="42">
    <w:name w:val="页眉 Char"/>
    <w:basedOn w:val="34"/>
    <w:link w:val="18"/>
    <w:qFormat/>
    <w:uiPriority w:val="99"/>
    <w:rPr>
      <w:sz w:val="18"/>
      <w:szCs w:val="18"/>
    </w:rPr>
  </w:style>
  <w:style w:type="character" w:customStyle="1" w:styleId="43">
    <w:name w:val="页脚 Char"/>
    <w:basedOn w:val="34"/>
    <w:link w:val="17"/>
    <w:qFormat/>
    <w:uiPriority w:val="99"/>
    <w:rPr>
      <w:sz w:val="18"/>
      <w:szCs w:val="18"/>
    </w:rPr>
  </w:style>
  <w:style w:type="character" w:customStyle="1" w:styleId="44">
    <w:name w:val="正文文本缩进 2 Char"/>
    <w:link w:val="45"/>
    <w:qFormat/>
    <w:uiPriority w:val="0"/>
    <w:rPr>
      <w:rFonts w:eastAsia="仿宋_GB2312"/>
      <w:sz w:val="28"/>
      <w:szCs w:val="20"/>
    </w:rPr>
  </w:style>
  <w:style w:type="paragraph" w:customStyle="1" w:styleId="45">
    <w:name w:val="正文文本缩进 21"/>
    <w:basedOn w:val="1"/>
    <w:link w:val="44"/>
    <w:qFormat/>
    <w:uiPriority w:val="0"/>
    <w:pPr>
      <w:adjustRightInd w:val="0"/>
      <w:spacing w:line="312" w:lineRule="atLeast"/>
      <w:ind w:firstLine="570"/>
      <w:jc w:val="distribute"/>
      <w:textAlignment w:val="baseline"/>
    </w:pPr>
    <w:rPr>
      <w:rFonts w:ascii="Times New Roman" w:hAnsi="Times New Roman" w:eastAsia="仿宋_GB2312"/>
      <w:color w:val="FF0000"/>
      <w:kern w:val="0"/>
      <w:sz w:val="28"/>
      <w:szCs w:val="20"/>
    </w:rPr>
  </w:style>
  <w:style w:type="character" w:customStyle="1" w:styleId="46">
    <w:name w:val="标题 4 Char"/>
    <w:basedOn w:val="34"/>
    <w:link w:val="6"/>
    <w:qFormat/>
    <w:uiPriority w:val="9"/>
    <w:rPr>
      <w:rFonts w:eastAsiaTheme="majorEastAsia" w:cstheme="majorBidi"/>
      <w:bCs/>
      <w:color w:val="auto"/>
      <w:kern w:val="2"/>
      <w:sz w:val="24"/>
      <w:szCs w:val="28"/>
    </w:rPr>
  </w:style>
  <w:style w:type="paragraph" w:styleId="47">
    <w:name w:val="List Paragraph"/>
    <w:basedOn w:val="1"/>
    <w:link w:val="60"/>
    <w:qFormat/>
    <w:uiPriority w:val="34"/>
    <w:pPr>
      <w:ind w:firstLine="420" w:firstLineChars="200"/>
    </w:pPr>
    <w:rPr>
      <w:rFonts w:ascii="Times New Roman" w:hAnsi="Times New Roman" w:eastAsia="宋体"/>
      <w:sz w:val="24"/>
      <w:szCs w:val="24"/>
    </w:rPr>
  </w:style>
  <w:style w:type="paragraph" w:customStyle="1" w:styleId="48">
    <w:name w:val="表格"/>
    <w:basedOn w:val="7"/>
    <w:next w:val="1"/>
    <w:link w:val="51"/>
    <w:qFormat/>
    <w:uiPriority w:val="0"/>
    <w:pPr>
      <w:snapToGrid w:val="0"/>
      <w:spacing w:line="360" w:lineRule="exact"/>
      <w:ind w:firstLine="0"/>
      <w:jc w:val="center"/>
    </w:pPr>
    <w:rPr>
      <w:rFonts w:eastAsia="宋体"/>
    </w:rPr>
  </w:style>
  <w:style w:type="paragraph" w:customStyle="1" w:styleId="49">
    <w:name w:val="表"/>
    <w:qFormat/>
    <w:uiPriority w:val="0"/>
    <w:pPr>
      <w:spacing w:line="440" w:lineRule="exact"/>
      <w:ind w:firstLine="200" w:firstLineChars="200"/>
      <w:jc w:val="both"/>
    </w:pPr>
    <w:rPr>
      <w:rFonts w:ascii="Times New Roman" w:hAnsi="Times New Roman" w:eastAsia="宋体" w:cs="Times New Roman"/>
      <w:sz w:val="24"/>
      <w:szCs w:val="22"/>
      <w:lang w:val="en-US" w:eastAsia="zh-CN" w:bidi="ar-SA"/>
    </w:rPr>
  </w:style>
  <w:style w:type="paragraph" w:customStyle="1" w:styleId="50">
    <w:name w:val="正文2"/>
    <w:qFormat/>
    <w:uiPriority w:val="0"/>
    <w:pPr>
      <w:widowControl w:val="0"/>
      <w:suppressAutoHyphens/>
      <w:spacing w:line="520" w:lineRule="atLeast"/>
      <w:ind w:firstLine="680"/>
      <w:jc w:val="both"/>
    </w:pPr>
    <w:rPr>
      <w:rFonts w:ascii="Times New Roman" w:hAnsi="Times New Roman" w:eastAsia="宋体" w:cs="Times New Roman"/>
      <w:spacing w:val="18"/>
      <w:kern w:val="2"/>
      <w:sz w:val="32"/>
      <w:szCs w:val="22"/>
      <w:lang w:val="en-US" w:eastAsia="zh-CN" w:bidi="ar-SA"/>
    </w:rPr>
  </w:style>
  <w:style w:type="character" w:customStyle="1" w:styleId="51">
    <w:name w:val="表格 Char"/>
    <w:link w:val="48"/>
    <w:qFormat/>
    <w:uiPriority w:val="0"/>
    <w:rPr>
      <w:rFonts w:ascii="等线" w:hAnsi="等线"/>
      <w:kern w:val="2"/>
      <w:sz w:val="21"/>
      <w:szCs w:val="22"/>
    </w:rPr>
  </w:style>
  <w:style w:type="character" w:customStyle="1" w:styleId="52">
    <w:name w:val="批注框文本 Char"/>
    <w:basedOn w:val="34"/>
    <w:link w:val="16"/>
    <w:semiHidden/>
    <w:qFormat/>
    <w:uiPriority w:val="99"/>
    <w:rPr>
      <w:rFonts w:ascii="等线" w:hAnsi="等线" w:eastAsia="等线"/>
      <w:kern w:val="2"/>
      <w:sz w:val="18"/>
      <w:szCs w:val="18"/>
    </w:rPr>
  </w:style>
  <w:style w:type="character" w:customStyle="1" w:styleId="53">
    <w:name w:val="正文文本 Char"/>
    <w:basedOn w:val="34"/>
    <w:link w:val="11"/>
    <w:qFormat/>
    <w:uiPriority w:val="0"/>
    <w:rPr>
      <w:rFonts w:asciiTheme="minorHAnsi" w:hAnsiTheme="minorHAnsi" w:eastAsiaTheme="minorEastAsia" w:cstheme="minorBidi"/>
      <w:kern w:val="2"/>
      <w:sz w:val="52"/>
    </w:rPr>
  </w:style>
  <w:style w:type="paragraph" w:customStyle="1" w:styleId="54">
    <w:name w:val="表格内容1"/>
    <w:basedOn w:val="1"/>
    <w:link w:val="55"/>
    <w:qFormat/>
    <w:uiPriority w:val="0"/>
    <w:pPr>
      <w:spacing w:line="360" w:lineRule="exact"/>
      <w:jc w:val="center"/>
    </w:pPr>
    <w:rPr>
      <w:rFonts w:eastAsia="宋体"/>
      <w:color w:val="000000"/>
      <w:szCs w:val="21"/>
      <w:lang w:val="zh-CN" w:eastAsia="zh-CN"/>
    </w:rPr>
  </w:style>
  <w:style w:type="character" w:customStyle="1" w:styleId="55">
    <w:name w:val="表格内容1 Char"/>
    <w:link w:val="54"/>
    <w:qFormat/>
    <w:uiPriority w:val="0"/>
    <w:rPr>
      <w:rFonts w:ascii="等线" w:hAnsi="等线"/>
      <w:color w:val="000000"/>
      <w:kern w:val="2"/>
      <w:sz w:val="21"/>
      <w:szCs w:val="21"/>
      <w:lang w:val="zh-CN" w:eastAsia="zh-CN"/>
    </w:rPr>
  </w:style>
  <w:style w:type="character" w:customStyle="1" w:styleId="56">
    <w:name w:val="批注文字 Char"/>
    <w:basedOn w:val="34"/>
    <w:link w:val="9"/>
    <w:semiHidden/>
    <w:qFormat/>
    <w:uiPriority w:val="99"/>
    <w:rPr>
      <w:rFonts w:ascii="等线" w:hAnsi="等线" w:eastAsia="等线"/>
      <w:kern w:val="2"/>
      <w:sz w:val="21"/>
      <w:szCs w:val="22"/>
    </w:rPr>
  </w:style>
  <w:style w:type="character" w:customStyle="1" w:styleId="57">
    <w:name w:val="批注主题 Char"/>
    <w:basedOn w:val="56"/>
    <w:link w:val="24"/>
    <w:semiHidden/>
    <w:qFormat/>
    <w:uiPriority w:val="99"/>
    <w:rPr>
      <w:rFonts w:ascii="等线" w:hAnsi="等线" w:eastAsia="等线"/>
      <w:b/>
      <w:bCs/>
      <w:kern w:val="2"/>
      <w:sz w:val="21"/>
      <w:szCs w:val="22"/>
    </w:rPr>
  </w:style>
  <w:style w:type="character" w:styleId="58">
    <w:name w:val="Placeholder Text"/>
    <w:basedOn w:val="34"/>
    <w:unhideWhenUsed/>
    <w:qFormat/>
    <w:uiPriority w:val="99"/>
    <w:rPr>
      <w:color w:val="808080"/>
    </w:rPr>
  </w:style>
  <w:style w:type="table" w:customStyle="1" w:styleId="59">
    <w:name w:val="网格型1"/>
    <w:basedOn w:val="3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
    <w:name w:val="列出段落 Char"/>
    <w:link w:val="47"/>
    <w:qFormat/>
    <w:uiPriority w:val="34"/>
    <w:rPr>
      <w:kern w:val="2"/>
      <w:sz w:val="24"/>
      <w:szCs w:val="24"/>
    </w:rPr>
  </w:style>
  <w:style w:type="character" w:customStyle="1" w:styleId="61">
    <w:name w:val="checkbox"/>
    <w:basedOn w:val="34"/>
    <w:qFormat/>
    <w:uiPriority w:val="0"/>
  </w:style>
  <w:style w:type="character" w:customStyle="1" w:styleId="62">
    <w:name w:val="shenbao"/>
    <w:basedOn w:val="34"/>
    <w:qFormat/>
    <w:uiPriority w:val="0"/>
    <w:rPr>
      <w:color w:val="EF6334"/>
    </w:rPr>
  </w:style>
  <w:style w:type="character" w:customStyle="1" w:styleId="63">
    <w:name w:val="chakan"/>
    <w:basedOn w:val="34"/>
    <w:qFormat/>
    <w:uiPriority w:val="0"/>
    <w:rPr>
      <w:color w:val="0064EA"/>
    </w:rPr>
  </w:style>
  <w:style w:type="paragraph" w:customStyle="1" w:styleId="64">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5">
    <w:name w:val="表格内容"/>
    <w:qFormat/>
    <w:uiPriority w:val="0"/>
    <w:pPr>
      <w:adjustRightInd w:val="0"/>
      <w:snapToGrid w:val="0"/>
      <w:spacing w:line="360" w:lineRule="exact"/>
      <w:jc w:val="center"/>
    </w:pPr>
    <w:rPr>
      <w:rFonts w:ascii="Times New Roman" w:hAnsi="Times New Roman" w:eastAsia="宋体" w:cs="Times New Roman"/>
      <w:color w:val="000000"/>
      <w:sz w:val="21"/>
      <w:szCs w:val="24"/>
      <w:lang w:val="en-US" w:eastAsia="zh-CN" w:bidi="ar-SA"/>
    </w:rPr>
  </w:style>
  <w:style w:type="character" w:customStyle="1" w:styleId="66">
    <w:name w:val="font11"/>
    <w:qFormat/>
    <w:uiPriority w:val="0"/>
    <w:rPr>
      <w:rFonts w:hint="eastAsia" w:ascii="宋体" w:hAnsi="宋体" w:eastAsia="宋体" w:cs="宋体"/>
      <w:color w:val="000000"/>
      <w:sz w:val="20"/>
      <w:szCs w:val="20"/>
      <w:u w:val="none"/>
      <w:vertAlign w:val="superscript"/>
    </w:rPr>
  </w:style>
  <w:style w:type="paragraph" w:customStyle="1" w:styleId="67">
    <w:name w:val="列出段落1"/>
    <w:basedOn w:val="1"/>
    <w:qFormat/>
    <w:uiPriority w:val="34"/>
    <w:pPr>
      <w:ind w:firstLine="420" w:firstLineChars="200"/>
    </w:pPr>
  </w:style>
  <w:style w:type="paragraph" w:customStyle="1" w:styleId="68">
    <w:name w:val="WPSOffice手动目录 1"/>
    <w:qFormat/>
    <w:uiPriority w:val="0"/>
    <w:pPr>
      <w:ind w:leftChars="0"/>
    </w:pPr>
    <w:rPr>
      <w:rFonts w:ascii="Times New Roman" w:hAnsi="Times New Roman" w:eastAsia="宋体" w:cs="Times New Roman"/>
      <w:sz w:val="20"/>
      <w:szCs w:val="20"/>
    </w:rPr>
  </w:style>
  <w:style w:type="paragraph" w:customStyle="1" w:styleId="69">
    <w:name w:val="WPSOffice手动目录 2"/>
    <w:qFormat/>
    <w:uiPriority w:val="0"/>
    <w:pPr>
      <w:ind w:leftChars="200"/>
    </w:pPr>
    <w:rPr>
      <w:rFonts w:ascii="Times New Roman" w:hAnsi="Times New Roman" w:eastAsia="宋体" w:cs="Times New Roman"/>
      <w:sz w:val="20"/>
      <w:szCs w:val="20"/>
    </w:rPr>
  </w:style>
  <w:style w:type="paragraph" w:customStyle="1" w:styleId="70">
    <w:name w:val="文本"/>
    <w:basedOn w:val="1"/>
    <w:qFormat/>
    <w:uiPriority w:val="0"/>
    <w:pPr>
      <w:adjustRightInd w:val="0"/>
      <w:snapToGrid w:val="0"/>
      <w:spacing w:line="360" w:lineRule="auto"/>
      <w:ind w:firstLine="600" w:firstLineChars="200"/>
    </w:pPr>
    <w:rPr>
      <w:rFonts w:ascii="Times New Roman"/>
      <w:bCs/>
      <w:kern w:val="0"/>
      <w:sz w:val="28"/>
      <w:szCs w:val="30"/>
    </w:rPr>
  </w:style>
  <w:style w:type="paragraph" w:customStyle="1" w:styleId="71">
    <w:name w:val="Table Paragraph"/>
    <w:basedOn w:val="1"/>
    <w:qFormat/>
    <w:uiPriority w:val="1"/>
    <w:pPr>
      <w:autoSpaceDE w:val="0"/>
      <w:autoSpaceDN w:val="0"/>
      <w:adjustRightInd w:val="0"/>
      <w:jc w:val="left"/>
    </w:pPr>
    <w:rPr>
      <w:rFonts w:ascii="Times New Roman" w:hAnsi="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9525">
          <a:solidFill>
            <a:srgbClr val="000000"/>
          </a:solidFill>
          <a:prstDash val="dash"/>
          <a:miter lim="800000"/>
          <a:headEnd type="none"/>
          <a:tailEnd type="triangle"/>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29BE6-6830-4DA9-A045-97CEECB2D84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8930</Words>
  <Characters>11019</Characters>
  <Lines>157</Lines>
  <Paragraphs>44</Paragraphs>
  <TotalTime>1</TotalTime>
  <ScaleCrop>false</ScaleCrop>
  <LinksUpToDate>false</LinksUpToDate>
  <CharactersWithSpaces>11707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2018-07-24T00:51:00Z</dcterms:created>
  <dc:creator>Sky123.Org</dc:creator>
  <cp:lastModifiedBy>    执念</cp:lastModifiedBy>
  <cp:lastPrinted>2023-11-22T03:21:00Z</cp:lastPrinted>
  <dcterms:modified xsi:type="dcterms:W3CDTF">2023-11-27T06:27:26Z</dcterms:modified>
  <cp:revision>1893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EAD0356E6E3645E4ADE3EA8EADE8390B_13</vt:lpwstr>
  </property>
</Properties>
</file>