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仿宋_GB2312"/>
          <w:sz w:val="36"/>
          <w:szCs w:val="36"/>
        </w:rPr>
      </w:pPr>
    </w:p>
    <w:p>
      <w:pPr>
        <w:rPr>
          <w:rFonts w:eastAsia="仿宋_GB2312"/>
          <w:sz w:val="36"/>
          <w:szCs w:val="36"/>
        </w:rPr>
      </w:pPr>
    </w:p>
    <w:p>
      <w:pPr>
        <w:rPr>
          <w:rFonts w:eastAsia="仿宋_GB2312"/>
          <w:sz w:val="36"/>
          <w:szCs w:val="36"/>
        </w:rPr>
      </w:pPr>
    </w:p>
    <w:p>
      <w:pPr>
        <w:rPr>
          <w:rFonts w:eastAsia="仿宋_GB2312"/>
          <w:sz w:val="36"/>
          <w:szCs w:val="36"/>
        </w:rPr>
      </w:pPr>
    </w:p>
    <w:p>
      <w:pPr>
        <w:rPr>
          <w:rFonts w:eastAsia="仿宋_GB2312"/>
          <w:sz w:val="36"/>
          <w:szCs w:val="36"/>
        </w:rPr>
      </w:pPr>
    </w:p>
    <w:p>
      <w:pPr>
        <w:adjustRightInd w:val="0"/>
        <w:snapToGrid w:val="0"/>
        <w:jc w:val="center"/>
        <w:outlineLvl w:val="0"/>
        <w:rPr>
          <w:rFonts w:eastAsia="方正小标宋_GBK"/>
          <w:bCs/>
          <w:sz w:val="72"/>
          <w:szCs w:val="72"/>
        </w:rPr>
      </w:pPr>
      <w:r>
        <w:rPr>
          <w:rFonts w:eastAsia="方正小标宋_GBK"/>
          <w:bCs/>
          <w:sz w:val="72"/>
          <w:szCs w:val="72"/>
        </w:rPr>
        <w:t>建设项目环境影响报告表</w:t>
      </w:r>
    </w:p>
    <w:p>
      <w:pPr>
        <w:adjustRightInd w:val="0"/>
        <w:snapToGrid w:val="0"/>
        <w:spacing w:beforeLines="80"/>
        <w:jc w:val="center"/>
        <w:rPr>
          <w:rFonts w:eastAsia="楷体_GB2312"/>
          <w:bCs/>
          <w:sz w:val="48"/>
          <w:szCs w:val="48"/>
        </w:rPr>
      </w:pPr>
      <w:r>
        <w:rPr>
          <w:rFonts w:eastAsia="楷体_GB2312"/>
          <w:bCs/>
          <w:sz w:val="48"/>
          <w:szCs w:val="48"/>
        </w:rPr>
        <w:t>（污染影响类）</w:t>
      </w:r>
    </w:p>
    <w:p>
      <w:pPr>
        <w:jc w:val="center"/>
        <w:rPr>
          <w:rFonts w:eastAsia="仿宋"/>
          <w:sz w:val="52"/>
          <w:szCs w:val="52"/>
        </w:rPr>
      </w:pPr>
    </w:p>
    <w:p>
      <w:pPr>
        <w:pStyle w:val="32"/>
        <w:rPr>
          <w:color w:val="auto"/>
        </w:rPr>
      </w:pPr>
    </w:p>
    <w:p>
      <w:pPr>
        <w:ind w:firstLine="1040"/>
        <w:rPr>
          <w:rFonts w:eastAsia="仿宋"/>
          <w:sz w:val="44"/>
          <w:szCs w:val="44"/>
        </w:rPr>
      </w:pPr>
    </w:p>
    <w:p>
      <w:pPr>
        <w:ind w:firstLine="1040"/>
        <w:rPr>
          <w:rFonts w:eastAsia="仿宋"/>
          <w:sz w:val="44"/>
          <w:szCs w:val="44"/>
        </w:rPr>
      </w:pPr>
    </w:p>
    <w:p>
      <w:pPr>
        <w:rPr>
          <w:rFonts w:eastAsia="仿宋"/>
          <w:sz w:val="44"/>
          <w:szCs w:val="44"/>
        </w:rPr>
      </w:pPr>
    </w:p>
    <w:p>
      <w:pPr>
        <w:ind w:firstLine="1040"/>
        <w:rPr>
          <w:rFonts w:eastAsia="仿宋"/>
          <w:sz w:val="44"/>
          <w:szCs w:val="44"/>
        </w:rPr>
      </w:pPr>
    </w:p>
    <w:p>
      <w:pPr>
        <w:adjustRightInd w:val="0"/>
        <w:snapToGrid w:val="0"/>
        <w:spacing w:line="288" w:lineRule="auto"/>
        <w:ind w:left="2839" w:leftChars="495" w:hanging="1800" w:hangingChars="500"/>
        <w:rPr>
          <w:rFonts w:eastAsia="仿宋_GB2312"/>
          <w:sz w:val="36"/>
          <w:szCs w:val="36"/>
          <w:u w:val="single"/>
        </w:rPr>
      </w:pPr>
      <w:r>
        <w:rPr>
          <w:rFonts w:eastAsia="仿宋_GB2312"/>
          <w:sz w:val="36"/>
          <w:szCs w:val="36"/>
        </w:rPr>
        <w:t>项目名称：</w:t>
      </w:r>
      <w:r>
        <w:rPr>
          <w:rFonts w:hint="eastAsia" w:eastAsia="仿宋_GB2312"/>
          <w:sz w:val="36"/>
          <w:szCs w:val="36"/>
          <w:u w:val="single"/>
        </w:rPr>
        <w:t>山西省汇华万家科技有限公司年产1万吨饲料加工项目</w:t>
      </w:r>
    </w:p>
    <w:p>
      <w:pPr>
        <w:adjustRightInd w:val="0"/>
        <w:snapToGrid w:val="0"/>
        <w:spacing w:line="288" w:lineRule="auto"/>
        <w:ind w:firstLine="1040"/>
        <w:rPr>
          <w:rFonts w:eastAsia="仿宋_GB2312"/>
          <w:sz w:val="36"/>
          <w:szCs w:val="36"/>
          <w:u w:val="single"/>
        </w:rPr>
      </w:pPr>
      <w:r>
        <w:rPr>
          <w:rFonts w:eastAsia="仿宋_GB2312"/>
          <w:spacing w:val="-20"/>
          <w:sz w:val="36"/>
          <w:szCs w:val="36"/>
        </w:rPr>
        <w:t>建设单位（盖章）：</w:t>
      </w:r>
      <w:r>
        <w:rPr>
          <w:rFonts w:hint="eastAsia" w:eastAsia="仿宋_GB2312"/>
          <w:spacing w:val="-20"/>
          <w:sz w:val="36"/>
          <w:szCs w:val="36"/>
          <w:u w:val="single"/>
        </w:rPr>
        <w:t>山西省汇华万家科技有限公司</w:t>
      </w:r>
    </w:p>
    <w:p>
      <w:pPr>
        <w:adjustRightInd w:val="0"/>
        <w:snapToGrid w:val="0"/>
        <w:spacing w:line="288" w:lineRule="auto"/>
        <w:ind w:firstLine="1040"/>
        <w:rPr>
          <w:rFonts w:eastAsia="仿宋_GB2312"/>
          <w:sz w:val="36"/>
          <w:szCs w:val="36"/>
          <w:u w:val="single"/>
        </w:rPr>
      </w:pPr>
      <w:r>
        <w:rPr>
          <w:rFonts w:eastAsia="仿宋_GB2312"/>
          <w:sz w:val="36"/>
          <w:szCs w:val="36"/>
        </w:rPr>
        <w:t>编制日期：</w:t>
      </w:r>
      <w:r>
        <w:rPr>
          <w:rFonts w:eastAsia="仿宋_GB2312"/>
          <w:sz w:val="36"/>
          <w:szCs w:val="36"/>
          <w:u w:val="single"/>
        </w:rPr>
        <w:t xml:space="preserve">        </w:t>
      </w:r>
      <w:r>
        <w:rPr>
          <w:rFonts w:hint="eastAsia" w:eastAsia="仿宋_GB2312"/>
          <w:sz w:val="36"/>
          <w:szCs w:val="36"/>
          <w:u w:val="single"/>
        </w:rPr>
        <w:t xml:space="preserve"> </w:t>
      </w:r>
      <w:r>
        <w:rPr>
          <w:rFonts w:eastAsia="仿宋_GB2312"/>
          <w:sz w:val="36"/>
          <w:szCs w:val="36"/>
          <w:u w:val="single"/>
        </w:rPr>
        <w:t xml:space="preserve"> 202</w:t>
      </w:r>
      <w:r>
        <w:rPr>
          <w:rFonts w:hint="eastAsia" w:eastAsia="仿宋_GB2312"/>
          <w:sz w:val="36"/>
          <w:szCs w:val="36"/>
          <w:u w:val="single"/>
        </w:rPr>
        <w:t>3</w:t>
      </w:r>
      <w:r>
        <w:rPr>
          <w:rFonts w:eastAsia="仿宋_GB2312"/>
          <w:sz w:val="36"/>
          <w:szCs w:val="36"/>
          <w:u w:val="single"/>
        </w:rPr>
        <w:t>年</w:t>
      </w:r>
      <w:r>
        <w:rPr>
          <w:rFonts w:hint="eastAsia" w:eastAsia="仿宋_GB2312"/>
          <w:sz w:val="36"/>
          <w:szCs w:val="36"/>
          <w:u w:val="single"/>
        </w:rPr>
        <w:t>12</w:t>
      </w:r>
      <w:r>
        <w:rPr>
          <w:rFonts w:eastAsia="仿宋_GB2312"/>
          <w:sz w:val="36"/>
          <w:szCs w:val="36"/>
          <w:u w:val="single"/>
        </w:rPr>
        <w:t xml:space="preserve">月 </w:t>
      </w:r>
      <w:r>
        <w:rPr>
          <w:rFonts w:hint="eastAsia" w:eastAsia="仿宋_GB2312"/>
          <w:sz w:val="36"/>
          <w:szCs w:val="36"/>
          <w:u w:val="single"/>
        </w:rPr>
        <w:t xml:space="preserve"> </w:t>
      </w:r>
      <w:r>
        <w:rPr>
          <w:rFonts w:eastAsia="仿宋_GB2312"/>
          <w:sz w:val="36"/>
          <w:szCs w:val="36"/>
          <w:u w:val="single"/>
        </w:rPr>
        <w:t xml:space="preserve"> </w:t>
      </w:r>
      <w:r>
        <w:rPr>
          <w:rFonts w:hint="eastAsia" w:eastAsia="仿宋_GB2312"/>
          <w:sz w:val="36"/>
          <w:szCs w:val="36"/>
          <w:u w:val="single"/>
        </w:rPr>
        <w:t xml:space="preserve">   </w:t>
      </w:r>
      <w:r>
        <w:rPr>
          <w:rFonts w:eastAsia="仿宋_GB2312"/>
          <w:sz w:val="36"/>
          <w:szCs w:val="36"/>
          <w:u w:val="single"/>
        </w:rPr>
        <w:t xml:space="preserve">    </w:t>
      </w:r>
    </w:p>
    <w:p>
      <w:pPr>
        <w:adjustRightInd w:val="0"/>
        <w:snapToGrid w:val="0"/>
        <w:spacing w:line="288" w:lineRule="auto"/>
        <w:ind w:firstLine="1040"/>
        <w:rPr>
          <w:rFonts w:eastAsia="仿宋_GB2312"/>
          <w:sz w:val="36"/>
          <w:szCs w:val="36"/>
          <w:u w:val="single"/>
        </w:rPr>
      </w:pPr>
      <w:bookmarkStart w:id="0" w:name="_Hlk57884087"/>
    </w:p>
    <w:p>
      <w:pPr>
        <w:adjustRightInd w:val="0"/>
        <w:snapToGrid w:val="0"/>
        <w:spacing w:line="288" w:lineRule="auto"/>
        <w:ind w:firstLine="1040"/>
        <w:rPr>
          <w:rFonts w:eastAsia="仿宋_GB2312"/>
          <w:sz w:val="36"/>
          <w:szCs w:val="36"/>
        </w:rPr>
      </w:pPr>
    </w:p>
    <w:p>
      <w:pPr>
        <w:adjustRightInd w:val="0"/>
        <w:snapToGrid w:val="0"/>
        <w:spacing w:line="288" w:lineRule="auto"/>
        <w:ind w:firstLine="1040"/>
        <w:rPr>
          <w:rFonts w:eastAsia="仿宋_GB2312"/>
          <w:sz w:val="36"/>
          <w:szCs w:val="36"/>
        </w:rPr>
      </w:pPr>
    </w:p>
    <w:p>
      <w:pPr>
        <w:adjustRightInd w:val="0"/>
        <w:snapToGrid w:val="0"/>
        <w:spacing w:line="288" w:lineRule="auto"/>
        <w:rPr>
          <w:rFonts w:eastAsia="仿宋_GB2312"/>
          <w:sz w:val="36"/>
          <w:szCs w:val="36"/>
        </w:rPr>
      </w:pPr>
    </w:p>
    <w:bookmarkEnd w:id="0"/>
    <w:p>
      <w:pPr>
        <w:adjustRightInd w:val="0"/>
        <w:snapToGrid w:val="0"/>
        <w:spacing w:line="288" w:lineRule="auto"/>
        <w:jc w:val="center"/>
        <w:rPr>
          <w:rFonts w:eastAsia="楷体_GB2312"/>
          <w:sz w:val="36"/>
          <w:szCs w:val="36"/>
        </w:rPr>
      </w:pPr>
      <w:r>
        <w:rPr>
          <w:rFonts w:eastAsia="楷体_GB2312"/>
          <w:sz w:val="36"/>
          <w:szCs w:val="36"/>
        </w:rPr>
        <w:t>中华人民共和国生态环境部制</w:t>
      </w:r>
    </w:p>
    <w:p>
      <w:pPr>
        <w:pStyle w:val="32"/>
        <w:rPr>
          <w:color w:val="auto"/>
        </w:rPr>
      </w:pPr>
    </w:p>
    <w:p>
      <w:pPr>
        <w:adjustRightInd w:val="0"/>
        <w:snapToGrid w:val="0"/>
        <w:spacing w:line="288" w:lineRule="auto"/>
        <w:ind w:firstLine="1040"/>
        <w:rPr>
          <w:rFonts w:eastAsia="仿宋_GB2312"/>
          <w:sz w:val="36"/>
          <w:szCs w:val="36"/>
        </w:rPr>
      </w:pPr>
    </w:p>
    <w:p>
      <w:pPr>
        <w:adjustRightInd w:val="0"/>
        <w:snapToGrid w:val="0"/>
        <w:spacing w:line="288" w:lineRule="auto"/>
        <w:ind w:firstLine="1040"/>
        <w:rPr>
          <w:rFonts w:eastAsia="仿宋_GB2312"/>
          <w:sz w:val="36"/>
          <w:szCs w:val="36"/>
        </w:rPr>
      </w:pPr>
    </w:p>
    <w:p>
      <w:pPr>
        <w:adjustRightInd w:val="0"/>
        <w:snapToGrid w:val="0"/>
        <w:spacing w:line="288" w:lineRule="auto"/>
        <w:ind w:firstLine="1040"/>
        <w:rPr>
          <w:rFonts w:eastAsia="仿宋_GB2312"/>
          <w:sz w:val="36"/>
          <w:szCs w:val="36"/>
        </w:rPr>
      </w:pPr>
    </w:p>
    <w:p>
      <w:pPr>
        <w:adjustRightInd w:val="0"/>
        <w:snapToGrid w:val="0"/>
        <w:spacing w:line="288" w:lineRule="auto"/>
        <w:ind w:firstLine="1040"/>
        <w:rPr>
          <w:rFonts w:eastAsia="仿宋_GB2312"/>
          <w:sz w:val="36"/>
          <w:szCs w:val="36"/>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pPr>
        <w:pStyle w:val="17"/>
        <w:jc w:val="center"/>
        <w:outlineLvl w:val="0"/>
        <w:rPr>
          <w:rFonts w:ascii="Times New Roman" w:hAnsi="Times New Roman" w:eastAsia="黑体"/>
          <w:snapToGrid w:val="0"/>
          <w:sz w:val="30"/>
          <w:szCs w:val="30"/>
        </w:rPr>
      </w:pPr>
      <w:r>
        <w:rPr>
          <w:rFonts w:ascii="Times New Roman" w:hAnsi="Times New Roman" w:eastAsia="黑体"/>
          <w:snapToGrid w:val="0"/>
          <w:sz w:val="30"/>
          <w:szCs w:val="30"/>
        </w:rPr>
        <w:t>一、建设项目基本情况</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010"/>
        <w:gridCol w:w="1912"/>
        <w:gridCol w:w="97"/>
        <w:gridCol w:w="1894"/>
        <w:gridCol w:w="265"/>
        <w:gridCol w:w="26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建设项目名称</w:t>
            </w:r>
          </w:p>
        </w:tc>
        <w:tc>
          <w:tcPr>
            <w:tcW w:w="6860" w:type="dxa"/>
            <w:gridSpan w:val="5"/>
            <w:vAlign w:val="center"/>
          </w:tcPr>
          <w:p>
            <w:pPr>
              <w:adjustRightInd w:val="0"/>
              <w:snapToGrid w:val="0"/>
              <w:jc w:val="center"/>
              <w:rPr>
                <w:sz w:val="24"/>
              </w:rPr>
            </w:pPr>
            <w:r>
              <w:rPr>
                <w:rFonts w:hint="eastAsia"/>
                <w:sz w:val="24"/>
              </w:rPr>
              <w:t>山西省汇华万家科技有限公司年产1万吨饲料加工项目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项目代码</w:t>
            </w:r>
          </w:p>
        </w:tc>
        <w:tc>
          <w:tcPr>
            <w:tcW w:w="6860" w:type="dxa"/>
            <w:gridSpan w:val="5"/>
            <w:vAlign w:val="center"/>
          </w:tcPr>
          <w:p>
            <w:pPr>
              <w:adjustRightInd w:val="0"/>
              <w:snapToGrid w:val="0"/>
              <w:jc w:val="center"/>
              <w:rPr>
                <w:sz w:val="24"/>
              </w:rPr>
            </w:pPr>
            <w:r>
              <w:rPr>
                <w:rFonts w:hint="eastAsia"/>
                <w:sz w:val="24"/>
              </w:rPr>
              <w:t>2311-140859-89-01-710785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建设单位联系人</w:t>
            </w:r>
          </w:p>
        </w:tc>
        <w:tc>
          <w:tcPr>
            <w:tcW w:w="1912" w:type="dxa"/>
            <w:vAlign w:val="center"/>
          </w:tcPr>
          <w:p>
            <w:pPr>
              <w:adjustRightInd w:val="0"/>
              <w:snapToGrid w:val="0"/>
              <w:jc w:val="center"/>
              <w:rPr>
                <w:sz w:val="24"/>
              </w:rPr>
            </w:pPr>
            <w:r>
              <w:rPr>
                <w:rFonts w:hint="eastAsia"/>
                <w:sz w:val="24"/>
              </w:rPr>
              <w:t>王思涵</w:t>
            </w:r>
          </w:p>
        </w:tc>
        <w:tc>
          <w:tcPr>
            <w:tcW w:w="2256" w:type="dxa"/>
            <w:gridSpan w:val="3"/>
            <w:vAlign w:val="center"/>
          </w:tcPr>
          <w:p>
            <w:pPr>
              <w:adjustRightInd w:val="0"/>
              <w:snapToGrid w:val="0"/>
              <w:jc w:val="center"/>
              <w:rPr>
                <w:sz w:val="24"/>
              </w:rPr>
            </w:pPr>
            <w:r>
              <w:rPr>
                <w:sz w:val="24"/>
              </w:rPr>
              <w:t>联系方式</w:t>
            </w:r>
          </w:p>
        </w:tc>
        <w:tc>
          <w:tcPr>
            <w:tcW w:w="2692" w:type="dxa"/>
            <w:vAlign w:val="center"/>
          </w:tcPr>
          <w:p>
            <w:pPr>
              <w:adjustRightInd w:val="0"/>
              <w:snapToGrid w:val="0"/>
              <w:jc w:val="center"/>
              <w:rPr>
                <w:sz w:val="24"/>
              </w:rPr>
            </w:pPr>
            <w:r>
              <w:rPr>
                <w:rFonts w:hint="eastAsia"/>
                <w:sz w:val="24"/>
              </w:rPr>
              <w:t>18644071000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建设地点</w:t>
            </w:r>
          </w:p>
        </w:tc>
        <w:tc>
          <w:tcPr>
            <w:tcW w:w="6860" w:type="dxa"/>
            <w:gridSpan w:val="5"/>
            <w:vAlign w:val="center"/>
          </w:tcPr>
          <w:p>
            <w:pPr>
              <w:adjustRightInd w:val="0"/>
              <w:snapToGrid w:val="0"/>
              <w:jc w:val="center"/>
              <w:rPr>
                <w:sz w:val="24"/>
              </w:rPr>
            </w:pPr>
            <w:r>
              <w:rPr>
                <w:rFonts w:hint="eastAsia"/>
                <w:sz w:val="24"/>
              </w:rPr>
              <w:t>山西省运城市万荣县解店镇西贾村西700m处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地理坐标</w:t>
            </w:r>
          </w:p>
        </w:tc>
        <w:tc>
          <w:tcPr>
            <w:tcW w:w="6860" w:type="dxa"/>
            <w:gridSpan w:val="5"/>
            <w:vAlign w:val="center"/>
          </w:tcPr>
          <w:p>
            <w:pPr>
              <w:adjustRightInd w:val="0"/>
              <w:snapToGrid w:val="0"/>
              <w:jc w:val="center"/>
              <w:rPr>
                <w:sz w:val="24"/>
              </w:rPr>
            </w:pPr>
            <w:r>
              <w:rPr>
                <w:sz w:val="24"/>
              </w:rPr>
              <w:t>（</w:t>
            </w:r>
            <w:r>
              <w:rPr>
                <w:rFonts w:hint="eastAsia"/>
                <w:sz w:val="24"/>
              </w:rPr>
              <w:t>110</w:t>
            </w:r>
            <w:r>
              <w:rPr>
                <w:sz w:val="24"/>
              </w:rPr>
              <w:t>度</w:t>
            </w:r>
            <w:r>
              <w:rPr>
                <w:rFonts w:hint="eastAsia"/>
                <w:sz w:val="24"/>
              </w:rPr>
              <w:t>48</w:t>
            </w:r>
            <w:r>
              <w:rPr>
                <w:sz w:val="24"/>
              </w:rPr>
              <w:t>分</w:t>
            </w:r>
            <w:r>
              <w:rPr>
                <w:rFonts w:hint="eastAsia"/>
                <w:sz w:val="24"/>
              </w:rPr>
              <w:t>37.4645</w:t>
            </w:r>
            <w:r>
              <w:rPr>
                <w:sz w:val="24"/>
              </w:rPr>
              <w:t>秒，35度</w:t>
            </w:r>
            <w:r>
              <w:rPr>
                <w:rFonts w:hint="eastAsia"/>
                <w:sz w:val="24"/>
              </w:rPr>
              <w:t>25</w:t>
            </w:r>
            <w:r>
              <w:rPr>
                <w:sz w:val="24"/>
              </w:rPr>
              <w:t>分</w:t>
            </w:r>
            <w:r>
              <w:rPr>
                <w:rFonts w:hint="eastAsia"/>
                <w:sz w:val="24"/>
              </w:rPr>
              <w:t>42.2868</w:t>
            </w:r>
            <w:r>
              <w:rPr>
                <w:sz w:val="24"/>
              </w:rPr>
              <w:t>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国民经济</w:t>
            </w:r>
          </w:p>
          <w:p>
            <w:pPr>
              <w:adjustRightInd w:val="0"/>
              <w:snapToGrid w:val="0"/>
              <w:jc w:val="center"/>
              <w:rPr>
                <w:sz w:val="24"/>
              </w:rPr>
            </w:pPr>
            <w:r>
              <w:rPr>
                <w:sz w:val="24"/>
              </w:rPr>
              <w:t>行业类别</w:t>
            </w:r>
          </w:p>
        </w:tc>
        <w:tc>
          <w:tcPr>
            <w:tcW w:w="2009" w:type="dxa"/>
            <w:gridSpan w:val="2"/>
            <w:vAlign w:val="center"/>
          </w:tcPr>
          <w:p>
            <w:pPr>
              <w:adjustRightInd w:val="0"/>
              <w:snapToGrid w:val="0"/>
              <w:jc w:val="center"/>
              <w:rPr>
                <w:sz w:val="24"/>
              </w:rPr>
            </w:pPr>
            <w:r>
              <w:rPr>
                <w:rFonts w:hint="eastAsia"/>
                <w:sz w:val="24"/>
              </w:rPr>
              <w:t>C1329其他饲料加工</w:t>
            </w:r>
          </w:p>
        </w:tc>
        <w:tc>
          <w:tcPr>
            <w:tcW w:w="1894" w:type="dxa"/>
            <w:vAlign w:val="center"/>
          </w:tcPr>
          <w:p>
            <w:pPr>
              <w:adjustRightInd w:val="0"/>
              <w:snapToGrid w:val="0"/>
              <w:jc w:val="center"/>
              <w:rPr>
                <w:sz w:val="24"/>
              </w:rPr>
            </w:pPr>
            <w:r>
              <w:rPr>
                <w:sz w:val="24"/>
              </w:rPr>
              <w:t>建设项目</w:t>
            </w:r>
          </w:p>
          <w:p>
            <w:pPr>
              <w:adjustRightInd w:val="0"/>
              <w:snapToGrid w:val="0"/>
              <w:jc w:val="center"/>
              <w:rPr>
                <w:sz w:val="24"/>
              </w:rPr>
            </w:pPr>
            <w:r>
              <w:rPr>
                <w:sz w:val="24"/>
              </w:rPr>
              <w:t>行业类别</w:t>
            </w:r>
          </w:p>
        </w:tc>
        <w:tc>
          <w:tcPr>
            <w:tcW w:w="2957" w:type="dxa"/>
            <w:gridSpan w:val="2"/>
            <w:vAlign w:val="center"/>
          </w:tcPr>
          <w:p>
            <w:pPr>
              <w:adjustRightInd w:val="0"/>
              <w:snapToGrid w:val="0"/>
              <w:jc w:val="center"/>
              <w:rPr>
                <w:sz w:val="24"/>
              </w:rPr>
            </w:pPr>
            <w:r>
              <w:rPr>
                <w:rFonts w:hint="eastAsia"/>
                <w:sz w:val="24"/>
              </w:rPr>
              <w:t>十、农副食品加工业15.饲料加工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建设性质</w:t>
            </w:r>
          </w:p>
        </w:tc>
        <w:tc>
          <w:tcPr>
            <w:tcW w:w="2009" w:type="dxa"/>
            <w:gridSpan w:val="2"/>
            <w:vAlign w:val="center"/>
          </w:tcPr>
          <w:p>
            <w:pPr>
              <w:adjustRightInd w:val="0"/>
              <w:snapToGrid w:val="0"/>
              <w:jc w:val="left"/>
              <w:rPr>
                <w:sz w:val="24"/>
              </w:rPr>
            </w:pPr>
            <w:r>
              <w:rPr>
                <w:rFonts w:hint="eastAsia"/>
                <w:sz w:val="24"/>
              </w:rPr>
              <w:t>☑</w:t>
            </w:r>
            <w:r>
              <w:rPr>
                <w:sz w:val="24"/>
              </w:rPr>
              <w:t>新建（迁建）</w:t>
            </w:r>
          </w:p>
          <w:p>
            <w:pPr>
              <w:adjustRightInd w:val="0"/>
              <w:snapToGrid w:val="0"/>
              <w:jc w:val="left"/>
              <w:rPr>
                <w:sz w:val="24"/>
              </w:rPr>
            </w:pPr>
            <w:r>
              <w:rPr>
                <w:rFonts w:hint="eastAsia"/>
                <w:sz w:val="24"/>
              </w:rPr>
              <w:t>□</w:t>
            </w:r>
            <w:r>
              <w:rPr>
                <w:sz w:val="24"/>
              </w:rPr>
              <w:t>改建</w:t>
            </w:r>
          </w:p>
          <w:p>
            <w:pPr>
              <w:adjustRightInd w:val="0"/>
              <w:snapToGrid w:val="0"/>
              <w:jc w:val="left"/>
              <w:rPr>
                <w:sz w:val="24"/>
              </w:rPr>
            </w:pPr>
            <w:r>
              <w:rPr>
                <w:rFonts w:hint="eastAsia"/>
                <w:sz w:val="24"/>
              </w:rPr>
              <w:t>□</w:t>
            </w:r>
            <w:r>
              <w:rPr>
                <w:sz w:val="24"/>
              </w:rPr>
              <w:t>扩建</w:t>
            </w:r>
          </w:p>
          <w:p>
            <w:pPr>
              <w:adjustRightInd w:val="0"/>
              <w:snapToGrid w:val="0"/>
              <w:jc w:val="left"/>
              <w:rPr>
                <w:sz w:val="24"/>
              </w:rPr>
            </w:pPr>
            <w:r>
              <w:rPr>
                <w:rFonts w:hint="eastAsia"/>
                <w:sz w:val="24"/>
              </w:rPr>
              <w:t>□</w:t>
            </w:r>
            <w:r>
              <w:rPr>
                <w:sz w:val="24"/>
              </w:rPr>
              <w:t>技术改造</w:t>
            </w:r>
          </w:p>
        </w:tc>
        <w:tc>
          <w:tcPr>
            <w:tcW w:w="1894" w:type="dxa"/>
            <w:vAlign w:val="center"/>
          </w:tcPr>
          <w:p>
            <w:pPr>
              <w:adjustRightInd w:val="0"/>
              <w:snapToGrid w:val="0"/>
              <w:jc w:val="center"/>
              <w:rPr>
                <w:sz w:val="24"/>
              </w:rPr>
            </w:pPr>
            <w:r>
              <w:rPr>
                <w:sz w:val="24"/>
              </w:rPr>
              <w:t>建设项目</w:t>
            </w:r>
          </w:p>
          <w:p>
            <w:pPr>
              <w:adjustRightInd w:val="0"/>
              <w:snapToGrid w:val="0"/>
              <w:jc w:val="center"/>
              <w:rPr>
                <w:sz w:val="24"/>
              </w:rPr>
            </w:pPr>
            <w:r>
              <w:rPr>
                <w:sz w:val="24"/>
              </w:rPr>
              <w:t>申报情形</w:t>
            </w:r>
          </w:p>
        </w:tc>
        <w:tc>
          <w:tcPr>
            <w:tcW w:w="2957" w:type="dxa"/>
            <w:gridSpan w:val="2"/>
            <w:vAlign w:val="center"/>
          </w:tcPr>
          <w:p>
            <w:pPr>
              <w:adjustRightInd w:val="0"/>
              <w:snapToGrid w:val="0"/>
              <w:jc w:val="left"/>
              <w:rPr>
                <w:sz w:val="24"/>
              </w:rPr>
            </w:pPr>
            <w:r>
              <w:rPr>
                <w:rFonts w:hint="eastAsia"/>
                <w:sz w:val="24"/>
              </w:rPr>
              <w:t>☑</w:t>
            </w:r>
            <w:r>
              <w:rPr>
                <w:sz w:val="24"/>
              </w:rPr>
              <w:t xml:space="preserve">首次申报项目             </w:t>
            </w:r>
          </w:p>
          <w:p>
            <w:pPr>
              <w:adjustRightInd w:val="0"/>
              <w:snapToGrid w:val="0"/>
              <w:jc w:val="left"/>
              <w:rPr>
                <w:sz w:val="24"/>
              </w:rPr>
            </w:pPr>
            <w:r>
              <w:rPr>
                <w:rFonts w:hint="eastAsia"/>
                <w:sz w:val="24"/>
              </w:rPr>
              <w:t>□</w:t>
            </w:r>
            <w:r>
              <w:rPr>
                <w:sz w:val="24"/>
              </w:rPr>
              <w:t>不予批准后再次申报项目</w:t>
            </w:r>
          </w:p>
          <w:p>
            <w:pPr>
              <w:adjustRightInd w:val="0"/>
              <w:snapToGrid w:val="0"/>
              <w:jc w:val="left"/>
              <w:rPr>
                <w:sz w:val="24"/>
              </w:rPr>
            </w:pPr>
            <w:r>
              <w:rPr>
                <w:rFonts w:hint="eastAsia"/>
                <w:sz w:val="24"/>
              </w:rPr>
              <w:t>□</w:t>
            </w:r>
            <w:r>
              <w:rPr>
                <w:sz w:val="24"/>
              </w:rPr>
              <w:t xml:space="preserve">超五年重新审核项目     </w:t>
            </w:r>
          </w:p>
          <w:p>
            <w:pPr>
              <w:adjustRightInd w:val="0"/>
              <w:snapToGrid w:val="0"/>
              <w:jc w:val="left"/>
              <w:rPr>
                <w:sz w:val="24"/>
              </w:rPr>
            </w:pPr>
            <w:r>
              <w:rPr>
                <w:rFonts w:hint="eastAsia"/>
                <w:sz w:val="24"/>
              </w:rPr>
              <w:t>□</w:t>
            </w:r>
            <w:r>
              <w:rPr>
                <w:sz w:val="24"/>
              </w:rPr>
              <w:t>重大变动重新报批项目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项目审批（核准/</w:t>
            </w:r>
          </w:p>
          <w:p>
            <w:pPr>
              <w:adjustRightInd w:val="0"/>
              <w:snapToGrid w:val="0"/>
              <w:jc w:val="center"/>
              <w:rPr>
                <w:sz w:val="24"/>
              </w:rPr>
            </w:pPr>
            <w:r>
              <w:rPr>
                <w:sz w:val="24"/>
              </w:rPr>
              <w:t>备案）部门（选填）</w:t>
            </w:r>
          </w:p>
        </w:tc>
        <w:tc>
          <w:tcPr>
            <w:tcW w:w="2009" w:type="dxa"/>
            <w:gridSpan w:val="2"/>
            <w:vAlign w:val="center"/>
          </w:tcPr>
          <w:p>
            <w:pPr>
              <w:adjustRightInd w:val="0"/>
              <w:snapToGrid w:val="0"/>
              <w:jc w:val="center"/>
              <w:rPr>
                <w:sz w:val="24"/>
              </w:rPr>
            </w:pPr>
            <w:r>
              <w:rPr>
                <w:rFonts w:hint="eastAsia"/>
                <w:sz w:val="24"/>
              </w:rPr>
              <w:t>万荣现代农业产业示范区管理委员会</w:t>
            </w:r>
          </w:p>
        </w:tc>
        <w:tc>
          <w:tcPr>
            <w:tcW w:w="1894" w:type="dxa"/>
            <w:vAlign w:val="center"/>
          </w:tcPr>
          <w:p>
            <w:pPr>
              <w:adjustRightInd w:val="0"/>
              <w:snapToGrid w:val="0"/>
              <w:jc w:val="center"/>
              <w:rPr>
                <w:sz w:val="24"/>
              </w:rPr>
            </w:pPr>
            <w:r>
              <w:rPr>
                <w:sz w:val="24"/>
              </w:rPr>
              <w:t>项目审批（核准/</w:t>
            </w:r>
          </w:p>
          <w:p>
            <w:pPr>
              <w:adjustRightInd w:val="0"/>
              <w:snapToGrid w:val="0"/>
              <w:jc w:val="center"/>
              <w:rPr>
                <w:sz w:val="24"/>
              </w:rPr>
            </w:pPr>
            <w:r>
              <w:rPr>
                <w:sz w:val="24"/>
              </w:rPr>
              <w:t>备案）文号（选填）</w:t>
            </w:r>
          </w:p>
        </w:tc>
        <w:tc>
          <w:tcPr>
            <w:tcW w:w="2957" w:type="dxa"/>
            <w:gridSpan w:val="2"/>
            <w:vAlign w:val="center"/>
          </w:tcPr>
          <w:p>
            <w:pPr>
              <w:adjustRightInd w:val="0"/>
              <w:snapToGrid w:val="0"/>
              <w:jc w:val="center"/>
              <w:rPr>
                <w:sz w:val="24"/>
              </w:rPr>
            </w:pPr>
            <w:bookmarkStart w:id="4" w:name="_GoBack"/>
            <w:bookmarkEnd w:id="4"/>
            <w:r>
              <w:rPr>
                <w:sz w:val="24"/>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总投资（万元）</w:t>
            </w:r>
          </w:p>
        </w:tc>
        <w:tc>
          <w:tcPr>
            <w:tcW w:w="2009" w:type="dxa"/>
            <w:gridSpan w:val="2"/>
            <w:vAlign w:val="center"/>
          </w:tcPr>
          <w:p>
            <w:pPr>
              <w:adjustRightInd w:val="0"/>
              <w:snapToGrid w:val="0"/>
              <w:jc w:val="center"/>
              <w:rPr>
                <w:sz w:val="24"/>
              </w:rPr>
            </w:pPr>
            <w:r>
              <w:rPr>
                <w:rFonts w:hint="eastAsia"/>
                <w:sz w:val="24"/>
              </w:rPr>
              <w:t>500</w:t>
            </w:r>
          </w:p>
        </w:tc>
        <w:tc>
          <w:tcPr>
            <w:tcW w:w="1894" w:type="dxa"/>
            <w:tcMar>
              <w:top w:w="16" w:type="dxa"/>
              <w:left w:w="16" w:type="dxa"/>
              <w:right w:w="16" w:type="dxa"/>
            </w:tcMar>
            <w:vAlign w:val="center"/>
          </w:tcPr>
          <w:p>
            <w:pPr>
              <w:adjustRightInd w:val="0"/>
              <w:snapToGrid w:val="0"/>
              <w:jc w:val="center"/>
              <w:rPr>
                <w:sz w:val="24"/>
              </w:rPr>
            </w:pPr>
            <w:r>
              <w:rPr>
                <w:sz w:val="24"/>
              </w:rPr>
              <w:t>环保投资（万元）</w:t>
            </w:r>
          </w:p>
        </w:tc>
        <w:tc>
          <w:tcPr>
            <w:tcW w:w="2957" w:type="dxa"/>
            <w:gridSpan w:val="2"/>
            <w:vAlign w:val="center"/>
          </w:tcPr>
          <w:p>
            <w:pPr>
              <w:adjustRightInd w:val="0"/>
              <w:snapToGrid w:val="0"/>
              <w:jc w:val="center"/>
              <w:rPr>
                <w:sz w:val="24"/>
              </w:rPr>
            </w:pPr>
            <w:r>
              <w:rPr>
                <w:rFonts w:hint="eastAsia"/>
                <w:sz w:val="24"/>
              </w:rPr>
              <w:t>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环保投资占比（%）</w:t>
            </w:r>
          </w:p>
        </w:tc>
        <w:tc>
          <w:tcPr>
            <w:tcW w:w="2009" w:type="dxa"/>
            <w:gridSpan w:val="2"/>
            <w:vAlign w:val="center"/>
          </w:tcPr>
          <w:p>
            <w:pPr>
              <w:adjustRightInd w:val="0"/>
              <w:snapToGrid w:val="0"/>
              <w:jc w:val="center"/>
              <w:rPr>
                <w:sz w:val="24"/>
              </w:rPr>
            </w:pPr>
            <w:r>
              <w:rPr>
                <w:rFonts w:hint="eastAsia"/>
                <w:sz w:val="24"/>
              </w:rPr>
              <w:t>0.8</w:t>
            </w:r>
          </w:p>
        </w:tc>
        <w:tc>
          <w:tcPr>
            <w:tcW w:w="1894" w:type="dxa"/>
            <w:tcMar>
              <w:top w:w="16" w:type="dxa"/>
              <w:left w:w="16" w:type="dxa"/>
              <w:right w:w="16" w:type="dxa"/>
            </w:tcMar>
            <w:vAlign w:val="center"/>
          </w:tcPr>
          <w:p>
            <w:pPr>
              <w:adjustRightInd w:val="0"/>
              <w:snapToGrid w:val="0"/>
              <w:jc w:val="center"/>
              <w:rPr>
                <w:sz w:val="24"/>
              </w:rPr>
            </w:pPr>
            <w:r>
              <w:rPr>
                <w:sz w:val="24"/>
              </w:rPr>
              <w:t>施工工期</w:t>
            </w:r>
          </w:p>
        </w:tc>
        <w:tc>
          <w:tcPr>
            <w:tcW w:w="2957" w:type="dxa"/>
            <w:gridSpan w:val="2"/>
            <w:vAlign w:val="center"/>
          </w:tcPr>
          <w:p>
            <w:pPr>
              <w:adjustRightInd w:val="0"/>
              <w:snapToGrid w:val="0"/>
              <w:jc w:val="center"/>
              <w:rPr>
                <w:sz w:val="24"/>
              </w:rPr>
            </w:pPr>
            <w:r>
              <w:rPr>
                <w:rFonts w:hint="eastAsia"/>
                <w:sz w:val="24"/>
              </w:rPr>
              <w:t>6个月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0" w:type="dxa"/>
            <w:tcMar>
              <w:top w:w="16" w:type="dxa"/>
              <w:left w:w="16" w:type="dxa"/>
              <w:right w:w="16" w:type="dxa"/>
            </w:tcMar>
            <w:vAlign w:val="center"/>
          </w:tcPr>
          <w:p>
            <w:pPr>
              <w:adjustRightInd w:val="0"/>
              <w:snapToGrid w:val="0"/>
              <w:jc w:val="center"/>
              <w:rPr>
                <w:sz w:val="24"/>
              </w:rPr>
            </w:pPr>
            <w:r>
              <w:rPr>
                <w:sz w:val="24"/>
              </w:rPr>
              <w:t>是否开工建设</w:t>
            </w:r>
          </w:p>
        </w:tc>
        <w:tc>
          <w:tcPr>
            <w:tcW w:w="2009" w:type="dxa"/>
            <w:gridSpan w:val="2"/>
            <w:vAlign w:val="center"/>
          </w:tcPr>
          <w:p>
            <w:pPr>
              <w:adjustRightInd w:val="0"/>
              <w:snapToGrid w:val="0"/>
              <w:rPr>
                <w:sz w:val="24"/>
              </w:rPr>
            </w:pPr>
            <w:r>
              <w:rPr>
                <w:rFonts w:hint="eastAsia"/>
                <w:sz w:val="24"/>
              </w:rPr>
              <w:t>☑</w:t>
            </w:r>
            <w:r>
              <w:rPr>
                <w:sz w:val="24"/>
              </w:rPr>
              <w:t>否</w:t>
            </w:r>
          </w:p>
          <w:p>
            <w:pPr>
              <w:adjustRightInd w:val="0"/>
              <w:snapToGrid w:val="0"/>
              <w:rPr>
                <w:sz w:val="24"/>
              </w:rPr>
            </w:pPr>
            <w:r>
              <w:rPr>
                <w:rFonts w:hint="eastAsia"/>
                <w:sz w:val="24"/>
              </w:rPr>
              <w:t>□</w:t>
            </w:r>
            <w:r>
              <w:rPr>
                <w:sz w:val="24"/>
              </w:rPr>
              <w:t>是：</w:t>
            </w:r>
            <w:r>
              <w:rPr>
                <w:sz w:val="24"/>
                <w:u w:val="single"/>
              </w:rPr>
              <w:t xml:space="preserve">             </w:t>
            </w:r>
          </w:p>
        </w:tc>
        <w:tc>
          <w:tcPr>
            <w:tcW w:w="1894" w:type="dxa"/>
            <w:tcMar>
              <w:top w:w="16" w:type="dxa"/>
              <w:left w:w="16" w:type="dxa"/>
              <w:right w:w="16" w:type="dxa"/>
            </w:tcMar>
            <w:vAlign w:val="center"/>
          </w:tcPr>
          <w:p>
            <w:pPr>
              <w:adjustRightInd w:val="0"/>
              <w:snapToGrid w:val="0"/>
              <w:jc w:val="center"/>
              <w:rPr>
                <w:sz w:val="24"/>
              </w:rPr>
            </w:pPr>
            <w:r>
              <w:rPr>
                <w:sz w:val="24"/>
              </w:rPr>
              <w:t>用地（用海）</w:t>
            </w:r>
          </w:p>
          <w:p>
            <w:pPr>
              <w:adjustRightInd w:val="0"/>
              <w:snapToGrid w:val="0"/>
              <w:jc w:val="center"/>
              <w:rPr>
                <w:sz w:val="24"/>
              </w:rPr>
            </w:pPr>
            <w:r>
              <w:rPr>
                <w:sz w:val="24"/>
              </w:rPr>
              <w:t>面积（㎡）</w:t>
            </w:r>
          </w:p>
        </w:tc>
        <w:tc>
          <w:tcPr>
            <w:tcW w:w="2957" w:type="dxa"/>
            <w:gridSpan w:val="2"/>
            <w:vAlign w:val="center"/>
          </w:tcPr>
          <w:p>
            <w:pPr>
              <w:adjustRightInd w:val="0"/>
              <w:snapToGrid w:val="0"/>
              <w:jc w:val="center"/>
              <w:rPr>
                <w:sz w:val="24"/>
              </w:rPr>
            </w:pPr>
            <w:r>
              <w:rPr>
                <w:rFonts w:hint="eastAsia"/>
                <w:sz w:val="24"/>
              </w:rPr>
              <w:t>2640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10" w:type="dxa"/>
            <w:vAlign w:val="center"/>
          </w:tcPr>
          <w:p>
            <w:pPr>
              <w:autoSpaceDE w:val="0"/>
              <w:autoSpaceDN w:val="0"/>
              <w:adjustRightInd w:val="0"/>
              <w:snapToGrid w:val="0"/>
              <w:jc w:val="center"/>
              <w:rPr>
                <w:kern w:val="0"/>
                <w:sz w:val="24"/>
              </w:rPr>
            </w:pPr>
            <w:r>
              <w:rPr>
                <w:kern w:val="0"/>
                <w:sz w:val="24"/>
              </w:rPr>
              <w:t>专项评价设置情况</w:t>
            </w:r>
          </w:p>
        </w:tc>
        <w:tc>
          <w:tcPr>
            <w:tcW w:w="6860" w:type="dxa"/>
            <w:gridSpan w:val="5"/>
            <w:vAlign w:val="center"/>
          </w:tcPr>
          <w:p>
            <w:pPr>
              <w:autoSpaceDE w:val="0"/>
              <w:autoSpaceDN w:val="0"/>
              <w:adjustRightInd w:val="0"/>
              <w:snapToGrid w:val="0"/>
              <w:jc w:val="center"/>
              <w:rPr>
                <w:kern w:val="0"/>
                <w:sz w:val="24"/>
              </w:rPr>
            </w:pPr>
            <w:r>
              <w:rPr>
                <w:rFonts w:hint="eastAsia"/>
                <w:kern w:val="0"/>
                <w:sz w:val="24"/>
                <w:u w:color="000000"/>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2010" w:type="dxa"/>
            <w:vAlign w:val="center"/>
          </w:tcPr>
          <w:p>
            <w:pPr>
              <w:autoSpaceDE w:val="0"/>
              <w:autoSpaceDN w:val="0"/>
              <w:adjustRightInd w:val="0"/>
              <w:snapToGrid w:val="0"/>
              <w:jc w:val="center"/>
              <w:rPr>
                <w:kern w:val="0"/>
                <w:sz w:val="24"/>
              </w:rPr>
            </w:pPr>
            <w:r>
              <w:rPr>
                <w:sz w:val="24"/>
              </w:rPr>
              <w:t>规划情况</w:t>
            </w:r>
          </w:p>
        </w:tc>
        <w:tc>
          <w:tcPr>
            <w:tcW w:w="6860" w:type="dxa"/>
            <w:gridSpan w:val="5"/>
            <w:vAlign w:val="center"/>
          </w:tcPr>
          <w:p>
            <w:pPr>
              <w:pStyle w:val="53"/>
              <w:adjustRightInd/>
              <w:snapToGrid/>
              <w:spacing w:beforeLines="0" w:afterLines="0" w:line="480" w:lineRule="exact"/>
              <w:rPr>
                <w:rFonts w:ascii="Times New Roman"/>
                <w:sz w:val="24"/>
                <w:szCs w:val="24"/>
              </w:rPr>
            </w:pPr>
            <w:r>
              <w:rPr>
                <w:rFonts w:ascii="Times New Roman"/>
                <w:sz w:val="24"/>
                <w:szCs w:val="24"/>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010" w:type="dxa"/>
            <w:vAlign w:val="center"/>
          </w:tcPr>
          <w:p>
            <w:pPr>
              <w:adjustRightInd w:val="0"/>
              <w:snapToGrid w:val="0"/>
              <w:jc w:val="center"/>
              <w:rPr>
                <w:sz w:val="24"/>
              </w:rPr>
            </w:pPr>
            <w:r>
              <w:rPr>
                <w:sz w:val="24"/>
              </w:rPr>
              <w:t>规划环境影响</w:t>
            </w:r>
          </w:p>
          <w:p>
            <w:pPr>
              <w:adjustRightInd w:val="0"/>
              <w:snapToGrid w:val="0"/>
              <w:jc w:val="center"/>
              <w:rPr>
                <w:kern w:val="0"/>
                <w:sz w:val="24"/>
              </w:rPr>
            </w:pPr>
            <w:r>
              <w:rPr>
                <w:sz w:val="24"/>
              </w:rPr>
              <w:t>评价情况</w:t>
            </w:r>
          </w:p>
        </w:tc>
        <w:tc>
          <w:tcPr>
            <w:tcW w:w="6860" w:type="dxa"/>
            <w:gridSpan w:val="5"/>
            <w:vAlign w:val="center"/>
          </w:tcPr>
          <w:p>
            <w:pPr>
              <w:pStyle w:val="53"/>
              <w:adjustRightInd/>
              <w:snapToGrid/>
              <w:spacing w:beforeLines="0" w:afterLines="0" w:line="480" w:lineRule="exact"/>
              <w:rPr>
                <w:rFonts w:ascii="Times New Roman"/>
                <w:sz w:val="24"/>
                <w:szCs w:val="24"/>
              </w:rPr>
            </w:pPr>
            <w:r>
              <w:rPr>
                <w:rFonts w:ascii="Times New Roman"/>
                <w:sz w:val="24"/>
                <w:szCs w:val="24"/>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2010" w:type="dxa"/>
            <w:vAlign w:val="center"/>
          </w:tcPr>
          <w:p>
            <w:pPr>
              <w:autoSpaceDE w:val="0"/>
              <w:autoSpaceDN w:val="0"/>
              <w:adjustRightInd w:val="0"/>
              <w:snapToGrid w:val="0"/>
              <w:jc w:val="center"/>
              <w:rPr>
                <w:kern w:val="0"/>
                <w:sz w:val="24"/>
              </w:rPr>
            </w:pPr>
            <w:r>
              <w:rPr>
                <w:kern w:val="0"/>
                <w:sz w:val="24"/>
              </w:rPr>
              <w:t>规划及规划环境影响评价符合性分析</w:t>
            </w:r>
          </w:p>
        </w:tc>
        <w:tc>
          <w:tcPr>
            <w:tcW w:w="6860" w:type="dxa"/>
            <w:gridSpan w:val="5"/>
            <w:vAlign w:val="center"/>
          </w:tcPr>
          <w:p>
            <w:pPr>
              <w:pStyle w:val="53"/>
              <w:adjustRightInd/>
              <w:snapToGrid/>
              <w:spacing w:beforeLines="0" w:afterLines="0" w:line="480" w:lineRule="exact"/>
              <w:rPr>
                <w:rFonts w:ascii="Times New Roman"/>
                <w:b/>
                <w:bCs/>
                <w:sz w:val="24"/>
                <w:szCs w:val="24"/>
              </w:rPr>
            </w:pPr>
            <w:r>
              <w:rPr>
                <w:rFonts w:hint="eastAsia" w:ascii="Times New Roman"/>
                <w:sz w:val="24"/>
                <w:szCs w:val="24"/>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010" w:type="dxa"/>
            <w:vAlign w:val="center"/>
          </w:tcPr>
          <w:p>
            <w:pPr>
              <w:autoSpaceDE w:val="0"/>
              <w:autoSpaceDN w:val="0"/>
              <w:adjustRightInd w:val="0"/>
              <w:snapToGrid w:val="0"/>
              <w:jc w:val="center"/>
              <w:rPr>
                <w:kern w:val="0"/>
                <w:sz w:val="24"/>
              </w:rPr>
            </w:pPr>
            <w:r>
              <w:rPr>
                <w:kern w:val="0"/>
                <w:sz w:val="24"/>
              </w:rPr>
              <w:t>其他符合性分析</w:t>
            </w:r>
          </w:p>
        </w:tc>
        <w:tc>
          <w:tcPr>
            <w:tcW w:w="6860" w:type="dxa"/>
            <w:gridSpan w:val="5"/>
            <w:vAlign w:val="center"/>
          </w:tcPr>
          <w:p>
            <w:pPr>
              <w:autoSpaceDE w:val="0"/>
              <w:autoSpaceDN w:val="0"/>
              <w:spacing w:line="360" w:lineRule="auto"/>
              <w:jc w:val="left"/>
              <w:rPr>
                <w:rFonts w:eastAsia="黑体"/>
                <w:sz w:val="24"/>
              </w:rPr>
            </w:pPr>
            <w:r>
              <w:rPr>
                <w:rFonts w:eastAsia="黑体"/>
                <w:sz w:val="24"/>
              </w:rPr>
              <w:t>1、</w:t>
            </w:r>
            <w:r>
              <w:rPr>
                <w:rFonts w:hint="eastAsia" w:eastAsia="黑体"/>
                <w:sz w:val="24"/>
              </w:rPr>
              <w:t>运城市万荣现代农业产业示范概况</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万荣现代农业产业示范区于2019年7月31日经山西省人民政府（晋政函〔2019〕80号）同意批准设立，纳入省级开发区管理。总规划面积189.29平方公里，核心区面积2.79平方公里。主导发展产业为以苹果为主的农产品加工和乡村旅游产业。2020年全区新建产业项目当年完成投资3.44亿元；固定资产投资完成6.08亿元，增速37.79%；农林牧渔业增加值增速4.07%；农产品加工业产值完成22.43亿元，农业总产值完成13.48亿元，农产品加工业与农业总产值比达到1.66；绿色有机农产品覆盖率达到61.4%。贯彻落实省委“打造开发区建设升级版，决胜高质量发展新战场”新定位新要求，确定了打造全国特优农业发展示范区、全国营养健康食品加工集聚区、全国农文旅融合发展引领区、全国农业绿色发展先行区、现代农业科技研发应用基地、新型农民创新创业孵化基地“四区两基地”战略目标</w:t>
            </w:r>
            <w:r>
              <w:rPr>
                <w:rFonts w:ascii="Times New Roman"/>
                <w:sz w:val="24"/>
                <w:szCs w:val="24"/>
              </w:rPr>
              <w:t>。</w:t>
            </w:r>
          </w:p>
          <w:p>
            <w:pPr>
              <w:pStyle w:val="53"/>
              <w:adjustRightInd/>
              <w:snapToGrid/>
              <w:spacing w:beforeLines="0" w:afterLines="0" w:line="360" w:lineRule="auto"/>
              <w:ind w:firstLine="480" w:firstLineChars="200"/>
              <w:jc w:val="both"/>
              <w:rPr>
                <w:rFonts w:hAnsi="宋体"/>
                <w:sz w:val="24"/>
                <w:szCs w:val="24"/>
              </w:rPr>
            </w:pPr>
            <w:r>
              <w:rPr>
                <w:rFonts w:hint="eastAsia" w:ascii="Times New Roman"/>
                <w:sz w:val="24"/>
                <w:szCs w:val="24"/>
              </w:rPr>
              <w:t>本项目为饲料生产项目建设，符合万荣现代农业产业示范区的发展要求。</w:t>
            </w:r>
          </w:p>
          <w:p>
            <w:pPr>
              <w:autoSpaceDE w:val="0"/>
              <w:autoSpaceDN w:val="0"/>
              <w:spacing w:line="360" w:lineRule="auto"/>
              <w:jc w:val="left"/>
              <w:rPr>
                <w:rFonts w:eastAsia="黑体"/>
                <w:sz w:val="24"/>
              </w:rPr>
            </w:pPr>
            <w:r>
              <w:rPr>
                <w:rFonts w:hint="eastAsia" w:eastAsia="黑体"/>
                <w:sz w:val="24"/>
              </w:rPr>
              <w:t>2</w:t>
            </w:r>
            <w:r>
              <w:rPr>
                <w:rFonts w:eastAsia="黑体"/>
                <w:sz w:val="24"/>
              </w:rPr>
              <w:t>、产业政策符合性分析</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根据</w:t>
            </w:r>
            <w:r>
              <w:rPr>
                <w:rFonts w:ascii="Times New Roman"/>
                <w:sz w:val="24"/>
                <w:szCs w:val="24"/>
              </w:rPr>
              <w:t>《产业结构调整指导目录（20</w:t>
            </w:r>
            <w:r>
              <w:rPr>
                <w:rFonts w:hint="eastAsia" w:ascii="Times New Roman"/>
                <w:sz w:val="24"/>
                <w:szCs w:val="24"/>
              </w:rPr>
              <w:t>19</w:t>
            </w:r>
            <w:r>
              <w:rPr>
                <w:rFonts w:ascii="Times New Roman"/>
                <w:sz w:val="24"/>
                <w:szCs w:val="24"/>
              </w:rPr>
              <w:t>年本）》（国家发改委第29号令）</w:t>
            </w:r>
            <w:r>
              <w:rPr>
                <w:rFonts w:hint="eastAsia" w:ascii="Times New Roman"/>
                <w:sz w:val="24"/>
                <w:szCs w:val="24"/>
              </w:rPr>
              <w:t>及国家发展改革委关于修改《</w:t>
            </w:r>
            <w:r>
              <w:rPr>
                <w:rFonts w:ascii="Times New Roman"/>
                <w:sz w:val="24"/>
                <w:szCs w:val="24"/>
              </w:rPr>
              <w:t>产业结构调整指导目录（20</w:t>
            </w:r>
            <w:r>
              <w:rPr>
                <w:rFonts w:hint="eastAsia" w:ascii="Times New Roman"/>
                <w:sz w:val="24"/>
                <w:szCs w:val="24"/>
              </w:rPr>
              <w:t>19</w:t>
            </w:r>
            <w:r>
              <w:rPr>
                <w:rFonts w:ascii="Times New Roman"/>
                <w:sz w:val="24"/>
                <w:szCs w:val="24"/>
              </w:rPr>
              <w:t>年本）</w:t>
            </w:r>
            <w:r>
              <w:rPr>
                <w:rFonts w:hint="eastAsia" w:ascii="Times New Roman"/>
                <w:sz w:val="24"/>
                <w:szCs w:val="24"/>
              </w:rPr>
              <w:t>》的决定（</w:t>
            </w:r>
            <w:r>
              <w:rPr>
                <w:rFonts w:ascii="Times New Roman"/>
                <w:sz w:val="24"/>
                <w:szCs w:val="24"/>
              </w:rPr>
              <w:t>国家发改委第</w:t>
            </w:r>
            <w:r>
              <w:rPr>
                <w:rFonts w:hint="eastAsia" w:ascii="Times New Roman"/>
                <w:sz w:val="24"/>
                <w:szCs w:val="24"/>
              </w:rPr>
              <w:t>4</w:t>
            </w:r>
            <w:r>
              <w:rPr>
                <w:rFonts w:ascii="Times New Roman"/>
                <w:sz w:val="24"/>
                <w:szCs w:val="24"/>
              </w:rPr>
              <w:t>9号令</w:t>
            </w:r>
            <w:r>
              <w:rPr>
                <w:rFonts w:hint="eastAsia" w:ascii="Times New Roman"/>
                <w:sz w:val="24"/>
                <w:szCs w:val="24"/>
              </w:rPr>
              <w:t>）</w:t>
            </w:r>
            <w:r>
              <w:rPr>
                <w:rFonts w:ascii="Times New Roman"/>
                <w:sz w:val="24"/>
                <w:szCs w:val="24"/>
              </w:rPr>
              <w:t>中规定</w:t>
            </w:r>
            <w:r>
              <w:rPr>
                <w:rFonts w:hint="eastAsia" w:ascii="Times New Roman"/>
                <w:sz w:val="24"/>
                <w:szCs w:val="24"/>
              </w:rPr>
              <w:t>，</w:t>
            </w:r>
            <w:r>
              <w:rPr>
                <w:rFonts w:ascii="Times New Roman"/>
                <w:sz w:val="24"/>
                <w:szCs w:val="24"/>
              </w:rPr>
              <w:t>本项目</w:t>
            </w:r>
            <w:r>
              <w:rPr>
                <w:rFonts w:hint="eastAsia" w:ascii="Times New Roman"/>
                <w:sz w:val="24"/>
                <w:szCs w:val="24"/>
              </w:rPr>
              <w:t>不</w:t>
            </w:r>
            <w:r>
              <w:rPr>
                <w:rFonts w:ascii="Times New Roman"/>
                <w:sz w:val="24"/>
                <w:szCs w:val="24"/>
              </w:rPr>
              <w:t>属于</w:t>
            </w:r>
            <w:r>
              <w:rPr>
                <w:rFonts w:hint="eastAsia" w:ascii="Times New Roman"/>
                <w:sz w:val="24"/>
                <w:szCs w:val="24"/>
              </w:rPr>
              <w:t>“限制类”和“淘汰类”</w:t>
            </w:r>
            <w:r>
              <w:rPr>
                <w:rFonts w:ascii="Times New Roman"/>
                <w:sz w:val="24"/>
                <w:szCs w:val="24"/>
              </w:rPr>
              <w:t>项目</w:t>
            </w:r>
            <w:r>
              <w:rPr>
                <w:rFonts w:hint="eastAsia" w:ascii="Times New Roman"/>
                <w:sz w:val="24"/>
                <w:szCs w:val="24"/>
              </w:rPr>
              <w:t>。</w:t>
            </w:r>
            <w:r>
              <w:rPr>
                <w:rFonts w:ascii="Times New Roman"/>
                <w:sz w:val="24"/>
                <w:szCs w:val="24"/>
              </w:rPr>
              <w:t>且</w:t>
            </w:r>
            <w:r>
              <w:rPr>
                <w:rFonts w:hint="eastAsia" w:ascii="Times New Roman"/>
                <w:sz w:val="24"/>
                <w:szCs w:val="24"/>
              </w:rPr>
              <w:t>项目</w:t>
            </w:r>
            <w:r>
              <w:rPr>
                <w:rFonts w:ascii="Times New Roman"/>
                <w:sz w:val="24"/>
                <w:szCs w:val="24"/>
              </w:rPr>
              <w:t>已取得</w:t>
            </w:r>
            <w:r>
              <w:rPr>
                <w:rFonts w:hint="eastAsia" w:ascii="Times New Roman"/>
                <w:sz w:val="24"/>
                <w:szCs w:val="24"/>
              </w:rPr>
              <w:t>万荣现代农业产业示范区管理委员会</w:t>
            </w:r>
            <w:r>
              <w:rPr>
                <w:rFonts w:ascii="Times New Roman"/>
                <w:sz w:val="24"/>
                <w:szCs w:val="24"/>
              </w:rPr>
              <w:t>颁发的备案证，项目代码为</w:t>
            </w:r>
            <w:r>
              <w:rPr>
                <w:rFonts w:ascii="Times New Roman" w:hAnsi="Times New Roman" w:cs="Times New Roman"/>
                <w:sz w:val="24"/>
              </w:rPr>
              <w:t>2311-140859-89-01-710785</w:t>
            </w:r>
            <w:r>
              <w:rPr>
                <w:rFonts w:ascii="Times New Roman" w:hAnsi="Times New Roman" w:cs="Times New Roman"/>
                <w:sz w:val="24"/>
                <w:szCs w:val="24"/>
              </w:rPr>
              <w:t>，</w:t>
            </w:r>
            <w:r>
              <w:rPr>
                <w:rFonts w:ascii="Times New Roman"/>
                <w:sz w:val="24"/>
                <w:szCs w:val="24"/>
              </w:rPr>
              <w:t>符合国家有关法律、法规和政策规定。综上，本项目符合国家产业政策。</w:t>
            </w:r>
          </w:p>
          <w:p>
            <w:pPr>
              <w:autoSpaceDE w:val="0"/>
              <w:autoSpaceDN w:val="0"/>
              <w:spacing w:line="360" w:lineRule="auto"/>
              <w:jc w:val="left"/>
              <w:rPr>
                <w:rFonts w:eastAsia="黑体"/>
                <w:sz w:val="24"/>
              </w:rPr>
            </w:pPr>
            <w:r>
              <w:rPr>
                <w:rFonts w:hint="eastAsia" w:eastAsia="黑体"/>
                <w:sz w:val="24"/>
              </w:rPr>
              <w:t>3</w:t>
            </w:r>
            <w:r>
              <w:rPr>
                <w:rFonts w:eastAsia="黑体"/>
                <w:sz w:val="24"/>
              </w:rPr>
              <w:t>、</w:t>
            </w:r>
            <w:r>
              <w:rPr>
                <w:rFonts w:hint="eastAsia" w:eastAsia="黑体"/>
                <w:sz w:val="24"/>
              </w:rPr>
              <w:t>项目选址可行性</w:t>
            </w:r>
            <w:r>
              <w:rPr>
                <w:rFonts w:eastAsia="黑体"/>
                <w:sz w:val="24"/>
              </w:rPr>
              <w:t>分析</w:t>
            </w:r>
          </w:p>
          <w:p>
            <w:pPr>
              <w:spacing w:line="360" w:lineRule="auto"/>
              <w:ind w:firstLine="482"/>
              <w:rPr>
                <w:sz w:val="24"/>
              </w:rPr>
            </w:pPr>
            <w:r>
              <w:rPr>
                <w:rFonts w:hint="eastAsia"/>
                <w:sz w:val="24"/>
              </w:rPr>
              <w:t>项目为饲料加工项目，位于北京汇源集团万荣有限公司厂内，且</w:t>
            </w:r>
            <w:r>
              <w:rPr>
                <w:sz w:val="24"/>
              </w:rPr>
              <w:t>本项目不在“自然保护区、风景名胜区、世界文化和自然遗产地、饮用水水源地保护区”等规定的地区内。由此可见，项目选址合理。</w:t>
            </w:r>
          </w:p>
          <w:p>
            <w:pPr>
              <w:autoSpaceDE w:val="0"/>
              <w:autoSpaceDN w:val="0"/>
              <w:spacing w:line="360" w:lineRule="auto"/>
              <w:jc w:val="left"/>
              <w:rPr>
                <w:rFonts w:eastAsia="黑体"/>
                <w:sz w:val="24"/>
              </w:rPr>
            </w:pPr>
            <w:r>
              <w:rPr>
                <w:rFonts w:hint="eastAsia" w:eastAsia="黑体"/>
                <w:sz w:val="24"/>
              </w:rPr>
              <w:t>4、万荣县城市总体规划</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1）规划期限</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本次规划期限为：2011年—2030年。其中：近期：2011—2015年；中期：2016—2020年；远期：2021—2030 年；远景：2030年以后。</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2）规划区范围</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城市规划区范围：万荣县解店镇全部行政区范围及南张乡、万泉乡、西村乡的部分行政村范围，城市规划区范围总面积为126.4 k</w:t>
            </w:r>
            <w:r>
              <w:rPr>
                <w:rFonts w:hint="eastAsia" w:ascii="Times New Roman"/>
                <w:sz w:val="24"/>
                <w:szCs w:val="24"/>
              </w:rPr>
              <w:t>㎡</w:t>
            </w:r>
            <w:r>
              <w:rPr>
                <w:rFonts w:ascii="Times New Roman"/>
                <w:sz w:val="24"/>
                <w:szCs w:val="24"/>
              </w:rPr>
              <w:t>。</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3）县域战略定位</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w:t>
            </w:r>
            <w:r>
              <w:rPr>
                <w:rFonts w:ascii="Times New Roman"/>
                <w:sz w:val="24"/>
                <w:szCs w:val="24"/>
              </w:rPr>
              <w:t>四地三</w:t>
            </w:r>
            <w:r>
              <w:rPr>
                <w:rFonts w:hint="eastAsia" w:ascii="Times New Roman"/>
                <w:sz w:val="24"/>
                <w:szCs w:val="24"/>
              </w:rPr>
              <w:t>”</w:t>
            </w:r>
            <w:r>
              <w:rPr>
                <w:rFonts w:ascii="Times New Roman"/>
                <w:sz w:val="24"/>
                <w:szCs w:val="24"/>
              </w:rPr>
              <w:t>，即建成</w:t>
            </w:r>
            <w:r>
              <w:rPr>
                <w:rFonts w:hint="eastAsia" w:ascii="Times New Roman"/>
                <w:sz w:val="24"/>
                <w:szCs w:val="24"/>
              </w:rPr>
              <w:t>“</w:t>
            </w:r>
            <w:r>
              <w:rPr>
                <w:rFonts w:ascii="Times New Roman"/>
                <w:sz w:val="24"/>
                <w:szCs w:val="24"/>
              </w:rPr>
              <w:t>四大基地</w:t>
            </w:r>
            <w:r>
              <w:rPr>
                <w:rFonts w:hint="eastAsia" w:ascii="Times New Roman"/>
                <w:sz w:val="24"/>
                <w:szCs w:val="24"/>
              </w:rPr>
              <w:t>”</w:t>
            </w:r>
            <w:r>
              <w:rPr>
                <w:rFonts w:ascii="Times New Roman"/>
                <w:sz w:val="24"/>
                <w:szCs w:val="24"/>
              </w:rPr>
              <w:t>：优质粮棉与果品生产基地、特色农产品生产加工基地、新型材料与建材化工基地、黄河金三角区域独具特色（笑文化体验、山水休闲）的旅游目的地；“三个示范区”：现代农业示范区、节水型社会示范区、城乡统筹发展示范区。</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4）城乡总体布局结构</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形成 “一心、三点、三轴、四区”的城乡空间布局格局。</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“一心”：即县城，是县域人口集聚与城镇建设的重心，全县的综合服务和创新中心，区域增长极核，逐步建成经贸活跃、人流聚集、环境优美的县级政治、文化、经济交流中心。</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“三点”：即分别处于县域北部、西南部、东南部的通化、荣河、汉薛三个农村地区的片区中心和产业区依托城镇。</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三轴”：即县域西部发展轴带、中部联系轴带、东部工业发展轴带。西部发展轴带：依托万临公路、沿黄公路，规划形成，以医药、化建为主的荣河工业区，以农副产品加工为主的裴庄工业小区等产业集聚区，后土旅游文化开发区、西滩生游景区及沿线观光农业景观带，是山西省沿黄旅游经济带的重要组成部分，是县域未来旅游文化、轻型工业、人口与城镇重点发展地带。</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中部发展轴带：依托县城—高村--贾村—荣河的县道，沿线贯穿县城、万泉、高村、贾村、荣河，是县域重要的东西向联系轴带，也是县域中部人口与城镇重点发展地带。</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东部发展轴带：依托运稷一级公路，沿线规划形成县城东部工业区、镁工业园区等新材料工业集中区域，是县域重要的工业发展轴带</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“四区”：即四类建设分区。</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黄河、汾河湿地生态保护与生态经济区：包括裴庄</w:t>
            </w:r>
            <w:r>
              <w:rPr>
                <w:rFonts w:hint="eastAsia" w:ascii="Times New Roman"/>
                <w:sz w:val="24"/>
                <w:szCs w:val="24"/>
              </w:rPr>
              <w:t>镇</w:t>
            </w:r>
            <w:r>
              <w:rPr>
                <w:rFonts w:ascii="Times New Roman"/>
                <w:sz w:val="24"/>
                <w:szCs w:val="24"/>
              </w:rPr>
              <w:t>、光华</w:t>
            </w:r>
            <w:r>
              <w:rPr>
                <w:rFonts w:hint="eastAsia" w:ascii="Times New Roman"/>
                <w:sz w:val="24"/>
                <w:szCs w:val="24"/>
              </w:rPr>
              <w:t>乡</w:t>
            </w:r>
            <w:r>
              <w:rPr>
                <w:rFonts w:ascii="Times New Roman"/>
                <w:sz w:val="24"/>
                <w:szCs w:val="24"/>
              </w:rPr>
              <w:t>和荣河镇的部分地区，主要承担湿地自然保护、生态休闲旅游业、特色农业发展等功能，以保护湿地景观为中心，发展湿地特色农业和生态旅游，实现湿地生态保护与旅游观光相结合，促进区域经济的发展。</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西部台地集约化农业与旅游轻工经济区：包括通化镇、裴庄</w:t>
            </w:r>
            <w:r>
              <w:rPr>
                <w:rFonts w:hint="eastAsia" w:ascii="Times New Roman"/>
                <w:sz w:val="24"/>
                <w:szCs w:val="24"/>
              </w:rPr>
              <w:t>镇</w:t>
            </w:r>
            <w:r>
              <w:rPr>
                <w:rFonts w:ascii="Times New Roman"/>
                <w:sz w:val="24"/>
                <w:szCs w:val="24"/>
              </w:rPr>
              <w:t>、光华乡和荣河镇的大部分地区，主要承担集约化现代农业区、轻型工业发展区、文化旅游产业区、人口接纳区等功能，发展重点是加强通化、荣河两个中心镇及乡驻地集镇建设，积极推进乡村居民点整合与中心村及荣河、裴庄产业园区建设，引导人口与经济要素集聚；搞好基本农田建设，发展集约化、规模化、产业化现代农业；改造南北向交通通道，建立便捷的区域经济联系载体；重视环境生态建设，保持良好的生态环境和人居环境。</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中部果粮生产及综合性产业开发区：包括解店镇、南张乡、里望乡、西村乡、王显乡、贾村乡、皇甫乡、万泉乡、高村乡，未来集约化农业、城镇、工业企业（除采矿业外）、第三产业和人口集聚地域。重点加强农田基本建设，推广旱作农业科学技术，调整土地利用结构，促进农林牧多种经营，加强工业园区建设，促进工业产业集聚，合理布局旅游景区，促进旅游开发，推进县城人口集聚，带动县域城镇化进程。</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孤峰山及稷王山生态及旅游经济区：主要承担生态经济功能，应突出特色，把山地林牧业和旅游业结合起来，大力开发绿色食品和生态旅游商品，促进旅游业和经济效益增长，使生态保护与产业发展相协调，积极推进区域人口、乡村居民点的空间集中，大力发展区域中心城镇汉薛镇。</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项目位于</w:t>
            </w:r>
            <w:r>
              <w:rPr>
                <w:rFonts w:ascii="Times New Roman"/>
                <w:sz w:val="24"/>
                <w:szCs w:val="24"/>
              </w:rPr>
              <w:t>山西省运城市万荣县</w:t>
            </w:r>
            <w:r>
              <w:rPr>
                <w:rFonts w:hint="eastAsia" w:ascii="Times New Roman"/>
                <w:sz w:val="24"/>
                <w:szCs w:val="24"/>
              </w:rPr>
              <w:t>西贾村西700m处，占地属于工业用地，</w:t>
            </w:r>
            <w:r>
              <w:rPr>
                <w:rFonts w:ascii="Times New Roman"/>
                <w:sz w:val="24"/>
                <w:szCs w:val="24"/>
              </w:rPr>
              <w:t>根据万荣县城市总体规划（2011~2030年），项目</w:t>
            </w:r>
            <w:r>
              <w:rPr>
                <w:rFonts w:hint="eastAsia" w:ascii="Times New Roman"/>
                <w:sz w:val="24"/>
                <w:szCs w:val="24"/>
              </w:rPr>
              <w:t>建设符合</w:t>
            </w:r>
            <w:r>
              <w:rPr>
                <w:rFonts w:ascii="Times New Roman"/>
                <w:sz w:val="24"/>
                <w:szCs w:val="24"/>
              </w:rPr>
              <w:t>万荣县城市总体规划。</w:t>
            </w:r>
          </w:p>
          <w:p>
            <w:pPr>
              <w:spacing w:line="360" w:lineRule="auto"/>
              <w:rPr>
                <w:b/>
                <w:bCs/>
                <w:sz w:val="24"/>
              </w:rPr>
            </w:pPr>
            <w:r>
              <w:rPr>
                <w:rFonts w:hint="eastAsia" w:eastAsia="黑体"/>
                <w:sz w:val="24"/>
              </w:rPr>
              <w:t>5</w:t>
            </w:r>
            <w:r>
              <w:rPr>
                <w:rFonts w:eastAsia="黑体"/>
                <w:sz w:val="24"/>
              </w:rPr>
              <w:t>、</w:t>
            </w:r>
            <w:r>
              <w:rPr>
                <w:rFonts w:hint="eastAsia" w:eastAsia="黑体"/>
                <w:sz w:val="24"/>
              </w:rPr>
              <w:t>与山西省主体功能区规划</w:t>
            </w:r>
            <w:r>
              <w:rPr>
                <w:rFonts w:eastAsia="黑体"/>
                <w:sz w:val="24"/>
              </w:rPr>
              <w:t>符合性分析</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本项目位于山西省运城市万荣县</w:t>
            </w:r>
            <w:r>
              <w:rPr>
                <w:rFonts w:hint="eastAsia" w:ascii="Times New Roman"/>
                <w:sz w:val="24"/>
                <w:szCs w:val="24"/>
              </w:rPr>
              <w:t>西贾村西700m处，属于山西省</w:t>
            </w:r>
            <w:r>
              <w:rPr>
                <w:rFonts w:hint="eastAsia"/>
                <w:sz w:val="24"/>
              </w:rPr>
              <w:t>农产品主产区</w:t>
            </w:r>
            <w:r>
              <w:rPr>
                <w:rFonts w:hint="eastAsia" w:ascii="Times New Roman"/>
                <w:sz w:val="24"/>
                <w:szCs w:val="24"/>
              </w:rPr>
              <w:t>，</w:t>
            </w:r>
            <w:r>
              <w:rPr>
                <w:rFonts w:ascii="Times New Roman"/>
                <w:sz w:val="24"/>
                <w:szCs w:val="24"/>
              </w:rPr>
              <w:t>建设内容与《</w:t>
            </w:r>
            <w:r>
              <w:rPr>
                <w:rFonts w:hint="eastAsia" w:ascii="Times New Roman"/>
                <w:sz w:val="24"/>
                <w:szCs w:val="24"/>
              </w:rPr>
              <w:t>山西省主体功能区规划</w:t>
            </w:r>
            <w:r>
              <w:rPr>
                <w:rFonts w:ascii="Times New Roman"/>
                <w:sz w:val="24"/>
                <w:szCs w:val="24"/>
              </w:rPr>
              <w:t>》中的相关条款进行了比较，具体见表1-</w:t>
            </w:r>
            <w:r>
              <w:rPr>
                <w:rFonts w:hint="eastAsia" w:ascii="Times New Roman"/>
                <w:sz w:val="24"/>
                <w:szCs w:val="24"/>
              </w:rPr>
              <w:t>1。</w:t>
            </w:r>
          </w:p>
          <w:p>
            <w:pPr>
              <w:widowControl/>
              <w:tabs>
                <w:tab w:val="left" w:pos="2660"/>
              </w:tabs>
              <w:snapToGrid w:val="0"/>
              <w:jc w:val="center"/>
              <w:textAlignment w:val="baseline"/>
              <w:rPr>
                <w:b/>
                <w:bCs/>
                <w:szCs w:val="21"/>
              </w:rPr>
            </w:pPr>
            <w:r>
              <w:rPr>
                <w:b/>
                <w:bCs/>
                <w:szCs w:val="21"/>
              </w:rPr>
              <w:t>表1-</w:t>
            </w:r>
            <w:r>
              <w:rPr>
                <w:rFonts w:hint="eastAsia"/>
                <w:b/>
                <w:bCs/>
                <w:szCs w:val="21"/>
              </w:rPr>
              <w:t>1</w:t>
            </w:r>
            <w:r>
              <w:rPr>
                <w:b/>
                <w:bCs/>
                <w:szCs w:val="21"/>
              </w:rPr>
              <w:t xml:space="preserve"> </w:t>
            </w:r>
            <w:r>
              <w:rPr>
                <w:rFonts w:hint="eastAsia"/>
                <w:b/>
                <w:bCs/>
                <w:szCs w:val="21"/>
              </w:rPr>
              <w:t xml:space="preserve"> </w:t>
            </w:r>
            <w:r>
              <w:rPr>
                <w:b/>
                <w:bCs/>
                <w:szCs w:val="21"/>
              </w:rPr>
              <w:t>《</w:t>
            </w:r>
            <w:r>
              <w:rPr>
                <w:rFonts w:hint="eastAsia"/>
                <w:b/>
                <w:bCs/>
                <w:szCs w:val="21"/>
              </w:rPr>
              <w:t>山西省主体功能区规划</w:t>
            </w:r>
            <w:r>
              <w:rPr>
                <w:b/>
                <w:bCs/>
                <w:szCs w:val="21"/>
              </w:rPr>
              <w:t>》相符性对照一览表</w:t>
            </w:r>
          </w:p>
          <w:tbl>
            <w:tblPr>
              <w:tblStyle w:val="20"/>
              <w:tblW w:w="4996"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4406"/>
              <w:gridCol w:w="1378"/>
              <w:gridCol w:w="855"/>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23" w:hRule="atLeast"/>
              </w:trPr>
              <w:tc>
                <w:tcPr>
                  <w:tcW w:w="3318" w:type="pct"/>
                  <w:vAlign w:val="center"/>
                </w:tcPr>
                <w:p>
                  <w:pPr>
                    <w:widowControl/>
                    <w:jc w:val="center"/>
                    <w:rPr>
                      <w:b/>
                      <w:bCs/>
                      <w:szCs w:val="21"/>
                    </w:rPr>
                  </w:pPr>
                  <w:r>
                    <w:rPr>
                      <w:rFonts w:hint="eastAsia"/>
                      <w:b/>
                      <w:bCs/>
                      <w:szCs w:val="21"/>
                    </w:rPr>
                    <w:t>重点开发的城镇发展方向</w:t>
                  </w:r>
                </w:p>
              </w:tc>
              <w:tc>
                <w:tcPr>
                  <w:tcW w:w="1038" w:type="pct"/>
                  <w:vAlign w:val="center"/>
                </w:tcPr>
                <w:p>
                  <w:pPr>
                    <w:widowControl/>
                    <w:jc w:val="center"/>
                    <w:rPr>
                      <w:b/>
                      <w:bCs/>
                      <w:szCs w:val="21"/>
                    </w:rPr>
                  </w:pPr>
                  <w:r>
                    <w:rPr>
                      <w:b/>
                      <w:bCs/>
                      <w:szCs w:val="21"/>
                    </w:rPr>
                    <w:t>本项目</w:t>
                  </w:r>
                </w:p>
              </w:tc>
              <w:tc>
                <w:tcPr>
                  <w:tcW w:w="643" w:type="pct"/>
                  <w:vAlign w:val="center"/>
                </w:tcPr>
                <w:p>
                  <w:pPr>
                    <w:widowControl/>
                    <w:jc w:val="center"/>
                    <w:rPr>
                      <w:b/>
                      <w:bCs/>
                      <w:szCs w:val="21"/>
                    </w:rPr>
                  </w:pPr>
                  <w:r>
                    <w:rPr>
                      <w:b/>
                      <w:bCs/>
                      <w:szCs w:val="21"/>
                    </w:rPr>
                    <w:t>相符性</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318" w:type="pct"/>
                  <w:vAlign w:val="center"/>
                </w:tcPr>
                <w:p>
                  <w:pPr>
                    <w:widowControl/>
                    <w:jc w:val="left"/>
                    <w:rPr>
                      <w:szCs w:val="21"/>
                    </w:rPr>
                  </w:pPr>
                  <w:r>
                    <w:rPr>
                      <w:szCs w:val="21"/>
                    </w:rPr>
                    <w:t>功能定位</w:t>
                  </w:r>
                  <w:r>
                    <w:rPr>
                      <w:rFonts w:hint="eastAsia"/>
                      <w:szCs w:val="21"/>
                    </w:rPr>
                    <w:t>：县域人口、经济和公共服务的重要聚集区</w:t>
                  </w:r>
                </w:p>
              </w:tc>
              <w:tc>
                <w:tcPr>
                  <w:tcW w:w="1038" w:type="pct"/>
                  <w:vMerge w:val="restart"/>
                  <w:vAlign w:val="center"/>
                </w:tcPr>
                <w:p>
                  <w:pPr>
                    <w:widowControl/>
                    <w:jc w:val="left"/>
                    <w:rPr>
                      <w:szCs w:val="21"/>
                    </w:rPr>
                  </w:pPr>
                  <w:r>
                    <w:rPr>
                      <w:rFonts w:hint="eastAsia"/>
                      <w:szCs w:val="21"/>
                    </w:rPr>
                    <w:t>本项目不属于高污染、高能耗产业。</w:t>
                  </w:r>
                </w:p>
              </w:tc>
              <w:tc>
                <w:tcPr>
                  <w:tcW w:w="643" w:type="pct"/>
                  <w:vMerge w:val="restart"/>
                  <w:vAlign w:val="center"/>
                </w:tcPr>
                <w:p>
                  <w:pPr>
                    <w:widowControl/>
                    <w:jc w:val="left"/>
                    <w:rPr>
                      <w:szCs w:val="21"/>
                    </w:rPr>
                  </w:pPr>
                  <w:r>
                    <w:rPr>
                      <w:szCs w:val="21"/>
                    </w:rPr>
                    <w:t>符合</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318" w:type="pct"/>
                  <w:vAlign w:val="center"/>
                </w:tcPr>
                <w:p>
                  <w:pPr>
                    <w:widowControl/>
                    <w:jc w:val="left"/>
                    <w:rPr>
                      <w:szCs w:val="21"/>
                    </w:rPr>
                  </w:pPr>
                  <w:r>
                    <w:rPr>
                      <w:szCs w:val="21"/>
                    </w:rPr>
                    <w:t>发展方向</w:t>
                  </w:r>
                  <w:r>
                    <w:rPr>
                      <w:rFonts w:hint="eastAsia"/>
                      <w:szCs w:val="21"/>
                    </w:rPr>
                    <w:t>：</w:t>
                  </w:r>
                </w:p>
                <w:p>
                  <w:pPr>
                    <w:widowControl/>
                    <w:jc w:val="left"/>
                    <w:rPr>
                      <w:szCs w:val="21"/>
                    </w:rPr>
                  </w:pPr>
                  <w:r>
                    <w:rPr>
                      <w:szCs w:val="21"/>
                    </w:rPr>
                    <w:t>1、以县城、重点镇和产业园区为依托，加强城镇基础设施建设，完善配套设施，增强公共服务功能，承接周边农业人口转移。</w:t>
                  </w:r>
                </w:p>
                <w:p>
                  <w:pPr>
                    <w:widowControl/>
                    <w:jc w:val="left"/>
                    <w:rPr>
                      <w:szCs w:val="21"/>
                    </w:rPr>
                  </w:pPr>
                  <w:r>
                    <w:rPr>
                      <w:rFonts w:hint="eastAsia"/>
                      <w:szCs w:val="21"/>
                    </w:rPr>
                    <w:t>2、重点发展特色优势产业、农林产品精深加工业，因地制宜发展旅游、文化、商贸等服务，湿度开发矿产资源</w:t>
                  </w:r>
                </w:p>
                <w:p>
                  <w:pPr>
                    <w:widowControl/>
                    <w:jc w:val="left"/>
                    <w:rPr>
                      <w:szCs w:val="21"/>
                    </w:rPr>
                  </w:pPr>
                  <w:r>
                    <w:rPr>
                      <w:rFonts w:hint="eastAsia"/>
                      <w:szCs w:val="21"/>
                    </w:rPr>
                    <w:t>3、科学规划建设县域产业园，按照循环经济模式发展优势资源加工产业，积极发展劳动密集型产业，严格限制高污染、高能耗产业</w:t>
                  </w:r>
                </w:p>
                <w:p>
                  <w:pPr>
                    <w:widowControl/>
                    <w:jc w:val="left"/>
                    <w:rPr>
                      <w:szCs w:val="21"/>
                    </w:rPr>
                  </w:pPr>
                  <w:r>
                    <w:rPr>
                      <w:rFonts w:hint="eastAsia"/>
                      <w:szCs w:val="21"/>
                    </w:rPr>
                    <w:t>4、控制开发强度，合理利用土地、水资源，避免过度开发</w:t>
                  </w:r>
                </w:p>
              </w:tc>
              <w:tc>
                <w:tcPr>
                  <w:tcW w:w="1038" w:type="pct"/>
                  <w:vMerge w:val="continue"/>
                  <w:vAlign w:val="center"/>
                </w:tcPr>
                <w:p>
                  <w:pPr>
                    <w:widowControl/>
                    <w:jc w:val="left"/>
                    <w:rPr>
                      <w:szCs w:val="21"/>
                    </w:rPr>
                  </w:pPr>
                </w:p>
              </w:tc>
              <w:tc>
                <w:tcPr>
                  <w:tcW w:w="643" w:type="pct"/>
                  <w:vMerge w:val="continue"/>
                  <w:vAlign w:val="center"/>
                </w:tcPr>
                <w:p>
                  <w:pPr>
                    <w:widowControl/>
                    <w:jc w:val="left"/>
                    <w:rPr>
                      <w:szCs w:val="21"/>
                    </w:rPr>
                  </w:pPr>
                </w:p>
              </w:tc>
            </w:tr>
          </w:tbl>
          <w:p>
            <w:pPr>
              <w:autoSpaceDE w:val="0"/>
              <w:autoSpaceDN w:val="0"/>
              <w:spacing w:line="360" w:lineRule="auto"/>
              <w:jc w:val="left"/>
              <w:rPr>
                <w:rFonts w:eastAsia="黑体"/>
                <w:sz w:val="24"/>
              </w:rPr>
            </w:pPr>
            <w:r>
              <w:rPr>
                <w:rFonts w:hint="eastAsia" w:eastAsia="黑体"/>
                <w:sz w:val="24"/>
              </w:rPr>
              <w:t>6</w:t>
            </w:r>
            <w:r>
              <w:rPr>
                <w:rFonts w:eastAsia="黑体"/>
                <w:sz w:val="24"/>
              </w:rPr>
              <w:t>、与生态功能区划和生态经济区划相符性</w:t>
            </w:r>
            <w:r>
              <w:rPr>
                <w:rFonts w:hint="eastAsia" w:eastAsia="黑体"/>
                <w:sz w:val="24"/>
              </w:rPr>
              <w:t>分析</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1）</w:t>
            </w:r>
            <w:r>
              <w:rPr>
                <w:rFonts w:ascii="Times New Roman"/>
                <w:sz w:val="24"/>
                <w:szCs w:val="24"/>
              </w:rPr>
              <w:t>生态功能区划</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本项目位于</w:t>
            </w:r>
            <w:r>
              <w:rPr>
                <w:rFonts w:hint="eastAsia" w:ascii="Times New Roman"/>
                <w:sz w:val="24"/>
                <w:szCs w:val="24"/>
              </w:rPr>
              <w:t>万荣</w:t>
            </w:r>
            <w:r>
              <w:rPr>
                <w:rFonts w:ascii="Times New Roman"/>
                <w:sz w:val="24"/>
                <w:szCs w:val="24"/>
              </w:rPr>
              <w:t>生态功能区划中Ⅱ</w:t>
            </w:r>
            <w:r>
              <w:rPr>
                <w:rFonts w:hint="eastAsia" w:ascii="Times New Roman"/>
                <w:sz w:val="24"/>
                <w:szCs w:val="24"/>
              </w:rPr>
              <w:t>B3-2-2-1峨嵋一二级台地旱作农业生态功能小区，</w:t>
            </w:r>
            <w:r>
              <w:rPr>
                <w:rFonts w:ascii="Times New Roman"/>
                <w:sz w:val="24"/>
                <w:szCs w:val="24"/>
              </w:rPr>
              <w:t>生态系统的主要生态服务功能是</w:t>
            </w:r>
            <w:r>
              <w:rPr>
                <w:rFonts w:hint="eastAsia" w:ascii="Times New Roman"/>
                <w:sz w:val="24"/>
                <w:szCs w:val="24"/>
              </w:rPr>
              <w:t>：</w:t>
            </w:r>
            <w:r>
              <w:rPr>
                <w:rFonts w:ascii="Times New Roman"/>
                <w:sz w:val="24"/>
                <w:szCs w:val="24"/>
              </w:rPr>
              <w:t>在生物多样性保护上，除万荣县城建成区属于一般地区外</w:t>
            </w:r>
            <w:r>
              <w:rPr>
                <w:rFonts w:hint="eastAsia" w:ascii="Times New Roman"/>
                <w:sz w:val="24"/>
                <w:szCs w:val="24"/>
              </w:rPr>
              <w:t>，</w:t>
            </w:r>
            <w:r>
              <w:rPr>
                <w:rFonts w:ascii="Times New Roman"/>
                <w:sz w:val="24"/>
                <w:szCs w:val="24"/>
              </w:rPr>
              <w:t>其它地区则比较重要。在土壤保持和营养物质保持重要性上</w:t>
            </w:r>
            <w:r>
              <w:rPr>
                <w:rFonts w:hint="eastAsia" w:ascii="Times New Roman"/>
                <w:sz w:val="24"/>
                <w:szCs w:val="24"/>
              </w:rPr>
              <w:t>，</w:t>
            </w:r>
            <w:r>
              <w:rPr>
                <w:rFonts w:ascii="Times New Roman"/>
                <w:sz w:val="24"/>
                <w:szCs w:val="24"/>
              </w:rPr>
              <w:t>除各居民区及建设用地区属于一般地区外</w:t>
            </w:r>
            <w:r>
              <w:rPr>
                <w:rFonts w:hint="eastAsia" w:ascii="Times New Roman"/>
                <w:sz w:val="24"/>
                <w:szCs w:val="24"/>
              </w:rPr>
              <w:t>，</w:t>
            </w:r>
            <w:r>
              <w:rPr>
                <w:rFonts w:ascii="Times New Roman"/>
                <w:sz w:val="24"/>
                <w:szCs w:val="24"/>
              </w:rPr>
              <w:t>该区土壤保持重要性属于</w:t>
            </w:r>
            <w:r>
              <w:rPr>
                <w:rFonts w:hint="eastAsia" w:ascii="Times New Roman"/>
                <w:sz w:val="24"/>
                <w:szCs w:val="24"/>
              </w:rPr>
              <w:t xml:space="preserve">                                                                                                                                                                                                                                                                                                                                                                                                                                                                             </w:t>
            </w:r>
            <w:r>
              <w:rPr>
                <w:rFonts w:ascii="Times New Roman"/>
                <w:sz w:val="24"/>
                <w:szCs w:val="24"/>
              </w:rPr>
              <w:t>比较重要的地区，营养物质保持重要性属于中等重要的地区。</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主要生态环境问题是</w:t>
            </w:r>
            <w:r>
              <w:rPr>
                <w:rFonts w:hint="eastAsia" w:ascii="Times New Roman"/>
                <w:sz w:val="24"/>
                <w:szCs w:val="24"/>
              </w:rPr>
              <w:t>：</w:t>
            </w:r>
            <w:r>
              <w:rPr>
                <w:rFonts w:ascii="Times New Roman"/>
                <w:sz w:val="24"/>
                <w:szCs w:val="24"/>
              </w:rPr>
              <w:t>该区土壤侵蚀敏感性一般，在生物多样性及生境敏感性上，里望乡北部、裴庄、光华、荣河中部地区属于轻度敏感区，其它地区属于一般性敏感区。在地质灾害敏感性上，里望属于地裂缝高易发区，南张乡是地裂缝、滑坡中易发区，其它区域则为轻度敏感区。</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保护措施</w:t>
            </w:r>
            <w:r>
              <w:rPr>
                <w:rFonts w:hint="eastAsia" w:ascii="Times New Roman"/>
                <w:sz w:val="24"/>
                <w:szCs w:val="24"/>
              </w:rPr>
              <w:t>：</w:t>
            </w:r>
            <w:r>
              <w:rPr>
                <w:rFonts w:ascii="Times New Roman"/>
                <w:sz w:val="24"/>
                <w:szCs w:val="24"/>
              </w:rPr>
              <w:t>（1）加强农田基本建设，防止土壤流失及其营养物质流失，增加土壤有机质含量，提高土地生产潜力。（</w:t>
            </w:r>
            <w:r>
              <w:rPr>
                <w:rFonts w:hint="eastAsia" w:ascii="Times New Roman"/>
                <w:sz w:val="24"/>
                <w:szCs w:val="24"/>
              </w:rPr>
              <w:t>2</w:t>
            </w:r>
            <w:r>
              <w:rPr>
                <w:rFonts w:ascii="Times New Roman"/>
                <w:sz w:val="24"/>
                <w:szCs w:val="24"/>
              </w:rPr>
              <w:t>）严格控制非农业建设用地，遏制耕地锐减势头。（</w:t>
            </w:r>
            <w:r>
              <w:rPr>
                <w:rFonts w:hint="eastAsia" w:ascii="Times New Roman"/>
                <w:sz w:val="24"/>
                <w:szCs w:val="24"/>
              </w:rPr>
              <w:t>3</w:t>
            </w:r>
            <w:r>
              <w:rPr>
                <w:rFonts w:ascii="Times New Roman"/>
                <w:sz w:val="24"/>
                <w:szCs w:val="24"/>
              </w:rPr>
              <w:t>）调整土地利用结构，合理安排农作物种植面积及布局，合理轮作倒茬，提高复种指数。（</w:t>
            </w:r>
            <w:r>
              <w:rPr>
                <w:rFonts w:hint="eastAsia" w:ascii="Times New Roman"/>
                <w:sz w:val="24"/>
                <w:szCs w:val="24"/>
              </w:rPr>
              <w:t>4</w:t>
            </w:r>
            <w:r>
              <w:rPr>
                <w:rFonts w:ascii="Times New Roman"/>
                <w:sz w:val="24"/>
                <w:szCs w:val="24"/>
              </w:rPr>
              <w:t>）增加科技投入，扩大水浇地或进行节水灌溉，推广旱作农业新技术</w:t>
            </w:r>
            <w:r>
              <w:rPr>
                <w:rFonts w:hint="eastAsia" w:ascii="Times New Roman"/>
                <w:sz w:val="24"/>
                <w:szCs w:val="24"/>
              </w:rPr>
              <w:t>，</w:t>
            </w:r>
            <w:r>
              <w:rPr>
                <w:rFonts w:ascii="Times New Roman"/>
                <w:sz w:val="24"/>
                <w:szCs w:val="24"/>
              </w:rPr>
              <w:t>不断提高农作物产量和土地生产率。</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该区生态系统的发展方向是：</w:t>
            </w:r>
            <w:r>
              <w:rPr>
                <w:rFonts w:hint="eastAsia" w:ascii="Times New Roman"/>
                <w:sz w:val="24"/>
                <w:szCs w:val="24"/>
              </w:rPr>
              <w:t>（1）</w:t>
            </w:r>
            <w:r>
              <w:rPr>
                <w:rFonts w:ascii="Times New Roman"/>
                <w:sz w:val="24"/>
                <w:szCs w:val="24"/>
              </w:rPr>
              <w:t>积极整理、复垦和开发未利用土地，利用荒沟荒坡，发展牧草地和畜牧业，促进土地资源的可持续利用和农业经济的可持续发展。</w:t>
            </w:r>
            <w:r>
              <w:rPr>
                <w:rFonts w:hint="eastAsia" w:ascii="Times New Roman"/>
                <w:sz w:val="24"/>
                <w:szCs w:val="24"/>
              </w:rPr>
              <w:t>（2）</w:t>
            </w:r>
            <w:r>
              <w:rPr>
                <w:rFonts w:ascii="Times New Roman"/>
                <w:sz w:val="24"/>
                <w:szCs w:val="24"/>
              </w:rPr>
              <w:t>积极引进和培植新的果品树种，改变树种结构单一的现状，以提高果品产量和质量。</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2）</w:t>
            </w:r>
            <w:r>
              <w:rPr>
                <w:rFonts w:ascii="Times New Roman"/>
                <w:sz w:val="24"/>
                <w:szCs w:val="24"/>
              </w:rPr>
              <w:t>生态经济区划</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本项目位于</w:t>
            </w:r>
            <w:r>
              <w:rPr>
                <w:rFonts w:hint="eastAsia" w:ascii="Times New Roman"/>
                <w:sz w:val="24"/>
                <w:szCs w:val="24"/>
              </w:rPr>
              <w:t>万荣县</w:t>
            </w:r>
            <w:r>
              <w:rPr>
                <w:rFonts w:ascii="Times New Roman"/>
                <w:sz w:val="24"/>
                <w:szCs w:val="24"/>
              </w:rPr>
              <w:t>生态经济区划中ⅢA-1万荣县城综合经济发展生态经济区，主要生态服务功能定位：在生物多样性保护上，属于一般地区。在土壤保持和营养物质保持重要性上，除各居民区及建设用地区属于一般地区外，该区土壤保持重要性属于比较重要的地区，营养物质保持重要性属于中等重要的地区。</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该区生态经济区的发展方向：发展循环工业园区，农产品加工业和商贸服务业。①禁止在城市的上风向和水体上游地区建设有污染的工业企业；②严格控制城市环境污染，限制低水平、占地多、污染大、能耗高的产业；③按照“减量化、再利用、资源化”的宗旨打造六大支柱产业的循环经济链条，建设一批循环经济工业园区和循环经济示范企业，加强替代技术、减量技术、再利用技术、资源化技术的开发、示范和推广应用，实现企业、行业（产业）、园区、区域等多个层次的资源循环式利用、产业循环式组合、区域循环式开发。构建恒磁工业园区、金属镁加工园区、医药加工园区、食品加工园区、轻工业加工园区等，优化产业结构，形成医药、磁材、煤化、金属镁、化工建材、农副产品加工六大支柱产业。④重点培育林果、中药材、畜牧业三大支柱产业，建设以汇源果汁为依托，建设南解柿树生态园、沟北精品苹果示范园、太贾奶牛养殖示范园。</w:t>
            </w:r>
            <w:r>
              <w:rPr>
                <w:rFonts w:ascii="Times New Roman"/>
                <w:sz w:val="24"/>
                <w:szCs w:val="24"/>
              </w:rPr>
              <w:fldChar w:fldCharType="begin"/>
            </w:r>
            <w:r>
              <w:rPr>
                <w:rFonts w:ascii="Times New Roman"/>
                <w:sz w:val="24"/>
                <w:szCs w:val="24"/>
              </w:rPr>
              <w:instrText xml:space="preserve"> = 5 \* GB3 \* MERGEFORMAT </w:instrText>
            </w:r>
            <w:r>
              <w:rPr>
                <w:rFonts w:ascii="Times New Roman"/>
                <w:sz w:val="24"/>
                <w:szCs w:val="24"/>
              </w:rPr>
              <w:fldChar w:fldCharType="separate"/>
            </w:r>
            <w:r>
              <w:rPr>
                <w:rFonts w:ascii="Times New Roman"/>
                <w:sz w:val="24"/>
                <w:szCs w:val="24"/>
              </w:rPr>
              <w:t>⑤</w:t>
            </w:r>
            <w:r>
              <w:rPr>
                <w:rFonts w:ascii="Times New Roman"/>
                <w:sz w:val="24"/>
                <w:szCs w:val="24"/>
              </w:rPr>
              <w:fldChar w:fldCharType="end"/>
            </w:r>
            <w:r>
              <w:rPr>
                <w:rFonts w:ascii="Times New Roman"/>
                <w:sz w:val="24"/>
                <w:szCs w:val="24"/>
              </w:rPr>
              <w:t>进一步发展商贸服务业，充分发挥万荣县中心城镇的功能。</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主要生态环境问题是：该区土壤侵蚀敏感性一般。在生物多样性及生境敏感性上，属于一般性敏感区。在地质灾害敏感性上，为轻度敏感区。</w:t>
            </w:r>
          </w:p>
          <w:p>
            <w:pPr>
              <w:pStyle w:val="90"/>
              <w:ind w:firstLine="480"/>
              <w:rPr>
                <w:rFonts w:ascii="Times New Roman" w:hAnsi="Times New Roman" w:cs="Times New Roman"/>
              </w:rPr>
            </w:pPr>
            <w:r>
              <w:rPr>
                <w:rFonts w:ascii="Times New Roman"/>
                <w:sz w:val="24"/>
                <w:szCs w:val="24"/>
              </w:rPr>
              <w:t>本项目</w:t>
            </w:r>
            <w:r>
              <w:rPr>
                <w:rFonts w:hint="eastAsia" w:ascii="Times New Roman"/>
                <w:sz w:val="24"/>
                <w:szCs w:val="24"/>
              </w:rPr>
              <w:t>为饲料生产项目</w:t>
            </w:r>
            <w:r>
              <w:rPr>
                <w:rFonts w:ascii="Times New Roman"/>
                <w:sz w:val="24"/>
                <w:szCs w:val="24"/>
              </w:rPr>
              <w:t>，项目</w:t>
            </w:r>
            <w:r>
              <w:rPr>
                <w:rFonts w:hint="eastAsia" w:ascii="Times New Roman"/>
                <w:sz w:val="24"/>
                <w:szCs w:val="24"/>
              </w:rPr>
              <w:t>废气可以做到达标排放，生活洗漱污水用于厂区道路洒水，同时厂区设置旱厕，定期清掏外运，</w:t>
            </w:r>
            <w:r>
              <w:rPr>
                <w:rFonts w:ascii="Times New Roman"/>
                <w:sz w:val="24"/>
                <w:szCs w:val="24"/>
              </w:rPr>
              <w:t>经分析项目的建设不违背</w:t>
            </w:r>
            <w:r>
              <w:rPr>
                <w:rFonts w:hint="eastAsia" w:ascii="Times New Roman"/>
                <w:sz w:val="24"/>
                <w:szCs w:val="24"/>
              </w:rPr>
              <w:t>万荣</w:t>
            </w:r>
            <w:r>
              <w:rPr>
                <w:rFonts w:ascii="Times New Roman"/>
                <w:sz w:val="24"/>
                <w:szCs w:val="24"/>
              </w:rPr>
              <w:t>县的生态功能区划与生态经济区划。</w:t>
            </w:r>
          </w:p>
          <w:p>
            <w:pPr>
              <w:spacing w:line="360" w:lineRule="auto"/>
              <w:rPr>
                <w:rFonts w:eastAsia="黑体"/>
                <w:sz w:val="24"/>
              </w:rPr>
            </w:pPr>
            <w:r>
              <w:rPr>
                <w:rFonts w:hint="eastAsia" w:eastAsia="黑体"/>
                <w:sz w:val="24"/>
              </w:rPr>
              <w:t>7.</w:t>
            </w:r>
            <w:r>
              <w:rPr>
                <w:rFonts w:eastAsia="黑体"/>
                <w:sz w:val="24"/>
              </w:rPr>
              <w:t>与《山西省工业炉窑大气污染物综合治理实施方案》符合性分析</w:t>
            </w:r>
          </w:p>
          <w:p>
            <w:pPr>
              <w:pStyle w:val="90"/>
              <w:adjustRightInd/>
              <w:snapToGrid/>
              <w:spacing w:line="360" w:lineRule="auto"/>
              <w:ind w:firstLine="480"/>
              <w:jc w:val="left"/>
              <w:rPr>
                <w:rFonts w:ascii="Times New Roman" w:hAnsiTheme="minorHAnsi" w:eastAsiaTheme="minorEastAsia" w:cstheme="minorBidi"/>
                <w:kern w:val="2"/>
                <w:sz w:val="24"/>
                <w:szCs w:val="24"/>
                <w:u w:color="000000"/>
              </w:rPr>
            </w:pPr>
            <w:r>
              <w:rPr>
                <w:rFonts w:ascii="Times New Roman" w:hAnsiTheme="minorHAnsi" w:eastAsiaTheme="minorEastAsia" w:cstheme="minorBidi"/>
                <w:kern w:val="2"/>
                <w:sz w:val="24"/>
                <w:szCs w:val="24"/>
                <w:u w:color="000000"/>
              </w:rPr>
              <w:t>根据“关于印发《山西省工业炉窑大气污染综合治理实施方案》”（晋环大气〔2019〕164号），评价根据治理实施方案重点任务的各项指标要求进行了相应的分析，根据大气污染防治重点区域的划分，本项目位于重点区域。</w:t>
            </w:r>
          </w:p>
          <w:p>
            <w:pPr>
              <w:pStyle w:val="86"/>
            </w:pPr>
            <w:r>
              <w:t>表1-</w:t>
            </w:r>
            <w:r>
              <w:rPr>
                <w:rFonts w:hint="eastAsia"/>
              </w:rPr>
              <w:t>2</w:t>
            </w:r>
            <w:r>
              <w:t xml:space="preserve">  《山西省工业炉窑大气污染综合治理实施方案》相符性分析</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428"/>
              <w:gridCol w:w="4418"/>
              <w:gridCol w:w="1370"/>
              <w:gridCol w:w="42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322" w:type="pct"/>
                  <w:vAlign w:val="center"/>
                </w:tcPr>
                <w:p>
                  <w:pPr>
                    <w:pStyle w:val="94"/>
                    <w:spacing w:line="240" w:lineRule="auto"/>
                    <w:rPr>
                      <w:rFonts w:ascii="Times New Roman" w:hAnsi="Times New Roman" w:cs="Times New Roman"/>
                      <w:b/>
                      <w:kern w:val="2"/>
                    </w:rPr>
                  </w:pPr>
                  <w:r>
                    <w:rPr>
                      <w:rFonts w:ascii="Times New Roman" w:hAnsi="Times New Roman" w:cs="Times New Roman"/>
                      <w:b/>
                      <w:kern w:val="2"/>
                    </w:rPr>
                    <w:t>序号</w:t>
                  </w:r>
                </w:p>
              </w:tc>
              <w:tc>
                <w:tcPr>
                  <w:tcW w:w="3324" w:type="pct"/>
                  <w:vAlign w:val="center"/>
                </w:tcPr>
                <w:p>
                  <w:pPr>
                    <w:pStyle w:val="94"/>
                    <w:spacing w:line="240" w:lineRule="auto"/>
                    <w:rPr>
                      <w:rFonts w:ascii="Times New Roman" w:hAnsi="Times New Roman" w:cs="Times New Roman"/>
                      <w:b/>
                      <w:kern w:val="2"/>
                    </w:rPr>
                  </w:pPr>
                  <w:r>
                    <w:rPr>
                      <w:rFonts w:ascii="Times New Roman" w:hAnsi="Times New Roman" w:cs="Times New Roman"/>
                      <w:b/>
                      <w:kern w:val="2"/>
                    </w:rPr>
                    <w:t>重点治理任务</w:t>
                  </w:r>
                </w:p>
              </w:tc>
              <w:tc>
                <w:tcPr>
                  <w:tcW w:w="1031" w:type="pct"/>
                  <w:vAlign w:val="center"/>
                </w:tcPr>
                <w:p>
                  <w:pPr>
                    <w:pStyle w:val="94"/>
                    <w:spacing w:line="240" w:lineRule="auto"/>
                    <w:rPr>
                      <w:rFonts w:ascii="Times New Roman" w:hAnsi="Times New Roman" w:cs="Times New Roman"/>
                      <w:b/>
                      <w:kern w:val="2"/>
                    </w:rPr>
                  </w:pPr>
                  <w:r>
                    <w:rPr>
                      <w:rFonts w:ascii="Times New Roman" w:hAnsi="Times New Roman" w:cs="Times New Roman"/>
                      <w:b/>
                      <w:kern w:val="2"/>
                    </w:rPr>
                    <w:t>本项目情况</w:t>
                  </w:r>
                </w:p>
              </w:tc>
              <w:tc>
                <w:tcPr>
                  <w:tcW w:w="322" w:type="pct"/>
                  <w:vAlign w:val="center"/>
                </w:tcPr>
                <w:p>
                  <w:pPr>
                    <w:pStyle w:val="94"/>
                    <w:spacing w:line="240" w:lineRule="auto"/>
                    <w:rPr>
                      <w:rFonts w:ascii="Times New Roman" w:hAnsi="Times New Roman" w:cs="Times New Roman"/>
                      <w:b/>
                      <w:kern w:val="2"/>
                    </w:rPr>
                  </w:pPr>
                  <w:r>
                    <w:rPr>
                      <w:rFonts w:ascii="Times New Roman" w:hAnsi="Times New Roman" w:cs="Times New Roman"/>
                      <w:b/>
                      <w:kern w:val="2"/>
                    </w:rPr>
                    <w:t>符合性</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225"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1</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严格建设项目环境准入。新建涉工业炉窑的建设项目，原则上要入园区，并符合园区规划环境影响评价要求，配套建设高效环保治理设施。落实国家和我省相关产业政策及产能置换办法。重点区域严格控制涉工业炉窑建设项目，严禁新增钢铁、焦化、铸造、水泥、平板玻璃等产能。全省禁止新建燃料类煤气发生炉（园区现有企业统一建设的清洁煤制气中心除外）</w:t>
                  </w:r>
                </w:p>
              </w:tc>
              <w:tc>
                <w:tcPr>
                  <w:tcW w:w="1031"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本项目属于</w:t>
                  </w:r>
                  <w:r>
                    <w:rPr>
                      <w:rFonts w:ascii="Times New Roman" w:hAnsi="Times New Roman" w:cs="Times New Roman"/>
                    </w:rPr>
                    <w:t>果渣饲料加工</w:t>
                  </w:r>
                  <w:r>
                    <w:rPr>
                      <w:rFonts w:ascii="Times New Roman" w:hAnsi="Times New Roman" w:cs="Times New Roman"/>
                      <w:kern w:val="2"/>
                    </w:rPr>
                    <w:t>，为新建项目，</w:t>
                  </w:r>
                  <w:r>
                    <w:rPr>
                      <w:rFonts w:hint="eastAsia" w:ascii="Times New Roman" w:hAnsi="Times New Roman" w:cs="Times New Roman"/>
                      <w:kern w:val="2"/>
                    </w:rPr>
                    <w:t>项目位于汇源农副产品加工园区。</w:t>
                  </w:r>
                </w:p>
                <w:p>
                  <w:pPr>
                    <w:pStyle w:val="94"/>
                    <w:spacing w:line="240" w:lineRule="auto"/>
                    <w:rPr>
                      <w:rFonts w:ascii="Times New Roman" w:hAnsi="Times New Roman" w:cs="Times New Roman"/>
                      <w:kern w:val="2"/>
                    </w:rPr>
                  </w:pP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2</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加大过剩产能和不达标工业炉窑淘汰力度。全面清理《产业结构调整指导目录》淘汰类工业炉窑，加快推进限制类工业炉窑升级改造。落实《山西省焦化行业压减过剩产能打好污染防治攻坚战行动方案》，加快炭化室高度4.3米及以下且运行寿命超过10年的焦炉淘汰步伐。对热效率低下、敞开未封闭，装备简易落后、自动化程度低，无组织排放突出，以及无治理设施或治理设施工艺落后等严重污染环境的工业炉窑，依法责令停业关闭。</w:t>
                  </w:r>
                </w:p>
              </w:tc>
              <w:tc>
                <w:tcPr>
                  <w:tcW w:w="1031"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本项目新建两台生物质热风炉，不属于淘汰类工业炉窑，配套相关治理设施。</w:t>
                  </w: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3</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加快燃料清洁低碳化替代。2020年6月底前，现有以煤、石油焦、渣油、重油等为燃料的工业炉窑完成清洁低碳化燃料、技术和装备替代改造，全省铸造（10吨/小时及以下）。岩棉等行业冲天炉改为电炉。禁止掺烧高硫石油焦（硫含量大于3%），玻璃行业全面禁止掺烧高硫石油焦。加大煤气发生炉淘汰力度，2019年底前全省基本淘汰炉膛直径3米以下燃料类煤气发生炉；集中使用煤气发生炉的工业园区，暂不具备改用天然气条件的，以及化肥行业固定床间歇式煤气化炉集中区域，2019年底前启动建设统一的清洁煤制气中心，取缔覆盖范围内的分散煤气发生炉，逐步淘汰化肥行业固定床间歇式煤气化炉。加快淘汰燃煤工业炉窑，重点区域2019年底取缔燃煤热风炉，基本淘汰热电联产供热管网覆盖范围内的燃煤加热、烘干炉（窑）。</w:t>
                  </w:r>
                </w:p>
              </w:tc>
              <w:tc>
                <w:tcPr>
                  <w:tcW w:w="1031"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本项目热风炉采用生物质成型燃料作为燃料。</w:t>
                  </w: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4</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实施污染深度治理。推进重点行业污染深度治理。加快钢铁行业（含独立球团企业，有球团、烧结、高炉的铸造、铁合金企业）超低排放改造。积极推进电解铝、平板玻璃、水泥、焦化等行业污染治理升级改造。电解铝企业全面推进烟气脱硫脱硝设施建设，全面加大热残极冷却过程无组织排放治理力度，建设封闭高效的烟气收集系统，实现残极冷却烟气有效处理。平板玻璃、建筑陶瓷企业取消脱硫脱硝烟气旁路或设置备用脱硫脱硝等设施。鼓励水泥企业实施全流程污染深度治理。钢焦配套焦化企业按照钢铁行业炼焦工序超低排放指标要求全面实施超低排放改造，鼓励独立焦化企业实施全流程超低排放改造，推进焦化企业对炭化室4.3米以上焦炉（不含4.3米）实施干熄焦改造，审慎评估焦炉炉体加罩封闭试点情况，在保证安全生产前提下，稳妥推进重点区域城市建成区内焦炉实施炉体加罩封闭，并对废气进行收集处理。推进工业炉窑全面达标排放。加大工业炉窑治理力度，配套建设高效脱硫脱硝除尘设施（附件2）。已有行业排放标准的工业炉窑（附件3），严格执行行业排放标准特别排放限值及相关规定。暂未制订行业排放标准的工业炉窑，按照颗粒物、二氧化硫、氮氧化物排放限值分别不高于30、200、300毫克/立方米考核评价，其中，日用玻璃、玻璃棉氮氧化物排放限值不高于400毫克/立方米。各地有更严格管控要求的从严执行。以上工业炉窑治理任务2019年完成改造。全面加强颗粒物无组织排放管理。在保障生产安全的前提下，工业炉窑生产工艺过程及相关物料储存、输送等无组织排放环节采取密闭、封闭等有效措施（见附件4），有效提高废气收集率，产尘点及车间不得有可见烟粉尘外逸。生产工艺产尘点（装置）应采取密闭、封闭或设置集气罩等措施。煤粉、粉煤灰、石灰、除尘灰、脱硫灰等粉状物料应密闭或封闭储存，采用密闭皮带、封闭通廊、管状带式输送机或密闭车厢、真空罐车、气力输送等方式输送。粒状、块状物料应采用入棚入仓或建设防风抑尘网等方式进行储存，粒状物料采用密闭、封闭等方式输送。物料输送过程中产尘点应采取有效抑尘措施。加强挥发性有机物综合治理。全面落实相关行业标准和《挥发性有机物无组织排放控制标准》，加强焦炉、煤气发生炉VOCs治理力度。其中，炼焦煤气净化系统冷鼓各级贮槽（罐）及其他区域焦油、苯等贮器有机废气接入压力平衡系统或收集净化处理，酚氰废水预处理设施（调节池、气浮池、隔油池）加盖并配备废气收集处理设施，开展设备和管线泄漏检测与修复（LDAR）工作。煤气发生炉酚水系统应封闭，产生的废气应收集处理，鼓励送至煤气发生炉鼓风机入口进行再利用；酚水应送至煤气发生炉处置，或回收酚、氨后深度处理，或送至水煤浆炉进行焚烧等。禁止含酚废水直接作为煤气水封水、冲渣水。氮肥等行业采用固定床间歇式煤气化炉的，加快推进煤气冷却由直接水洗改为间接冷却。吹风气、弛放气应全部收集利用。</w:t>
                  </w:r>
                </w:p>
              </w:tc>
              <w:tc>
                <w:tcPr>
                  <w:tcW w:w="1031"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本项目废气排放标准按照颗粒物、二氧化硫、氮氧化物排放限值分别不高于30、200、300毫克/立方米执行，可确保达标排放；</w:t>
                  </w:r>
                </w:p>
                <w:p>
                  <w:pPr>
                    <w:pStyle w:val="94"/>
                    <w:spacing w:line="240" w:lineRule="auto"/>
                    <w:rPr>
                      <w:rFonts w:ascii="Times New Roman" w:hAnsi="Times New Roman" w:cs="Times New Roman"/>
                      <w:kern w:val="2"/>
                    </w:rPr>
                  </w:pPr>
                  <w:r>
                    <w:rPr>
                      <w:rFonts w:ascii="Times New Roman" w:hAnsi="Times New Roman" w:cs="Times New Roman"/>
                      <w:kern w:val="2"/>
                    </w:rPr>
                    <w:t>项目主要物料为原料果渣，储存于封闭厂房原料区，封闭储存，不产生无组织颗粒物；</w:t>
                  </w: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5</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开展工业园区和产业集群综合整治。各市要加大涉工业炉窑类工业园区和产业集群的综合整治力度，结合“三线一单”（生态保护红线、环境质量底线、资源利用上线和生态环境准入清单）、规划环评等要求，进一步梳理确定园区和产业发展定位、规模及结构等。制定综合整治方案，对标先进企业，从生产工艺、产能规模、燃料类型、污染治理等方面提出明确要求，提升产业发展质量和环保治理水平。按照统一标准、统一时间表的要求，同步推进区域环境综合整治和企业升级改造。加强工业园区能源替代利用与资源共享，积极推广集中供汽供热或建设清洁低碳能源中心等，替代工业炉窑燃料用煤；充分利用园区内工厂余热、焦炉煤气等清洁低碳能源，加强分质与梯级利用，提高能源利用效率，促进形成清洁低碳高效产业链。涉工业炉窑类产业集群主要包括陶瓷、玻璃（涉及玻璃器皿等产品）、砖瓦、耐火材料、石灰、矿物棉、铸造（涉及玛钢、法兰等产品）、独立球团、独立轧钢、铁合金、再生有色金属、炭素、化工等行业。</w:t>
                  </w:r>
                </w:p>
              </w:tc>
              <w:tc>
                <w:tcPr>
                  <w:tcW w:w="1031"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项目所在地暂无工业园区，无规划环评，尚未划定生态保护红线，项目周边无环境敏感区域，各项污染物可达标排放，项目属于饲料生产，</w:t>
                  </w:r>
                  <w:r>
                    <w:rPr>
                      <w:rFonts w:ascii="Times New Roman" w:hAnsi="Times New Roman" w:cs="Times New Roman"/>
                    </w:rPr>
                    <w:t>不属于限制类和淘汰类，符合国家产业政策，</w:t>
                  </w:r>
                  <w:r>
                    <w:rPr>
                      <w:rFonts w:ascii="Times New Roman" w:hAnsi="Times New Roman" w:cs="Times New Roman"/>
                      <w:kern w:val="2"/>
                    </w:rPr>
                    <w:t>符合“三线一单”相关要求；</w:t>
                  </w: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6</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加强涉工业炉窑企业运输结构调整。2020年，大宗货物年货运量150万吨及以上的，原则上全部修建铁路专用线；具有铁路专用线的，大宗货物铁路运输比例应达到80%以上。新、改、扩建涉及大宗物料运输的建设项目，原则上不得采用公路运输。</w:t>
                  </w:r>
                </w:p>
              </w:tc>
              <w:tc>
                <w:tcPr>
                  <w:tcW w:w="1031"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不涉及</w:t>
                  </w: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不涉及</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7</w:t>
                  </w:r>
                </w:p>
              </w:tc>
              <w:tc>
                <w:tcPr>
                  <w:tcW w:w="3324"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建立健全监测监控体系。排气口高度超过45米的高架源，钢铁、焦化、水泥、平板玻璃、陶瓷、氮肥、有色金属冶炼、再生有色金属等行业，严格按照排污许可管理规定安装和运行自动监控设施。加快其他行业工业炉窑大气污染物排放自动监控设施建设，冲天炉、玻璃熔窑、以煤和煤研石为燃料的砖瓦烧结窑、耐火材料焙烧窑（电窑除外）、炭素焙（煅)烧炉（窑）、石灰容、铬盐焙烧窑、磷化工焙烧窑、铁合金矿热炉和精炼炉等，应纳入重点排污单位名录，安装自动监控设施。具备条件的企业，应通过分布式控制系统（DCS)等，自动连续记录工业炉窑环保设施运行及相关生产过程主要参数。重点行业厂区布设空气质量监测微站、安装高清视频监控设施。重点运输单位建设门禁系统和视频监控系，监控运输车辆进出情况。门禁系统、CEMS、DCS等数据保存一年以上，视频监控数据保存三个月以上。强化监测数据质量控制，自动监控设施应与生态环境主管部门联网，数据传输有效率达到90%。</w:t>
                  </w:r>
                </w:p>
              </w:tc>
              <w:tc>
                <w:tcPr>
                  <w:tcW w:w="1031" w:type="pct"/>
                  <w:vAlign w:val="center"/>
                </w:tcPr>
                <w:p>
                  <w:pPr>
                    <w:pStyle w:val="94"/>
                    <w:spacing w:line="240" w:lineRule="auto"/>
                    <w:rPr>
                      <w:rFonts w:ascii="Times New Roman" w:hAnsi="Times New Roman" w:cs="Times New Roman"/>
                      <w:kern w:val="2"/>
                    </w:rPr>
                  </w:pPr>
                  <w:r>
                    <w:rPr>
                      <w:rFonts w:hint="eastAsia" w:ascii="Times New Roman" w:hAnsi="Times New Roman" w:cs="Times New Roman"/>
                      <w:kern w:val="2"/>
                    </w:rPr>
                    <w:t>本项目不属于重点排污单位，无需安装在线监测设施</w:t>
                  </w:r>
                </w:p>
              </w:tc>
              <w:tc>
                <w:tcPr>
                  <w:tcW w:w="322" w:type="pct"/>
                  <w:vAlign w:val="center"/>
                </w:tcPr>
                <w:p>
                  <w:pPr>
                    <w:pStyle w:val="94"/>
                    <w:spacing w:line="240" w:lineRule="auto"/>
                    <w:rPr>
                      <w:rFonts w:ascii="Times New Roman" w:hAnsi="Times New Roman" w:cs="Times New Roman"/>
                      <w:kern w:val="2"/>
                    </w:rPr>
                  </w:pPr>
                  <w:r>
                    <w:rPr>
                      <w:rFonts w:ascii="Times New Roman" w:hAnsi="Times New Roman" w:cs="Times New Roman"/>
                      <w:kern w:val="2"/>
                    </w:rPr>
                    <w:t>符合</w:t>
                  </w:r>
                </w:p>
              </w:tc>
            </w:tr>
          </w:tbl>
          <w:p>
            <w:pPr>
              <w:autoSpaceDE w:val="0"/>
              <w:autoSpaceDN w:val="0"/>
              <w:spacing w:line="360" w:lineRule="auto"/>
              <w:jc w:val="left"/>
              <w:rPr>
                <w:rFonts w:eastAsia="黑体"/>
                <w:sz w:val="24"/>
              </w:rPr>
            </w:pPr>
            <w:r>
              <w:rPr>
                <w:rFonts w:hint="eastAsia" w:eastAsia="黑体"/>
                <w:sz w:val="24"/>
              </w:rPr>
              <w:t>8</w:t>
            </w:r>
            <w:r>
              <w:rPr>
                <w:rFonts w:eastAsia="黑体"/>
                <w:sz w:val="24"/>
              </w:rPr>
              <w:t>、“三线一单”符合性分析</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1）生态保护红线</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运城市生态保护红线主要生态服务功能包括本区域生态保护红线主导生态功能为水源涵养功能，其次为水土保持、生物多样性维护功能。涉及太岳山中条山水源涵养、吕梁山中南部水土保持、其他点状分布的水源涵养和生物多样性维护等。</w:t>
            </w:r>
            <w:r>
              <w:rPr>
                <w:rFonts w:hint="eastAsia" w:ascii="Times New Roman"/>
                <w:sz w:val="24"/>
                <w:szCs w:val="24"/>
              </w:rPr>
              <w:t>本项目位于</w:t>
            </w:r>
            <w:r>
              <w:rPr>
                <w:rFonts w:ascii="Times New Roman"/>
                <w:sz w:val="24"/>
                <w:szCs w:val="24"/>
              </w:rPr>
              <w:t>山西省运城市万荣县</w:t>
            </w:r>
            <w:r>
              <w:rPr>
                <w:rFonts w:hint="eastAsia" w:ascii="Times New Roman"/>
                <w:sz w:val="24"/>
                <w:szCs w:val="24"/>
              </w:rPr>
              <w:t>西贾村西700m处，具体地理位置见附图1，根据运城市生态保护红线图，项目所在地不在运城市生态保护红线范围内。</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根据</w:t>
            </w:r>
            <w:r>
              <w:rPr>
                <w:rFonts w:hint="eastAsia" w:ascii="Times New Roman"/>
                <w:sz w:val="24"/>
                <w:szCs w:val="24"/>
              </w:rPr>
              <w:t>山西省人民政府《关于实施“三线一单”生态环境分区管控的意见》晋政发【2020】26号</w:t>
            </w:r>
            <w:r>
              <w:rPr>
                <w:rFonts w:ascii="Times New Roman"/>
                <w:sz w:val="24"/>
                <w:szCs w:val="24"/>
              </w:rPr>
              <w:t>，项目位于</w:t>
            </w:r>
            <w:r>
              <w:rPr>
                <w:rFonts w:hint="eastAsia" w:ascii="Times New Roman"/>
                <w:sz w:val="24"/>
                <w:szCs w:val="24"/>
              </w:rPr>
              <w:t>重点</w:t>
            </w:r>
            <w:r>
              <w:rPr>
                <w:rFonts w:ascii="Times New Roman"/>
                <w:sz w:val="24"/>
                <w:szCs w:val="24"/>
              </w:rPr>
              <w:t>管控单元</w:t>
            </w:r>
            <w:r>
              <w:rPr>
                <w:rFonts w:hint="eastAsia" w:ascii="Times New Roman"/>
                <w:sz w:val="24"/>
                <w:szCs w:val="24"/>
              </w:rPr>
              <w:t>。本项目与重点管控单元符合性分析见表1-2。</w:t>
            </w:r>
          </w:p>
          <w:p>
            <w:pPr>
              <w:widowControl/>
              <w:tabs>
                <w:tab w:val="left" w:pos="2660"/>
              </w:tabs>
              <w:snapToGrid w:val="0"/>
              <w:jc w:val="center"/>
              <w:textAlignment w:val="baseline"/>
              <w:rPr>
                <w:b/>
                <w:bCs/>
                <w:szCs w:val="21"/>
              </w:rPr>
            </w:pPr>
            <w:r>
              <w:rPr>
                <w:b/>
                <w:bCs/>
                <w:szCs w:val="21"/>
              </w:rPr>
              <w:t>表</w:t>
            </w:r>
            <w:r>
              <w:rPr>
                <w:rFonts w:hint="eastAsia"/>
                <w:b/>
                <w:bCs/>
                <w:szCs w:val="21"/>
              </w:rPr>
              <w:t>1</w:t>
            </w:r>
            <w:r>
              <w:rPr>
                <w:b/>
                <w:bCs/>
                <w:szCs w:val="21"/>
              </w:rPr>
              <w:t>-</w:t>
            </w:r>
            <w:r>
              <w:rPr>
                <w:rFonts w:hint="eastAsia"/>
                <w:b/>
                <w:bCs/>
                <w:szCs w:val="21"/>
              </w:rPr>
              <w:t>3</w:t>
            </w:r>
            <w:r>
              <w:rPr>
                <w:b/>
                <w:bCs/>
                <w:szCs w:val="21"/>
              </w:rPr>
              <w:t xml:space="preserve"> 本项目与</w:t>
            </w:r>
            <w:r>
              <w:rPr>
                <w:rFonts w:hint="eastAsia"/>
                <w:b/>
                <w:bCs/>
                <w:szCs w:val="21"/>
              </w:rPr>
              <w:t>山西省人民政府《关于实施“三线一单”生态环境分区管控的意见》晋政发【2020】26号符合性一览表</w:t>
            </w:r>
          </w:p>
          <w:tbl>
            <w:tblPr>
              <w:tblStyle w:val="2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3197"/>
              <w:gridCol w:w="1923"/>
              <w:gridCol w:w="8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9" w:type="pct"/>
                  <w:vAlign w:val="center"/>
                </w:tcPr>
                <w:p>
                  <w:pPr>
                    <w:pStyle w:val="83"/>
                    <w:spacing w:beforeLines="0" w:line="240" w:lineRule="auto"/>
                    <w:ind w:firstLine="0" w:firstLineChars="0"/>
                    <w:jc w:val="center"/>
                    <w:rPr>
                      <w:rFonts w:eastAsia="宋体"/>
                      <w:b/>
                      <w:bCs/>
                      <w:sz w:val="21"/>
                      <w:szCs w:val="21"/>
                    </w:rPr>
                  </w:pPr>
                  <w:r>
                    <w:rPr>
                      <w:rFonts w:eastAsia="宋体"/>
                      <w:b/>
                      <w:bCs/>
                      <w:sz w:val="21"/>
                      <w:szCs w:val="21"/>
                    </w:rPr>
                    <w:t>序号</w:t>
                  </w:r>
                </w:p>
              </w:tc>
              <w:tc>
                <w:tcPr>
                  <w:tcW w:w="2408" w:type="pct"/>
                  <w:vAlign w:val="center"/>
                </w:tcPr>
                <w:p>
                  <w:pPr>
                    <w:pStyle w:val="83"/>
                    <w:spacing w:beforeLines="0" w:line="240" w:lineRule="auto"/>
                    <w:ind w:firstLine="0" w:firstLineChars="0"/>
                    <w:jc w:val="center"/>
                    <w:rPr>
                      <w:rFonts w:eastAsia="宋体"/>
                      <w:b/>
                      <w:bCs/>
                      <w:sz w:val="21"/>
                      <w:szCs w:val="21"/>
                      <w:lang w:val="en-US"/>
                    </w:rPr>
                  </w:pPr>
                  <w:r>
                    <w:rPr>
                      <w:rFonts w:eastAsia="宋体"/>
                      <w:b/>
                      <w:bCs/>
                      <w:sz w:val="21"/>
                      <w:szCs w:val="21"/>
                      <w:lang w:val="en-US"/>
                    </w:rPr>
                    <w:t>重点管控单元</w:t>
                  </w:r>
                  <w:r>
                    <w:rPr>
                      <w:rFonts w:hint="eastAsia" w:eastAsia="宋体"/>
                      <w:b/>
                      <w:bCs/>
                      <w:sz w:val="21"/>
                      <w:szCs w:val="21"/>
                      <w:lang w:val="en-US"/>
                    </w:rPr>
                    <w:t>要求</w:t>
                  </w:r>
                </w:p>
              </w:tc>
              <w:tc>
                <w:tcPr>
                  <w:tcW w:w="1448" w:type="pct"/>
                  <w:vAlign w:val="center"/>
                </w:tcPr>
                <w:p>
                  <w:pPr>
                    <w:pStyle w:val="83"/>
                    <w:spacing w:beforeLines="0" w:line="240" w:lineRule="auto"/>
                    <w:ind w:firstLine="0" w:firstLineChars="0"/>
                    <w:jc w:val="center"/>
                    <w:rPr>
                      <w:rFonts w:eastAsia="宋体"/>
                      <w:b/>
                      <w:bCs/>
                      <w:sz w:val="21"/>
                      <w:szCs w:val="21"/>
                      <w:lang w:val="en-US"/>
                    </w:rPr>
                  </w:pPr>
                  <w:r>
                    <w:rPr>
                      <w:rFonts w:hint="eastAsia" w:eastAsia="宋体"/>
                      <w:b/>
                      <w:bCs/>
                      <w:sz w:val="21"/>
                      <w:szCs w:val="21"/>
                      <w:lang w:val="en-US"/>
                    </w:rPr>
                    <w:t>本项目情况</w:t>
                  </w:r>
                </w:p>
              </w:tc>
              <w:tc>
                <w:tcPr>
                  <w:tcW w:w="655" w:type="pct"/>
                  <w:vAlign w:val="center"/>
                </w:tcPr>
                <w:p>
                  <w:pPr>
                    <w:pStyle w:val="83"/>
                    <w:spacing w:beforeLines="0" w:line="240" w:lineRule="auto"/>
                    <w:ind w:firstLine="0" w:firstLineChars="0"/>
                    <w:jc w:val="center"/>
                    <w:rPr>
                      <w:rFonts w:eastAsia="宋体"/>
                      <w:b/>
                      <w:bCs/>
                      <w:sz w:val="21"/>
                      <w:szCs w:val="21"/>
                      <w:lang w:val="en-US"/>
                    </w:rPr>
                  </w:pPr>
                  <w:r>
                    <w:rPr>
                      <w:rFonts w:hint="eastAsia" w:eastAsia="宋体"/>
                      <w:b/>
                      <w:bCs/>
                      <w:sz w:val="21"/>
                      <w:szCs w:val="21"/>
                      <w:lang w:val="en-US"/>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89" w:type="pct"/>
                  <w:vAlign w:val="center"/>
                </w:tcPr>
                <w:p>
                  <w:pPr>
                    <w:pStyle w:val="83"/>
                    <w:spacing w:beforeLines="0" w:line="240" w:lineRule="auto"/>
                    <w:ind w:firstLine="0" w:firstLineChars="0"/>
                    <w:jc w:val="center"/>
                    <w:rPr>
                      <w:rFonts w:eastAsia="宋体"/>
                      <w:sz w:val="21"/>
                      <w:szCs w:val="21"/>
                    </w:rPr>
                  </w:pPr>
                  <w:r>
                    <w:rPr>
                      <w:rFonts w:eastAsia="宋体"/>
                      <w:sz w:val="21"/>
                      <w:szCs w:val="21"/>
                    </w:rPr>
                    <w:t>1</w:t>
                  </w:r>
                </w:p>
              </w:tc>
              <w:tc>
                <w:tcPr>
                  <w:tcW w:w="2408" w:type="pct"/>
                  <w:vAlign w:val="center"/>
                </w:tcPr>
                <w:p>
                  <w:pPr>
                    <w:pStyle w:val="83"/>
                    <w:spacing w:beforeLines="0" w:line="240" w:lineRule="auto"/>
                    <w:ind w:firstLine="0" w:firstLineChars="0"/>
                    <w:rPr>
                      <w:rFonts w:eastAsia="宋体"/>
                      <w:sz w:val="21"/>
                      <w:szCs w:val="21"/>
                    </w:rPr>
                  </w:pPr>
                  <w:r>
                    <w:rPr>
                      <w:rFonts w:hint="eastAsia" w:eastAsia="宋体"/>
                      <w:sz w:val="21"/>
                      <w:szCs w:val="21"/>
                    </w:rPr>
                    <w:t>进一步优化空间布局，加强污染物排放控制和环境风险防控，不断提升资源能源利用效率，解决生态环境质量不达标、生态环境风险高等问题，实现减污降碳协同效应。</w:t>
                  </w:r>
                </w:p>
              </w:tc>
              <w:tc>
                <w:tcPr>
                  <w:tcW w:w="1448" w:type="pct"/>
                  <w:vAlign w:val="center"/>
                </w:tcPr>
                <w:p>
                  <w:pPr>
                    <w:widowControl/>
                    <w:adjustRightInd w:val="0"/>
                    <w:snapToGrid w:val="0"/>
                    <w:jc w:val="center"/>
                    <w:textAlignment w:val="center"/>
                    <w:rPr>
                      <w:szCs w:val="21"/>
                    </w:rPr>
                  </w:pPr>
                  <w:r>
                    <w:rPr>
                      <w:rFonts w:hint="eastAsia"/>
                      <w:szCs w:val="21"/>
                    </w:rPr>
                    <w:t>根据运营期环境影响分析，本项目污染物主要为颗粒物、二氧化硫、氮氧化物，需进行区域削减，通过处理后可以做到达标排放</w:t>
                  </w:r>
                </w:p>
              </w:tc>
              <w:tc>
                <w:tcPr>
                  <w:tcW w:w="655"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89" w:type="pct"/>
                  <w:vAlign w:val="center"/>
                </w:tcPr>
                <w:p>
                  <w:pPr>
                    <w:pStyle w:val="83"/>
                    <w:spacing w:beforeLines="0" w:line="240" w:lineRule="auto"/>
                    <w:ind w:firstLine="0" w:firstLineChars="0"/>
                    <w:jc w:val="center"/>
                    <w:rPr>
                      <w:rFonts w:eastAsia="宋体"/>
                      <w:sz w:val="21"/>
                      <w:szCs w:val="21"/>
                    </w:rPr>
                  </w:pPr>
                  <w:r>
                    <w:rPr>
                      <w:rFonts w:eastAsia="宋体"/>
                      <w:sz w:val="21"/>
                      <w:szCs w:val="21"/>
                    </w:rPr>
                    <w:t>2</w:t>
                  </w:r>
                </w:p>
              </w:tc>
              <w:tc>
                <w:tcPr>
                  <w:tcW w:w="2408" w:type="pct"/>
                  <w:vAlign w:val="center"/>
                </w:tcPr>
                <w:p>
                  <w:pPr>
                    <w:pStyle w:val="83"/>
                    <w:spacing w:beforeLines="0" w:line="240" w:lineRule="auto"/>
                    <w:ind w:firstLine="0" w:firstLineChars="0"/>
                    <w:jc w:val="center"/>
                    <w:rPr>
                      <w:rFonts w:eastAsia="宋体"/>
                      <w:sz w:val="21"/>
                      <w:szCs w:val="21"/>
                    </w:rPr>
                  </w:pPr>
                  <w:r>
                    <w:rPr>
                      <w:rFonts w:hint="eastAsia" w:eastAsia="宋体"/>
                      <w:sz w:val="21"/>
                      <w:szCs w:val="21"/>
                    </w:rPr>
                    <w:t>京津冀及周边地区和汾渭平原等国家大气污染联防联控重点区域，要加快调整优化产业结构、能源结构，严禁新增钢铁、焦化、铸造、水泥、平板玻璃等产能，要加快实施城市规划区“两高”企业搬迁，完善能源消费双控制度。</w:t>
                  </w:r>
                </w:p>
              </w:tc>
              <w:tc>
                <w:tcPr>
                  <w:tcW w:w="144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本项目不属于钢铁、焦化、铸造、水泥、平板玻璃等行业</w:t>
                  </w:r>
                </w:p>
              </w:tc>
              <w:tc>
                <w:tcPr>
                  <w:tcW w:w="655"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89" w:type="pct"/>
                  <w:vAlign w:val="center"/>
                </w:tcPr>
                <w:p>
                  <w:pPr>
                    <w:pStyle w:val="83"/>
                    <w:spacing w:beforeLines="0" w:line="240" w:lineRule="auto"/>
                    <w:ind w:firstLine="0" w:firstLineChars="0"/>
                    <w:jc w:val="center"/>
                    <w:rPr>
                      <w:rFonts w:eastAsia="宋体"/>
                      <w:sz w:val="21"/>
                      <w:szCs w:val="21"/>
                    </w:rPr>
                  </w:pPr>
                  <w:r>
                    <w:rPr>
                      <w:rFonts w:eastAsia="宋体"/>
                      <w:sz w:val="21"/>
                      <w:szCs w:val="21"/>
                    </w:rPr>
                    <w:t>3</w:t>
                  </w:r>
                </w:p>
              </w:tc>
              <w:tc>
                <w:tcPr>
                  <w:tcW w:w="240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rPr>
                    <w:t>实施企业绩效分级分类管控，强化联防联控，持续推进清洁取暖散煤治理，严防“散乱污”企业反弹，积极应对重污染天气。</w:t>
                  </w:r>
                </w:p>
              </w:tc>
              <w:tc>
                <w:tcPr>
                  <w:tcW w:w="144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本项目产生的污染物通过治理后，均做到达标排放或合理处置，因此不属于“</w:t>
                  </w:r>
                  <w:r>
                    <w:rPr>
                      <w:rFonts w:hint="eastAsia" w:eastAsia="宋体"/>
                      <w:sz w:val="21"/>
                      <w:szCs w:val="21"/>
                    </w:rPr>
                    <w:t>散乱污</w:t>
                  </w:r>
                  <w:r>
                    <w:rPr>
                      <w:rFonts w:hint="eastAsia" w:eastAsia="宋体"/>
                      <w:sz w:val="21"/>
                      <w:szCs w:val="21"/>
                      <w:lang w:val="en-US"/>
                    </w:rPr>
                    <w:t>”企业</w:t>
                  </w:r>
                </w:p>
              </w:tc>
              <w:tc>
                <w:tcPr>
                  <w:tcW w:w="655"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89" w:type="pct"/>
                  <w:vAlign w:val="center"/>
                </w:tcPr>
                <w:p>
                  <w:pPr>
                    <w:pStyle w:val="83"/>
                    <w:spacing w:beforeLines="0" w:line="240" w:lineRule="auto"/>
                    <w:ind w:firstLine="0" w:firstLineChars="0"/>
                    <w:jc w:val="center"/>
                    <w:rPr>
                      <w:rFonts w:eastAsia="宋体"/>
                      <w:sz w:val="21"/>
                      <w:szCs w:val="21"/>
                    </w:rPr>
                  </w:pPr>
                  <w:r>
                    <w:rPr>
                      <w:rFonts w:eastAsia="宋体"/>
                      <w:sz w:val="21"/>
                      <w:szCs w:val="21"/>
                    </w:rPr>
                    <w:t>4</w:t>
                  </w:r>
                </w:p>
              </w:tc>
              <w:tc>
                <w:tcPr>
                  <w:tcW w:w="240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rPr>
                    <w:t>太原及周边“1+30”汾河谷地区域在执行京津冀及周边地区和汾渭平原区域管控要求基础上，以资源环境承载力为约束，全面推进现有焦化、化工、钢铁、有色等重污染行业企业逐步退出城市规划区和县城建成区，推动焦化产能向资源禀赋好、环境承载力强、大气扩散条件优、铁路运输便利的区域转移。</w:t>
                  </w:r>
                </w:p>
              </w:tc>
              <w:tc>
                <w:tcPr>
                  <w:tcW w:w="144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不涉及</w:t>
                  </w:r>
                </w:p>
              </w:tc>
              <w:tc>
                <w:tcPr>
                  <w:tcW w:w="655"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89" w:type="pct"/>
                  <w:vAlign w:val="center"/>
                </w:tcPr>
                <w:p>
                  <w:pPr>
                    <w:pStyle w:val="83"/>
                    <w:spacing w:beforeLines="0" w:line="240" w:lineRule="auto"/>
                    <w:ind w:firstLine="0" w:firstLineChars="0"/>
                    <w:jc w:val="center"/>
                    <w:rPr>
                      <w:rFonts w:eastAsia="宋体"/>
                      <w:sz w:val="21"/>
                      <w:szCs w:val="21"/>
                    </w:rPr>
                  </w:pPr>
                  <w:r>
                    <w:rPr>
                      <w:rFonts w:eastAsia="宋体"/>
                      <w:sz w:val="21"/>
                      <w:szCs w:val="21"/>
                    </w:rPr>
                    <w:t>5</w:t>
                  </w:r>
                </w:p>
              </w:tc>
              <w:tc>
                <w:tcPr>
                  <w:tcW w:w="2408" w:type="pct"/>
                  <w:vAlign w:val="center"/>
                </w:tcPr>
                <w:p>
                  <w:pPr>
                    <w:pStyle w:val="83"/>
                    <w:spacing w:beforeLines="0" w:line="240" w:lineRule="auto"/>
                    <w:ind w:firstLine="0" w:firstLineChars="0"/>
                    <w:jc w:val="center"/>
                    <w:rPr>
                      <w:rFonts w:eastAsia="宋体"/>
                      <w:sz w:val="21"/>
                      <w:szCs w:val="21"/>
                    </w:rPr>
                  </w:pPr>
                  <w:r>
                    <w:rPr>
                      <w:rFonts w:hint="eastAsia" w:eastAsia="宋体"/>
                      <w:sz w:val="21"/>
                      <w:szCs w:val="21"/>
                    </w:rPr>
                    <w:t>鼓励焦化、化工等传统产业实施“飞地经济”。</w:t>
                  </w:r>
                </w:p>
              </w:tc>
              <w:tc>
                <w:tcPr>
                  <w:tcW w:w="144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不涉及</w:t>
                  </w:r>
                </w:p>
              </w:tc>
              <w:tc>
                <w:tcPr>
                  <w:tcW w:w="655"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89" w:type="pct"/>
                  <w:vAlign w:val="center"/>
                </w:tcPr>
                <w:p>
                  <w:pPr>
                    <w:pStyle w:val="83"/>
                    <w:spacing w:beforeLines="0" w:line="240" w:lineRule="auto"/>
                    <w:ind w:firstLine="0" w:firstLineChars="0"/>
                    <w:jc w:val="center"/>
                    <w:rPr>
                      <w:rFonts w:eastAsia="宋体"/>
                      <w:sz w:val="21"/>
                      <w:szCs w:val="21"/>
                    </w:rPr>
                  </w:pPr>
                  <w:r>
                    <w:rPr>
                      <w:rFonts w:eastAsia="宋体"/>
                      <w:sz w:val="21"/>
                      <w:szCs w:val="21"/>
                    </w:rPr>
                    <w:t>6</w:t>
                  </w:r>
                </w:p>
              </w:tc>
              <w:tc>
                <w:tcPr>
                  <w:tcW w:w="2408" w:type="pct"/>
                  <w:vAlign w:val="center"/>
                </w:tcPr>
                <w:p>
                  <w:pPr>
                    <w:pStyle w:val="83"/>
                    <w:spacing w:beforeLines="0" w:line="240" w:lineRule="auto"/>
                    <w:ind w:firstLine="0" w:firstLineChars="0"/>
                    <w:jc w:val="center"/>
                    <w:rPr>
                      <w:rFonts w:eastAsia="宋体"/>
                      <w:sz w:val="21"/>
                      <w:szCs w:val="21"/>
                    </w:rPr>
                  </w:pPr>
                  <w:r>
                    <w:rPr>
                      <w:rFonts w:hint="eastAsia" w:eastAsia="宋体"/>
                      <w:sz w:val="21"/>
                      <w:szCs w:val="21"/>
                    </w:rPr>
                    <w:t>汾河流域加强流域上下游左右岸污染统筹治理，严格入河排污口设置，实施汾河入河排污总量控制，积极推行流域城镇生活污水处理“厂一网一河(湖)”一体化运营模式，大力推进工业废水近零排放和资源化利用，实施城镇生活再生水资源化分质利用。</w:t>
                  </w:r>
                </w:p>
              </w:tc>
              <w:tc>
                <w:tcPr>
                  <w:tcW w:w="1448"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本项目不涉及废水外排口</w:t>
                  </w:r>
                </w:p>
              </w:tc>
              <w:tc>
                <w:tcPr>
                  <w:tcW w:w="655" w:type="pct"/>
                  <w:vAlign w:val="center"/>
                </w:tcPr>
                <w:p>
                  <w:pPr>
                    <w:pStyle w:val="83"/>
                    <w:spacing w:beforeLines="0" w:line="240" w:lineRule="auto"/>
                    <w:ind w:firstLine="0" w:firstLineChars="0"/>
                    <w:jc w:val="center"/>
                    <w:rPr>
                      <w:rFonts w:eastAsia="宋体"/>
                      <w:sz w:val="21"/>
                      <w:szCs w:val="21"/>
                      <w:lang w:val="en-US"/>
                    </w:rPr>
                  </w:pPr>
                  <w:r>
                    <w:rPr>
                      <w:rFonts w:hint="eastAsia" w:eastAsia="宋体"/>
                      <w:sz w:val="21"/>
                      <w:szCs w:val="21"/>
                      <w:lang w:val="en-US"/>
                    </w:rPr>
                    <w:t>符合</w:t>
                  </w:r>
                </w:p>
              </w:tc>
            </w:tr>
          </w:tbl>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sz w:val="24"/>
                <w:szCs w:val="24"/>
              </w:rPr>
              <w:t>根据《运城市人民政府关于印发运城市“三线一单”生态环境分区管控实施方案的通知》，本项目位于重点管控单元内，项目与</w:t>
            </w:r>
            <w:r>
              <w:rPr>
                <w:rFonts w:ascii="Times New Roman"/>
                <w:sz w:val="24"/>
                <w:szCs w:val="24"/>
              </w:rPr>
              <w:t>《</w:t>
            </w:r>
            <w:r>
              <w:rPr>
                <w:rFonts w:hint="eastAsia" w:ascii="Times New Roman"/>
                <w:sz w:val="24"/>
                <w:szCs w:val="24"/>
              </w:rPr>
              <w:t>运城市人民政府关于印发运城市“三线一单”</w:t>
            </w:r>
            <w:r>
              <w:rPr>
                <w:rFonts w:ascii="Times New Roman"/>
                <w:sz w:val="24"/>
                <w:szCs w:val="24"/>
              </w:rPr>
              <w:t>生态环境分区管控</w:t>
            </w:r>
            <w:r>
              <w:rPr>
                <w:rFonts w:hint="eastAsia" w:ascii="Times New Roman"/>
                <w:sz w:val="24"/>
                <w:szCs w:val="24"/>
              </w:rPr>
              <w:t>实施方案的通知</w:t>
            </w:r>
            <w:r>
              <w:rPr>
                <w:rFonts w:ascii="Times New Roman"/>
                <w:sz w:val="24"/>
                <w:szCs w:val="24"/>
              </w:rPr>
              <w:t>》</w:t>
            </w:r>
            <w:r>
              <w:rPr>
                <w:rFonts w:hint="eastAsia" w:ascii="Times New Roman"/>
                <w:sz w:val="24"/>
                <w:szCs w:val="24"/>
              </w:rPr>
              <w:t>符合性分析见表1-3。</w:t>
            </w:r>
            <w:r>
              <w:rPr>
                <w:rFonts w:ascii="Times New Roman"/>
                <w:sz w:val="24"/>
                <w:szCs w:val="24"/>
              </w:rPr>
              <w:t xml:space="preserve"> </w:t>
            </w:r>
          </w:p>
          <w:p>
            <w:pPr>
              <w:widowControl/>
              <w:tabs>
                <w:tab w:val="left" w:pos="2660"/>
              </w:tabs>
              <w:snapToGrid w:val="0"/>
              <w:jc w:val="center"/>
              <w:textAlignment w:val="baseline"/>
              <w:rPr>
                <w:b/>
                <w:bCs/>
                <w:szCs w:val="21"/>
              </w:rPr>
            </w:pPr>
            <w:r>
              <w:rPr>
                <w:b/>
                <w:bCs/>
                <w:szCs w:val="21"/>
              </w:rPr>
              <w:t>表1-</w:t>
            </w:r>
            <w:r>
              <w:rPr>
                <w:rFonts w:hint="eastAsia"/>
                <w:b/>
                <w:bCs/>
                <w:szCs w:val="21"/>
              </w:rPr>
              <w:t>4</w:t>
            </w:r>
            <w:r>
              <w:rPr>
                <w:b/>
                <w:bCs/>
                <w:szCs w:val="21"/>
              </w:rPr>
              <w:t>项目与运城市人民政府关于印发运城市“三线一单”生态环境分区管控实施方案的通知符合性一览表</w:t>
            </w:r>
          </w:p>
          <w:tbl>
            <w:tblPr>
              <w:tblStyle w:val="2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2"/>
              <w:gridCol w:w="1647"/>
              <w:gridCol w:w="72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17" w:type="pct"/>
                  <w:vAlign w:val="center"/>
                </w:tcPr>
                <w:p>
                  <w:pPr>
                    <w:snapToGrid w:val="0"/>
                    <w:jc w:val="center"/>
                    <w:rPr>
                      <w:b/>
                      <w:bCs/>
                      <w:szCs w:val="21"/>
                    </w:rPr>
                  </w:pPr>
                  <w:r>
                    <w:rPr>
                      <w:rFonts w:hint="eastAsia"/>
                      <w:b/>
                      <w:bCs/>
                      <w:spacing w:val="4"/>
                      <w:szCs w:val="21"/>
                    </w:rPr>
                    <w:t>重点管控单元要求</w:t>
                  </w:r>
                </w:p>
              </w:tc>
              <w:tc>
                <w:tcPr>
                  <w:tcW w:w="1240" w:type="pct"/>
                  <w:vAlign w:val="center"/>
                </w:tcPr>
                <w:p>
                  <w:pPr>
                    <w:snapToGrid w:val="0"/>
                    <w:jc w:val="center"/>
                    <w:rPr>
                      <w:b/>
                      <w:bCs/>
                      <w:szCs w:val="21"/>
                    </w:rPr>
                  </w:pPr>
                  <w:r>
                    <w:rPr>
                      <w:rFonts w:hint="eastAsia"/>
                      <w:b/>
                      <w:bCs/>
                      <w:szCs w:val="21"/>
                    </w:rPr>
                    <w:t>本项目情况</w:t>
                  </w:r>
                </w:p>
              </w:tc>
              <w:tc>
                <w:tcPr>
                  <w:tcW w:w="542" w:type="pct"/>
                  <w:vAlign w:val="center"/>
                </w:tcPr>
                <w:p>
                  <w:pPr>
                    <w:snapToGrid w:val="0"/>
                    <w:jc w:val="center"/>
                    <w:rPr>
                      <w:b/>
                      <w:bCs/>
                      <w:szCs w:val="21"/>
                    </w:rPr>
                  </w:pPr>
                  <w:r>
                    <w:rPr>
                      <w:rFonts w:hint="eastAsia"/>
                      <w:b/>
                      <w:bCs/>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17" w:type="pct"/>
                  <w:vAlign w:val="center"/>
                </w:tcPr>
                <w:p>
                  <w:pPr>
                    <w:autoSpaceDE w:val="0"/>
                    <w:adjustRightInd w:val="0"/>
                    <w:snapToGrid w:val="0"/>
                    <w:jc w:val="center"/>
                    <w:rPr>
                      <w:szCs w:val="21"/>
                    </w:rPr>
                  </w:pPr>
                  <w:r>
                    <w:rPr>
                      <w:spacing w:val="4"/>
                      <w:szCs w:val="21"/>
                    </w:rPr>
                    <w:t>进一步优化空间布局，加强污染物排放控制和环境风险防控，不断提升资源能源利用效率，解决生态环境质量不达标、生态环境风险高等问题，实现减污降碳协同效应</w:t>
                  </w:r>
                </w:p>
              </w:tc>
              <w:tc>
                <w:tcPr>
                  <w:tcW w:w="1240" w:type="pct"/>
                  <w:vAlign w:val="center"/>
                </w:tcPr>
                <w:p>
                  <w:pPr>
                    <w:wordWrap w:val="0"/>
                    <w:jc w:val="center"/>
                    <w:rPr>
                      <w:szCs w:val="21"/>
                    </w:rPr>
                  </w:pPr>
                  <w:r>
                    <w:rPr>
                      <w:szCs w:val="21"/>
                    </w:rPr>
                    <w:t>本项目在采取规定的环保措施后，废气可做到达标排放，</w:t>
                  </w:r>
                  <w:r>
                    <w:rPr>
                      <w:rFonts w:hint="eastAsia"/>
                      <w:szCs w:val="21"/>
                    </w:rPr>
                    <w:t>且需要进行区域削减，不涉及废水的排放</w:t>
                  </w:r>
                </w:p>
              </w:tc>
              <w:tc>
                <w:tcPr>
                  <w:tcW w:w="542" w:type="pct"/>
                  <w:vAlign w:val="center"/>
                </w:tcPr>
                <w:p>
                  <w:pPr>
                    <w:snapToGrid w:val="0"/>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17" w:type="pct"/>
                  <w:vAlign w:val="center"/>
                </w:tcPr>
                <w:p>
                  <w:pPr>
                    <w:autoSpaceDE w:val="0"/>
                    <w:adjustRightInd w:val="0"/>
                    <w:snapToGrid w:val="0"/>
                    <w:jc w:val="center"/>
                    <w:rPr>
                      <w:szCs w:val="21"/>
                    </w:rPr>
                  </w:pPr>
                  <w:r>
                    <w:rPr>
                      <w:rFonts w:hint="eastAsia"/>
                      <w:spacing w:val="4"/>
                      <w:szCs w:val="21"/>
                    </w:rPr>
                    <w:t>优化完善区域产业布局，合理布局各类工业项目。结合工业园区和工业集聚区的功能定位和主导产业，建立差别化的产业准入条件。加快调整优化产业结构、能源结构，严禁新增钢铁、焦化、铸造、电解铝、水泥、平板玻璃等产能；确有必要新建的，要严格执行产能置换实施办法。在满足产业准入、总量控制、排放标准等管理制度要求的前提下，逐步推行工业项目进驻工业园区或聚集区，实现集约高效发展</w:t>
                  </w:r>
                </w:p>
              </w:tc>
              <w:tc>
                <w:tcPr>
                  <w:tcW w:w="1240" w:type="pct"/>
                  <w:vAlign w:val="center"/>
                </w:tcPr>
                <w:p>
                  <w:pPr>
                    <w:snapToGrid w:val="0"/>
                    <w:jc w:val="center"/>
                    <w:rPr>
                      <w:szCs w:val="21"/>
                    </w:rPr>
                  </w:pPr>
                  <w:r>
                    <w:rPr>
                      <w:rFonts w:hint="eastAsia"/>
                      <w:szCs w:val="21"/>
                    </w:rPr>
                    <w:t>项目不涉及钢铁、焦化、铸造、电解铝、水泥、平板玻璃等</w:t>
                  </w:r>
                </w:p>
              </w:tc>
              <w:tc>
                <w:tcPr>
                  <w:tcW w:w="542" w:type="pct"/>
                  <w:vAlign w:val="center"/>
                </w:tcPr>
                <w:p>
                  <w:pPr>
                    <w:snapToGrid w:val="0"/>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17" w:type="pct"/>
                  <w:vAlign w:val="center"/>
                </w:tcPr>
                <w:p>
                  <w:pPr>
                    <w:autoSpaceDE w:val="0"/>
                    <w:adjustRightInd w:val="0"/>
                    <w:snapToGrid w:val="0"/>
                    <w:jc w:val="center"/>
                    <w:rPr>
                      <w:szCs w:val="21"/>
                    </w:rPr>
                  </w:pPr>
                  <w:r>
                    <w:rPr>
                      <w:rFonts w:hint="eastAsia"/>
                      <w:spacing w:val="4"/>
                      <w:szCs w:val="21"/>
                    </w:rPr>
                    <w:t>严格实施污染物总量控制制度，强化不达标区污染物排放总量消减，实现区域环境质量改善目标。实施企业绩效分级管控，持续推进清洁取暖和燃煤治理，积极应对重污染天气。加快污水收集处理设施建设与提质增效，逐步完善城乡污水收集管网，实施雨污分流改造。大力推进工业废水近零排放和资源化利用，实施城镇生活再生水资源化分质利用。</w:t>
                  </w:r>
                </w:p>
              </w:tc>
              <w:tc>
                <w:tcPr>
                  <w:tcW w:w="1240" w:type="pct"/>
                  <w:vAlign w:val="center"/>
                </w:tcPr>
                <w:p>
                  <w:pPr>
                    <w:snapToGrid w:val="0"/>
                    <w:jc w:val="center"/>
                    <w:rPr>
                      <w:szCs w:val="21"/>
                    </w:rPr>
                  </w:pPr>
                  <w:r>
                    <w:rPr>
                      <w:rFonts w:hint="eastAsia"/>
                      <w:szCs w:val="21"/>
                    </w:rPr>
                    <w:t>项目废气污染物主要为烟尘、二氧化硫、氮氧化物，可以做到达标排放，在采取区域削减后，对现有环境空气质量影响较小</w:t>
                  </w:r>
                </w:p>
              </w:tc>
              <w:tc>
                <w:tcPr>
                  <w:tcW w:w="542" w:type="pct"/>
                  <w:vAlign w:val="center"/>
                </w:tcPr>
                <w:p>
                  <w:pPr>
                    <w:snapToGrid w:val="0"/>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17" w:type="pct"/>
                  <w:vAlign w:val="center"/>
                </w:tcPr>
                <w:p>
                  <w:pPr>
                    <w:autoSpaceDE w:val="0"/>
                    <w:adjustRightInd w:val="0"/>
                    <w:snapToGrid w:val="0"/>
                    <w:jc w:val="center"/>
                    <w:rPr>
                      <w:szCs w:val="21"/>
                    </w:rPr>
                  </w:pPr>
                  <w:r>
                    <w:rPr>
                      <w:rFonts w:hint="eastAsia"/>
                      <w:spacing w:val="4"/>
                      <w:szCs w:val="21"/>
                    </w:rPr>
                    <w:t>加强风险防控体系建设，强化工业园区和聚集区内企业环境风险防范设施建设和正常运行监管，加强重点环境风险监控企业应急预案制定，建立常态化的企业隐患排查整治监管机制</w:t>
                  </w:r>
                </w:p>
              </w:tc>
              <w:tc>
                <w:tcPr>
                  <w:tcW w:w="1240" w:type="pct"/>
                  <w:vAlign w:val="center"/>
                </w:tcPr>
                <w:p>
                  <w:pPr>
                    <w:snapToGrid w:val="0"/>
                    <w:jc w:val="center"/>
                    <w:rPr>
                      <w:szCs w:val="21"/>
                    </w:rPr>
                  </w:pPr>
                  <w:r>
                    <w:rPr>
                      <w:rFonts w:hint="eastAsia"/>
                      <w:szCs w:val="21"/>
                    </w:rPr>
                    <w:t>本项目不涉及</w:t>
                  </w:r>
                </w:p>
              </w:tc>
              <w:tc>
                <w:tcPr>
                  <w:tcW w:w="542" w:type="pct"/>
                  <w:vAlign w:val="center"/>
                </w:tcPr>
                <w:p>
                  <w:pPr>
                    <w:snapToGrid w:val="0"/>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17" w:type="pct"/>
                  <w:vAlign w:val="center"/>
                </w:tcPr>
                <w:p>
                  <w:pPr>
                    <w:autoSpaceDE w:val="0"/>
                    <w:adjustRightInd w:val="0"/>
                    <w:snapToGrid w:val="0"/>
                    <w:jc w:val="center"/>
                    <w:rPr>
                      <w:szCs w:val="21"/>
                    </w:rPr>
                  </w:pPr>
                  <w:r>
                    <w:rPr>
                      <w:rFonts w:hint="eastAsia"/>
                      <w:spacing w:val="4"/>
                      <w:szCs w:val="21"/>
                    </w:rPr>
                    <w:t>推进工业园区和聚集区生态化改造，强化企业清洁生产改造，推进节水型企业、节水型工业园区建设，落实煤炭消费减量替代要求，鼓励使用清洁能源，提高资源能源利用效率</w:t>
                  </w:r>
                  <w:r>
                    <w:rPr>
                      <w:spacing w:val="4"/>
                      <w:szCs w:val="21"/>
                    </w:rPr>
                    <w:t>。</w:t>
                  </w:r>
                </w:p>
              </w:tc>
              <w:tc>
                <w:tcPr>
                  <w:tcW w:w="1240" w:type="pct"/>
                  <w:vAlign w:val="center"/>
                </w:tcPr>
                <w:p>
                  <w:pPr>
                    <w:snapToGrid w:val="0"/>
                    <w:jc w:val="center"/>
                    <w:rPr>
                      <w:szCs w:val="21"/>
                    </w:rPr>
                  </w:pPr>
                  <w:r>
                    <w:rPr>
                      <w:rFonts w:hint="eastAsia"/>
                      <w:szCs w:val="21"/>
                    </w:rPr>
                    <w:t>本项目不涉及煤炭的使用</w:t>
                  </w:r>
                </w:p>
              </w:tc>
              <w:tc>
                <w:tcPr>
                  <w:tcW w:w="542" w:type="pct"/>
                  <w:vAlign w:val="center"/>
                </w:tcPr>
                <w:p>
                  <w:pPr>
                    <w:snapToGrid w:val="0"/>
                    <w:jc w:val="center"/>
                    <w:rPr>
                      <w:szCs w:val="21"/>
                    </w:rPr>
                  </w:pPr>
                  <w:r>
                    <w:rPr>
                      <w:rFonts w:hint="eastAsia"/>
                      <w:szCs w:val="21"/>
                    </w:rPr>
                    <w:t>符合</w:t>
                  </w:r>
                </w:p>
              </w:tc>
            </w:tr>
          </w:tbl>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2）环境质量底线</w:t>
            </w:r>
          </w:p>
          <w:p>
            <w:pPr>
              <w:pStyle w:val="58"/>
              <w:spacing w:line="360" w:lineRule="auto"/>
              <w:rPr>
                <w:sz w:val="24"/>
              </w:rPr>
            </w:pPr>
            <w:r>
              <w:rPr>
                <w:sz w:val="24"/>
              </w:rPr>
              <w:t>本项目收集了</w:t>
            </w:r>
            <w:r>
              <w:rPr>
                <w:rFonts w:hint="eastAsia"/>
                <w:sz w:val="24"/>
              </w:rPr>
              <w:t>万荣县</w:t>
            </w:r>
            <w:r>
              <w:rPr>
                <w:sz w:val="24"/>
              </w:rPr>
              <w:t>202</w:t>
            </w:r>
            <w:r>
              <w:rPr>
                <w:rFonts w:hint="eastAsia"/>
                <w:sz w:val="24"/>
              </w:rPr>
              <w:t>2</w:t>
            </w:r>
            <w:r>
              <w:rPr>
                <w:sz w:val="24"/>
              </w:rPr>
              <w:t>年的例行监测资料，根据监测数据可以看出，</w:t>
            </w:r>
            <w:r>
              <w:rPr>
                <w:rFonts w:hAnsi="MS PMincho" w:eastAsia="MS PMincho"/>
                <w:sz w:val="24"/>
              </w:rPr>
              <w:t>本次</w:t>
            </w:r>
            <w:r>
              <w:rPr>
                <w:rFonts w:hAnsi="MS PMincho"/>
                <w:sz w:val="24"/>
              </w:rPr>
              <w:t>评</w:t>
            </w:r>
            <w:r>
              <w:rPr>
                <w:rFonts w:hAnsi="MS PMincho" w:eastAsia="MS PMincho"/>
                <w:sz w:val="24"/>
              </w:rPr>
              <w:t>价收集了</w:t>
            </w:r>
            <w:r>
              <w:rPr>
                <w:rFonts w:eastAsia="MS PMincho"/>
                <w:sz w:val="24"/>
              </w:rPr>
              <w:t>2022</w:t>
            </w:r>
            <w:r>
              <w:rPr>
                <w:rFonts w:hAnsi="MS PMincho" w:eastAsia="MS PMincho"/>
                <w:sz w:val="24"/>
              </w:rPr>
              <w:t>万荣</w:t>
            </w:r>
            <w:r>
              <w:rPr>
                <w:rFonts w:hAnsi="MS PMincho"/>
                <w:sz w:val="24"/>
              </w:rPr>
              <w:t>县环</w:t>
            </w:r>
            <w:r>
              <w:rPr>
                <w:rFonts w:hAnsi="MS PMincho" w:eastAsia="MS PMincho"/>
                <w:sz w:val="24"/>
              </w:rPr>
              <w:t>境空气</w:t>
            </w:r>
            <w:r>
              <w:rPr>
                <w:rFonts w:hAnsi="MS PMincho"/>
                <w:sz w:val="24"/>
              </w:rPr>
              <w:t>质</w:t>
            </w:r>
            <w:r>
              <w:rPr>
                <w:rFonts w:hAnsi="MS PMincho" w:eastAsia="MS PMincho"/>
                <w:sz w:val="24"/>
              </w:rPr>
              <w:t>量</w:t>
            </w:r>
            <w:r>
              <w:rPr>
                <w:rFonts w:hAnsi="MS PMincho"/>
                <w:sz w:val="24"/>
              </w:rPr>
              <w:t>现</w:t>
            </w:r>
            <w:r>
              <w:rPr>
                <w:rFonts w:hAnsi="MS PMincho" w:eastAsia="MS PMincho"/>
                <w:sz w:val="24"/>
              </w:rPr>
              <w:t>状</w:t>
            </w:r>
            <w:r>
              <w:rPr>
                <w:rFonts w:hAnsi="MS PMincho"/>
                <w:sz w:val="24"/>
              </w:rPr>
              <w:t>监测</w:t>
            </w:r>
            <w:r>
              <w:rPr>
                <w:rFonts w:hAnsi="MS PMincho" w:eastAsia="MS PMincho"/>
                <w:sz w:val="24"/>
              </w:rPr>
              <w:t>数据，</w:t>
            </w:r>
            <w:r>
              <w:rPr>
                <w:rFonts w:hAnsi="MS PMincho"/>
                <w:sz w:val="24"/>
              </w:rPr>
              <w:t>评</w:t>
            </w:r>
            <w:r>
              <w:rPr>
                <w:rFonts w:hAnsi="MS PMincho" w:eastAsia="MS PMincho"/>
                <w:sz w:val="24"/>
              </w:rPr>
              <w:t>价区</w:t>
            </w:r>
            <w:r>
              <w:rPr>
                <w:rFonts w:hAnsi="MS PMincho"/>
                <w:sz w:val="24"/>
              </w:rPr>
              <w:t>环</w:t>
            </w:r>
            <w:r>
              <w:rPr>
                <w:rFonts w:hAnsi="MS PMincho" w:eastAsia="MS PMincho"/>
                <w:sz w:val="24"/>
              </w:rPr>
              <w:t>境空气</w:t>
            </w:r>
            <w:r>
              <w:rPr>
                <w:rFonts w:hAnsi="MS PMincho"/>
                <w:sz w:val="24"/>
              </w:rPr>
              <w:t>质</w:t>
            </w:r>
            <w:r>
              <w:rPr>
                <w:rFonts w:hAnsi="MS PMincho" w:eastAsia="MS PMincho"/>
                <w:sz w:val="24"/>
              </w:rPr>
              <w:t>量</w:t>
            </w:r>
            <w:r>
              <w:rPr>
                <w:rFonts w:eastAsia="MS PMincho"/>
                <w:sz w:val="24"/>
              </w:rPr>
              <w:t>SO</w:t>
            </w:r>
            <w:r>
              <w:rPr>
                <w:rFonts w:eastAsia="MS PMincho"/>
                <w:sz w:val="24"/>
                <w:vertAlign w:val="subscript"/>
              </w:rPr>
              <w:t>2</w:t>
            </w:r>
            <w:r>
              <w:rPr>
                <w:rFonts w:hAnsi="MS PMincho" w:eastAsia="MS PMincho"/>
                <w:sz w:val="24"/>
              </w:rPr>
              <w:t>年均</w:t>
            </w:r>
            <w:r>
              <w:rPr>
                <w:rFonts w:hAnsi="MS PMincho"/>
                <w:sz w:val="24"/>
              </w:rPr>
              <w:t>值</w:t>
            </w:r>
            <w:r>
              <w:rPr>
                <w:rFonts w:hAnsi="MS PMincho" w:eastAsia="MS PMincho"/>
                <w:sz w:val="24"/>
              </w:rPr>
              <w:t>、</w:t>
            </w:r>
            <w:r>
              <w:rPr>
                <w:rFonts w:eastAsia="MS PMincho"/>
                <w:sz w:val="24"/>
              </w:rPr>
              <w:t>NO</w:t>
            </w:r>
            <w:r>
              <w:rPr>
                <w:rFonts w:eastAsia="MS PMincho"/>
                <w:sz w:val="24"/>
                <w:vertAlign w:val="subscript"/>
              </w:rPr>
              <w:t>2</w:t>
            </w:r>
            <w:r>
              <w:rPr>
                <w:rFonts w:hAnsi="MS PMincho" w:eastAsia="MS PMincho"/>
                <w:sz w:val="24"/>
              </w:rPr>
              <w:t>年均</w:t>
            </w:r>
            <w:r>
              <w:rPr>
                <w:rFonts w:hAnsi="MS PMincho"/>
                <w:sz w:val="24"/>
              </w:rPr>
              <w:t>值</w:t>
            </w:r>
            <w:r>
              <w:rPr>
                <w:rFonts w:hAnsi="MS PMincho" w:eastAsia="MS PMincho"/>
                <w:sz w:val="24"/>
              </w:rPr>
              <w:t>、</w:t>
            </w:r>
            <w:r>
              <w:rPr>
                <w:rFonts w:eastAsia="MS PMincho"/>
                <w:sz w:val="24"/>
              </w:rPr>
              <w:t>CO</w:t>
            </w:r>
            <w:r>
              <w:rPr>
                <w:rFonts w:hAnsi="MS PMincho" w:eastAsia="MS PMincho"/>
                <w:sz w:val="24"/>
              </w:rPr>
              <w:t>第</w:t>
            </w:r>
            <w:r>
              <w:rPr>
                <w:rFonts w:eastAsia="MS PMincho"/>
                <w:sz w:val="24"/>
              </w:rPr>
              <w:t>95</w:t>
            </w:r>
            <w:r>
              <w:rPr>
                <w:rFonts w:hAnsi="MS PMincho" w:eastAsia="MS PMincho"/>
                <w:sz w:val="24"/>
              </w:rPr>
              <w:t>百分位数</w:t>
            </w:r>
            <w:r>
              <w:rPr>
                <w:rFonts w:eastAsia="MS PMincho"/>
                <w:sz w:val="24"/>
              </w:rPr>
              <w:t>24h</w:t>
            </w:r>
            <w:r>
              <w:rPr>
                <w:rFonts w:hAnsi="MS PMincho" w:eastAsia="MS PMincho"/>
                <w:sz w:val="24"/>
              </w:rPr>
              <w:t>平均</w:t>
            </w:r>
            <w:r>
              <w:rPr>
                <w:rFonts w:hAnsi="MS PMincho"/>
                <w:sz w:val="24"/>
              </w:rPr>
              <w:t>质</w:t>
            </w:r>
            <w:r>
              <w:rPr>
                <w:rFonts w:hAnsi="MS PMincho" w:eastAsia="MS PMincho"/>
                <w:sz w:val="24"/>
              </w:rPr>
              <w:t>量</w:t>
            </w:r>
            <w:r>
              <w:rPr>
                <w:rFonts w:hAnsi="MS PMincho"/>
                <w:sz w:val="24"/>
              </w:rPr>
              <w:t>浓</w:t>
            </w:r>
            <w:r>
              <w:rPr>
                <w:rFonts w:hAnsi="MS PMincho" w:eastAsia="MS PMincho"/>
                <w:sz w:val="24"/>
              </w:rPr>
              <w:t>度能</w:t>
            </w:r>
            <w:r>
              <w:rPr>
                <w:rFonts w:hAnsi="MS PMincho"/>
                <w:sz w:val="24"/>
              </w:rPr>
              <w:t>够满</w:t>
            </w:r>
            <w:r>
              <w:rPr>
                <w:rFonts w:hAnsi="MS PMincho" w:eastAsia="MS PMincho"/>
                <w:sz w:val="24"/>
              </w:rPr>
              <w:t>足（</w:t>
            </w:r>
            <w:r>
              <w:rPr>
                <w:rFonts w:eastAsia="MS PMincho"/>
                <w:sz w:val="24"/>
              </w:rPr>
              <w:t>GB3095-2012</w:t>
            </w:r>
            <w:r>
              <w:rPr>
                <w:rFonts w:hAnsi="MS PMincho" w:eastAsia="MS PMincho"/>
                <w:sz w:val="24"/>
              </w:rPr>
              <w:t>）《</w:t>
            </w:r>
            <w:r>
              <w:rPr>
                <w:rFonts w:hAnsi="MS PMincho"/>
                <w:sz w:val="24"/>
              </w:rPr>
              <w:t>环</w:t>
            </w:r>
            <w:r>
              <w:rPr>
                <w:rFonts w:hAnsi="MS PMincho" w:eastAsia="MS PMincho"/>
                <w:sz w:val="24"/>
              </w:rPr>
              <w:t>境空气</w:t>
            </w:r>
            <w:r>
              <w:rPr>
                <w:rFonts w:hAnsi="MS PMincho"/>
                <w:sz w:val="24"/>
              </w:rPr>
              <w:t>质</w:t>
            </w:r>
            <w:r>
              <w:rPr>
                <w:rFonts w:hAnsi="MS PMincho" w:eastAsia="MS PMincho"/>
                <w:sz w:val="24"/>
              </w:rPr>
              <w:t>量</w:t>
            </w:r>
            <w:r>
              <w:rPr>
                <w:rFonts w:hAnsi="MS PMincho"/>
                <w:sz w:val="24"/>
              </w:rPr>
              <w:t>标</w:t>
            </w:r>
            <w:r>
              <w:rPr>
                <w:sz w:val="24"/>
              </w:rPr>
              <w:t>准》中的二级标准要求</w:t>
            </w:r>
            <w:r>
              <w:rPr>
                <w:rFonts w:hint="eastAsia"/>
                <w:sz w:val="24"/>
              </w:rPr>
              <w:t>，</w:t>
            </w:r>
            <w:r>
              <w:rPr>
                <w:sz w:val="24"/>
              </w:rPr>
              <w:t>O</w:t>
            </w:r>
            <w:r>
              <w:rPr>
                <w:sz w:val="24"/>
                <w:vertAlign w:val="subscript"/>
              </w:rPr>
              <w:t>3</w:t>
            </w:r>
            <w:r>
              <w:rPr>
                <w:sz w:val="24"/>
              </w:rPr>
              <w:t>第90百分位数日最大8h平均质量浓度、PM</w:t>
            </w:r>
            <w:r>
              <w:rPr>
                <w:sz w:val="24"/>
                <w:vertAlign w:val="subscript"/>
              </w:rPr>
              <w:t>10</w:t>
            </w:r>
            <w:r>
              <w:rPr>
                <w:sz w:val="24"/>
              </w:rPr>
              <w:t>、PM</w:t>
            </w:r>
            <w:r>
              <w:rPr>
                <w:sz w:val="24"/>
                <w:vertAlign w:val="subscript"/>
              </w:rPr>
              <w:t>2.5</w:t>
            </w:r>
            <w:r>
              <w:rPr>
                <w:sz w:val="24"/>
              </w:rPr>
              <w:t>年平均浓度超标</w:t>
            </w:r>
            <w:r>
              <w:rPr>
                <w:rFonts w:hint="eastAsia"/>
                <w:sz w:val="24"/>
              </w:rPr>
              <w:t>，</w:t>
            </w:r>
            <w:r>
              <w:rPr>
                <w:sz w:val="24"/>
              </w:rPr>
              <w:t>根据《环境影响评价技术导则大气环境 HJ2.2-2018》，六项污染物全部达标才为城市环境空气质量达标，因此，项目所在区域为不达标区</w:t>
            </w:r>
            <w:r>
              <w:rPr>
                <w:rFonts w:hint="eastAsia"/>
                <w:sz w:val="24"/>
              </w:rPr>
              <w:t>。</w:t>
            </w:r>
          </w:p>
          <w:p>
            <w:pPr>
              <w:pStyle w:val="53"/>
              <w:adjustRightInd/>
              <w:snapToGrid/>
              <w:spacing w:beforeLines="0" w:afterLines="0" w:line="360" w:lineRule="auto"/>
              <w:ind w:firstLine="480" w:firstLineChars="200"/>
              <w:jc w:val="both"/>
              <w:rPr>
                <w:rFonts w:ascii="Times New Roman"/>
                <w:sz w:val="24"/>
                <w:szCs w:val="24"/>
              </w:rPr>
            </w:pPr>
            <w:r>
              <w:rPr>
                <w:rFonts w:hint="eastAsia" w:ascii="Times New Roman" w:hAnsi="Times New Roman" w:eastAsia="宋体" w:cs="Times New Roman"/>
                <w:sz w:val="24"/>
                <w:szCs w:val="24"/>
              </w:rPr>
              <w:t>项目建设完成后产生的废气可以做到达标排放，生活洗漱污水用于厂区道路洒水，同时厂区设置旱厕，定期清掏外运。本项</w:t>
            </w:r>
            <w:r>
              <w:rPr>
                <w:rFonts w:hint="eastAsia" w:ascii="Times New Roman"/>
                <w:sz w:val="24"/>
                <w:szCs w:val="24"/>
              </w:rPr>
              <w:t>目产生的所有固废均可进行合理处置，烟尘、二氧化硫及氮氧化物在进行区域削减后，本项目的建设不会超出现有区域环境质量底线</w:t>
            </w:r>
            <w:r>
              <w:rPr>
                <w:rFonts w:ascii="Times New Roman"/>
                <w:sz w:val="24"/>
                <w:szCs w:val="24"/>
              </w:rPr>
              <w:t>。</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3）资源利用上线</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项目动力供应充足，营运工序中消耗一定量的</w:t>
            </w:r>
            <w:r>
              <w:rPr>
                <w:rFonts w:hint="eastAsia" w:ascii="Times New Roman"/>
                <w:sz w:val="24"/>
                <w:szCs w:val="24"/>
              </w:rPr>
              <w:t>天然气、</w:t>
            </w:r>
            <w:r>
              <w:rPr>
                <w:rFonts w:ascii="Times New Roman"/>
                <w:sz w:val="24"/>
                <w:szCs w:val="24"/>
              </w:rPr>
              <w:t>电源、水资源等，项目资源消耗量相对区域资源利用总量较少，符合资源利用上线的要求。</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4）环境准入负面清单</w:t>
            </w:r>
          </w:p>
          <w:p>
            <w:pPr>
              <w:pStyle w:val="53"/>
              <w:adjustRightInd/>
              <w:snapToGrid/>
              <w:spacing w:beforeLines="0" w:afterLines="0" w:line="360" w:lineRule="auto"/>
              <w:ind w:firstLine="480" w:firstLineChars="200"/>
              <w:jc w:val="both"/>
              <w:rPr>
                <w:rFonts w:ascii="Times New Roman"/>
                <w:sz w:val="24"/>
                <w:szCs w:val="24"/>
              </w:rPr>
            </w:pPr>
            <w:r>
              <w:rPr>
                <w:rFonts w:ascii="Times New Roman"/>
                <w:sz w:val="24"/>
                <w:szCs w:val="24"/>
              </w:rPr>
              <w:t>根据《运城市人民政府关于印发运城市“三线一单”生态环境分区管控实施方案的通知》附件3</w:t>
            </w:r>
            <w:r>
              <w:rPr>
                <w:rFonts w:hint="eastAsia" w:ascii="Times New Roman"/>
                <w:sz w:val="24"/>
                <w:szCs w:val="24"/>
              </w:rPr>
              <w:t>运城市生态环境准入清单。本项目符合运城市生态环境准入清单要求，项目与</w:t>
            </w:r>
            <w:r>
              <w:rPr>
                <w:rFonts w:ascii="Times New Roman"/>
                <w:sz w:val="24"/>
                <w:szCs w:val="24"/>
              </w:rPr>
              <w:t>运城市生态环境准入清单</w:t>
            </w:r>
            <w:r>
              <w:rPr>
                <w:rFonts w:hint="eastAsia" w:ascii="Times New Roman"/>
                <w:sz w:val="24"/>
                <w:szCs w:val="24"/>
              </w:rPr>
              <w:t>相符性分析见表1-5</w:t>
            </w:r>
            <w:r>
              <w:rPr>
                <w:rFonts w:ascii="Times New Roman"/>
                <w:sz w:val="24"/>
                <w:szCs w:val="24"/>
              </w:rPr>
              <w:t>。</w:t>
            </w:r>
          </w:p>
          <w:p/>
          <w:p/>
          <w:p/>
          <w:p/>
          <w:p/>
          <w:p/>
          <w:p/>
          <w:p/>
          <w:p/>
          <w:p/>
        </w:tc>
      </w:tr>
    </w:tbl>
    <w:p>
      <w:pPr>
        <w:pStyle w:val="7"/>
        <w:ind w:left="0" w:leftChars="0" w:firstLine="0" w:firstLineChars="0"/>
        <w:sectPr>
          <w:footerReference r:id="rId5" w:type="default"/>
          <w:pgSz w:w="11906" w:h="16838"/>
          <w:pgMar w:top="1701" w:right="1531" w:bottom="1701" w:left="1531" w:header="851" w:footer="1077" w:gutter="0"/>
          <w:pgNumType w:fmt="numberInDash" w:start="1"/>
          <w:cols w:space="720" w:num="1"/>
          <w:docGrid w:linePitch="312" w:charSpace="0"/>
        </w:sectPr>
      </w:pPr>
    </w:p>
    <w:tbl>
      <w:tblPr>
        <w:tblStyle w:val="20"/>
        <w:tblW w:w="0" w:type="auto"/>
        <w:tblInd w:w="0" w:type="dxa"/>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Layout w:type="fixed"/>
        <w:tblCellMar>
          <w:top w:w="0" w:type="dxa"/>
          <w:left w:w="108" w:type="dxa"/>
          <w:bottom w:w="0" w:type="dxa"/>
          <w:right w:w="108" w:type="dxa"/>
        </w:tblCellMar>
      </w:tblPr>
      <w:tblGrid>
        <w:gridCol w:w="809"/>
        <w:gridCol w:w="12843"/>
      </w:tblGrid>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c>
          <w:tcPr>
            <w:tcW w:w="809" w:type="dxa"/>
          </w:tc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r>
              <w:rPr>
                <w:sz w:val="24"/>
              </w:rPr>
              <w:t>其他符合性分析</w:t>
            </w: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
            <w:pPr>
              <w:jc w:val="center"/>
              <w:rPr>
                <w:sz w:val="24"/>
              </w:rPr>
            </w:pPr>
            <w:r>
              <w:rPr>
                <w:sz w:val="24"/>
              </w:rPr>
              <w:t>其他符合性分析</w:t>
            </w: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rPr>
                <w:sz w:val="24"/>
              </w:rPr>
            </w:pPr>
          </w:p>
          <w:p>
            <w:pPr>
              <w:pStyle w:val="7"/>
              <w:ind w:firstLine="480"/>
              <w:jc w:val="center"/>
              <w:rPr>
                <w:szCs w:val="24"/>
              </w:rPr>
            </w:pPr>
          </w:p>
          <w:p>
            <w:pPr>
              <w:rPr>
                <w:sz w:val="24"/>
              </w:rPr>
            </w:pPr>
          </w:p>
          <w:p>
            <w:pPr>
              <w:pStyle w:val="10"/>
            </w:pPr>
          </w:p>
          <w:p>
            <w:pPr>
              <w:jc w:val="center"/>
              <w:rPr>
                <w:sz w:val="24"/>
              </w:rPr>
            </w:pPr>
            <w:r>
              <w:rPr>
                <w:sz w:val="24"/>
              </w:rPr>
              <w:t>其他符合性分析</w:t>
            </w: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rPr>
                <w:sz w:val="24"/>
              </w:rPr>
            </w:pPr>
          </w:p>
          <w:p>
            <w:pPr>
              <w:pStyle w:val="7"/>
              <w:ind w:firstLine="480"/>
              <w:rPr>
                <w:szCs w:val="24"/>
              </w:rPr>
            </w:pPr>
          </w:p>
          <w:p>
            <w:pPr>
              <w:rPr>
                <w:sz w:val="24"/>
              </w:rPr>
            </w:pPr>
          </w:p>
          <w:p>
            <w:pPr>
              <w:pStyle w:val="7"/>
              <w:ind w:firstLine="480"/>
            </w:pPr>
          </w:p>
          <w:p>
            <w:pPr>
              <w:pStyle w:val="10"/>
            </w:pPr>
          </w:p>
          <w:p>
            <w:pPr>
              <w:jc w:val="center"/>
              <w:rPr>
                <w:sz w:val="24"/>
              </w:rPr>
            </w:pPr>
            <w:r>
              <w:rPr>
                <w:sz w:val="24"/>
              </w:rPr>
              <w:t>其他符合性分析</w:t>
            </w: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pPr>
              <w:jc w:val="center"/>
              <w:rPr>
                <w:sz w:val="24"/>
              </w:rPr>
            </w:pPr>
          </w:p>
          <w:p>
            <w:pPr>
              <w:pStyle w:val="7"/>
              <w:ind w:firstLine="480"/>
              <w:jc w:val="center"/>
              <w:rPr>
                <w:szCs w:val="24"/>
              </w:rPr>
            </w:pPr>
          </w:p>
          <w:p/>
        </w:tc>
        <w:tc>
          <w:tcPr>
            <w:tcW w:w="12843" w:type="dxa"/>
          </w:tcPr>
          <w:p>
            <w:pPr>
              <w:widowControl/>
              <w:tabs>
                <w:tab w:val="left" w:pos="2660"/>
              </w:tabs>
              <w:snapToGrid w:val="0"/>
              <w:jc w:val="center"/>
              <w:textAlignment w:val="baseline"/>
              <w:rPr>
                <w:b/>
                <w:bCs/>
                <w:szCs w:val="21"/>
              </w:rPr>
            </w:pPr>
            <w:r>
              <w:rPr>
                <w:rFonts w:hint="eastAsia"/>
                <w:b/>
                <w:bCs/>
                <w:szCs w:val="21"/>
              </w:rPr>
              <w:t>表1-5  项目于运城市生态环境准入清单相符性分析</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04"/>
              <w:gridCol w:w="798"/>
              <w:gridCol w:w="8633"/>
              <w:gridCol w:w="1877"/>
              <w:gridCol w:w="6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149" w:hRule="atLeast"/>
                <w:tblHeader/>
                <w:jc w:val="center"/>
              </w:trPr>
              <w:tc>
                <w:tcPr>
                  <w:tcW w:w="1402" w:type="dxa"/>
                  <w:gridSpan w:val="2"/>
                  <w:vAlign w:val="center"/>
                </w:tcPr>
                <w:p>
                  <w:pPr>
                    <w:jc w:val="center"/>
                    <w:rPr>
                      <w:b/>
                      <w:bCs/>
                      <w:szCs w:val="21"/>
                    </w:rPr>
                  </w:pPr>
                  <w:r>
                    <w:rPr>
                      <w:b/>
                      <w:bCs/>
                      <w:szCs w:val="21"/>
                    </w:rPr>
                    <w:t>管控类型</w:t>
                  </w:r>
                </w:p>
              </w:tc>
              <w:tc>
                <w:tcPr>
                  <w:tcW w:w="8633" w:type="dxa"/>
                  <w:vAlign w:val="center"/>
                </w:tcPr>
                <w:p>
                  <w:pPr>
                    <w:jc w:val="center"/>
                    <w:rPr>
                      <w:b/>
                      <w:bCs/>
                      <w:szCs w:val="21"/>
                    </w:rPr>
                  </w:pPr>
                  <w:r>
                    <w:rPr>
                      <w:b/>
                      <w:bCs/>
                      <w:szCs w:val="21"/>
                    </w:rPr>
                    <w:t>管控要求</w:t>
                  </w:r>
                </w:p>
              </w:tc>
              <w:tc>
                <w:tcPr>
                  <w:tcW w:w="1877" w:type="dxa"/>
                  <w:vAlign w:val="center"/>
                </w:tcPr>
                <w:p>
                  <w:pPr>
                    <w:jc w:val="center"/>
                    <w:rPr>
                      <w:b/>
                      <w:bCs/>
                      <w:szCs w:val="21"/>
                    </w:rPr>
                  </w:pPr>
                  <w:r>
                    <w:rPr>
                      <w:b/>
                      <w:bCs/>
                      <w:szCs w:val="21"/>
                    </w:rPr>
                    <w:t>本项目情况</w:t>
                  </w:r>
                </w:p>
              </w:tc>
              <w:tc>
                <w:tcPr>
                  <w:tcW w:w="653" w:type="dxa"/>
                  <w:vAlign w:val="center"/>
                </w:tcPr>
                <w:p>
                  <w:pPr>
                    <w:jc w:val="center"/>
                    <w:rPr>
                      <w:b/>
                      <w:bCs/>
                      <w:szCs w:val="21"/>
                    </w:rPr>
                  </w:pPr>
                  <w:r>
                    <w:rPr>
                      <w:b/>
                      <w:bCs/>
                      <w:szCs w:val="21"/>
                    </w:rPr>
                    <w:t>符合性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restart"/>
                  <w:vAlign w:val="center"/>
                </w:tcPr>
                <w:p>
                  <w:pPr>
                    <w:jc w:val="center"/>
                    <w:rPr>
                      <w:b/>
                      <w:bCs/>
                      <w:szCs w:val="21"/>
                    </w:rPr>
                  </w:pPr>
                  <w:r>
                    <w:rPr>
                      <w:b/>
                      <w:bCs/>
                      <w:szCs w:val="21"/>
                    </w:rPr>
                    <w:t>空间布局约束</w:t>
                  </w:r>
                </w:p>
              </w:tc>
              <w:tc>
                <w:tcPr>
                  <w:tcW w:w="8633" w:type="dxa"/>
                  <w:vAlign w:val="center"/>
                </w:tcPr>
                <w:p>
                  <w:pPr>
                    <w:pStyle w:val="7"/>
                    <w:spacing w:after="0"/>
                    <w:ind w:left="0" w:leftChars="0" w:firstLine="0" w:firstLineChars="0"/>
                    <w:jc w:val="center"/>
                    <w:rPr>
                      <w:kern w:val="2"/>
                      <w:sz w:val="21"/>
                      <w:szCs w:val="21"/>
                    </w:rPr>
                  </w:pPr>
                  <w:r>
                    <w:rPr>
                      <w:rFonts w:hint="eastAsia"/>
                      <w:sz w:val="21"/>
                      <w:szCs w:val="21"/>
                    </w:rPr>
                    <w:t>1、</w:t>
                  </w:r>
                  <w:r>
                    <w:rPr>
                      <w:sz w:val="21"/>
                      <w:szCs w:val="21"/>
                    </w:rPr>
                    <w:t>原则上不再新建天然气热电联产和天然气化工项目。全市禁止建设生产和使用高VOCs含量的溶剂型涂料、油墨、胶粘剂等项目，加大餐饮油烟治理。原则上禁止新建露天矿山建设项目。</w:t>
                  </w:r>
                </w:p>
              </w:tc>
              <w:tc>
                <w:tcPr>
                  <w:tcW w:w="1877" w:type="dxa"/>
                  <w:vAlign w:val="center"/>
                </w:tcPr>
                <w:p>
                  <w:pPr>
                    <w:jc w:val="center"/>
                    <w:rPr>
                      <w:szCs w:val="21"/>
                    </w:rPr>
                  </w:pPr>
                  <w:r>
                    <w:rPr>
                      <w:rFonts w:hint="eastAsia"/>
                      <w:szCs w:val="21"/>
                    </w:rPr>
                    <w:t>不涉及</w:t>
                  </w:r>
                </w:p>
              </w:tc>
              <w:tc>
                <w:tcPr>
                  <w:tcW w:w="653" w:type="dxa"/>
                  <w:vMerge w:val="restart"/>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kern w:val="2"/>
                      <w:sz w:val="21"/>
                      <w:szCs w:val="21"/>
                    </w:rPr>
                  </w:pPr>
                  <w:r>
                    <w:rPr>
                      <w:rFonts w:hint="eastAsia"/>
                      <w:sz w:val="21"/>
                      <w:szCs w:val="21"/>
                    </w:rPr>
                    <w:t>2、</w:t>
                  </w:r>
                  <w:r>
                    <w:rPr>
                      <w:sz w:val="21"/>
                      <w:szCs w:val="21"/>
                    </w:rPr>
                    <w:t>严格控制在优先保护类耕地集中区域新建、扩建有色金属矿采选、有色金属冶炼、化工、焦化、电镀、农药、制革、铅蓄电池等行业企业和危险废物处置填埋场所。</w:t>
                  </w:r>
                </w:p>
              </w:tc>
              <w:tc>
                <w:tcPr>
                  <w:tcW w:w="1877" w:type="dxa"/>
                  <w:vAlign w:val="center"/>
                </w:tcPr>
                <w:p>
                  <w:pPr>
                    <w:jc w:val="center"/>
                    <w:rPr>
                      <w:szCs w:val="21"/>
                    </w:rPr>
                  </w:pPr>
                  <w:r>
                    <w:rPr>
                      <w:rFonts w:hint="eastAsia"/>
                      <w:szCs w:val="21"/>
                    </w:rPr>
                    <w:t>不涉及</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kern w:val="2"/>
                      <w:sz w:val="21"/>
                      <w:szCs w:val="21"/>
                    </w:rPr>
                  </w:pPr>
                  <w:r>
                    <w:rPr>
                      <w:rFonts w:hint="eastAsia"/>
                      <w:sz w:val="21"/>
                      <w:szCs w:val="21"/>
                    </w:rPr>
                    <w:t>3、</w:t>
                  </w:r>
                  <w:r>
                    <w:rPr>
                      <w:sz w:val="21"/>
                      <w:szCs w:val="21"/>
                    </w:rPr>
                    <w:t>严禁在优先保护类农田周边新建规模化畜禽养殖企业。</w:t>
                  </w:r>
                </w:p>
              </w:tc>
              <w:tc>
                <w:tcPr>
                  <w:tcW w:w="1877" w:type="dxa"/>
                  <w:vAlign w:val="center"/>
                </w:tcPr>
                <w:p>
                  <w:pPr>
                    <w:jc w:val="center"/>
                    <w:rPr>
                      <w:szCs w:val="21"/>
                    </w:rPr>
                  </w:pPr>
                  <w:r>
                    <w:rPr>
                      <w:rFonts w:hint="eastAsia"/>
                      <w:szCs w:val="21"/>
                    </w:rPr>
                    <w:t>不涉及</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rFonts w:hint="eastAsia"/>
                      <w:sz w:val="21"/>
                      <w:szCs w:val="21"/>
                    </w:rPr>
                    <w:t>4、</w:t>
                  </w:r>
                  <w:r>
                    <w:rPr>
                      <w:sz w:val="21"/>
                      <w:szCs w:val="21"/>
                    </w:rPr>
                    <w:t>严格执行相关行业企业布局选址要求，禁止在居民区、学校、医疗和养老机构等周边规定范围内新建、扩建有色金属冶炼、焦化企业。</w:t>
                  </w:r>
                </w:p>
                <w:p>
                  <w:pPr>
                    <w:pStyle w:val="7"/>
                    <w:spacing w:after="0"/>
                    <w:ind w:left="0" w:leftChars="0" w:firstLine="0" w:firstLineChars="0"/>
                    <w:jc w:val="center"/>
                    <w:rPr>
                      <w:kern w:val="2"/>
                      <w:sz w:val="21"/>
                      <w:szCs w:val="21"/>
                    </w:rPr>
                  </w:pPr>
                  <w:r>
                    <w:rPr>
                      <w:rFonts w:hint="eastAsia"/>
                      <w:sz w:val="21"/>
                      <w:szCs w:val="21"/>
                    </w:rPr>
                    <w:t>5、</w:t>
                  </w:r>
                  <w:r>
                    <w:rPr>
                      <w:sz w:val="21"/>
                      <w:szCs w:val="21"/>
                    </w:rPr>
                    <w:t>依法淘汰涉重金属重点行业落后产能，严格执行重金属相关行业准入条件，禁止新建落后产能或产能严重过剩行业的建设项目。</w:t>
                  </w:r>
                </w:p>
              </w:tc>
              <w:tc>
                <w:tcPr>
                  <w:tcW w:w="1877" w:type="dxa"/>
                  <w:vAlign w:val="center"/>
                </w:tcPr>
                <w:p>
                  <w:pPr>
                    <w:jc w:val="center"/>
                    <w:rPr>
                      <w:szCs w:val="21"/>
                    </w:rPr>
                  </w:pPr>
                  <w:r>
                    <w:rPr>
                      <w:rFonts w:hint="eastAsia"/>
                      <w:szCs w:val="21"/>
                    </w:rPr>
                    <w:t>不涉及</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rFonts w:hint="eastAsia"/>
                      <w:sz w:val="21"/>
                      <w:szCs w:val="21"/>
                    </w:rPr>
                    <w:t>6、</w:t>
                  </w:r>
                  <w:r>
                    <w:rPr>
                      <w:sz w:val="21"/>
                      <w:szCs w:val="21"/>
                    </w:rPr>
                    <w:t>地表水监测断面取水点上游一千米范围内禁止截流取水和设置排污口。</w:t>
                  </w:r>
                </w:p>
              </w:tc>
              <w:tc>
                <w:tcPr>
                  <w:tcW w:w="1877" w:type="dxa"/>
                  <w:vAlign w:val="center"/>
                </w:tcPr>
                <w:p>
                  <w:pPr>
                    <w:jc w:val="center"/>
                    <w:rPr>
                      <w:szCs w:val="21"/>
                    </w:rPr>
                  </w:pPr>
                  <w:r>
                    <w:rPr>
                      <w:rFonts w:hint="eastAsia"/>
                      <w:szCs w:val="21"/>
                    </w:rPr>
                    <w:t>不涉及</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rFonts w:hint="eastAsia"/>
                      <w:sz w:val="21"/>
                      <w:szCs w:val="21"/>
                    </w:rPr>
                    <w:t>7、</w:t>
                  </w:r>
                  <w:r>
                    <w:rPr>
                      <w:sz w:val="21"/>
                      <w:szCs w:val="21"/>
                    </w:rPr>
                    <w:t>禁止在汾河（运城段）河岸两侧</w:t>
                  </w:r>
                  <w:r>
                    <w:rPr>
                      <w:rFonts w:hint="eastAsia"/>
                      <w:sz w:val="21"/>
                      <w:szCs w:val="21"/>
                    </w:rPr>
                    <w:t>各</w:t>
                  </w:r>
                  <w:r>
                    <w:rPr>
                      <w:sz w:val="21"/>
                      <w:szCs w:val="21"/>
                    </w:rPr>
                    <w:t>2公里范围新建炼焦、冶炼、洗煤、选矿、造纸、化工、电镀等严重污染水环境项目和危险化学品仓储设施。</w:t>
                  </w:r>
                </w:p>
              </w:tc>
              <w:tc>
                <w:tcPr>
                  <w:tcW w:w="1877" w:type="dxa"/>
                  <w:vAlign w:val="center"/>
                </w:tcPr>
                <w:p>
                  <w:pPr>
                    <w:jc w:val="center"/>
                    <w:rPr>
                      <w:szCs w:val="21"/>
                    </w:rPr>
                  </w:pPr>
                  <w:r>
                    <w:rPr>
                      <w:rFonts w:hint="eastAsia"/>
                      <w:szCs w:val="21"/>
                    </w:rPr>
                    <w:t>不涉及</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sz w:val="21"/>
                      <w:szCs w:val="21"/>
                    </w:rPr>
                    <w:t>8、黄河干流及除汾河干流外的其他主要支流沿岸1公里内严禁新建焦化、钢铁、化工等产业园和布局建设“两高一剩”行业项目。</w:t>
                  </w:r>
                </w:p>
              </w:tc>
              <w:tc>
                <w:tcPr>
                  <w:tcW w:w="1877" w:type="dxa"/>
                  <w:vAlign w:val="center"/>
                </w:tcPr>
                <w:p>
                  <w:pPr>
                    <w:pStyle w:val="7"/>
                    <w:spacing w:after="0"/>
                    <w:ind w:left="0" w:leftChars="0" w:firstLine="0" w:firstLineChars="0"/>
                    <w:jc w:val="center"/>
                    <w:rPr>
                      <w:sz w:val="21"/>
                      <w:szCs w:val="21"/>
                    </w:rPr>
                  </w:pPr>
                  <w:r>
                    <w:rPr>
                      <w:rFonts w:hint="eastAsia"/>
                      <w:sz w:val="21"/>
                      <w:szCs w:val="21"/>
                    </w:rPr>
                    <w:t>本项目不属于“两高一剩”行业项目</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sz w:val="21"/>
                      <w:szCs w:val="21"/>
                    </w:rPr>
                    <w:t>9、与城区、县城相邻的各类开发区、工业园区和产业集聚区，不得布局高污染、高排放、高风险和产能过剩项目，现有项目应逐步退出，为新技术、新材料、新装备、新产品等“六新”产业腾出环境容量和布局空间。</w:t>
                  </w:r>
                </w:p>
              </w:tc>
              <w:tc>
                <w:tcPr>
                  <w:tcW w:w="1877" w:type="dxa"/>
                  <w:vAlign w:val="center"/>
                </w:tcPr>
                <w:p>
                  <w:pPr>
                    <w:jc w:val="center"/>
                    <w:rPr>
                      <w:szCs w:val="21"/>
                    </w:rPr>
                  </w:pPr>
                  <w:r>
                    <w:rPr>
                      <w:rFonts w:hint="eastAsia"/>
                      <w:szCs w:val="21"/>
                    </w:rPr>
                    <w:t>本项目不属于高污染、高排放、高风险和产能过剩项目</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sz w:val="21"/>
                      <w:szCs w:val="21"/>
                    </w:rPr>
                    <w:t>10、中心城市规划区、县城规划区范围内严禁新建、扩建焦化、钢铁、化工、有色金属冶炼和水泥等污染较重，以及危险化学品贮存、处理处置等高风险项目，现有污染较重</w:t>
                  </w:r>
                  <w:r>
                    <w:rPr>
                      <w:rFonts w:hint="eastAsia"/>
                      <w:sz w:val="21"/>
                      <w:szCs w:val="21"/>
                    </w:rPr>
                    <w:t>和</w:t>
                  </w:r>
                  <w:r>
                    <w:rPr>
                      <w:sz w:val="21"/>
                      <w:szCs w:val="21"/>
                    </w:rPr>
                    <w:t>高风险项目逐步搬迁退出。</w:t>
                  </w:r>
                </w:p>
              </w:tc>
              <w:tc>
                <w:tcPr>
                  <w:tcW w:w="1877" w:type="dxa"/>
                  <w:vAlign w:val="center"/>
                </w:tcPr>
                <w:p>
                  <w:pPr>
                    <w:jc w:val="center"/>
                    <w:rPr>
                      <w:szCs w:val="21"/>
                    </w:rPr>
                  </w:pPr>
                  <w:r>
                    <w:rPr>
                      <w:rFonts w:hint="eastAsia"/>
                      <w:szCs w:val="21"/>
                    </w:rPr>
                    <w:t>本项目不在规划区范围内</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sz w:val="21"/>
                      <w:szCs w:val="21"/>
                    </w:rPr>
                    <w:t>11、汾河沿岸河流谷地、盐湖、伍姓湖等生态保护与修复区域，“黄河、长城、太行”旅游产业布局区，以及人居环境敏感区，严控重污染行业产能规模，推动产业布局与生态空间协调发展。</w:t>
                  </w:r>
                </w:p>
              </w:tc>
              <w:tc>
                <w:tcPr>
                  <w:tcW w:w="1877" w:type="dxa"/>
                  <w:vAlign w:val="center"/>
                </w:tcPr>
                <w:p>
                  <w:pPr>
                    <w:jc w:val="center"/>
                    <w:rPr>
                      <w:szCs w:val="21"/>
                    </w:rPr>
                  </w:pPr>
                  <w:r>
                    <w:rPr>
                      <w:rFonts w:hint="eastAsia"/>
                      <w:szCs w:val="21"/>
                    </w:rPr>
                    <w:t>本项目不在汾河沿岸河流谷地内</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pStyle w:val="7"/>
                    <w:spacing w:after="0"/>
                    <w:ind w:left="0" w:leftChars="0" w:firstLine="0" w:firstLineChars="0"/>
                    <w:jc w:val="center"/>
                    <w:rPr>
                      <w:sz w:val="21"/>
                      <w:szCs w:val="21"/>
                    </w:rPr>
                  </w:pPr>
                  <w:r>
                    <w:rPr>
                      <w:sz w:val="21"/>
                      <w:szCs w:val="21"/>
                    </w:rPr>
                    <w:t>12、新建涉工业炉窑的建设项目，原则上要入园区，并符合园区规划环境影响评价要求，配套建设高效环保治理设施。</w:t>
                  </w:r>
                </w:p>
              </w:tc>
              <w:tc>
                <w:tcPr>
                  <w:tcW w:w="1877" w:type="dxa"/>
                  <w:vAlign w:val="center"/>
                </w:tcPr>
                <w:p>
                  <w:pPr>
                    <w:jc w:val="center"/>
                    <w:rPr>
                      <w:szCs w:val="21"/>
                    </w:rPr>
                  </w:pPr>
                  <w:r>
                    <w:rPr>
                      <w:rFonts w:hint="eastAsia"/>
                      <w:szCs w:val="21"/>
                    </w:rPr>
                    <w:t>项目在汇源农副产品加工园区</w:t>
                  </w:r>
                </w:p>
              </w:tc>
              <w:tc>
                <w:tcPr>
                  <w:tcW w:w="653" w:type="dxa"/>
                  <w:vMerge w:val="continue"/>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restart"/>
                  <w:vAlign w:val="center"/>
                </w:tcPr>
                <w:p>
                  <w:pPr>
                    <w:jc w:val="center"/>
                    <w:rPr>
                      <w:b/>
                      <w:bCs/>
                      <w:szCs w:val="21"/>
                    </w:rPr>
                  </w:pPr>
                  <w:r>
                    <w:rPr>
                      <w:b/>
                      <w:bCs/>
                      <w:szCs w:val="21"/>
                    </w:rPr>
                    <w:t>污染物排放管控</w:t>
                  </w:r>
                </w:p>
              </w:tc>
              <w:tc>
                <w:tcPr>
                  <w:tcW w:w="798" w:type="dxa"/>
                  <w:vAlign w:val="center"/>
                </w:tcPr>
                <w:p>
                  <w:pPr>
                    <w:jc w:val="center"/>
                    <w:rPr>
                      <w:b/>
                      <w:bCs/>
                      <w:szCs w:val="21"/>
                    </w:rPr>
                  </w:pPr>
                  <w:r>
                    <w:rPr>
                      <w:b/>
                      <w:bCs/>
                      <w:szCs w:val="21"/>
                    </w:rPr>
                    <w:t>环境质量</w:t>
                  </w:r>
                </w:p>
                <w:p>
                  <w:pPr>
                    <w:jc w:val="center"/>
                    <w:rPr>
                      <w:b/>
                      <w:bCs/>
                      <w:szCs w:val="21"/>
                    </w:rPr>
                  </w:pPr>
                  <w:r>
                    <w:rPr>
                      <w:b/>
                      <w:bCs/>
                      <w:szCs w:val="21"/>
                    </w:rPr>
                    <w:t>目标</w:t>
                  </w:r>
                </w:p>
              </w:tc>
              <w:tc>
                <w:tcPr>
                  <w:tcW w:w="8633" w:type="dxa"/>
                  <w:vAlign w:val="center"/>
                </w:tcPr>
                <w:p>
                  <w:pPr>
                    <w:jc w:val="center"/>
                    <w:rPr>
                      <w:szCs w:val="21"/>
                    </w:rPr>
                  </w:pPr>
                  <w:r>
                    <w:rPr>
                      <w:rFonts w:hint="eastAsia"/>
                      <w:szCs w:val="21"/>
                    </w:rPr>
                    <w:t>1、</w:t>
                  </w:r>
                  <w:r>
                    <w:rPr>
                      <w:szCs w:val="21"/>
                    </w:rPr>
                    <w:t>到2025年基本消除重污染天气，基本消除国控劣Ⅴ断面和县级及以上城市建成区黑臭水体。</w:t>
                  </w:r>
                </w:p>
                <w:p>
                  <w:pPr>
                    <w:jc w:val="center"/>
                    <w:rPr>
                      <w:szCs w:val="21"/>
                    </w:rPr>
                  </w:pPr>
                  <w:r>
                    <w:rPr>
                      <w:rFonts w:hint="eastAsia"/>
                      <w:szCs w:val="21"/>
                    </w:rPr>
                    <w:t>2、</w:t>
                  </w:r>
                  <w:r>
                    <w:rPr>
                      <w:szCs w:val="21"/>
                    </w:rPr>
                    <w:t>到2025年全市地表水国控监测断面达到或好于Ⅲ类的比例高于71%，国控劣Ⅴ断面和县级及以上城市建成区黑臭水体断面比例控制在0。</w:t>
                  </w:r>
                </w:p>
              </w:tc>
              <w:tc>
                <w:tcPr>
                  <w:tcW w:w="1877" w:type="dxa"/>
                  <w:vAlign w:val="center"/>
                </w:tcPr>
                <w:p>
                  <w:pPr>
                    <w:jc w:val="center"/>
                    <w:rPr>
                      <w:szCs w:val="21"/>
                    </w:rPr>
                  </w:pPr>
                  <w:r>
                    <w:rPr>
                      <w:rFonts w:hint="eastAsia"/>
                      <w:szCs w:val="21"/>
                    </w:rPr>
                    <w:t>项目排放的污染物为烟尘、二氧化硫及氮氧化物，可以做到达标排放；项目废水不外排</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b/>
                      <w:bCs/>
                      <w:szCs w:val="21"/>
                    </w:rPr>
                  </w:pPr>
                </w:p>
              </w:tc>
              <w:tc>
                <w:tcPr>
                  <w:tcW w:w="798" w:type="dxa"/>
                  <w:vMerge w:val="restart"/>
                  <w:vAlign w:val="center"/>
                </w:tcPr>
                <w:p>
                  <w:pPr>
                    <w:jc w:val="center"/>
                    <w:rPr>
                      <w:b/>
                      <w:bCs/>
                      <w:szCs w:val="21"/>
                    </w:rPr>
                  </w:pPr>
                  <w:r>
                    <w:rPr>
                      <w:b/>
                      <w:bCs/>
                      <w:szCs w:val="21"/>
                    </w:rPr>
                    <w:t>污染物控制</w:t>
                  </w:r>
                </w:p>
              </w:tc>
              <w:tc>
                <w:tcPr>
                  <w:tcW w:w="8633" w:type="dxa"/>
                  <w:vAlign w:val="center"/>
                </w:tcPr>
                <w:p>
                  <w:pPr>
                    <w:jc w:val="center"/>
                    <w:rPr>
                      <w:kern w:val="0"/>
                      <w:szCs w:val="21"/>
                    </w:rPr>
                  </w:pPr>
                  <w:r>
                    <w:rPr>
                      <w:rFonts w:hint="eastAsia"/>
                      <w:kern w:val="0"/>
                      <w:szCs w:val="21"/>
                    </w:rPr>
                    <w:t>1、</w:t>
                  </w:r>
                  <w:r>
                    <w:rPr>
                      <w:kern w:val="0"/>
                      <w:szCs w:val="21"/>
                    </w:rPr>
                    <w:t>在本市行政区域内的城市建成区和县人民政府所在地的镇建成区内，禁止新建燃煤锅炉，在其他区域内禁止新建35蒸吨以下的燃煤锅炉，已建成的，应当在市、县（市、区）人民政府规定的期限内拆除。“1+5”重点区域（包括盐湖区、运城开发区、临猗县、河津市、稷山县、新绛县、闻喜县）不得审批65蒸吨以下燃煤锅炉，其他区域不得审批35吨以下燃煤锅炉。市县两级建成区、集中供气已覆盖的工业园区、产业集聚区原则不得审批</w:t>
                  </w:r>
                  <w:r>
                    <w:rPr>
                      <w:rFonts w:hint="eastAsia"/>
                      <w:kern w:val="0"/>
                      <w:szCs w:val="21"/>
                    </w:rPr>
                    <w:t>天然气锅炉</w:t>
                  </w:r>
                  <w:r>
                    <w:rPr>
                      <w:kern w:val="0"/>
                      <w:szCs w:val="21"/>
                    </w:rPr>
                    <w:t>。</w:t>
                  </w:r>
                </w:p>
                <w:p>
                  <w:pPr>
                    <w:jc w:val="center"/>
                    <w:rPr>
                      <w:kern w:val="0"/>
                      <w:szCs w:val="21"/>
                    </w:rPr>
                  </w:pPr>
                  <w:r>
                    <w:rPr>
                      <w:rFonts w:hint="eastAsia"/>
                      <w:kern w:val="0"/>
                      <w:szCs w:val="21"/>
                    </w:rPr>
                    <w:t>2、</w:t>
                  </w:r>
                  <w:r>
                    <w:rPr>
                      <w:kern w:val="0"/>
                      <w:szCs w:val="21"/>
                    </w:rPr>
                    <w:t>“禁煤区”内除集中供热和原料用煤单位外，禁止储存、销售和燃用煤炭及其制品，实现“禁煤区”内散煤清零。</w:t>
                  </w:r>
                </w:p>
              </w:tc>
              <w:tc>
                <w:tcPr>
                  <w:tcW w:w="1877" w:type="dxa"/>
                  <w:vAlign w:val="center"/>
                </w:tcPr>
                <w:p>
                  <w:pPr>
                    <w:jc w:val="center"/>
                    <w:rPr>
                      <w:szCs w:val="21"/>
                    </w:rPr>
                  </w:pPr>
                  <w:r>
                    <w:rPr>
                      <w:rFonts w:hint="eastAsia"/>
                      <w:szCs w:val="21"/>
                    </w:rPr>
                    <w:t>项目使用生物质不用煤炭</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kern w:val="0"/>
                      <w:szCs w:val="21"/>
                    </w:rPr>
                  </w:pPr>
                  <w:r>
                    <w:rPr>
                      <w:rFonts w:hint="eastAsia"/>
                      <w:kern w:val="0"/>
                      <w:szCs w:val="21"/>
                    </w:rPr>
                    <w:t>3、</w:t>
                  </w:r>
                  <w:r>
                    <w:rPr>
                      <w:kern w:val="0"/>
                      <w:szCs w:val="21"/>
                    </w:rPr>
                    <w:t>2024年12月底前全市水泥企业全面完成超低排放改造</w:t>
                  </w:r>
                  <w:r>
                    <w:rPr>
                      <w:szCs w:val="21"/>
                    </w:rPr>
                    <w:t>。</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kern w:val="0"/>
                      <w:szCs w:val="21"/>
                    </w:rPr>
                  </w:pPr>
                  <w:r>
                    <w:rPr>
                      <w:rFonts w:hint="eastAsia"/>
                      <w:kern w:val="0"/>
                      <w:szCs w:val="21"/>
                    </w:rPr>
                    <w:t>4、</w:t>
                  </w:r>
                  <w:r>
                    <w:rPr>
                      <w:kern w:val="0"/>
                      <w:szCs w:val="21"/>
                    </w:rPr>
                    <w:t>2023年10月底前全市焦化企业完成超低排放改造。</w:t>
                  </w:r>
                </w:p>
              </w:tc>
              <w:tc>
                <w:tcPr>
                  <w:tcW w:w="1877" w:type="dxa"/>
                  <w:vAlign w:val="center"/>
                </w:tcPr>
                <w:p>
                  <w:pPr>
                    <w:jc w:val="center"/>
                    <w:rPr>
                      <w:kern w:val="0"/>
                      <w:szCs w:val="21"/>
                    </w:rPr>
                  </w:pPr>
                  <w:r>
                    <w:rPr>
                      <w:rFonts w:hint="eastAsia"/>
                      <w:szCs w:val="21"/>
                    </w:rPr>
                    <w:t>不涉及</w:t>
                  </w:r>
                </w:p>
              </w:tc>
              <w:tc>
                <w:tcPr>
                  <w:tcW w:w="653" w:type="dxa"/>
                  <w:vAlign w:val="center"/>
                </w:tcPr>
                <w:p>
                  <w:pPr>
                    <w:jc w:val="center"/>
                    <w:rPr>
                      <w:kern w:val="0"/>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kern w:val="0"/>
                      <w:szCs w:val="21"/>
                    </w:rPr>
                  </w:pPr>
                  <w:r>
                    <w:rPr>
                      <w:rFonts w:hint="eastAsia"/>
                      <w:kern w:val="0"/>
                      <w:szCs w:val="21"/>
                    </w:rPr>
                    <w:t>5、</w:t>
                  </w:r>
                  <w:r>
                    <w:rPr>
                      <w:kern w:val="0"/>
                      <w:szCs w:val="21"/>
                    </w:rPr>
                    <w:t>钢铁行业执行超低排放。</w:t>
                  </w:r>
                </w:p>
              </w:tc>
              <w:tc>
                <w:tcPr>
                  <w:tcW w:w="1877" w:type="dxa"/>
                  <w:vAlign w:val="center"/>
                </w:tcPr>
                <w:p>
                  <w:pPr>
                    <w:jc w:val="center"/>
                    <w:rPr>
                      <w:kern w:val="0"/>
                      <w:szCs w:val="21"/>
                    </w:rPr>
                  </w:pPr>
                  <w:r>
                    <w:rPr>
                      <w:rFonts w:hint="eastAsia"/>
                      <w:szCs w:val="21"/>
                    </w:rPr>
                    <w:t>不涉及</w:t>
                  </w:r>
                </w:p>
              </w:tc>
              <w:tc>
                <w:tcPr>
                  <w:tcW w:w="653" w:type="dxa"/>
                  <w:vAlign w:val="center"/>
                </w:tcPr>
                <w:p>
                  <w:pPr>
                    <w:jc w:val="center"/>
                    <w:rPr>
                      <w:kern w:val="0"/>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szCs w:val="21"/>
                    </w:rPr>
                  </w:pPr>
                  <w:r>
                    <w:rPr>
                      <w:rFonts w:hint="eastAsia"/>
                      <w:szCs w:val="21"/>
                    </w:rPr>
                    <w:t>6、</w:t>
                  </w:r>
                  <w:r>
                    <w:rPr>
                      <w:szCs w:val="21"/>
                    </w:rPr>
                    <w:t>（1）新建项目：</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①对于国家排放标准中已规定大气污染物特别排放限值的行业以及锅炉，太原、阳泉、长治、晋城4个市按照《关于京津冀大气污染物传输通道城市执行大气污染物特别排放限制的公告》（环境保护部公告2018年第9号）自2018年3月1日起；其他区域自2018年7月1日起，新受理环评的建设项目执行大气污染物特别排放限值。</w:t>
                  </w:r>
                </w:p>
                <w:p>
                  <w:pPr>
                    <w:jc w:val="center"/>
                    <w:rPr>
                      <w:szCs w:val="21"/>
                    </w:rPr>
                  </w:pPr>
                  <w:r>
                    <w:rPr>
                      <w:szCs w:val="21"/>
                    </w:rPr>
                    <w:t>②对于目前国际排放标准中未规定大气污染物特别排放限值的行业，待相应排放标准制修订或修改后，新受理环评的建设项目执行相应大气污染物特别排放限值，执行时间与排放标准实施时间活标准修改单发布时间同步。</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③我省有更严格地方大气污染物排放标准或控制要求的，从严执行。</w:t>
                  </w:r>
                </w:p>
                <w:p>
                  <w:pPr>
                    <w:numPr>
                      <w:ilvl w:val="0"/>
                      <w:numId w:val="1"/>
                    </w:numPr>
                    <w:jc w:val="center"/>
                    <w:rPr>
                      <w:szCs w:val="21"/>
                    </w:rPr>
                  </w:pPr>
                  <w:r>
                    <w:rPr>
                      <w:szCs w:val="21"/>
                    </w:rPr>
                    <w:t>现有企业：</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①对于国家排放标准中已规定大气污染物特别排放限值的行业及锅炉，执行要求如下：</w:t>
                  </w:r>
                </w:p>
                <w:p>
                  <w:pPr>
                    <w:jc w:val="center"/>
                    <w:rPr>
                      <w:szCs w:val="21"/>
                    </w:rPr>
                  </w:pPr>
                  <w:r>
                    <w:rPr>
                      <w:szCs w:val="21"/>
                    </w:rPr>
                    <w:t>石化、化工、有色（不含氧化铝）行业现有企业以及在用锅炉，自2018年10月1日起，执行二氧化硫、氮氧化物、颗粒物和挥发性有机物特别排放限值。</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②对于目前国家排放标准中未规定大气污染物特别排放限值的行业，待相应排放标准修订或修改后，现有企业执行二氧化硫、氮氧化物、颗粒物和挥发性有机物特别排放限值。执行时间要求如下：</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通过制修订排放标准规定大气污染物特别排放限值的，执行时间与排放标准中规定的现有企业实施时间同步。</w:t>
                  </w:r>
                </w:p>
                <w:p>
                  <w:pPr>
                    <w:jc w:val="center"/>
                    <w:rPr>
                      <w:szCs w:val="21"/>
                    </w:rPr>
                  </w:pPr>
                  <w:r>
                    <w:rPr>
                      <w:szCs w:val="21"/>
                    </w:rPr>
                    <w:t>通过标准修改单规定大气污染物特别排放限值的，执行时间按相应公告的时间执行。</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③我省有更严格地方大气污染物排放标准或控制要求，从严执行。</w:t>
                  </w:r>
                </w:p>
              </w:tc>
              <w:tc>
                <w:tcPr>
                  <w:tcW w:w="1877" w:type="dxa"/>
                  <w:vAlign w:val="center"/>
                </w:tcPr>
                <w:p>
                  <w:pPr>
                    <w:jc w:val="center"/>
                    <w:rPr>
                      <w:szCs w:val="21"/>
                    </w:rPr>
                  </w:pPr>
                  <w:r>
                    <w:rPr>
                      <w:rFonts w:hint="eastAsia"/>
                      <w:szCs w:val="21"/>
                    </w:rPr>
                    <w:t>项目工业炉窑</w:t>
                  </w:r>
                  <w:r>
                    <w:rPr>
                      <w:szCs w:val="21"/>
                    </w:rPr>
                    <w:t>颗粒物、二氧化硫、氮氧化物排放限值分别不高于30、200、300毫克/立方米</w:t>
                  </w:r>
                  <w:r>
                    <w:rPr>
                      <w:rFonts w:hint="eastAsia"/>
                      <w:szCs w:val="21"/>
                    </w:rPr>
                    <w:t>。</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szCs w:val="21"/>
                    </w:rPr>
                  </w:pPr>
                  <w:r>
                    <w:rPr>
                      <w:szCs w:val="21"/>
                    </w:rPr>
                    <w:t>7、各行业VOC</w:t>
                  </w:r>
                  <w:r>
                    <w:rPr>
                      <w:szCs w:val="21"/>
                      <w:vertAlign w:val="subscript"/>
                    </w:rPr>
                    <w:t>S</w:t>
                  </w:r>
                  <w:r>
                    <w:rPr>
                      <w:szCs w:val="21"/>
                    </w:rPr>
                    <w:t>的无组织排放控制执行《挥发性有机物无组织排放控制标准》（GB37822-2019）中相应限值，重点行业VOC</w:t>
                  </w:r>
                  <w:r>
                    <w:rPr>
                      <w:szCs w:val="21"/>
                      <w:vertAlign w:val="subscript"/>
                    </w:rPr>
                    <w:t>S</w:t>
                  </w:r>
                  <w:r>
                    <w:rPr>
                      <w:szCs w:val="21"/>
                    </w:rPr>
                    <w:t>的有组织排放执行《山西省重点行业挥发性有机物（VOC</w:t>
                  </w:r>
                  <w:r>
                    <w:rPr>
                      <w:szCs w:val="21"/>
                      <w:vertAlign w:val="subscript"/>
                    </w:rPr>
                    <w:t>S</w:t>
                  </w:r>
                  <w:r>
                    <w:rPr>
                      <w:szCs w:val="21"/>
                    </w:rPr>
                    <w:t>）2017年专项治理方案》（晋气防办〔</w:t>
                  </w:r>
                  <w:r>
                    <w:rPr>
                      <w:rFonts w:hint="eastAsia"/>
                      <w:szCs w:val="21"/>
                    </w:rPr>
                    <w:t>2017</w:t>
                  </w:r>
                  <w:r>
                    <w:rPr>
                      <w:szCs w:val="21"/>
                    </w:rPr>
                    <w:t>〕32号）。</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szCs w:val="21"/>
                    </w:rPr>
                  </w:pPr>
                  <w:r>
                    <w:rPr>
                      <w:szCs w:val="21"/>
                    </w:rPr>
                    <w:t>8、废水</w:t>
                  </w:r>
                  <w:r>
                    <w:rPr>
                      <w:rFonts w:hint="eastAsia"/>
                      <w:szCs w:val="21"/>
                    </w:rPr>
                    <w:t>以直接排放形式排放的</w:t>
                  </w:r>
                  <w:r>
                    <w:rPr>
                      <w:szCs w:val="21"/>
                    </w:rPr>
                    <w:t>，</w:t>
                  </w:r>
                  <w:r>
                    <w:rPr>
                      <w:rFonts w:hint="eastAsia"/>
                      <w:szCs w:val="21"/>
                    </w:rPr>
                    <w:t>废水和清净水排放口中</w:t>
                  </w:r>
                  <w:r>
                    <w:rPr>
                      <w:szCs w:val="21"/>
                    </w:rPr>
                    <w:t>化学需氧量、氨氮、总磷、全盐量执行山西省《污水综合排放标准》（DB14/1928-2019），其</w:t>
                  </w:r>
                  <w:r>
                    <w:rPr>
                      <w:rFonts w:hint="eastAsia"/>
                      <w:szCs w:val="21"/>
                    </w:rPr>
                    <w:t>他</w:t>
                  </w:r>
                  <w:r>
                    <w:rPr>
                      <w:szCs w:val="21"/>
                    </w:rPr>
                    <w:t>指标达行业特别排放限值。废水以间接排放形式排放的，厂界废水达到行业水污染物排放标准，园区或公共污水集中处理设施外排水质达到山西省《污水综合排放标准》（DB14/1928-2019）。</w:t>
                  </w:r>
                </w:p>
              </w:tc>
              <w:tc>
                <w:tcPr>
                  <w:tcW w:w="1877" w:type="dxa"/>
                  <w:vAlign w:val="center"/>
                </w:tcPr>
                <w:p>
                  <w:pPr>
                    <w:jc w:val="center"/>
                    <w:rPr>
                      <w:szCs w:val="21"/>
                    </w:rPr>
                  </w:pPr>
                  <w:r>
                    <w:rPr>
                      <w:rFonts w:hint="eastAsia"/>
                      <w:szCs w:val="21"/>
                    </w:rPr>
                    <w:t>项目废水不外排</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szCs w:val="21"/>
                    </w:rPr>
                  </w:pPr>
                  <w:r>
                    <w:rPr>
                      <w:szCs w:val="21"/>
                    </w:rPr>
                    <w:t>9、国家级、省级及以下工业集聚区全部按规定建成污水集中处理设施，并安装自动在线监控装置。</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szCs w:val="21"/>
                    </w:rPr>
                  </w:pPr>
                  <w:r>
                    <w:rPr>
                      <w:szCs w:val="21"/>
                    </w:rPr>
                    <w:t>10、严厉打击非法排放有毒有害污染物、非法处置危险废物、不正常使用污染治理设施、采取私设暗管或渗坑方式排放污染物。</w:t>
                  </w:r>
                </w:p>
              </w:tc>
              <w:tc>
                <w:tcPr>
                  <w:tcW w:w="1877" w:type="dxa"/>
                  <w:vAlign w:val="center"/>
                </w:tcPr>
                <w:p>
                  <w:pPr>
                    <w:jc w:val="center"/>
                    <w:rPr>
                      <w:szCs w:val="21"/>
                    </w:rPr>
                  </w:pPr>
                  <w:r>
                    <w:rPr>
                      <w:rFonts w:hint="eastAsia"/>
                      <w:szCs w:val="21"/>
                    </w:rPr>
                    <w:t>项目危险废物定期交有资质单位进行处置</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szCs w:val="21"/>
                    </w:rPr>
                  </w:pPr>
                  <w:r>
                    <w:rPr>
                      <w:szCs w:val="21"/>
                    </w:rPr>
                    <w:t>11、集中供热覆盖区域禁止新上天然气供热锅炉，对覆盖区域内的燃气锅炉逐步实施集中供热改造，2021年完成70%以上。</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kern w:val="0"/>
                      <w:szCs w:val="21"/>
                    </w:rPr>
                  </w:pPr>
                  <w:r>
                    <w:rPr>
                      <w:kern w:val="0"/>
                      <w:szCs w:val="21"/>
                    </w:rPr>
                    <w:t>12、到2022年中心城区及运城开发区雨污合流制排水管网全部改造完成；到2023年县级市及县城城区雨污合流制排水管网全部改造完成。</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kern w:val="0"/>
                      <w:szCs w:val="21"/>
                    </w:rPr>
                  </w:pPr>
                  <w:r>
                    <w:rPr>
                      <w:kern w:val="0"/>
                      <w:szCs w:val="21"/>
                    </w:rPr>
                    <w:t>13、严格控制涉工业炉窑建设项目，严禁新增钢铁、焦化、电解铝、铸造、水泥、平板玻璃产能；严格执行钢铁、水泥、平板玻璃等行业产能置换实施办法。禁止新建燃料类煤气发生炉（园区现有企业统一建设的清洁煤制气中心除外）。</w:t>
                  </w:r>
                </w:p>
                <w:p>
                  <w:pPr>
                    <w:jc w:val="center"/>
                    <w:rPr>
                      <w:kern w:val="0"/>
                      <w:szCs w:val="21"/>
                    </w:rPr>
                  </w:pPr>
                  <w:r>
                    <w:rPr>
                      <w:szCs w:val="21"/>
                    </w:rPr>
                    <w:t>14、玻璃行业全面禁止掺烧高硫石油焦。已有行业排放标准的工业炉窑，严格执行行业排放标准特别排放限值及相关</w:t>
                  </w:r>
                  <w:r>
                    <w:rPr>
                      <w:kern w:val="0"/>
                      <w:szCs w:val="21"/>
                    </w:rPr>
                    <w:t>规定</w:t>
                  </w:r>
                  <w:r>
                    <w:rPr>
                      <w:szCs w:val="21"/>
                    </w:rPr>
                    <w:t>，未制定行业排放标准的工业炉窑按照颗粒物、二氧化硫、氮氧化物排放限值分别不高于30、200、300毫克/立方米实施改造，其中，日用玻璃、玻璃棉氮氧化物排放限值不高于400毫克/立方米。</w:t>
                  </w:r>
                </w:p>
              </w:tc>
              <w:tc>
                <w:tcPr>
                  <w:tcW w:w="1877" w:type="dxa"/>
                  <w:vAlign w:val="center"/>
                </w:tcPr>
                <w:p>
                  <w:pPr>
                    <w:jc w:val="center"/>
                    <w:rPr>
                      <w:szCs w:val="21"/>
                    </w:rPr>
                  </w:pPr>
                  <w:r>
                    <w:rPr>
                      <w:rFonts w:hint="eastAsia"/>
                      <w:szCs w:val="21"/>
                    </w:rPr>
                    <w:t>项目不属于钢铁、焦化、铸造、电解铝、水泥、平板玻璃等；项目工业炉窑</w:t>
                  </w:r>
                  <w:r>
                    <w:rPr>
                      <w:szCs w:val="21"/>
                    </w:rPr>
                    <w:t>颗粒物、二氧化硫、氮氧化物排放限值分别不高于30、200、300毫克/立方米</w:t>
                  </w:r>
                  <w:r>
                    <w:rPr>
                      <w:rFonts w:hint="eastAsia"/>
                      <w:szCs w:val="21"/>
                    </w:rPr>
                    <w:t>。</w:t>
                  </w:r>
                </w:p>
              </w:tc>
              <w:tc>
                <w:tcPr>
                  <w:tcW w:w="653" w:type="dxa"/>
                  <w:vAlign w:val="center"/>
                </w:tcPr>
                <w:p>
                  <w:pPr>
                    <w:jc w:val="center"/>
                    <w:rPr>
                      <w:kern w:val="0"/>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4" w:type="dxa"/>
                  <w:vMerge w:val="continue"/>
                  <w:vAlign w:val="center"/>
                </w:tcPr>
                <w:p>
                  <w:pPr>
                    <w:jc w:val="center"/>
                    <w:rPr>
                      <w:szCs w:val="21"/>
                    </w:rPr>
                  </w:pPr>
                </w:p>
              </w:tc>
              <w:tc>
                <w:tcPr>
                  <w:tcW w:w="798" w:type="dxa"/>
                  <w:vMerge w:val="continue"/>
                  <w:vAlign w:val="center"/>
                </w:tcPr>
                <w:p>
                  <w:pPr>
                    <w:jc w:val="center"/>
                    <w:rPr>
                      <w:szCs w:val="21"/>
                    </w:rPr>
                  </w:pPr>
                </w:p>
              </w:tc>
              <w:tc>
                <w:tcPr>
                  <w:tcW w:w="8633" w:type="dxa"/>
                  <w:vAlign w:val="center"/>
                </w:tcPr>
                <w:p>
                  <w:pPr>
                    <w:jc w:val="center"/>
                    <w:rPr>
                      <w:kern w:val="0"/>
                      <w:szCs w:val="21"/>
                    </w:rPr>
                  </w:pPr>
                  <w:r>
                    <w:rPr>
                      <w:szCs w:val="21"/>
                    </w:rPr>
                    <w:t>15、2021年底汾河谷地4.3米及以下焦炉全部淘汰，力争到2022年焦化先进产能占比达到80%以上，2024年底前炭化室高度4.3米焦炉全部退出。</w:t>
                  </w:r>
                </w:p>
                <w:p>
                  <w:pPr>
                    <w:jc w:val="center"/>
                    <w:rPr>
                      <w:kern w:val="0"/>
                      <w:szCs w:val="21"/>
                    </w:rPr>
                  </w:pPr>
                  <w:r>
                    <w:rPr>
                      <w:szCs w:val="21"/>
                    </w:rPr>
                    <w:t>16、贯彻落</w:t>
                  </w:r>
                  <w:r>
                    <w:rPr>
                      <w:kern w:val="0"/>
                      <w:szCs w:val="21"/>
                    </w:rPr>
                    <w:t>实《山西省强制性清洁生产审核实施方案》，将清洁生产标准纳入强制执行范围。力争到2023年汾河谷地内重点行业全部达到生态环境部工业企业分类管理A级标准，到2025年全市所有新增重点行业企业全部达到清洁生产I级标准，30%现有企业达到清洁生产I级标准。</w:t>
                  </w:r>
                </w:p>
                <w:p>
                  <w:pPr>
                    <w:jc w:val="center"/>
                    <w:rPr>
                      <w:kern w:val="0"/>
                      <w:szCs w:val="21"/>
                    </w:rPr>
                  </w:pPr>
                  <w:r>
                    <w:rPr>
                      <w:kern w:val="0"/>
                      <w:szCs w:val="21"/>
                    </w:rPr>
                    <w:t>17、到2025年底保留燃煤锅炉基本实现超低排放。</w:t>
                  </w:r>
                </w:p>
                <w:p>
                  <w:pPr>
                    <w:jc w:val="center"/>
                    <w:rPr>
                      <w:kern w:val="0"/>
                      <w:szCs w:val="21"/>
                    </w:rPr>
                  </w:pPr>
                  <w:r>
                    <w:rPr>
                      <w:kern w:val="0"/>
                      <w:szCs w:val="21"/>
                    </w:rPr>
                    <w:t>18、到2025年平原地区散煤全部清零。</w:t>
                  </w:r>
                </w:p>
                <w:p>
                  <w:pPr>
                    <w:jc w:val="center"/>
                    <w:rPr>
                      <w:kern w:val="0"/>
                      <w:szCs w:val="21"/>
                    </w:rPr>
                  </w:pPr>
                  <w:r>
                    <w:rPr>
                      <w:kern w:val="0"/>
                      <w:szCs w:val="21"/>
                    </w:rPr>
                    <w:t>19、到2025年实现大宗货物年货运量150万吨以上的大型工矿企业和新建物流园区铁路专用线路接入比例达到80%以上，大宗货物绿色运输比例达到75%以上，铁路货运量占比提升到10%。</w:t>
                  </w:r>
                </w:p>
                <w:p>
                  <w:pPr>
                    <w:jc w:val="center"/>
                    <w:rPr>
                      <w:kern w:val="0"/>
                      <w:szCs w:val="21"/>
                    </w:rPr>
                  </w:pPr>
                  <w:r>
                    <w:rPr>
                      <w:kern w:val="0"/>
                      <w:szCs w:val="21"/>
                    </w:rPr>
                    <w:t>20、到2025年市区和县级城市建成区硬化道路可机械化清扫率稳定达到95%以上。</w:t>
                  </w:r>
                </w:p>
                <w:p>
                  <w:pPr>
                    <w:jc w:val="center"/>
                    <w:rPr>
                      <w:szCs w:val="21"/>
                    </w:rPr>
                  </w:pPr>
                  <w:r>
                    <w:rPr>
                      <w:kern w:val="0"/>
                      <w:szCs w:val="21"/>
                    </w:rPr>
                    <w:t>21、到2025年运城市中心城区建成区和新绛、稷山、河津、万荣四县（市）建成区生活污水实现全收集、全处理，其余县城生活污水收集处理率达到95%以上。到2025</w:t>
                  </w:r>
                  <w:r>
                    <w:rPr>
                      <w:szCs w:val="21"/>
                    </w:rPr>
                    <w:t>年规模养殖场粪污处理设施装备配套率达96%以上，大型规模养殖场粪污处理设施装备配套率达到100%，病死畜禽无害化处理率达100%。</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restart"/>
                  <w:vAlign w:val="center"/>
                </w:tcPr>
                <w:p>
                  <w:pPr>
                    <w:jc w:val="center"/>
                    <w:rPr>
                      <w:szCs w:val="21"/>
                    </w:rPr>
                  </w:pPr>
                  <w:r>
                    <w:rPr>
                      <w:b/>
                      <w:bCs/>
                      <w:szCs w:val="21"/>
                    </w:rPr>
                    <w:t>环境风险防控</w:t>
                  </w:r>
                </w:p>
              </w:tc>
              <w:tc>
                <w:tcPr>
                  <w:tcW w:w="8633" w:type="dxa"/>
                  <w:vAlign w:val="center"/>
                </w:tcPr>
                <w:p>
                  <w:pPr>
                    <w:jc w:val="center"/>
                    <w:rPr>
                      <w:szCs w:val="21"/>
                    </w:rPr>
                  </w:pPr>
                  <w:r>
                    <w:rPr>
                      <w:rFonts w:hint="eastAsia"/>
                      <w:szCs w:val="21"/>
                    </w:rPr>
                    <w:t>1、</w:t>
                  </w:r>
                  <w:r>
                    <w:rPr>
                      <w:szCs w:val="21"/>
                    </w:rPr>
                    <w:t>县级自然资源部门要对本行政区域内暂不开发利用或现阶段不具备治理修复条件的污染地块组织划定管控区域，设立标识、发布公告，由污染地块使用权人落实相关管控措施。</w:t>
                  </w:r>
                </w:p>
                <w:p>
                  <w:pPr>
                    <w:jc w:val="center"/>
                    <w:rPr>
                      <w:szCs w:val="21"/>
                    </w:rPr>
                  </w:pPr>
                  <w:r>
                    <w:rPr>
                      <w:rFonts w:hint="eastAsia"/>
                      <w:szCs w:val="21"/>
                    </w:rPr>
                    <w:t>2、</w:t>
                  </w:r>
                  <w:r>
                    <w:rPr>
                      <w:szCs w:val="21"/>
                    </w:rPr>
                    <w:t>污染地块未经治理修复或治理修复后仍不符合相应规划用地土壤环境要求的，审批部门不予批准涉及该污染地块的建设项目环境影响评价文件。</w:t>
                  </w:r>
                </w:p>
                <w:p>
                  <w:pPr>
                    <w:jc w:val="center"/>
                    <w:rPr>
                      <w:szCs w:val="21"/>
                    </w:rPr>
                  </w:pPr>
                  <w:r>
                    <w:rPr>
                      <w:rFonts w:hint="eastAsia"/>
                      <w:szCs w:val="21"/>
                    </w:rPr>
                    <w:t>3、</w:t>
                  </w:r>
                  <w:r>
                    <w:rPr>
                      <w:szCs w:val="21"/>
                    </w:rPr>
                    <w:t>严肃查处本行政区域内非法排污、倾倒有毒有害物质的环境违法行为，加强对矿产资源开采活动影响区域内未利用地的环境监管，发现土壤污染问题的，要及时督促有关企业采取防治措施。</w:t>
                  </w:r>
                </w:p>
                <w:p>
                  <w:pPr>
                    <w:pStyle w:val="84"/>
                    <w:spacing w:before="0" w:after="0" w:line="240" w:lineRule="auto"/>
                    <w:jc w:val="center"/>
                    <w:rPr>
                      <w:rFonts w:ascii="Times New Roman" w:hAnsi="Times New Roman"/>
                      <w:b w:val="0"/>
                      <w:sz w:val="21"/>
                      <w:szCs w:val="21"/>
                    </w:rPr>
                  </w:pPr>
                  <w:r>
                    <w:rPr>
                      <w:rFonts w:ascii="Times New Roman" w:hAnsi="Times New Roman"/>
                      <w:b w:val="0"/>
                      <w:sz w:val="21"/>
                      <w:szCs w:val="21"/>
                    </w:rPr>
                    <w:t>严格执行相关行业布局选址要求，禁止在居民区、学校、医疗和养老机构等周边规定范围内新建、扩建有色金属冶炼、焦化企业。布局居民区、学校、医疗和养老机构应考虑周边环境的不利影响。科学布局生活垃圾处理、危险废物处置、废旧资源再生利用等设施和场所。</w:t>
                  </w:r>
                </w:p>
                <w:p>
                  <w:pPr>
                    <w:jc w:val="center"/>
                    <w:rPr>
                      <w:szCs w:val="21"/>
                    </w:rPr>
                  </w:pPr>
                  <w:r>
                    <w:rPr>
                      <w:rFonts w:hint="eastAsia"/>
                      <w:szCs w:val="21"/>
                    </w:rPr>
                    <w:t>4、</w:t>
                  </w:r>
                  <w:r>
                    <w:rPr>
                      <w:szCs w:val="21"/>
                    </w:rPr>
                    <w:t>严格有色金属矿采选、有色金属冶炼、化工、焦化、电镀、制革、农药、铅蓄电池等重点行业以及其他排放重点管控污染物行业的建设项目环境影响评价审批。上述项目在开展环境影响评价时要强化对土壤环境影响的评价内容，并</w:t>
                  </w:r>
                  <w:r>
                    <w:rPr>
                      <w:rFonts w:hint="eastAsia"/>
                      <w:szCs w:val="21"/>
                    </w:rPr>
                    <w:t>提</w:t>
                  </w:r>
                  <w:r>
                    <w:rPr>
                      <w:szCs w:val="21"/>
                    </w:rPr>
                    <w:t>出防范土壤污染的具体措施。环评审批前未落实总量</w:t>
                  </w:r>
                  <w:r>
                    <w:rPr>
                      <w:rFonts w:hint="eastAsia"/>
                      <w:szCs w:val="21"/>
                    </w:rPr>
                    <w:t>核定</w:t>
                  </w:r>
                  <w:r>
                    <w:rPr>
                      <w:szCs w:val="21"/>
                    </w:rPr>
                    <w:t>和置换的，一律不得审批。</w:t>
                  </w:r>
                </w:p>
                <w:p>
                  <w:pPr>
                    <w:pStyle w:val="84"/>
                    <w:spacing w:before="0" w:after="0" w:line="240" w:lineRule="auto"/>
                    <w:jc w:val="center"/>
                    <w:rPr>
                      <w:rFonts w:ascii="Times New Roman" w:hAnsi="Times New Roman"/>
                      <w:b w:val="0"/>
                      <w:sz w:val="21"/>
                      <w:szCs w:val="21"/>
                    </w:rPr>
                  </w:pPr>
                  <w:r>
                    <w:rPr>
                      <w:rFonts w:hint="eastAsia" w:ascii="Times New Roman" w:hAnsi="Times New Roman"/>
                      <w:b w:val="0"/>
                      <w:sz w:val="21"/>
                      <w:szCs w:val="21"/>
                    </w:rPr>
                    <w:t>5、</w:t>
                  </w:r>
                  <w:r>
                    <w:rPr>
                      <w:rFonts w:ascii="Times New Roman" w:hAnsi="Times New Roman"/>
                      <w:b w:val="0"/>
                      <w:sz w:val="21"/>
                      <w:szCs w:val="21"/>
                    </w:rPr>
                    <w:t>依法淘汰涉重金属重点行业落后产能，严格执行重金属相关行业准入条件，禁止新建落后产能或产能严重过剩行业的新增产能建设项目。</w:t>
                  </w:r>
                </w:p>
                <w:p>
                  <w:pPr>
                    <w:jc w:val="center"/>
                    <w:rPr>
                      <w:szCs w:val="21"/>
                    </w:rPr>
                  </w:pPr>
                  <w:r>
                    <w:rPr>
                      <w:rFonts w:hint="eastAsia"/>
                      <w:szCs w:val="21"/>
                    </w:rPr>
                    <w:t>6、</w:t>
                  </w:r>
                  <w:r>
                    <w:rPr>
                      <w:szCs w:val="21"/>
                    </w:rPr>
                    <w:t>加快推进工业园区空气质量监测站（点）建设，加快推进VOCs自动监测站（点）建设。要加强污染源监测能力建设，将排气口高度超过45米的高架源，以及石化、化工、包装印刷、工业涂装等VOCs排放重点源，逐步纳入重点排污单位名录，全面完成烟气排放自动监控设施安装并与生态环境部门联网。</w:t>
                  </w:r>
                </w:p>
              </w:tc>
              <w:tc>
                <w:tcPr>
                  <w:tcW w:w="1877" w:type="dxa"/>
                  <w:vAlign w:val="center"/>
                </w:tcPr>
                <w:p>
                  <w:pPr>
                    <w:jc w:val="center"/>
                    <w:rPr>
                      <w:szCs w:val="21"/>
                    </w:rPr>
                  </w:pPr>
                  <w:r>
                    <w:rPr>
                      <w:rFonts w:hint="eastAsia"/>
                      <w:szCs w:val="21"/>
                    </w:rPr>
                    <w:t>项目在北京汇源集团万荣有限公司厂地内建设</w:t>
                  </w:r>
                </w:p>
              </w:tc>
              <w:tc>
                <w:tcPr>
                  <w:tcW w:w="653" w:type="dxa"/>
                  <w:vAlign w:val="center"/>
                </w:tcPr>
                <w:p>
                  <w:pPr>
                    <w:jc w:val="center"/>
                    <w:rPr>
                      <w:szCs w:val="21"/>
                    </w:rPr>
                  </w:pPr>
                  <w:r>
                    <w:rPr>
                      <w:rFonts w:hint="eastAsia"/>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02" w:type="dxa"/>
                  <w:gridSpan w:val="2"/>
                  <w:vMerge w:val="continue"/>
                  <w:vAlign w:val="center"/>
                </w:tcPr>
                <w:p>
                  <w:pPr>
                    <w:jc w:val="center"/>
                    <w:rPr>
                      <w:szCs w:val="21"/>
                    </w:rPr>
                  </w:pPr>
                </w:p>
              </w:tc>
              <w:tc>
                <w:tcPr>
                  <w:tcW w:w="8633" w:type="dxa"/>
                  <w:vAlign w:val="center"/>
                </w:tcPr>
                <w:p>
                  <w:pPr>
                    <w:jc w:val="center"/>
                    <w:rPr>
                      <w:szCs w:val="21"/>
                    </w:rPr>
                  </w:pPr>
                  <w:r>
                    <w:rPr>
                      <w:rFonts w:hint="eastAsia"/>
                      <w:szCs w:val="21"/>
                    </w:rPr>
                    <w:t>7、</w:t>
                  </w:r>
                  <w:r>
                    <w:rPr>
                      <w:szCs w:val="21"/>
                    </w:rPr>
                    <w:t>对已有畜禽养殖企业加强“三废”排放监管，禁止未处理或检测不合格的粪肥直接用于农田。</w:t>
                  </w:r>
                </w:p>
                <w:p>
                  <w:pPr>
                    <w:jc w:val="center"/>
                    <w:rPr>
                      <w:szCs w:val="21"/>
                    </w:rPr>
                  </w:pPr>
                  <w:r>
                    <w:rPr>
                      <w:rFonts w:hint="eastAsia"/>
                      <w:szCs w:val="21"/>
                    </w:rPr>
                    <w:t>8、</w:t>
                  </w:r>
                  <w:r>
                    <w:rPr>
                      <w:szCs w:val="21"/>
                    </w:rPr>
                    <w:t>有色金属矿采选、有色金属冶炼、化工、焦化、电镀、制革、农药、铅蓄电池等重点行业企业在拆除生产设施设备、构筑物和污染治理设施前，须按照国家有关规范制定残留污染物清理和安全处置方案，并报所在地县级生态环境、经信部门备案，防范拆除活动污染土壤。</w:t>
                  </w:r>
                </w:p>
                <w:p>
                  <w:pPr>
                    <w:jc w:val="center"/>
                    <w:rPr>
                      <w:szCs w:val="21"/>
                    </w:rPr>
                  </w:pPr>
                  <w:r>
                    <w:rPr>
                      <w:rFonts w:hint="eastAsia"/>
                      <w:szCs w:val="21"/>
                    </w:rPr>
                    <w:t>9、</w:t>
                  </w:r>
                  <w:r>
                    <w:rPr>
                      <w:szCs w:val="21"/>
                    </w:rPr>
                    <w:t>对拟收回、出让、转让土地使用权的重点行业企业用地和生产、经营、使用、贮存有毒有害物质，堆放或者处理、处置生活垃圾、危险废物或其他有害废物的工业场地，以及用途拟变更为居住和商业、学校、医疗、养老机构、办公、文化和体育活动场馆等公共设施用地及食品加工、存储用地和农用地的上述企业用地，在进入用地程序前由土地使用权人负责，委托第三方机构依据国家建设用地土壤环境调查评估技术规定开展土壤环境状况调查评估；土地已经收回的，由所在县（市、区）自然资源部门负责组织开展调查评估。重度污染农用地转为城镇建设用地的，由所在县（市、区）自然资源部门负责组织第三方机构开展调查评估。</w:t>
                  </w:r>
                </w:p>
                <w:p>
                  <w:pPr>
                    <w:jc w:val="center"/>
                    <w:rPr>
                      <w:szCs w:val="21"/>
                    </w:rPr>
                  </w:pPr>
                  <w:r>
                    <w:rPr>
                      <w:rFonts w:hint="eastAsia"/>
                      <w:szCs w:val="21"/>
                    </w:rPr>
                    <w:t>10、</w:t>
                  </w:r>
                  <w:r>
                    <w:rPr>
                      <w:szCs w:val="21"/>
                    </w:rPr>
                    <w:t>未开展土壤环境调查评估或经评估对人体健康有严重影响的，未经治理修复或治理修复后仍不符合相应规划用地土壤环境要求的，不得纳入用地程序。</w:t>
                  </w:r>
                </w:p>
              </w:tc>
              <w:tc>
                <w:tcPr>
                  <w:tcW w:w="1877" w:type="dxa"/>
                  <w:vAlign w:val="center"/>
                </w:tcPr>
                <w:p>
                  <w:pPr>
                    <w:jc w:val="center"/>
                    <w:rPr>
                      <w:szCs w:val="21"/>
                    </w:rPr>
                  </w:pPr>
                  <w:r>
                    <w:rPr>
                      <w:rFonts w:hint="eastAsia"/>
                      <w:szCs w:val="21"/>
                    </w:rPr>
                    <w:t>不涉及</w:t>
                  </w:r>
                </w:p>
              </w:tc>
              <w:tc>
                <w:tcPr>
                  <w:tcW w:w="653" w:type="dxa"/>
                  <w:vAlign w:val="center"/>
                </w:tcPr>
                <w:p>
                  <w:pPr>
                    <w:jc w:val="center"/>
                    <w:rPr>
                      <w:szCs w:val="21"/>
                    </w:rPr>
                  </w:pPr>
                  <w:r>
                    <w:rPr>
                      <w:rFonts w:hint="eastAsia"/>
                      <w:szCs w:val="21"/>
                    </w:rPr>
                    <w:t>符合</w:t>
                  </w:r>
                </w:p>
              </w:tc>
            </w:tr>
          </w:tbl>
          <w:p>
            <w:pPr>
              <w:pStyle w:val="7"/>
              <w:ind w:firstLine="480"/>
            </w:pPr>
          </w:p>
          <w:p/>
          <w:p>
            <w:pPr>
              <w:pStyle w:val="7"/>
              <w:ind w:firstLine="480"/>
            </w:pPr>
          </w:p>
          <w:p/>
        </w:tc>
      </w:tr>
    </w:tbl>
    <w:p>
      <w:pPr>
        <w:pStyle w:val="4"/>
      </w:pPr>
    </w:p>
    <w:p/>
    <w:p>
      <w:pPr>
        <w:pStyle w:val="4"/>
        <w:sectPr>
          <w:pgSz w:w="16838" w:h="11906" w:orient="landscape"/>
          <w:pgMar w:top="1531" w:right="1701" w:bottom="1531" w:left="1701" w:header="851" w:footer="1077" w:gutter="0"/>
          <w:pgNumType w:fmt="numberInDash"/>
          <w:cols w:space="720" w:num="1"/>
          <w:docGrid w:linePitch="312" w:charSpace="0"/>
        </w:sectPr>
      </w:pPr>
    </w:p>
    <w:p>
      <w:pPr>
        <w:pStyle w:val="17"/>
        <w:jc w:val="center"/>
        <w:outlineLvl w:val="0"/>
        <w:rPr>
          <w:rFonts w:ascii="Times New Roman" w:hAnsi="Times New Roman" w:eastAsia="黑体"/>
          <w:snapToGrid w:val="0"/>
          <w:sz w:val="30"/>
          <w:szCs w:val="30"/>
        </w:rPr>
      </w:pPr>
      <w:r>
        <w:rPr>
          <w:rFonts w:ascii="Times New Roman" w:hAnsi="Times New Roman" w:eastAsia="黑体"/>
          <w:snapToGrid w:val="0"/>
          <w:sz w:val="30"/>
          <w:szCs w:val="30"/>
        </w:rPr>
        <w:t>二、建设项目工程分析</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827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Align w:val="center"/>
          </w:tcPr>
          <w:p>
            <w:pPr>
              <w:pStyle w:val="17"/>
              <w:adjustRightInd w:val="0"/>
              <w:snapToGrid w:val="0"/>
              <w:spacing w:before="0" w:beforeAutospacing="0" w:after="0" w:afterAutospacing="0"/>
              <w:jc w:val="center"/>
              <w:rPr>
                <w:rFonts w:ascii="Times New Roman" w:hAnsi="Times New Roman"/>
                <w:sz w:val="21"/>
                <w:szCs w:val="21"/>
              </w:rPr>
            </w:pPr>
            <w:r>
              <w:rPr>
                <w:rFonts w:ascii="Times New Roman" w:hAnsi="Times New Roman"/>
                <w:sz w:val="21"/>
                <w:szCs w:val="21"/>
              </w:rPr>
              <w:t>建设内容</w:t>
            </w:r>
          </w:p>
        </w:tc>
        <w:tc>
          <w:tcPr>
            <w:tcW w:w="8161" w:type="dxa"/>
          </w:tcPr>
          <w:p>
            <w:pPr>
              <w:autoSpaceDE w:val="0"/>
              <w:autoSpaceDN w:val="0"/>
              <w:spacing w:line="360" w:lineRule="auto"/>
              <w:jc w:val="left"/>
              <w:rPr>
                <w:rFonts w:eastAsia="黑体"/>
                <w:sz w:val="24"/>
              </w:rPr>
            </w:pPr>
            <w:r>
              <w:rPr>
                <w:rFonts w:hint="eastAsia" w:eastAsia="黑体"/>
                <w:sz w:val="24"/>
              </w:rPr>
              <w:t>1</w:t>
            </w:r>
            <w:r>
              <w:rPr>
                <w:rFonts w:eastAsia="黑体"/>
                <w:sz w:val="24"/>
              </w:rPr>
              <w:t>、项目概况</w:t>
            </w:r>
          </w:p>
          <w:p>
            <w:pPr>
              <w:adjustRightInd w:val="0"/>
              <w:snapToGrid w:val="0"/>
              <w:spacing w:line="360" w:lineRule="auto"/>
              <w:ind w:firstLine="480" w:firstLineChars="200"/>
              <w:rPr>
                <w:sz w:val="24"/>
              </w:rPr>
            </w:pPr>
            <w:r>
              <w:rPr>
                <w:sz w:val="24"/>
              </w:rPr>
              <w:t>项目名称：</w:t>
            </w:r>
            <w:r>
              <w:rPr>
                <w:rFonts w:hint="eastAsia"/>
                <w:sz w:val="24"/>
              </w:rPr>
              <w:t>山西省汇华万家科技有限公司年产1万吨饲料加工项目</w:t>
            </w:r>
          </w:p>
          <w:p>
            <w:pPr>
              <w:adjustRightInd w:val="0"/>
              <w:snapToGrid w:val="0"/>
              <w:spacing w:line="360" w:lineRule="auto"/>
              <w:ind w:firstLine="480" w:firstLineChars="200"/>
              <w:rPr>
                <w:sz w:val="24"/>
              </w:rPr>
            </w:pPr>
            <w:r>
              <w:rPr>
                <w:sz w:val="24"/>
              </w:rPr>
              <w:t>建设单位：</w:t>
            </w:r>
            <w:r>
              <w:rPr>
                <w:rFonts w:hint="eastAsia"/>
                <w:sz w:val="24"/>
              </w:rPr>
              <w:t>山西省汇华万家科技有限公司</w:t>
            </w:r>
          </w:p>
          <w:p>
            <w:pPr>
              <w:adjustRightInd w:val="0"/>
              <w:snapToGrid w:val="0"/>
              <w:spacing w:line="360" w:lineRule="auto"/>
              <w:ind w:firstLine="480" w:firstLineChars="200"/>
              <w:rPr>
                <w:sz w:val="24"/>
              </w:rPr>
            </w:pPr>
            <w:r>
              <w:rPr>
                <w:sz w:val="24"/>
              </w:rPr>
              <w:t>建设性质：</w:t>
            </w:r>
            <w:r>
              <w:rPr>
                <w:rFonts w:hint="eastAsia"/>
                <w:sz w:val="24"/>
              </w:rPr>
              <w:t>新建</w:t>
            </w:r>
          </w:p>
          <w:p>
            <w:pPr>
              <w:adjustRightInd w:val="0"/>
              <w:snapToGrid w:val="0"/>
              <w:spacing w:line="360" w:lineRule="auto"/>
              <w:ind w:firstLine="480" w:firstLineChars="200"/>
              <w:rPr>
                <w:sz w:val="24"/>
              </w:rPr>
            </w:pPr>
            <w:r>
              <w:rPr>
                <w:sz w:val="24"/>
              </w:rPr>
              <w:t>建设地点：</w:t>
            </w:r>
            <w:r>
              <w:rPr>
                <w:rFonts w:hint="eastAsia"/>
                <w:sz w:val="24"/>
              </w:rPr>
              <w:t>山西省运城市万荣县解店镇西贾村西700m处</w:t>
            </w:r>
          </w:p>
          <w:p>
            <w:pPr>
              <w:autoSpaceDE w:val="0"/>
              <w:autoSpaceDN w:val="0"/>
              <w:spacing w:line="360" w:lineRule="auto"/>
              <w:jc w:val="left"/>
              <w:rPr>
                <w:rFonts w:eastAsia="黑体"/>
                <w:sz w:val="24"/>
              </w:rPr>
            </w:pPr>
            <w:r>
              <w:rPr>
                <w:rFonts w:hint="eastAsia" w:eastAsia="黑体"/>
                <w:sz w:val="24"/>
              </w:rPr>
              <w:t>2</w:t>
            </w:r>
            <w:r>
              <w:rPr>
                <w:rFonts w:eastAsia="黑体"/>
                <w:sz w:val="24"/>
              </w:rPr>
              <w:t>、建设规模及建设内容</w:t>
            </w:r>
          </w:p>
          <w:p>
            <w:pPr>
              <w:adjustRightInd w:val="0"/>
              <w:snapToGrid w:val="0"/>
              <w:spacing w:line="360" w:lineRule="auto"/>
              <w:ind w:firstLine="480" w:firstLineChars="200"/>
              <w:rPr>
                <w:sz w:val="24"/>
              </w:rPr>
            </w:pPr>
            <w:r>
              <w:rPr>
                <w:rFonts w:hint="eastAsia"/>
                <w:sz w:val="24"/>
              </w:rPr>
              <w:t>2</w:t>
            </w:r>
            <w:r>
              <w:rPr>
                <w:sz w:val="24"/>
              </w:rPr>
              <w:t>.</w:t>
            </w:r>
            <w:r>
              <w:rPr>
                <w:rFonts w:hint="eastAsia"/>
                <w:sz w:val="24"/>
              </w:rPr>
              <w:t>1</w:t>
            </w:r>
            <w:r>
              <w:rPr>
                <w:sz w:val="24"/>
              </w:rPr>
              <w:t>建设规模</w:t>
            </w:r>
          </w:p>
          <w:p>
            <w:pPr>
              <w:adjustRightInd w:val="0"/>
              <w:snapToGrid w:val="0"/>
              <w:spacing w:line="360" w:lineRule="auto"/>
              <w:ind w:firstLine="480" w:firstLineChars="200"/>
              <w:rPr>
                <w:sz w:val="24"/>
              </w:rPr>
            </w:pPr>
            <w:r>
              <w:rPr>
                <w:rFonts w:hint="eastAsia"/>
                <w:sz w:val="24"/>
              </w:rPr>
              <w:t>年加工1万吨饲料</w:t>
            </w:r>
          </w:p>
          <w:p>
            <w:pPr>
              <w:adjustRightInd w:val="0"/>
              <w:snapToGrid w:val="0"/>
              <w:spacing w:line="360" w:lineRule="auto"/>
              <w:ind w:firstLine="480" w:firstLineChars="200"/>
              <w:rPr>
                <w:sz w:val="24"/>
              </w:rPr>
            </w:pPr>
            <w:r>
              <w:rPr>
                <w:rFonts w:hint="eastAsia"/>
                <w:sz w:val="24"/>
              </w:rPr>
              <w:t>2</w:t>
            </w:r>
            <w:r>
              <w:rPr>
                <w:sz w:val="24"/>
              </w:rPr>
              <w:t>.</w:t>
            </w:r>
            <w:r>
              <w:rPr>
                <w:rFonts w:hint="eastAsia"/>
                <w:sz w:val="24"/>
              </w:rPr>
              <w:t>2</w:t>
            </w:r>
            <w:r>
              <w:rPr>
                <w:sz w:val="24"/>
              </w:rPr>
              <w:t>建设内容</w:t>
            </w:r>
          </w:p>
          <w:p>
            <w:pPr>
              <w:adjustRightInd w:val="0"/>
              <w:snapToGrid w:val="0"/>
              <w:spacing w:line="360" w:lineRule="auto"/>
              <w:ind w:firstLine="480" w:firstLineChars="200"/>
              <w:rPr>
                <w:sz w:val="24"/>
              </w:rPr>
            </w:pPr>
            <w:r>
              <w:rPr>
                <w:rFonts w:hint="eastAsia"/>
                <w:sz w:val="24"/>
              </w:rPr>
              <w:t>项目总占地面积2640m</w:t>
            </w:r>
            <w:r>
              <w:rPr>
                <w:rFonts w:hint="eastAsia"/>
                <w:sz w:val="24"/>
                <w:vertAlign w:val="superscript"/>
              </w:rPr>
              <w:t>2</w:t>
            </w:r>
            <w:r>
              <w:rPr>
                <w:rFonts w:hint="eastAsia"/>
                <w:sz w:val="24"/>
              </w:rPr>
              <w:t>，主要建设生产车间，成品库，安装2台6t/h生物质热风炉及其他相关配套设施。</w:t>
            </w:r>
          </w:p>
          <w:p>
            <w:pPr>
              <w:adjustRightInd w:val="0"/>
              <w:snapToGrid w:val="0"/>
              <w:spacing w:line="360" w:lineRule="auto"/>
              <w:ind w:firstLine="480" w:firstLineChars="200"/>
              <w:rPr>
                <w:rFonts w:hint="eastAsia"/>
                <w:sz w:val="24"/>
              </w:rPr>
            </w:pPr>
            <w:r>
              <w:rPr>
                <w:sz w:val="24"/>
              </w:rPr>
              <w:t>具体建设内容详见表</w:t>
            </w:r>
            <w:r>
              <w:rPr>
                <w:rFonts w:hint="eastAsia"/>
                <w:sz w:val="24"/>
              </w:rPr>
              <w:t>2</w:t>
            </w:r>
            <w:r>
              <w:rPr>
                <w:sz w:val="24"/>
              </w:rPr>
              <w:t>-</w:t>
            </w:r>
            <w:r>
              <w:rPr>
                <w:rFonts w:hint="eastAsia"/>
                <w:sz w:val="24"/>
              </w:rPr>
              <w:t>1</w:t>
            </w:r>
            <w:r>
              <w:rPr>
                <w:sz w:val="24"/>
              </w:rPr>
              <w:t>。</w:t>
            </w:r>
          </w:p>
          <w:p>
            <w:pPr>
              <w:widowControl/>
              <w:tabs>
                <w:tab w:val="left" w:pos="2660"/>
              </w:tabs>
              <w:snapToGrid w:val="0"/>
              <w:jc w:val="center"/>
              <w:textAlignment w:val="baseline"/>
              <w:rPr>
                <w:b/>
                <w:bCs/>
                <w:szCs w:val="21"/>
              </w:rPr>
            </w:pPr>
            <w:r>
              <w:rPr>
                <w:b/>
                <w:bCs/>
                <w:szCs w:val="21"/>
              </w:rPr>
              <w:t>表</w:t>
            </w:r>
            <w:r>
              <w:rPr>
                <w:rFonts w:hint="eastAsia"/>
                <w:b/>
                <w:bCs/>
                <w:szCs w:val="21"/>
              </w:rPr>
              <w:t>2</w:t>
            </w:r>
            <w:r>
              <w:rPr>
                <w:b/>
                <w:bCs/>
                <w:szCs w:val="21"/>
              </w:rPr>
              <w:t>-</w:t>
            </w:r>
            <w:r>
              <w:rPr>
                <w:rFonts w:hint="eastAsia"/>
                <w:b/>
                <w:bCs/>
                <w:szCs w:val="21"/>
              </w:rPr>
              <w:t>1</w:t>
            </w:r>
            <w:r>
              <w:rPr>
                <w:b/>
                <w:bCs/>
                <w:szCs w:val="21"/>
              </w:rPr>
              <w:t xml:space="preserve">   工程主要建设内容一览表</w:t>
            </w:r>
          </w:p>
          <w:tbl>
            <w:tblPr>
              <w:tblStyle w:val="20"/>
              <w:tblW w:w="799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1365"/>
              <w:gridCol w:w="5087"/>
              <w:gridCol w:w="88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Align w:val="center"/>
                </w:tcPr>
                <w:p>
                  <w:pPr>
                    <w:jc w:val="center"/>
                    <w:rPr>
                      <w:kern w:val="0"/>
                      <w:szCs w:val="21"/>
                    </w:rPr>
                  </w:pPr>
                  <w:r>
                    <w:rPr>
                      <w:kern w:val="0"/>
                      <w:szCs w:val="21"/>
                    </w:rPr>
                    <w:t>工程</w:t>
                  </w:r>
                </w:p>
                <w:p>
                  <w:pPr>
                    <w:jc w:val="center"/>
                    <w:rPr>
                      <w:kern w:val="0"/>
                      <w:szCs w:val="21"/>
                    </w:rPr>
                  </w:pPr>
                  <w:r>
                    <w:rPr>
                      <w:kern w:val="0"/>
                      <w:szCs w:val="21"/>
                    </w:rPr>
                    <w:t>类别</w:t>
                  </w:r>
                </w:p>
              </w:tc>
              <w:tc>
                <w:tcPr>
                  <w:tcW w:w="1365" w:type="dxa"/>
                  <w:vAlign w:val="center"/>
                </w:tcPr>
                <w:p>
                  <w:pPr>
                    <w:jc w:val="center"/>
                    <w:rPr>
                      <w:kern w:val="0"/>
                      <w:szCs w:val="21"/>
                    </w:rPr>
                  </w:pPr>
                  <w:r>
                    <w:rPr>
                      <w:kern w:val="0"/>
                      <w:szCs w:val="21"/>
                    </w:rPr>
                    <w:t>工程名称</w:t>
                  </w:r>
                </w:p>
              </w:tc>
              <w:tc>
                <w:tcPr>
                  <w:tcW w:w="5087" w:type="dxa"/>
                  <w:vAlign w:val="center"/>
                </w:tcPr>
                <w:p>
                  <w:pPr>
                    <w:jc w:val="center"/>
                    <w:rPr>
                      <w:kern w:val="0"/>
                      <w:szCs w:val="21"/>
                    </w:rPr>
                  </w:pPr>
                  <w:r>
                    <w:rPr>
                      <w:kern w:val="0"/>
                      <w:szCs w:val="21"/>
                    </w:rPr>
                    <w:t>工程内容及规模</w:t>
                  </w:r>
                </w:p>
              </w:tc>
              <w:tc>
                <w:tcPr>
                  <w:tcW w:w="886" w:type="dxa"/>
                  <w:vAlign w:val="center"/>
                </w:tcPr>
                <w:p>
                  <w:pPr>
                    <w:jc w:val="center"/>
                    <w:rPr>
                      <w:kern w:val="0"/>
                      <w:szCs w:val="21"/>
                    </w:rPr>
                  </w:pPr>
                  <w:r>
                    <w:rPr>
                      <w:rFonts w:hint="eastAsia"/>
                      <w:kern w:val="0"/>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Merge w:val="restart"/>
                  <w:vAlign w:val="center"/>
                </w:tcPr>
                <w:p>
                  <w:pPr>
                    <w:jc w:val="center"/>
                    <w:rPr>
                      <w:kern w:val="0"/>
                      <w:szCs w:val="21"/>
                    </w:rPr>
                  </w:pPr>
                  <w:r>
                    <w:rPr>
                      <w:kern w:val="0"/>
                      <w:szCs w:val="21"/>
                    </w:rPr>
                    <w:t>主体</w:t>
                  </w:r>
                </w:p>
                <w:p>
                  <w:pPr>
                    <w:jc w:val="center"/>
                    <w:rPr>
                      <w:kern w:val="0"/>
                      <w:szCs w:val="21"/>
                    </w:rPr>
                  </w:pPr>
                  <w:r>
                    <w:rPr>
                      <w:kern w:val="0"/>
                      <w:szCs w:val="21"/>
                    </w:rPr>
                    <w:t>工程</w:t>
                  </w:r>
                </w:p>
              </w:tc>
              <w:tc>
                <w:tcPr>
                  <w:tcW w:w="1365" w:type="dxa"/>
                  <w:vAlign w:val="center"/>
                </w:tcPr>
                <w:p>
                  <w:pPr>
                    <w:jc w:val="center"/>
                    <w:rPr>
                      <w:kern w:val="0"/>
                      <w:szCs w:val="21"/>
                    </w:rPr>
                  </w:pPr>
                  <w:r>
                    <w:rPr>
                      <w:rFonts w:hint="eastAsia"/>
                      <w:kern w:val="0"/>
                      <w:szCs w:val="21"/>
                    </w:rPr>
                    <w:t>1#生产车间</w:t>
                  </w:r>
                </w:p>
              </w:tc>
              <w:tc>
                <w:tcPr>
                  <w:tcW w:w="5087" w:type="dxa"/>
                  <w:vAlign w:val="center"/>
                </w:tcPr>
                <w:p>
                  <w:pPr>
                    <w:jc w:val="center"/>
                    <w:rPr>
                      <w:kern w:val="0"/>
                      <w:szCs w:val="21"/>
                    </w:rPr>
                  </w:pPr>
                  <w:r>
                    <w:rPr>
                      <w:rFonts w:hint="eastAsia"/>
                      <w:kern w:val="0"/>
                      <w:szCs w:val="21"/>
                    </w:rPr>
                    <w:t>建筑面积660m</w:t>
                  </w:r>
                  <w:r>
                    <w:rPr>
                      <w:rFonts w:hint="eastAsia"/>
                      <w:kern w:val="0"/>
                      <w:szCs w:val="21"/>
                      <w:vertAlign w:val="superscript"/>
                    </w:rPr>
                    <w:t>2</w:t>
                  </w:r>
                  <w:r>
                    <w:rPr>
                      <w:kern w:val="0"/>
                      <w:szCs w:val="21"/>
                    </w:rPr>
                    <w:t>，年生产</w:t>
                  </w:r>
                  <w:r>
                    <w:rPr>
                      <w:rFonts w:hint="eastAsia"/>
                      <w:kern w:val="0"/>
                      <w:szCs w:val="21"/>
                    </w:rPr>
                    <w:t>饲料</w:t>
                  </w:r>
                  <w:r>
                    <w:rPr>
                      <w:kern w:val="0"/>
                      <w:szCs w:val="21"/>
                    </w:rPr>
                    <w:t>5000t/a生产线</w:t>
                  </w:r>
                  <w:r>
                    <w:rPr>
                      <w:rFonts w:hint="eastAsia"/>
                      <w:kern w:val="0"/>
                      <w:szCs w:val="21"/>
                    </w:rPr>
                    <w:t>1</w:t>
                  </w:r>
                  <w:r>
                    <w:rPr>
                      <w:kern w:val="0"/>
                      <w:szCs w:val="21"/>
                    </w:rPr>
                    <w:t xml:space="preserve">条 </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Merge w:val="continue"/>
                  <w:vAlign w:val="center"/>
                </w:tcPr>
                <w:p>
                  <w:pPr>
                    <w:jc w:val="center"/>
                    <w:rPr>
                      <w:kern w:val="0"/>
                      <w:szCs w:val="21"/>
                    </w:rPr>
                  </w:pPr>
                </w:p>
              </w:tc>
              <w:tc>
                <w:tcPr>
                  <w:tcW w:w="1365" w:type="dxa"/>
                  <w:vAlign w:val="center"/>
                </w:tcPr>
                <w:p>
                  <w:pPr>
                    <w:jc w:val="center"/>
                    <w:rPr>
                      <w:kern w:val="0"/>
                      <w:szCs w:val="21"/>
                    </w:rPr>
                  </w:pPr>
                  <w:r>
                    <w:rPr>
                      <w:rFonts w:hint="eastAsia"/>
                      <w:kern w:val="0"/>
                      <w:szCs w:val="21"/>
                    </w:rPr>
                    <w:t>2#生产车间</w:t>
                  </w:r>
                </w:p>
              </w:tc>
              <w:tc>
                <w:tcPr>
                  <w:tcW w:w="5087" w:type="dxa"/>
                  <w:vAlign w:val="center"/>
                </w:tcPr>
                <w:p>
                  <w:pPr>
                    <w:jc w:val="center"/>
                    <w:rPr>
                      <w:kern w:val="0"/>
                      <w:szCs w:val="21"/>
                    </w:rPr>
                  </w:pPr>
                  <w:r>
                    <w:rPr>
                      <w:rFonts w:hint="eastAsia"/>
                      <w:kern w:val="0"/>
                      <w:szCs w:val="21"/>
                    </w:rPr>
                    <w:t>建筑面积660m</w:t>
                  </w:r>
                  <w:r>
                    <w:rPr>
                      <w:rFonts w:hint="eastAsia"/>
                      <w:kern w:val="0"/>
                      <w:szCs w:val="21"/>
                      <w:vertAlign w:val="superscript"/>
                    </w:rPr>
                    <w:t>2</w:t>
                  </w:r>
                  <w:r>
                    <w:rPr>
                      <w:kern w:val="0"/>
                      <w:szCs w:val="21"/>
                    </w:rPr>
                    <w:t>，年生产</w:t>
                  </w:r>
                  <w:r>
                    <w:rPr>
                      <w:rFonts w:hint="eastAsia"/>
                      <w:kern w:val="0"/>
                      <w:szCs w:val="21"/>
                    </w:rPr>
                    <w:t>饲料</w:t>
                  </w:r>
                  <w:r>
                    <w:rPr>
                      <w:kern w:val="0"/>
                      <w:szCs w:val="21"/>
                    </w:rPr>
                    <w:t>5000t/a生产线</w:t>
                  </w:r>
                  <w:r>
                    <w:rPr>
                      <w:rFonts w:hint="eastAsia"/>
                      <w:kern w:val="0"/>
                      <w:szCs w:val="21"/>
                    </w:rPr>
                    <w:t>1</w:t>
                  </w:r>
                  <w:r>
                    <w:rPr>
                      <w:kern w:val="0"/>
                      <w:szCs w:val="21"/>
                    </w:rPr>
                    <w:t>条</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Merge w:val="restart"/>
                  <w:vAlign w:val="center"/>
                </w:tcPr>
                <w:p>
                  <w:pPr>
                    <w:jc w:val="center"/>
                    <w:rPr>
                      <w:kern w:val="0"/>
                      <w:szCs w:val="21"/>
                    </w:rPr>
                  </w:pPr>
                  <w:r>
                    <w:rPr>
                      <w:rFonts w:hint="eastAsia"/>
                      <w:kern w:val="0"/>
                      <w:szCs w:val="21"/>
                    </w:rPr>
                    <w:t>储运工程</w:t>
                  </w:r>
                </w:p>
              </w:tc>
              <w:tc>
                <w:tcPr>
                  <w:tcW w:w="1365" w:type="dxa"/>
                  <w:vAlign w:val="center"/>
                </w:tcPr>
                <w:p>
                  <w:pPr>
                    <w:jc w:val="center"/>
                    <w:rPr>
                      <w:kern w:val="0"/>
                      <w:szCs w:val="21"/>
                    </w:rPr>
                  </w:pPr>
                  <w:r>
                    <w:rPr>
                      <w:rFonts w:hint="eastAsia"/>
                      <w:kern w:val="0"/>
                      <w:szCs w:val="21"/>
                    </w:rPr>
                    <w:t>原料堆放区</w:t>
                  </w:r>
                </w:p>
              </w:tc>
              <w:tc>
                <w:tcPr>
                  <w:tcW w:w="5087" w:type="dxa"/>
                  <w:vAlign w:val="center"/>
                </w:tcPr>
                <w:p>
                  <w:pPr>
                    <w:jc w:val="center"/>
                    <w:rPr>
                      <w:kern w:val="0"/>
                      <w:szCs w:val="21"/>
                    </w:rPr>
                  </w:pPr>
                  <w:r>
                    <w:rPr>
                      <w:rFonts w:hint="eastAsia"/>
                      <w:kern w:val="0"/>
                      <w:szCs w:val="21"/>
                    </w:rPr>
                    <w:t>位于生产车间内西侧，占地面积100m</w:t>
                  </w:r>
                  <w:r>
                    <w:rPr>
                      <w:rFonts w:hint="eastAsia"/>
                      <w:kern w:val="0"/>
                      <w:szCs w:val="21"/>
                      <w:vertAlign w:val="superscript"/>
                    </w:rPr>
                    <w:t>2</w:t>
                  </w:r>
                  <w:r>
                    <w:rPr>
                      <w:kern w:val="0"/>
                      <w:szCs w:val="21"/>
                    </w:rPr>
                    <w:t>，主要</w:t>
                  </w:r>
                  <w:r>
                    <w:rPr>
                      <w:rFonts w:hint="eastAsia"/>
                      <w:kern w:val="0"/>
                      <w:szCs w:val="21"/>
                    </w:rPr>
                    <w:t>用于原料的堆存</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Merge w:val="continue"/>
                  <w:vAlign w:val="center"/>
                </w:tcPr>
                <w:p>
                  <w:pPr>
                    <w:jc w:val="center"/>
                    <w:rPr>
                      <w:kern w:val="0"/>
                      <w:szCs w:val="21"/>
                    </w:rPr>
                  </w:pPr>
                </w:p>
              </w:tc>
              <w:tc>
                <w:tcPr>
                  <w:tcW w:w="1365" w:type="dxa"/>
                  <w:vAlign w:val="center"/>
                </w:tcPr>
                <w:p>
                  <w:pPr>
                    <w:jc w:val="center"/>
                    <w:rPr>
                      <w:kern w:val="0"/>
                      <w:szCs w:val="21"/>
                    </w:rPr>
                  </w:pPr>
                  <w:r>
                    <w:rPr>
                      <w:rFonts w:hint="eastAsia"/>
                      <w:kern w:val="0"/>
                      <w:szCs w:val="21"/>
                    </w:rPr>
                    <w:t>成品库</w:t>
                  </w:r>
                </w:p>
              </w:tc>
              <w:tc>
                <w:tcPr>
                  <w:tcW w:w="5087" w:type="dxa"/>
                  <w:vAlign w:val="center"/>
                </w:tcPr>
                <w:p>
                  <w:pPr>
                    <w:jc w:val="center"/>
                    <w:rPr>
                      <w:kern w:val="0"/>
                      <w:szCs w:val="21"/>
                    </w:rPr>
                  </w:pPr>
                  <w:r>
                    <w:rPr>
                      <w:rFonts w:hint="eastAsia"/>
                      <w:kern w:val="0"/>
                      <w:szCs w:val="21"/>
                    </w:rPr>
                    <w:t>占地面积1320m</w:t>
                  </w:r>
                  <w:r>
                    <w:rPr>
                      <w:rFonts w:hint="eastAsia"/>
                      <w:kern w:val="0"/>
                      <w:szCs w:val="21"/>
                      <w:vertAlign w:val="superscript"/>
                    </w:rPr>
                    <w:t>2</w:t>
                  </w:r>
                  <w:r>
                    <w:rPr>
                      <w:kern w:val="0"/>
                      <w:szCs w:val="21"/>
                    </w:rPr>
                    <w:t>，主要</w:t>
                  </w:r>
                  <w:r>
                    <w:rPr>
                      <w:rFonts w:hint="eastAsia"/>
                      <w:kern w:val="0"/>
                      <w:szCs w:val="21"/>
                    </w:rPr>
                    <w:t>用于产品的堆存</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659" w:type="dxa"/>
                  <w:vMerge w:val="restart"/>
                  <w:vAlign w:val="center"/>
                </w:tcPr>
                <w:p>
                  <w:pPr>
                    <w:jc w:val="center"/>
                    <w:rPr>
                      <w:kern w:val="0"/>
                      <w:szCs w:val="21"/>
                    </w:rPr>
                  </w:pPr>
                  <w:r>
                    <w:rPr>
                      <w:kern w:val="0"/>
                      <w:szCs w:val="21"/>
                    </w:rPr>
                    <w:t>公用</w:t>
                  </w:r>
                </w:p>
                <w:p>
                  <w:pPr>
                    <w:jc w:val="center"/>
                    <w:rPr>
                      <w:kern w:val="0"/>
                      <w:szCs w:val="21"/>
                    </w:rPr>
                  </w:pPr>
                  <w:r>
                    <w:rPr>
                      <w:kern w:val="0"/>
                      <w:szCs w:val="21"/>
                    </w:rPr>
                    <w:t>工程</w:t>
                  </w:r>
                </w:p>
              </w:tc>
              <w:tc>
                <w:tcPr>
                  <w:tcW w:w="1365" w:type="dxa"/>
                  <w:vAlign w:val="center"/>
                </w:tcPr>
                <w:p>
                  <w:pPr>
                    <w:jc w:val="center"/>
                    <w:rPr>
                      <w:kern w:val="0"/>
                      <w:szCs w:val="21"/>
                    </w:rPr>
                  </w:pPr>
                  <w:r>
                    <w:rPr>
                      <w:kern w:val="0"/>
                      <w:szCs w:val="21"/>
                    </w:rPr>
                    <w:t>给水</w:t>
                  </w:r>
                </w:p>
              </w:tc>
              <w:tc>
                <w:tcPr>
                  <w:tcW w:w="5087" w:type="dxa"/>
                  <w:vAlign w:val="center"/>
                </w:tcPr>
                <w:p>
                  <w:pPr>
                    <w:jc w:val="center"/>
                    <w:rPr>
                      <w:kern w:val="0"/>
                      <w:szCs w:val="21"/>
                    </w:rPr>
                  </w:pPr>
                  <w:r>
                    <w:rPr>
                      <w:rFonts w:hint="eastAsia"/>
                      <w:kern w:val="0"/>
                      <w:szCs w:val="21"/>
                    </w:rPr>
                    <w:t>由北京汇源集团万荣有限公司供给</w:t>
                  </w:r>
                </w:p>
              </w:tc>
              <w:tc>
                <w:tcPr>
                  <w:tcW w:w="886" w:type="dxa"/>
                  <w:vAlign w:val="center"/>
                </w:tcPr>
                <w:p>
                  <w:pPr>
                    <w:jc w:val="center"/>
                    <w:rPr>
                      <w:kern w:val="0"/>
                      <w:szCs w:val="21"/>
                    </w:rP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659" w:type="dxa"/>
                  <w:vMerge w:val="continue"/>
                  <w:vAlign w:val="center"/>
                </w:tcPr>
                <w:p>
                  <w:pPr>
                    <w:jc w:val="center"/>
                    <w:rPr>
                      <w:kern w:val="0"/>
                      <w:szCs w:val="21"/>
                    </w:rPr>
                  </w:pPr>
                </w:p>
              </w:tc>
              <w:tc>
                <w:tcPr>
                  <w:tcW w:w="1365" w:type="dxa"/>
                  <w:vAlign w:val="center"/>
                </w:tcPr>
                <w:p>
                  <w:pPr>
                    <w:jc w:val="center"/>
                    <w:rPr>
                      <w:kern w:val="0"/>
                      <w:szCs w:val="21"/>
                    </w:rPr>
                  </w:pPr>
                  <w:r>
                    <w:rPr>
                      <w:kern w:val="0"/>
                      <w:szCs w:val="21"/>
                    </w:rPr>
                    <w:t>供电</w:t>
                  </w:r>
                </w:p>
              </w:tc>
              <w:tc>
                <w:tcPr>
                  <w:tcW w:w="5087" w:type="dxa"/>
                  <w:vAlign w:val="center"/>
                </w:tcPr>
                <w:p>
                  <w:pPr>
                    <w:jc w:val="center"/>
                    <w:rPr>
                      <w:kern w:val="0"/>
                      <w:szCs w:val="21"/>
                    </w:rPr>
                  </w:pPr>
                  <w:r>
                    <w:rPr>
                      <w:kern w:val="0"/>
                      <w:szCs w:val="21"/>
                    </w:rPr>
                    <w:t>项目用电就近接入电网</w:t>
                  </w:r>
                </w:p>
              </w:tc>
              <w:tc>
                <w:tcPr>
                  <w:tcW w:w="886" w:type="dxa"/>
                  <w:vAlign w:val="center"/>
                </w:tcPr>
                <w:p>
                  <w:pPr>
                    <w:jc w:val="center"/>
                    <w:rPr>
                      <w:kern w:val="0"/>
                      <w:szCs w:val="21"/>
                    </w:rP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59" w:type="dxa"/>
                  <w:vMerge w:val="restart"/>
                  <w:vAlign w:val="center"/>
                </w:tcPr>
                <w:p>
                  <w:pPr>
                    <w:jc w:val="center"/>
                    <w:rPr>
                      <w:kern w:val="0"/>
                      <w:szCs w:val="21"/>
                    </w:rPr>
                  </w:pPr>
                  <w:r>
                    <w:rPr>
                      <w:kern w:val="0"/>
                      <w:szCs w:val="21"/>
                    </w:rPr>
                    <w:t>环保</w:t>
                  </w:r>
                </w:p>
                <w:p>
                  <w:pPr>
                    <w:jc w:val="center"/>
                    <w:rPr>
                      <w:kern w:val="0"/>
                      <w:szCs w:val="21"/>
                    </w:rPr>
                  </w:pPr>
                  <w:r>
                    <w:rPr>
                      <w:kern w:val="0"/>
                      <w:szCs w:val="21"/>
                    </w:rPr>
                    <w:t>工程</w:t>
                  </w:r>
                </w:p>
              </w:tc>
              <w:tc>
                <w:tcPr>
                  <w:tcW w:w="1365" w:type="dxa"/>
                  <w:vAlign w:val="center"/>
                </w:tcPr>
                <w:p>
                  <w:pPr>
                    <w:jc w:val="center"/>
                    <w:rPr>
                      <w:kern w:val="0"/>
                      <w:szCs w:val="21"/>
                    </w:rPr>
                  </w:pPr>
                  <w:r>
                    <w:rPr>
                      <w:kern w:val="0"/>
                      <w:szCs w:val="21"/>
                    </w:rPr>
                    <w:t>废气</w:t>
                  </w:r>
                </w:p>
              </w:tc>
              <w:tc>
                <w:tcPr>
                  <w:tcW w:w="5087" w:type="dxa"/>
                  <w:vAlign w:val="center"/>
                </w:tcPr>
                <w:p>
                  <w:pPr>
                    <w:jc w:val="center"/>
                    <w:rPr>
                      <w:color w:val="FF0000"/>
                      <w:kern w:val="0"/>
                      <w:szCs w:val="21"/>
                    </w:rPr>
                  </w:pPr>
                  <w:r>
                    <w:rPr>
                      <w:rFonts w:hint="eastAsia"/>
                    </w:rPr>
                    <w:t>烘干废气</w:t>
                  </w:r>
                  <w:r>
                    <w:t>采用</w:t>
                  </w:r>
                  <w:r>
                    <w:rPr>
                      <w:rFonts w:hint="eastAsia"/>
                    </w:rPr>
                    <w:t>低氮燃烧技术+</w:t>
                  </w:r>
                  <w:r>
                    <w:t>旋风除尘+布袋除尘+</w:t>
                  </w:r>
                  <w:r>
                    <w:rPr>
                      <w:rFonts w:hint="eastAsia"/>
                    </w:rPr>
                    <w:t>15</w:t>
                  </w:r>
                  <w:r>
                    <w:t>m排气筒</w:t>
                  </w:r>
                  <w:r>
                    <w:rPr>
                      <w:rFonts w:hint="eastAsia"/>
                    </w:rPr>
                    <w:t>排放</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Merge w:val="continue"/>
                  <w:vAlign w:val="center"/>
                </w:tcPr>
                <w:p>
                  <w:pPr>
                    <w:jc w:val="center"/>
                    <w:rPr>
                      <w:kern w:val="0"/>
                      <w:szCs w:val="21"/>
                    </w:rPr>
                  </w:pPr>
                </w:p>
              </w:tc>
              <w:tc>
                <w:tcPr>
                  <w:tcW w:w="1365" w:type="dxa"/>
                  <w:vAlign w:val="center"/>
                </w:tcPr>
                <w:p>
                  <w:pPr>
                    <w:jc w:val="center"/>
                    <w:rPr>
                      <w:kern w:val="0"/>
                      <w:szCs w:val="21"/>
                    </w:rPr>
                  </w:pPr>
                  <w:r>
                    <w:rPr>
                      <w:kern w:val="0"/>
                      <w:szCs w:val="21"/>
                    </w:rPr>
                    <w:t>废水</w:t>
                  </w:r>
                </w:p>
              </w:tc>
              <w:tc>
                <w:tcPr>
                  <w:tcW w:w="5087" w:type="dxa"/>
                  <w:vAlign w:val="center"/>
                </w:tcPr>
                <w:p>
                  <w:pPr>
                    <w:jc w:val="center"/>
                    <w:rPr>
                      <w:kern w:val="0"/>
                      <w:szCs w:val="21"/>
                    </w:rPr>
                  </w:pPr>
                  <w:r>
                    <w:rPr>
                      <w:rFonts w:hint="eastAsia"/>
                      <w:bCs/>
                      <w:kern w:val="0"/>
                    </w:rPr>
                    <w:t>生</w:t>
                  </w:r>
                  <w:r>
                    <w:rPr>
                      <w:rFonts w:hint="eastAsia"/>
                    </w:rPr>
                    <w:t>活污水排入北京汇源集团万荣有限公司污水处理厂，处理后排入管网</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659" w:type="dxa"/>
                  <w:vMerge w:val="continue"/>
                  <w:vAlign w:val="center"/>
                </w:tcPr>
                <w:p>
                  <w:pPr>
                    <w:jc w:val="center"/>
                    <w:rPr>
                      <w:szCs w:val="21"/>
                    </w:rPr>
                  </w:pPr>
                </w:p>
              </w:tc>
              <w:tc>
                <w:tcPr>
                  <w:tcW w:w="1365" w:type="dxa"/>
                  <w:vAlign w:val="center"/>
                </w:tcPr>
                <w:p>
                  <w:pPr>
                    <w:jc w:val="center"/>
                    <w:rPr>
                      <w:kern w:val="0"/>
                      <w:szCs w:val="21"/>
                    </w:rPr>
                  </w:pPr>
                  <w:r>
                    <w:rPr>
                      <w:kern w:val="0"/>
                      <w:szCs w:val="21"/>
                    </w:rPr>
                    <w:t>噪声</w:t>
                  </w:r>
                </w:p>
              </w:tc>
              <w:tc>
                <w:tcPr>
                  <w:tcW w:w="5087" w:type="dxa"/>
                  <w:vAlign w:val="center"/>
                </w:tcPr>
                <w:p>
                  <w:pPr>
                    <w:jc w:val="center"/>
                    <w:rPr>
                      <w:kern w:val="0"/>
                      <w:szCs w:val="21"/>
                    </w:rPr>
                  </w:pPr>
                  <w:r>
                    <w:rPr>
                      <w:kern w:val="0"/>
                      <w:szCs w:val="21"/>
                    </w:rPr>
                    <w:t>选用低噪声设备，隔声、减振、降噪、绿化等降噪措施</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659" w:type="dxa"/>
                  <w:vMerge w:val="continue"/>
                  <w:vAlign w:val="center"/>
                </w:tcPr>
                <w:p>
                  <w:pPr>
                    <w:jc w:val="center"/>
                    <w:rPr>
                      <w:szCs w:val="21"/>
                    </w:rPr>
                  </w:pPr>
                </w:p>
              </w:tc>
              <w:tc>
                <w:tcPr>
                  <w:tcW w:w="1365" w:type="dxa"/>
                  <w:vMerge w:val="restart"/>
                  <w:vAlign w:val="center"/>
                </w:tcPr>
                <w:p>
                  <w:pPr>
                    <w:jc w:val="center"/>
                    <w:rPr>
                      <w:kern w:val="0"/>
                      <w:szCs w:val="21"/>
                    </w:rPr>
                  </w:pPr>
                  <w:r>
                    <w:rPr>
                      <w:kern w:val="0"/>
                      <w:szCs w:val="21"/>
                    </w:rPr>
                    <w:t>固废</w:t>
                  </w:r>
                </w:p>
              </w:tc>
              <w:tc>
                <w:tcPr>
                  <w:tcW w:w="5087" w:type="dxa"/>
                  <w:vAlign w:val="center"/>
                </w:tcPr>
                <w:p>
                  <w:pPr>
                    <w:jc w:val="center"/>
                    <w:rPr>
                      <w:kern w:val="0"/>
                      <w:szCs w:val="21"/>
                    </w:rPr>
                  </w:pPr>
                  <w:r>
                    <w:rPr>
                      <w:kern w:val="0"/>
                      <w:szCs w:val="21"/>
                    </w:rPr>
                    <w:t>生活垃圾设带盖垃圾桶分类收集送交环卫部门处置</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9" w:type="dxa"/>
                  <w:vMerge w:val="continue"/>
                  <w:vAlign w:val="center"/>
                </w:tcPr>
                <w:p>
                  <w:pPr>
                    <w:jc w:val="center"/>
                    <w:rPr>
                      <w:szCs w:val="21"/>
                    </w:rPr>
                  </w:pPr>
                </w:p>
              </w:tc>
              <w:tc>
                <w:tcPr>
                  <w:tcW w:w="1365" w:type="dxa"/>
                  <w:vMerge w:val="continue"/>
                  <w:vAlign w:val="center"/>
                </w:tcPr>
                <w:p>
                  <w:pPr>
                    <w:jc w:val="center"/>
                    <w:rPr>
                      <w:kern w:val="0"/>
                      <w:szCs w:val="21"/>
                    </w:rPr>
                  </w:pPr>
                </w:p>
              </w:tc>
              <w:tc>
                <w:tcPr>
                  <w:tcW w:w="5087" w:type="dxa"/>
                  <w:vAlign w:val="center"/>
                </w:tcPr>
                <w:p>
                  <w:pPr>
                    <w:jc w:val="center"/>
                    <w:rPr>
                      <w:kern w:val="0"/>
                      <w:szCs w:val="21"/>
                    </w:rPr>
                  </w:pPr>
                  <w:r>
                    <w:rPr>
                      <w:kern w:val="0"/>
                      <w:szCs w:val="21"/>
                    </w:rPr>
                    <w:t>一般固体废物设1处固废暂存间分类收集后定期</w:t>
                  </w:r>
                  <w:r>
                    <w:rPr>
                      <w:rFonts w:hint="eastAsia"/>
                      <w:kern w:val="0"/>
                      <w:szCs w:val="21"/>
                    </w:rPr>
                    <w:t>外售</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659" w:type="dxa"/>
                  <w:vMerge w:val="continue"/>
                  <w:vAlign w:val="center"/>
                </w:tcPr>
                <w:p>
                  <w:pPr>
                    <w:jc w:val="center"/>
                    <w:rPr>
                      <w:szCs w:val="21"/>
                    </w:rPr>
                  </w:pPr>
                </w:p>
              </w:tc>
              <w:tc>
                <w:tcPr>
                  <w:tcW w:w="1365" w:type="dxa"/>
                  <w:vMerge w:val="continue"/>
                  <w:vAlign w:val="center"/>
                </w:tcPr>
                <w:p>
                  <w:pPr>
                    <w:jc w:val="center"/>
                    <w:rPr>
                      <w:kern w:val="0"/>
                      <w:szCs w:val="21"/>
                    </w:rPr>
                  </w:pPr>
                </w:p>
              </w:tc>
              <w:tc>
                <w:tcPr>
                  <w:tcW w:w="5087" w:type="dxa"/>
                  <w:vAlign w:val="center"/>
                </w:tcPr>
                <w:p>
                  <w:pPr>
                    <w:jc w:val="center"/>
                    <w:rPr>
                      <w:kern w:val="0"/>
                      <w:szCs w:val="21"/>
                    </w:rPr>
                  </w:pPr>
                  <w:r>
                    <w:rPr>
                      <w:kern w:val="0"/>
                      <w:szCs w:val="21"/>
                    </w:rPr>
                    <w:t>危险废物设1处危废</w:t>
                  </w:r>
                  <w:r>
                    <w:rPr>
                      <w:rFonts w:hint="eastAsia"/>
                      <w:kern w:val="0"/>
                      <w:szCs w:val="21"/>
                    </w:rPr>
                    <w:t>贮</w:t>
                  </w:r>
                  <w:r>
                    <w:rPr>
                      <w:kern w:val="0"/>
                      <w:szCs w:val="21"/>
                    </w:rPr>
                    <w:t>存间，定期交资质单位处置</w:t>
                  </w:r>
                </w:p>
              </w:tc>
              <w:tc>
                <w:tcPr>
                  <w:tcW w:w="886" w:type="dxa"/>
                  <w:vAlign w:val="center"/>
                </w:tcPr>
                <w:p>
                  <w:pPr>
                    <w:jc w:val="center"/>
                    <w:rPr>
                      <w:kern w:val="0"/>
                      <w:szCs w:val="21"/>
                    </w:rPr>
                  </w:pPr>
                  <w:r>
                    <w:rPr>
                      <w:rFonts w:hint="eastAsia"/>
                      <w:kern w:val="0"/>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59" w:type="dxa"/>
                  <w:vMerge w:val="continue"/>
                  <w:vAlign w:val="center"/>
                </w:tcPr>
                <w:p>
                  <w:pPr>
                    <w:jc w:val="center"/>
                    <w:rPr>
                      <w:szCs w:val="21"/>
                    </w:rPr>
                  </w:pPr>
                </w:p>
              </w:tc>
              <w:tc>
                <w:tcPr>
                  <w:tcW w:w="1365" w:type="dxa"/>
                  <w:vAlign w:val="center"/>
                </w:tcPr>
                <w:p>
                  <w:pPr>
                    <w:jc w:val="center"/>
                    <w:rPr>
                      <w:kern w:val="0"/>
                      <w:szCs w:val="21"/>
                    </w:rPr>
                  </w:pPr>
                  <w:r>
                    <w:rPr>
                      <w:rFonts w:hint="eastAsia"/>
                      <w:kern w:val="0"/>
                      <w:szCs w:val="21"/>
                    </w:rPr>
                    <w:t>环境风险</w:t>
                  </w:r>
                </w:p>
              </w:tc>
              <w:tc>
                <w:tcPr>
                  <w:tcW w:w="5087" w:type="dxa"/>
                  <w:vAlign w:val="center"/>
                </w:tcPr>
                <w:p>
                  <w:pPr>
                    <w:jc w:val="center"/>
                    <w:rPr>
                      <w:kern w:val="0"/>
                      <w:szCs w:val="21"/>
                    </w:rPr>
                  </w:pPr>
                  <w:r>
                    <w:rPr>
                      <w:rFonts w:hint="eastAsia"/>
                      <w:kern w:val="0"/>
                      <w:szCs w:val="21"/>
                    </w:rPr>
                    <w:t>防雷、安全标示、报警装置、灭火装置</w:t>
                  </w:r>
                </w:p>
              </w:tc>
              <w:tc>
                <w:tcPr>
                  <w:tcW w:w="886" w:type="dxa"/>
                  <w:vAlign w:val="center"/>
                </w:tcPr>
                <w:p>
                  <w:pPr>
                    <w:jc w:val="center"/>
                    <w:rPr>
                      <w:kern w:val="0"/>
                      <w:szCs w:val="21"/>
                    </w:rPr>
                  </w:pPr>
                  <w:r>
                    <w:rPr>
                      <w:rFonts w:hint="eastAsia"/>
                      <w:kern w:val="0"/>
                      <w:szCs w:val="21"/>
                    </w:rPr>
                    <w:t>新建</w:t>
                  </w:r>
                </w:p>
              </w:tc>
            </w:tr>
          </w:tbl>
          <w:p>
            <w:pPr>
              <w:pStyle w:val="62"/>
              <w:ind w:firstLine="0" w:firstLineChars="0"/>
              <w:rPr>
                <w:b/>
                <w:spacing w:val="0"/>
                <w:kern w:val="0"/>
                <w:szCs w:val="24"/>
              </w:rPr>
            </w:pPr>
            <w:r>
              <w:rPr>
                <w:rFonts w:hint="eastAsia"/>
                <w:b/>
                <w:spacing w:val="0"/>
                <w:kern w:val="0"/>
                <w:szCs w:val="24"/>
              </w:rPr>
              <w:t>3、产品方案</w:t>
            </w:r>
          </w:p>
          <w:p>
            <w:pPr>
              <w:adjustRightInd w:val="0"/>
              <w:snapToGrid w:val="0"/>
              <w:spacing w:line="360" w:lineRule="auto"/>
              <w:ind w:firstLine="480" w:firstLineChars="200"/>
              <w:rPr>
                <w:sz w:val="24"/>
              </w:rPr>
            </w:pPr>
            <w:r>
              <w:rPr>
                <w:sz w:val="24"/>
              </w:rPr>
              <w:t>主要产品及产量</w:t>
            </w:r>
            <w:r>
              <w:rPr>
                <w:rFonts w:hint="eastAsia"/>
                <w:sz w:val="24"/>
              </w:rPr>
              <w:t>下表。</w:t>
            </w:r>
          </w:p>
          <w:p>
            <w:pPr>
              <w:widowControl/>
              <w:tabs>
                <w:tab w:val="left" w:pos="2660"/>
              </w:tabs>
              <w:snapToGrid w:val="0"/>
              <w:jc w:val="center"/>
              <w:textAlignment w:val="baseline"/>
              <w:rPr>
                <w:b/>
                <w:bCs/>
                <w:szCs w:val="21"/>
              </w:rPr>
            </w:pPr>
            <w:r>
              <w:rPr>
                <w:rFonts w:hint="eastAsia"/>
                <w:b/>
                <w:bCs/>
                <w:szCs w:val="21"/>
              </w:rPr>
              <w:t xml:space="preserve">表2-2    </w:t>
            </w:r>
            <w:r>
              <w:rPr>
                <w:rFonts w:hint="eastAsia"/>
                <w:b/>
                <w:bCs/>
                <w:szCs w:val="21"/>
                <w:lang w:val="zh-CN"/>
              </w:rPr>
              <w:t>主要产品及产量</w:t>
            </w:r>
          </w:p>
          <w:tbl>
            <w:tblPr>
              <w:tblStyle w:val="20"/>
              <w:tblW w:w="4943"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383"/>
              <w:gridCol w:w="1410"/>
              <w:gridCol w:w="43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14" w:type="pct"/>
                  <w:vAlign w:val="center"/>
                </w:tcPr>
                <w:p>
                  <w:pPr>
                    <w:jc w:val="center"/>
                    <w:rPr>
                      <w:kern w:val="0"/>
                      <w:szCs w:val="21"/>
                    </w:rPr>
                  </w:pPr>
                  <w:r>
                    <w:rPr>
                      <w:kern w:val="0"/>
                      <w:szCs w:val="21"/>
                    </w:rPr>
                    <w:t>序号</w:t>
                  </w:r>
                </w:p>
              </w:tc>
              <w:tc>
                <w:tcPr>
                  <w:tcW w:w="868" w:type="pct"/>
                  <w:vAlign w:val="center"/>
                </w:tcPr>
                <w:p>
                  <w:pPr>
                    <w:jc w:val="center"/>
                    <w:rPr>
                      <w:kern w:val="0"/>
                      <w:szCs w:val="21"/>
                    </w:rPr>
                  </w:pPr>
                  <w:r>
                    <w:rPr>
                      <w:kern w:val="0"/>
                      <w:szCs w:val="21"/>
                    </w:rPr>
                    <w:t>产品名称</w:t>
                  </w:r>
                </w:p>
              </w:tc>
              <w:tc>
                <w:tcPr>
                  <w:tcW w:w="885" w:type="pct"/>
                  <w:vAlign w:val="center"/>
                </w:tcPr>
                <w:p>
                  <w:pPr>
                    <w:jc w:val="center"/>
                    <w:rPr>
                      <w:kern w:val="0"/>
                      <w:szCs w:val="21"/>
                    </w:rPr>
                  </w:pPr>
                  <w:r>
                    <w:rPr>
                      <w:kern w:val="0"/>
                      <w:szCs w:val="21"/>
                    </w:rPr>
                    <w:t>年产量</w:t>
                  </w:r>
                </w:p>
              </w:tc>
              <w:tc>
                <w:tcPr>
                  <w:tcW w:w="2731" w:type="pct"/>
                  <w:vAlign w:val="center"/>
                </w:tcPr>
                <w:p>
                  <w:pPr>
                    <w:jc w:val="center"/>
                    <w:rPr>
                      <w:kern w:val="0"/>
                      <w:szCs w:val="21"/>
                    </w:rPr>
                  </w:pPr>
                  <w:r>
                    <w:rPr>
                      <w:rFonts w:hint="eastAsia"/>
                      <w:kern w:val="0"/>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14" w:type="pct"/>
                  <w:vAlign w:val="center"/>
                </w:tcPr>
                <w:p>
                  <w:pPr>
                    <w:jc w:val="center"/>
                    <w:rPr>
                      <w:kern w:val="0"/>
                      <w:szCs w:val="21"/>
                    </w:rPr>
                  </w:pPr>
                  <w:r>
                    <w:rPr>
                      <w:kern w:val="0"/>
                      <w:szCs w:val="21"/>
                    </w:rPr>
                    <w:t>1</w:t>
                  </w:r>
                </w:p>
              </w:tc>
              <w:tc>
                <w:tcPr>
                  <w:tcW w:w="868" w:type="pct"/>
                  <w:vAlign w:val="center"/>
                </w:tcPr>
                <w:p>
                  <w:pPr>
                    <w:jc w:val="center"/>
                    <w:rPr>
                      <w:kern w:val="0"/>
                      <w:szCs w:val="21"/>
                    </w:rPr>
                  </w:pPr>
                  <w:r>
                    <w:rPr>
                      <w:rFonts w:hint="eastAsia"/>
                      <w:kern w:val="0"/>
                      <w:szCs w:val="21"/>
                    </w:rPr>
                    <w:t>饲料</w:t>
                  </w:r>
                </w:p>
              </w:tc>
              <w:tc>
                <w:tcPr>
                  <w:tcW w:w="885" w:type="pct"/>
                  <w:vAlign w:val="center"/>
                </w:tcPr>
                <w:p>
                  <w:pPr>
                    <w:jc w:val="center"/>
                    <w:rPr>
                      <w:kern w:val="0"/>
                      <w:szCs w:val="21"/>
                    </w:rPr>
                  </w:pPr>
                  <w:r>
                    <w:rPr>
                      <w:rFonts w:hint="eastAsia"/>
                      <w:kern w:val="0"/>
                      <w:szCs w:val="21"/>
                    </w:rPr>
                    <w:t>10000t/a</w:t>
                  </w:r>
                </w:p>
              </w:tc>
              <w:tc>
                <w:tcPr>
                  <w:tcW w:w="2731" w:type="pct"/>
                  <w:vAlign w:val="center"/>
                </w:tcPr>
                <w:p>
                  <w:pPr>
                    <w:jc w:val="center"/>
                    <w:rPr>
                      <w:kern w:val="0"/>
                      <w:szCs w:val="21"/>
                    </w:rPr>
                  </w:pPr>
                  <w:r>
                    <w:rPr>
                      <w:rFonts w:hint="eastAsia"/>
                      <w:kern w:val="0"/>
                      <w:szCs w:val="21"/>
                    </w:rPr>
                    <w:t>袋装，50kg</w:t>
                  </w:r>
                </w:p>
              </w:tc>
            </w:tr>
          </w:tbl>
          <w:p>
            <w:pPr>
              <w:pStyle w:val="62"/>
              <w:ind w:firstLine="0" w:firstLineChars="0"/>
              <w:rPr>
                <w:b/>
                <w:spacing w:val="0"/>
                <w:kern w:val="0"/>
                <w:szCs w:val="24"/>
              </w:rPr>
            </w:pPr>
            <w:r>
              <w:rPr>
                <w:rFonts w:hint="eastAsia"/>
                <w:b/>
                <w:spacing w:val="0"/>
                <w:kern w:val="0"/>
                <w:szCs w:val="24"/>
              </w:rPr>
              <w:t>4</w:t>
            </w:r>
            <w:r>
              <w:rPr>
                <w:b/>
                <w:spacing w:val="0"/>
                <w:kern w:val="0"/>
                <w:szCs w:val="24"/>
              </w:rPr>
              <w:t>、主要设备</w:t>
            </w:r>
          </w:p>
          <w:p>
            <w:pPr>
              <w:pStyle w:val="62"/>
              <w:ind w:firstLine="480"/>
              <w:rPr>
                <w:bCs w:val="0"/>
                <w:spacing w:val="0"/>
                <w:kern w:val="0"/>
                <w:szCs w:val="24"/>
              </w:rPr>
            </w:pPr>
            <w:r>
              <w:rPr>
                <w:bCs w:val="0"/>
                <w:spacing w:val="0"/>
                <w:kern w:val="0"/>
                <w:szCs w:val="24"/>
              </w:rPr>
              <w:t>项目主要生产设备见表</w:t>
            </w:r>
            <w:r>
              <w:rPr>
                <w:rFonts w:hint="eastAsia"/>
                <w:bCs w:val="0"/>
                <w:spacing w:val="0"/>
                <w:kern w:val="0"/>
                <w:szCs w:val="24"/>
              </w:rPr>
              <w:t>2</w:t>
            </w:r>
            <w:r>
              <w:rPr>
                <w:bCs w:val="0"/>
                <w:spacing w:val="0"/>
                <w:kern w:val="0"/>
                <w:szCs w:val="24"/>
              </w:rPr>
              <w:t>-</w:t>
            </w:r>
            <w:r>
              <w:rPr>
                <w:rFonts w:hint="eastAsia"/>
                <w:bCs w:val="0"/>
                <w:spacing w:val="0"/>
                <w:kern w:val="0"/>
                <w:szCs w:val="24"/>
              </w:rPr>
              <w:t>3</w:t>
            </w:r>
            <w:r>
              <w:rPr>
                <w:bCs w:val="0"/>
                <w:spacing w:val="0"/>
                <w:kern w:val="0"/>
                <w:szCs w:val="24"/>
              </w:rPr>
              <w:t>。</w:t>
            </w:r>
          </w:p>
          <w:p>
            <w:pPr>
              <w:widowControl/>
              <w:tabs>
                <w:tab w:val="left" w:pos="2660"/>
              </w:tabs>
              <w:snapToGrid w:val="0"/>
              <w:jc w:val="center"/>
              <w:textAlignment w:val="baseline"/>
              <w:rPr>
                <w:b/>
                <w:bCs/>
                <w:szCs w:val="21"/>
              </w:rPr>
            </w:pPr>
            <w:r>
              <w:rPr>
                <w:b/>
                <w:bCs/>
                <w:szCs w:val="21"/>
              </w:rPr>
              <w:t>表</w:t>
            </w:r>
            <w:r>
              <w:rPr>
                <w:rFonts w:hint="eastAsia"/>
                <w:b/>
                <w:bCs/>
                <w:szCs w:val="21"/>
              </w:rPr>
              <w:t>2</w:t>
            </w:r>
            <w:r>
              <w:rPr>
                <w:b/>
                <w:bCs/>
                <w:szCs w:val="21"/>
              </w:rPr>
              <w:t>-</w:t>
            </w:r>
            <w:r>
              <w:rPr>
                <w:rFonts w:hint="eastAsia"/>
                <w:b/>
                <w:bCs/>
                <w:szCs w:val="21"/>
              </w:rPr>
              <w:t>3</w:t>
            </w:r>
            <w:r>
              <w:rPr>
                <w:b/>
                <w:bCs/>
                <w:szCs w:val="21"/>
              </w:rPr>
              <w:t xml:space="preserve">  项目主要生产设备</w:t>
            </w:r>
            <w:r>
              <w:rPr>
                <w:rFonts w:hint="eastAsia"/>
                <w:b/>
                <w:bCs/>
                <w:szCs w:val="21"/>
              </w:rPr>
              <w:t>一览表</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33"/>
              <w:gridCol w:w="3168"/>
              <w:gridCol w:w="1339"/>
              <w:gridCol w:w="25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641" w:type="pct"/>
                  <w:vAlign w:val="center"/>
                </w:tcPr>
                <w:p>
                  <w:pPr>
                    <w:jc w:val="center"/>
                    <w:rPr>
                      <w:kern w:val="0"/>
                      <w:szCs w:val="21"/>
                    </w:rPr>
                  </w:pPr>
                  <w:r>
                    <w:rPr>
                      <w:rFonts w:hint="eastAsia"/>
                      <w:kern w:val="0"/>
                      <w:szCs w:val="21"/>
                    </w:rPr>
                    <w:t>序号</w:t>
                  </w:r>
                </w:p>
              </w:tc>
              <w:tc>
                <w:tcPr>
                  <w:tcW w:w="1966" w:type="pct"/>
                  <w:vAlign w:val="center"/>
                </w:tcPr>
                <w:p>
                  <w:pPr>
                    <w:jc w:val="center"/>
                    <w:rPr>
                      <w:kern w:val="0"/>
                      <w:szCs w:val="21"/>
                    </w:rPr>
                  </w:pPr>
                  <w:r>
                    <w:rPr>
                      <w:rFonts w:hint="eastAsia"/>
                      <w:kern w:val="0"/>
                      <w:szCs w:val="21"/>
                    </w:rPr>
                    <w:t>主要生产设备</w:t>
                  </w:r>
                </w:p>
              </w:tc>
              <w:tc>
                <w:tcPr>
                  <w:tcW w:w="831" w:type="pct"/>
                  <w:vAlign w:val="center"/>
                </w:tcPr>
                <w:p>
                  <w:pPr>
                    <w:jc w:val="center"/>
                    <w:rPr>
                      <w:kern w:val="0"/>
                      <w:szCs w:val="21"/>
                    </w:rPr>
                  </w:pPr>
                  <w:r>
                    <w:rPr>
                      <w:rFonts w:hint="eastAsia"/>
                      <w:kern w:val="0"/>
                      <w:szCs w:val="21"/>
                    </w:rPr>
                    <w:t>数量</w:t>
                  </w:r>
                </w:p>
              </w:tc>
              <w:tc>
                <w:tcPr>
                  <w:tcW w:w="1562" w:type="pct"/>
                  <w:vAlign w:val="center"/>
                </w:tcPr>
                <w:p>
                  <w:pPr>
                    <w:jc w:val="center"/>
                    <w:rPr>
                      <w:kern w:val="0"/>
                      <w:szCs w:val="21"/>
                    </w:rPr>
                  </w:pPr>
                  <w:r>
                    <w:rPr>
                      <w:rFonts w:hint="eastAsia"/>
                      <w:kern w:val="0"/>
                      <w:szCs w:val="21"/>
                    </w:rPr>
                    <w:t>规格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1</w:t>
                  </w:r>
                </w:p>
              </w:tc>
              <w:tc>
                <w:tcPr>
                  <w:tcW w:w="1966" w:type="pct"/>
                  <w:vAlign w:val="center"/>
                </w:tcPr>
                <w:p>
                  <w:pPr>
                    <w:jc w:val="center"/>
                  </w:pPr>
                  <w:r>
                    <w:rPr>
                      <w:rFonts w:hint="eastAsia"/>
                    </w:rPr>
                    <w:t>缓存定量喂料仓</w:t>
                  </w:r>
                </w:p>
              </w:tc>
              <w:tc>
                <w:tcPr>
                  <w:tcW w:w="831" w:type="pct"/>
                  <w:vAlign w:val="center"/>
                </w:tcPr>
                <w:p>
                  <w:pPr>
                    <w:jc w:val="center"/>
                    <w:rPr>
                      <w:kern w:val="0"/>
                      <w:szCs w:val="21"/>
                    </w:rPr>
                  </w:pPr>
                  <w:r>
                    <w:rPr>
                      <w:rFonts w:hint="eastAsia"/>
                      <w:kern w:val="0"/>
                      <w:szCs w:val="21"/>
                    </w:rPr>
                    <w:t>2台</w:t>
                  </w:r>
                </w:p>
              </w:tc>
              <w:tc>
                <w:tcPr>
                  <w:tcW w:w="1562" w:type="pct"/>
                  <w:vAlign w:val="center"/>
                </w:tcPr>
                <w:p>
                  <w:pPr>
                    <w:jc w:val="center"/>
                    <w:rPr>
                      <w:kern w:val="0"/>
                      <w:szCs w:val="21"/>
                    </w:rPr>
                  </w:pPr>
                  <w:r>
                    <w:rPr>
                      <w:rFonts w:hint="eastAsia"/>
                    </w:rPr>
                    <w:t>360万大卡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2</w:t>
                  </w:r>
                </w:p>
              </w:tc>
              <w:tc>
                <w:tcPr>
                  <w:tcW w:w="1966" w:type="pct"/>
                  <w:vAlign w:val="center"/>
                </w:tcPr>
                <w:p>
                  <w:pPr>
                    <w:jc w:val="center"/>
                  </w:pPr>
                  <w:r>
                    <w:rPr>
                      <w:rFonts w:hint="eastAsia"/>
                    </w:rPr>
                    <w:t>入料螺旋输送机</w:t>
                  </w:r>
                </w:p>
              </w:tc>
              <w:tc>
                <w:tcPr>
                  <w:tcW w:w="831" w:type="pct"/>
                  <w:vAlign w:val="center"/>
                </w:tcPr>
                <w:p>
                  <w:pPr>
                    <w:jc w:val="center"/>
                    <w:rPr>
                      <w:kern w:val="0"/>
                      <w:szCs w:val="21"/>
                    </w:rPr>
                  </w:pPr>
                  <w:r>
                    <w:rPr>
                      <w:rFonts w:hint="eastAsia"/>
                      <w:kern w:val="0"/>
                      <w:szCs w:val="21"/>
                    </w:rPr>
                    <w:t>2套</w:t>
                  </w:r>
                </w:p>
              </w:tc>
              <w:tc>
                <w:tcPr>
                  <w:tcW w:w="1562" w:type="pct"/>
                  <w:vAlign w:val="center"/>
                </w:tcPr>
                <w:p>
                  <w:pPr>
                    <w:jc w:val="center"/>
                    <w:rPr>
                      <w:kern w:val="0"/>
                      <w:szCs w:val="21"/>
                    </w:rP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3</w:t>
                  </w:r>
                </w:p>
              </w:tc>
              <w:tc>
                <w:tcPr>
                  <w:tcW w:w="1966" w:type="pct"/>
                  <w:vAlign w:val="center"/>
                </w:tcPr>
                <w:p>
                  <w:pPr>
                    <w:jc w:val="center"/>
                  </w:pPr>
                  <w:r>
                    <w:rPr>
                      <w:rFonts w:hint="eastAsia"/>
                    </w:rPr>
                    <w:t>高边框皮带机</w:t>
                  </w:r>
                </w:p>
              </w:tc>
              <w:tc>
                <w:tcPr>
                  <w:tcW w:w="831" w:type="pct"/>
                  <w:vAlign w:val="center"/>
                </w:tcPr>
                <w:p>
                  <w:pPr>
                    <w:jc w:val="center"/>
                    <w:rPr>
                      <w:kern w:val="0"/>
                      <w:szCs w:val="21"/>
                    </w:rPr>
                  </w:pPr>
                  <w:r>
                    <w:rPr>
                      <w:rFonts w:hint="eastAsia"/>
                      <w:kern w:val="0"/>
                      <w:szCs w:val="21"/>
                    </w:rPr>
                    <w:t>2个</w:t>
                  </w:r>
                </w:p>
              </w:tc>
              <w:tc>
                <w:tcPr>
                  <w:tcW w:w="1562" w:type="pct"/>
                  <w:vAlign w:val="center"/>
                </w:tcPr>
                <w:p>
                  <w:pPr>
                    <w:jc w:val="cente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5</w:t>
                  </w:r>
                </w:p>
              </w:tc>
              <w:tc>
                <w:tcPr>
                  <w:tcW w:w="1966" w:type="pct"/>
                  <w:vAlign w:val="center"/>
                </w:tcPr>
                <w:p>
                  <w:pPr>
                    <w:jc w:val="center"/>
                  </w:pPr>
                  <w:r>
                    <w:rPr>
                      <w:rFonts w:hint="eastAsia"/>
                    </w:rPr>
                    <w:t>皮带机</w:t>
                  </w:r>
                </w:p>
              </w:tc>
              <w:tc>
                <w:tcPr>
                  <w:tcW w:w="831" w:type="pct"/>
                  <w:vAlign w:val="center"/>
                </w:tcPr>
                <w:p>
                  <w:pPr>
                    <w:jc w:val="center"/>
                    <w:rPr>
                      <w:kern w:val="0"/>
                      <w:szCs w:val="21"/>
                    </w:rPr>
                  </w:pPr>
                  <w:r>
                    <w:rPr>
                      <w:rFonts w:hint="eastAsia"/>
                      <w:kern w:val="0"/>
                      <w:szCs w:val="21"/>
                    </w:rPr>
                    <w:t>2套</w:t>
                  </w:r>
                </w:p>
              </w:tc>
              <w:tc>
                <w:tcPr>
                  <w:tcW w:w="1562" w:type="pct"/>
                  <w:vAlign w:val="center"/>
                </w:tcPr>
                <w:p>
                  <w:pPr>
                    <w:jc w:val="cente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6</w:t>
                  </w:r>
                </w:p>
              </w:tc>
              <w:tc>
                <w:tcPr>
                  <w:tcW w:w="1966" w:type="pct"/>
                  <w:vAlign w:val="center"/>
                </w:tcPr>
                <w:p>
                  <w:pPr>
                    <w:jc w:val="center"/>
                  </w:pPr>
                  <w:r>
                    <w:rPr>
                      <w:rFonts w:hint="eastAsia"/>
                    </w:rPr>
                    <w:t>生物质颗粒燃烧机</w:t>
                  </w:r>
                </w:p>
              </w:tc>
              <w:tc>
                <w:tcPr>
                  <w:tcW w:w="831" w:type="pct"/>
                  <w:vAlign w:val="center"/>
                </w:tcPr>
                <w:p>
                  <w:pPr>
                    <w:jc w:val="center"/>
                    <w:rPr>
                      <w:kern w:val="0"/>
                      <w:szCs w:val="21"/>
                    </w:rPr>
                  </w:pPr>
                  <w:r>
                    <w:rPr>
                      <w:rFonts w:hint="eastAsia"/>
                      <w:kern w:val="0"/>
                      <w:szCs w:val="21"/>
                    </w:rPr>
                    <w:t>2套</w:t>
                  </w:r>
                </w:p>
              </w:tc>
              <w:tc>
                <w:tcPr>
                  <w:tcW w:w="1562" w:type="pct"/>
                  <w:vAlign w:val="center"/>
                </w:tcPr>
                <w:p>
                  <w:pPr>
                    <w:jc w:val="cente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7</w:t>
                  </w:r>
                </w:p>
              </w:tc>
              <w:tc>
                <w:tcPr>
                  <w:tcW w:w="1966" w:type="pct"/>
                  <w:vAlign w:val="center"/>
                </w:tcPr>
                <w:p>
                  <w:pPr>
                    <w:jc w:val="center"/>
                  </w:pPr>
                  <w:r>
                    <w:rPr>
                      <w:rFonts w:hint="eastAsia"/>
                    </w:rPr>
                    <w:t>蓄热交换室</w:t>
                  </w:r>
                </w:p>
              </w:tc>
              <w:tc>
                <w:tcPr>
                  <w:tcW w:w="831" w:type="pct"/>
                  <w:vAlign w:val="center"/>
                </w:tcPr>
                <w:p>
                  <w:pPr>
                    <w:jc w:val="center"/>
                    <w:rPr>
                      <w:kern w:val="0"/>
                      <w:szCs w:val="21"/>
                    </w:rPr>
                  </w:pPr>
                  <w:r>
                    <w:rPr>
                      <w:rFonts w:hint="eastAsia"/>
                      <w:kern w:val="0"/>
                      <w:szCs w:val="21"/>
                    </w:rPr>
                    <w:t>2套</w:t>
                  </w:r>
                </w:p>
              </w:tc>
              <w:tc>
                <w:tcPr>
                  <w:tcW w:w="1562" w:type="pct"/>
                  <w:vAlign w:val="center"/>
                </w:tcPr>
                <w:p>
                  <w:pPr>
                    <w:jc w:val="cente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8</w:t>
                  </w:r>
                </w:p>
              </w:tc>
              <w:tc>
                <w:tcPr>
                  <w:tcW w:w="1966" w:type="pct"/>
                  <w:vAlign w:val="center"/>
                </w:tcPr>
                <w:p>
                  <w:pPr>
                    <w:jc w:val="center"/>
                  </w:pPr>
                  <w:r>
                    <w:rPr>
                      <w:rFonts w:hint="eastAsia"/>
                    </w:rPr>
                    <w:t>滚筒干燥机</w:t>
                  </w:r>
                </w:p>
              </w:tc>
              <w:tc>
                <w:tcPr>
                  <w:tcW w:w="831" w:type="pct"/>
                  <w:vAlign w:val="center"/>
                </w:tcPr>
                <w:p>
                  <w:pPr>
                    <w:jc w:val="center"/>
                    <w:rPr>
                      <w:kern w:val="0"/>
                      <w:szCs w:val="21"/>
                    </w:rPr>
                  </w:pPr>
                  <w:r>
                    <w:rPr>
                      <w:rFonts w:hint="eastAsia"/>
                      <w:kern w:val="0"/>
                      <w:szCs w:val="21"/>
                    </w:rPr>
                    <w:t>2套</w:t>
                  </w:r>
                </w:p>
              </w:tc>
              <w:tc>
                <w:tcPr>
                  <w:tcW w:w="1562" w:type="pct"/>
                  <w:vAlign w:val="center"/>
                </w:tcPr>
                <w:p>
                  <w:pPr>
                    <w:jc w:val="cente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9</w:t>
                  </w:r>
                </w:p>
              </w:tc>
              <w:tc>
                <w:tcPr>
                  <w:tcW w:w="1966" w:type="pct"/>
                  <w:vAlign w:val="center"/>
                </w:tcPr>
                <w:p>
                  <w:pPr>
                    <w:jc w:val="center"/>
                  </w:pPr>
                  <w:r>
                    <w:rPr>
                      <w:rFonts w:hint="eastAsia"/>
                    </w:rPr>
                    <w:t>冷却打包系统</w:t>
                  </w:r>
                </w:p>
              </w:tc>
              <w:tc>
                <w:tcPr>
                  <w:tcW w:w="831" w:type="pct"/>
                  <w:vAlign w:val="center"/>
                </w:tcPr>
                <w:p>
                  <w:pPr>
                    <w:jc w:val="center"/>
                    <w:rPr>
                      <w:kern w:val="0"/>
                      <w:szCs w:val="21"/>
                    </w:rPr>
                  </w:pPr>
                  <w:r>
                    <w:rPr>
                      <w:rFonts w:hint="eastAsia"/>
                      <w:kern w:val="0"/>
                      <w:szCs w:val="21"/>
                    </w:rPr>
                    <w:t>2套</w:t>
                  </w:r>
                </w:p>
              </w:tc>
              <w:tc>
                <w:tcPr>
                  <w:tcW w:w="1562" w:type="pct"/>
                  <w:vAlign w:val="center"/>
                </w:tcPr>
                <w:p>
                  <w:pPr>
                    <w:jc w:val="center"/>
                  </w:pPr>
                  <w:r>
                    <w:rPr>
                      <w:rFonts w:hint="eastAsia"/>
                      <w:kern w:val="0"/>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1" w:type="pct"/>
                  <w:vAlign w:val="center"/>
                </w:tcPr>
                <w:p>
                  <w:pPr>
                    <w:jc w:val="center"/>
                    <w:rPr>
                      <w:kern w:val="0"/>
                      <w:szCs w:val="21"/>
                    </w:rPr>
                  </w:pPr>
                  <w:r>
                    <w:rPr>
                      <w:rFonts w:hint="eastAsia"/>
                      <w:kern w:val="0"/>
                      <w:szCs w:val="21"/>
                    </w:rPr>
                    <w:t>10</w:t>
                  </w:r>
                </w:p>
              </w:tc>
              <w:tc>
                <w:tcPr>
                  <w:tcW w:w="1966" w:type="pct"/>
                  <w:vAlign w:val="center"/>
                </w:tcPr>
                <w:p>
                  <w:pPr>
                    <w:jc w:val="center"/>
                  </w:pPr>
                  <w:r>
                    <w:rPr>
                      <w:rFonts w:hint="eastAsia"/>
                    </w:rPr>
                    <w:t>粉碎机</w:t>
                  </w:r>
                </w:p>
              </w:tc>
              <w:tc>
                <w:tcPr>
                  <w:tcW w:w="831" w:type="pct"/>
                  <w:vAlign w:val="center"/>
                </w:tcPr>
                <w:p>
                  <w:pPr>
                    <w:jc w:val="center"/>
                    <w:rPr>
                      <w:kern w:val="0"/>
                      <w:szCs w:val="21"/>
                    </w:rPr>
                  </w:pPr>
                  <w:r>
                    <w:rPr>
                      <w:rFonts w:hint="eastAsia"/>
                      <w:kern w:val="0"/>
                      <w:szCs w:val="21"/>
                    </w:rPr>
                    <w:t>2台</w:t>
                  </w:r>
                </w:p>
              </w:tc>
              <w:tc>
                <w:tcPr>
                  <w:tcW w:w="1562" w:type="pct"/>
                  <w:vAlign w:val="center"/>
                </w:tcPr>
                <w:p>
                  <w:pPr>
                    <w:jc w:val="center"/>
                  </w:pPr>
                  <w:r>
                    <w:rPr>
                      <w:rFonts w:hint="eastAsia"/>
                      <w:kern w:val="0"/>
                      <w:szCs w:val="21"/>
                    </w:rPr>
                    <w:t>/</w:t>
                  </w:r>
                </w:p>
              </w:tc>
            </w:tr>
          </w:tbl>
          <w:p>
            <w:pPr>
              <w:pStyle w:val="62"/>
              <w:ind w:firstLine="0" w:firstLineChars="0"/>
              <w:rPr>
                <w:b/>
                <w:spacing w:val="0"/>
                <w:kern w:val="0"/>
                <w:szCs w:val="24"/>
              </w:rPr>
            </w:pPr>
            <w:r>
              <w:rPr>
                <w:rFonts w:hint="eastAsia"/>
                <w:b/>
                <w:spacing w:val="0"/>
                <w:kern w:val="0"/>
                <w:szCs w:val="24"/>
              </w:rPr>
              <w:t>5</w:t>
            </w:r>
            <w:r>
              <w:rPr>
                <w:b/>
                <w:spacing w:val="0"/>
                <w:kern w:val="0"/>
                <w:szCs w:val="24"/>
              </w:rPr>
              <w:t>、原辅材料用量</w:t>
            </w:r>
          </w:p>
          <w:p>
            <w:pPr>
              <w:pStyle w:val="62"/>
              <w:ind w:firstLine="480"/>
              <w:rPr>
                <w:bCs w:val="0"/>
                <w:spacing w:val="0"/>
                <w:kern w:val="0"/>
                <w:szCs w:val="24"/>
              </w:rPr>
            </w:pPr>
            <w:r>
              <w:rPr>
                <w:bCs w:val="0"/>
                <w:spacing w:val="0"/>
                <w:kern w:val="0"/>
                <w:szCs w:val="24"/>
              </w:rPr>
              <w:t>项目主要原辅材料年消耗情况见表</w:t>
            </w:r>
            <w:r>
              <w:rPr>
                <w:rFonts w:hint="eastAsia"/>
                <w:bCs w:val="0"/>
                <w:spacing w:val="0"/>
                <w:kern w:val="0"/>
                <w:szCs w:val="24"/>
              </w:rPr>
              <w:t>2</w:t>
            </w:r>
            <w:r>
              <w:rPr>
                <w:bCs w:val="0"/>
                <w:spacing w:val="0"/>
                <w:kern w:val="0"/>
                <w:szCs w:val="24"/>
              </w:rPr>
              <w:t>-</w:t>
            </w:r>
            <w:r>
              <w:rPr>
                <w:rFonts w:hint="eastAsia"/>
                <w:bCs w:val="0"/>
                <w:spacing w:val="0"/>
                <w:kern w:val="0"/>
                <w:szCs w:val="24"/>
              </w:rPr>
              <w:t>4</w:t>
            </w:r>
            <w:r>
              <w:rPr>
                <w:bCs w:val="0"/>
                <w:spacing w:val="0"/>
                <w:kern w:val="0"/>
                <w:szCs w:val="24"/>
              </w:rPr>
              <w:t>。</w:t>
            </w:r>
          </w:p>
          <w:p>
            <w:pPr>
              <w:widowControl/>
              <w:tabs>
                <w:tab w:val="left" w:pos="2660"/>
              </w:tabs>
              <w:snapToGrid w:val="0"/>
              <w:jc w:val="center"/>
              <w:textAlignment w:val="baseline"/>
              <w:rPr>
                <w:b/>
                <w:bCs/>
                <w:szCs w:val="21"/>
              </w:rPr>
            </w:pPr>
            <w:r>
              <w:rPr>
                <w:b/>
                <w:bCs/>
                <w:szCs w:val="21"/>
              </w:rPr>
              <w:t>表</w:t>
            </w:r>
            <w:r>
              <w:rPr>
                <w:rFonts w:hint="eastAsia"/>
                <w:b/>
                <w:bCs/>
                <w:szCs w:val="21"/>
              </w:rPr>
              <w:t>2</w:t>
            </w:r>
            <w:r>
              <w:rPr>
                <w:b/>
                <w:bCs/>
                <w:szCs w:val="21"/>
              </w:rPr>
              <w:t>-</w:t>
            </w:r>
            <w:r>
              <w:rPr>
                <w:rFonts w:hint="eastAsia"/>
                <w:b/>
                <w:bCs/>
                <w:szCs w:val="21"/>
              </w:rPr>
              <w:t>4</w:t>
            </w:r>
            <w:r>
              <w:rPr>
                <w:b/>
                <w:bCs/>
                <w:szCs w:val="21"/>
              </w:rPr>
              <w:t xml:space="preserve">   主要原辅材料</w:t>
            </w:r>
          </w:p>
          <w:tbl>
            <w:tblPr>
              <w:tblStyle w:val="20"/>
              <w:tblW w:w="4983"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468"/>
              <w:gridCol w:w="1739"/>
              <w:gridCol w:w="304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83" w:type="pct"/>
                  <w:vAlign w:val="center"/>
                </w:tcPr>
                <w:p>
                  <w:pPr>
                    <w:jc w:val="center"/>
                    <w:rPr>
                      <w:kern w:val="0"/>
                      <w:szCs w:val="21"/>
                    </w:rPr>
                  </w:pPr>
                  <w:r>
                    <w:rPr>
                      <w:rFonts w:hint="eastAsia"/>
                      <w:kern w:val="0"/>
                      <w:szCs w:val="21"/>
                    </w:rPr>
                    <w:t>序号</w:t>
                  </w:r>
                </w:p>
              </w:tc>
              <w:tc>
                <w:tcPr>
                  <w:tcW w:w="1537" w:type="pct"/>
                  <w:vAlign w:val="center"/>
                </w:tcPr>
                <w:p>
                  <w:pPr>
                    <w:jc w:val="center"/>
                    <w:rPr>
                      <w:kern w:val="0"/>
                      <w:szCs w:val="21"/>
                    </w:rPr>
                  </w:pPr>
                  <w:r>
                    <w:rPr>
                      <w:rFonts w:hint="eastAsia"/>
                      <w:kern w:val="0"/>
                      <w:szCs w:val="21"/>
                    </w:rPr>
                    <w:t>名称</w:t>
                  </w:r>
                </w:p>
              </w:tc>
              <w:tc>
                <w:tcPr>
                  <w:tcW w:w="1083" w:type="pct"/>
                  <w:vAlign w:val="center"/>
                </w:tcPr>
                <w:p>
                  <w:pPr>
                    <w:jc w:val="center"/>
                    <w:rPr>
                      <w:kern w:val="0"/>
                      <w:szCs w:val="21"/>
                    </w:rPr>
                  </w:pPr>
                  <w:r>
                    <w:rPr>
                      <w:rFonts w:hint="eastAsia"/>
                      <w:kern w:val="0"/>
                      <w:szCs w:val="21"/>
                    </w:rPr>
                    <w:t>消耗量（年）</w:t>
                  </w:r>
                </w:p>
              </w:tc>
              <w:tc>
                <w:tcPr>
                  <w:tcW w:w="1897" w:type="pct"/>
                  <w:vAlign w:val="center"/>
                </w:tcPr>
                <w:p>
                  <w:pPr>
                    <w:jc w:val="center"/>
                    <w:rPr>
                      <w:kern w:val="0"/>
                      <w:szCs w:val="21"/>
                    </w:rPr>
                  </w:pPr>
                  <w:r>
                    <w:rPr>
                      <w:rFonts w:hint="eastAsia"/>
                      <w:kern w:val="0"/>
                      <w:szCs w:val="21"/>
                    </w:rPr>
                    <w:t xml:space="preserve"> 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83" w:type="pct"/>
                  <w:vAlign w:val="center"/>
                </w:tcPr>
                <w:p>
                  <w:pPr>
                    <w:jc w:val="center"/>
                    <w:rPr>
                      <w:kern w:val="0"/>
                      <w:szCs w:val="21"/>
                    </w:rPr>
                  </w:pPr>
                  <w:r>
                    <w:rPr>
                      <w:rFonts w:hint="eastAsia"/>
                      <w:kern w:val="0"/>
                      <w:szCs w:val="21"/>
                    </w:rPr>
                    <w:t>1</w:t>
                  </w:r>
                </w:p>
              </w:tc>
              <w:tc>
                <w:tcPr>
                  <w:tcW w:w="1537" w:type="pct"/>
                  <w:vAlign w:val="center"/>
                </w:tcPr>
                <w:p>
                  <w:pPr>
                    <w:jc w:val="center"/>
                    <w:rPr>
                      <w:kern w:val="0"/>
                      <w:szCs w:val="21"/>
                    </w:rPr>
                  </w:pPr>
                  <w:r>
                    <w:rPr>
                      <w:rFonts w:hint="eastAsia"/>
                      <w:kern w:val="0"/>
                      <w:szCs w:val="21"/>
                    </w:rPr>
                    <w:t>果渣（含水率70%）</w:t>
                  </w:r>
                </w:p>
              </w:tc>
              <w:tc>
                <w:tcPr>
                  <w:tcW w:w="1083" w:type="pct"/>
                  <w:vAlign w:val="center"/>
                </w:tcPr>
                <w:p>
                  <w:pPr>
                    <w:jc w:val="center"/>
                    <w:rPr>
                      <w:kern w:val="0"/>
                      <w:szCs w:val="21"/>
                    </w:rPr>
                  </w:pPr>
                  <w:r>
                    <w:rPr>
                      <w:rFonts w:hint="eastAsia"/>
                      <w:kern w:val="0"/>
                      <w:szCs w:val="21"/>
                    </w:rPr>
                    <w:t>30000t/a</w:t>
                  </w:r>
                </w:p>
              </w:tc>
              <w:tc>
                <w:tcPr>
                  <w:tcW w:w="1897" w:type="pct"/>
                  <w:vAlign w:val="center"/>
                </w:tcPr>
                <w:p>
                  <w:pPr>
                    <w:jc w:val="center"/>
                    <w:rPr>
                      <w:kern w:val="0"/>
                      <w:szCs w:val="21"/>
                    </w:rPr>
                  </w:pPr>
                  <w:r>
                    <w:rPr>
                      <w:rFonts w:hint="eastAsia"/>
                      <w:kern w:val="0"/>
                      <w:szCs w:val="21"/>
                    </w:rPr>
                    <w:t>外购，散装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83" w:type="pct"/>
                  <w:vAlign w:val="center"/>
                </w:tcPr>
                <w:p>
                  <w:pPr>
                    <w:jc w:val="center"/>
                    <w:rPr>
                      <w:kern w:val="0"/>
                      <w:szCs w:val="21"/>
                    </w:rPr>
                  </w:pPr>
                  <w:r>
                    <w:rPr>
                      <w:rFonts w:hint="eastAsia"/>
                      <w:kern w:val="0"/>
                      <w:szCs w:val="21"/>
                    </w:rPr>
                    <w:t>2</w:t>
                  </w:r>
                </w:p>
              </w:tc>
              <w:tc>
                <w:tcPr>
                  <w:tcW w:w="1537" w:type="pct"/>
                  <w:vAlign w:val="center"/>
                </w:tcPr>
                <w:p>
                  <w:pPr>
                    <w:jc w:val="center"/>
                    <w:rPr>
                      <w:kern w:val="0"/>
                      <w:szCs w:val="21"/>
                    </w:rPr>
                  </w:pPr>
                  <w:r>
                    <w:rPr>
                      <w:rFonts w:hint="eastAsia"/>
                      <w:kern w:val="0"/>
                      <w:szCs w:val="21"/>
                    </w:rPr>
                    <w:t>生物质燃料</w:t>
                  </w:r>
                </w:p>
              </w:tc>
              <w:tc>
                <w:tcPr>
                  <w:tcW w:w="1083" w:type="pct"/>
                  <w:vAlign w:val="center"/>
                </w:tcPr>
                <w:p>
                  <w:pPr>
                    <w:jc w:val="center"/>
                    <w:rPr>
                      <w:kern w:val="0"/>
                      <w:szCs w:val="21"/>
                    </w:rPr>
                  </w:pPr>
                  <w:r>
                    <w:rPr>
                      <w:rFonts w:hint="eastAsia"/>
                      <w:kern w:val="0"/>
                      <w:szCs w:val="21"/>
                    </w:rPr>
                    <w:t>4000t/a</w:t>
                  </w:r>
                </w:p>
              </w:tc>
              <w:tc>
                <w:tcPr>
                  <w:tcW w:w="1897" w:type="pct"/>
                  <w:vAlign w:val="center"/>
                </w:tcPr>
                <w:p>
                  <w:pPr>
                    <w:jc w:val="center"/>
                    <w:rPr>
                      <w:kern w:val="0"/>
                      <w:szCs w:val="21"/>
                    </w:rPr>
                  </w:pPr>
                  <w:r>
                    <w:rPr>
                      <w:rFonts w:hint="eastAsia"/>
                      <w:kern w:val="0"/>
                      <w:szCs w:val="21"/>
                    </w:rPr>
                    <w:t>外购，袋装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83" w:type="pct"/>
                  <w:vAlign w:val="center"/>
                </w:tcPr>
                <w:p>
                  <w:pPr>
                    <w:jc w:val="center"/>
                    <w:rPr>
                      <w:kern w:val="0"/>
                      <w:szCs w:val="21"/>
                    </w:rPr>
                  </w:pPr>
                  <w:r>
                    <w:rPr>
                      <w:rFonts w:hint="eastAsia"/>
                      <w:kern w:val="0"/>
                      <w:szCs w:val="21"/>
                    </w:rPr>
                    <w:t>3</w:t>
                  </w:r>
                </w:p>
              </w:tc>
              <w:tc>
                <w:tcPr>
                  <w:tcW w:w="1537" w:type="pct"/>
                  <w:vAlign w:val="center"/>
                </w:tcPr>
                <w:p>
                  <w:pPr>
                    <w:jc w:val="center"/>
                    <w:rPr>
                      <w:kern w:val="0"/>
                      <w:szCs w:val="21"/>
                    </w:rPr>
                  </w:pPr>
                  <w:r>
                    <w:rPr>
                      <w:rFonts w:hint="eastAsia"/>
                      <w:kern w:val="0"/>
                      <w:szCs w:val="21"/>
                    </w:rPr>
                    <w:t>水</w:t>
                  </w:r>
                </w:p>
              </w:tc>
              <w:tc>
                <w:tcPr>
                  <w:tcW w:w="1083" w:type="pct"/>
                  <w:vAlign w:val="center"/>
                </w:tcPr>
                <w:p>
                  <w:pPr>
                    <w:jc w:val="center"/>
                    <w:rPr>
                      <w:kern w:val="0"/>
                      <w:szCs w:val="21"/>
                    </w:rPr>
                  </w:pPr>
                  <w:r>
                    <w:rPr>
                      <w:rFonts w:hint="eastAsia"/>
                      <w:kern w:val="0"/>
                      <w:szCs w:val="21"/>
                    </w:rPr>
                    <w:t>432m</w:t>
                  </w:r>
                  <w:r>
                    <w:rPr>
                      <w:rFonts w:hint="eastAsia"/>
                      <w:kern w:val="0"/>
                      <w:szCs w:val="21"/>
                      <w:vertAlign w:val="superscript"/>
                    </w:rPr>
                    <w:t>3</w:t>
                  </w:r>
                  <w:r>
                    <w:rPr>
                      <w:rFonts w:hint="eastAsia"/>
                      <w:kern w:val="0"/>
                      <w:szCs w:val="21"/>
                    </w:rPr>
                    <w:t>/a</w:t>
                  </w:r>
                </w:p>
              </w:tc>
              <w:tc>
                <w:tcPr>
                  <w:tcW w:w="1897" w:type="pct"/>
                  <w:vAlign w:val="center"/>
                </w:tcPr>
                <w:p>
                  <w:pPr>
                    <w:jc w:val="center"/>
                    <w:rPr>
                      <w:kern w:val="0"/>
                      <w:szCs w:val="21"/>
                    </w:rPr>
                  </w:pPr>
                  <w:r>
                    <w:rPr>
                      <w:rFonts w:hint="eastAsia"/>
                      <w:kern w:val="0"/>
                      <w:szCs w:val="21"/>
                    </w:rPr>
                    <w:t>由北京汇源集团万荣有限公司供给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83" w:type="pct"/>
                  <w:vAlign w:val="center"/>
                </w:tcPr>
                <w:p>
                  <w:pPr>
                    <w:jc w:val="center"/>
                    <w:rPr>
                      <w:kern w:val="0"/>
                      <w:szCs w:val="21"/>
                    </w:rPr>
                  </w:pPr>
                  <w:r>
                    <w:rPr>
                      <w:rFonts w:hint="eastAsia"/>
                      <w:kern w:val="0"/>
                      <w:szCs w:val="21"/>
                    </w:rPr>
                    <w:t>4</w:t>
                  </w:r>
                </w:p>
              </w:tc>
              <w:tc>
                <w:tcPr>
                  <w:tcW w:w="1537" w:type="pct"/>
                  <w:vAlign w:val="center"/>
                </w:tcPr>
                <w:p>
                  <w:pPr>
                    <w:jc w:val="center"/>
                    <w:rPr>
                      <w:kern w:val="0"/>
                      <w:szCs w:val="21"/>
                    </w:rPr>
                  </w:pPr>
                  <w:r>
                    <w:rPr>
                      <w:rFonts w:hint="eastAsia"/>
                      <w:kern w:val="0"/>
                      <w:szCs w:val="21"/>
                    </w:rPr>
                    <w:t>电</w:t>
                  </w:r>
                </w:p>
              </w:tc>
              <w:tc>
                <w:tcPr>
                  <w:tcW w:w="1083" w:type="pct"/>
                  <w:vAlign w:val="center"/>
                </w:tcPr>
                <w:p>
                  <w:pPr>
                    <w:jc w:val="center"/>
                    <w:rPr>
                      <w:kern w:val="0"/>
                      <w:szCs w:val="21"/>
                    </w:rPr>
                  </w:pPr>
                  <w:r>
                    <w:rPr>
                      <w:rFonts w:hint="eastAsia"/>
                      <w:kern w:val="0"/>
                      <w:szCs w:val="21"/>
                    </w:rPr>
                    <w:t>2万kW·h/a</w:t>
                  </w:r>
                </w:p>
              </w:tc>
              <w:tc>
                <w:tcPr>
                  <w:tcW w:w="1897" w:type="pct"/>
                  <w:vAlign w:val="center"/>
                </w:tcPr>
                <w:p>
                  <w:pPr>
                    <w:jc w:val="center"/>
                    <w:rPr>
                      <w:kern w:val="0"/>
                      <w:szCs w:val="21"/>
                    </w:rPr>
                  </w:pPr>
                  <w:r>
                    <w:rPr>
                      <w:kern w:val="0"/>
                      <w:szCs w:val="21"/>
                    </w:rPr>
                    <w:t>就近接入电网</w:t>
                  </w:r>
                </w:p>
              </w:tc>
            </w:tr>
          </w:tbl>
          <w:p>
            <w:pPr>
              <w:pStyle w:val="90"/>
              <w:ind w:firstLine="480"/>
              <w:rPr>
                <w:rFonts w:ascii="Times New Roman" w:hAnsi="Times New Roman" w:cs="Times New Roman"/>
                <w:sz w:val="24"/>
                <w:szCs w:val="24"/>
              </w:rPr>
            </w:pPr>
            <w:r>
              <w:rPr>
                <w:rFonts w:ascii="Times New Roman" w:hAnsi="Times New Roman" w:cs="Times New Roman"/>
                <w:sz w:val="24"/>
                <w:szCs w:val="24"/>
              </w:rPr>
              <w:t>根据企业提供资料，本项目生物质燃料技术参数见下表。</w:t>
            </w:r>
          </w:p>
          <w:p>
            <w:pPr>
              <w:pStyle w:val="86"/>
            </w:pPr>
            <w:r>
              <w:t>表2-</w:t>
            </w:r>
            <w:r>
              <w:rPr>
                <w:rFonts w:hint="eastAsia"/>
              </w:rPr>
              <w:t>5</w:t>
            </w:r>
            <w:r>
              <w:t xml:space="preserve">  生物质颗粒燃料属性表</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99"/>
              <w:gridCol w:w="2607"/>
              <w:gridCol w:w="297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燃料属性</w:t>
                  </w:r>
                </w:p>
              </w:tc>
              <w:tc>
                <w:tcPr>
                  <w:tcW w:w="2607" w:type="dxa"/>
                </w:tcPr>
                <w:p>
                  <w:pPr>
                    <w:pStyle w:val="90"/>
                    <w:ind w:firstLine="0" w:firstLineChars="0"/>
                    <w:rPr>
                      <w:rFonts w:ascii="Times New Roman" w:hAnsi="Times New Roman" w:cs="Times New Roman"/>
                    </w:rPr>
                  </w:pPr>
                  <w:r>
                    <w:rPr>
                      <w:rFonts w:ascii="Times New Roman" w:hAnsi="Times New Roman" w:cs="Times New Roman"/>
                    </w:rPr>
                    <w:t>单位</w:t>
                  </w:r>
                </w:p>
              </w:tc>
              <w:tc>
                <w:tcPr>
                  <w:tcW w:w="2977" w:type="dxa"/>
                </w:tcPr>
                <w:p>
                  <w:pPr>
                    <w:pStyle w:val="90"/>
                    <w:ind w:firstLine="0" w:firstLineChars="0"/>
                    <w:rPr>
                      <w:rFonts w:ascii="Times New Roman" w:hAnsi="Times New Roman" w:cs="Times New Roman"/>
                    </w:rPr>
                  </w:pPr>
                  <w:r>
                    <w:rPr>
                      <w:rFonts w:ascii="Times New Roman" w:hAnsi="Times New Roman" w:cs="Times New Roman"/>
                    </w:rPr>
                    <w:t>产品指标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规格</w:t>
                  </w:r>
                </w:p>
              </w:tc>
              <w:tc>
                <w:tcPr>
                  <w:tcW w:w="2607" w:type="dxa"/>
                </w:tcPr>
                <w:p>
                  <w:pPr>
                    <w:pStyle w:val="90"/>
                    <w:ind w:firstLine="0" w:firstLineChars="0"/>
                    <w:rPr>
                      <w:rFonts w:ascii="Times New Roman" w:hAnsi="Times New Roman" w:cs="Times New Roman"/>
                    </w:rPr>
                  </w:pPr>
                  <w:r>
                    <w:rPr>
                      <w:rFonts w:ascii="Times New Roman" w:hAnsi="Times New Roman" w:cs="Times New Roman"/>
                    </w:rPr>
                    <w:t>mm</w:t>
                  </w:r>
                </w:p>
              </w:tc>
              <w:tc>
                <w:tcPr>
                  <w:tcW w:w="2977" w:type="dxa"/>
                </w:tcPr>
                <w:p>
                  <w:pPr>
                    <w:pStyle w:val="90"/>
                    <w:ind w:firstLine="0" w:firstLineChars="0"/>
                    <w:rPr>
                      <w:rFonts w:ascii="Times New Roman" w:hAnsi="Times New Roman" w:cs="Times New Roman"/>
                    </w:rPr>
                  </w:pPr>
                  <w:r>
                    <w:rPr>
                      <w:rFonts w:ascii="Times New Roman" w:hAnsi="Times New Roman" w:cs="Times New Roman"/>
                    </w:rPr>
                    <w:t>长度小于直径4倍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堆积密度</w:t>
                  </w:r>
                </w:p>
              </w:tc>
              <w:tc>
                <w:tcPr>
                  <w:tcW w:w="2607" w:type="dxa"/>
                </w:tcPr>
                <w:p>
                  <w:pPr>
                    <w:pStyle w:val="90"/>
                    <w:ind w:firstLine="0" w:firstLineChars="0"/>
                    <w:rPr>
                      <w:rFonts w:ascii="Times New Roman" w:hAnsi="Times New Roman" w:cs="Times New Roman"/>
                    </w:rPr>
                  </w:pPr>
                  <w:r>
                    <w:rPr>
                      <w:rFonts w:ascii="Times New Roman" w:hAnsi="Times New Roman" w:cs="Times New Roman"/>
                    </w:rPr>
                    <w:t>kg/m</w:t>
                  </w:r>
                  <w:r>
                    <w:rPr>
                      <w:rFonts w:ascii="Times New Roman" w:hAnsi="Times New Roman" w:cs="Times New Roman"/>
                      <w:vertAlign w:val="superscript"/>
                    </w:rPr>
                    <w:t>3</w:t>
                  </w:r>
                </w:p>
              </w:tc>
              <w:tc>
                <w:tcPr>
                  <w:tcW w:w="2977" w:type="dxa"/>
                </w:tcPr>
                <w:p>
                  <w:pPr>
                    <w:pStyle w:val="90"/>
                    <w:ind w:firstLine="0" w:firstLineChars="0"/>
                    <w:rPr>
                      <w:rFonts w:ascii="Times New Roman" w:hAnsi="Times New Roman" w:cs="Times New Roman"/>
                    </w:rPr>
                  </w:pPr>
                  <w:r>
                    <w:rPr>
                      <w:rFonts w:ascii="Times New Roman" w:hAnsi="Times New Roman" w:cs="Times New Roman"/>
                    </w:rPr>
                    <w:t>≥600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机械耐久性</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≥97.5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小于3.15mm颗粒量</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全水分（收到基）</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灰分（干燥基）</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收到基低位发热量</w:t>
                  </w:r>
                </w:p>
              </w:tc>
              <w:tc>
                <w:tcPr>
                  <w:tcW w:w="2607" w:type="dxa"/>
                </w:tcPr>
                <w:p>
                  <w:pPr>
                    <w:pStyle w:val="90"/>
                    <w:ind w:firstLine="0" w:firstLineChars="0"/>
                    <w:rPr>
                      <w:rFonts w:ascii="Times New Roman" w:hAnsi="Times New Roman" w:cs="Times New Roman"/>
                    </w:rPr>
                  </w:pPr>
                  <w:r>
                    <w:rPr>
                      <w:rFonts w:ascii="Times New Roman" w:hAnsi="Times New Roman" w:cs="Times New Roman"/>
                    </w:rPr>
                    <w:t>MJ/kg</w:t>
                  </w:r>
                </w:p>
              </w:tc>
              <w:tc>
                <w:tcPr>
                  <w:tcW w:w="2977" w:type="dxa"/>
                </w:tcPr>
                <w:p>
                  <w:pPr>
                    <w:pStyle w:val="90"/>
                    <w:ind w:firstLine="0" w:firstLineChars="0"/>
                    <w:rPr>
                      <w:rFonts w:ascii="Times New Roman" w:hAnsi="Times New Roman" w:cs="Times New Roman"/>
                    </w:rPr>
                  </w:pPr>
                  <w:r>
                    <w:rPr>
                      <w:rFonts w:ascii="Times New Roman" w:hAnsi="Times New Roman" w:cs="Times New Roman"/>
                    </w:rPr>
                    <w:t>≥16.9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氮（N，干燥基）</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硫（S，干燥基）</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≤0.0</w:t>
                  </w:r>
                  <w:r>
                    <w:rPr>
                      <w:rFonts w:hint="eastAsia" w:ascii="Times New Roman" w:hAnsi="Times New Roman" w:cs="Times New Roma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氯（Cl，干燥基）</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≤0.03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099" w:type="dxa"/>
                </w:tcPr>
                <w:p>
                  <w:pPr>
                    <w:pStyle w:val="90"/>
                    <w:ind w:firstLine="0" w:firstLineChars="0"/>
                    <w:rPr>
                      <w:rFonts w:ascii="Times New Roman" w:hAnsi="Times New Roman" w:cs="Times New Roman"/>
                    </w:rPr>
                  </w:pPr>
                  <w:r>
                    <w:rPr>
                      <w:rFonts w:ascii="Times New Roman" w:hAnsi="Times New Roman" w:cs="Times New Roman"/>
                    </w:rPr>
                    <w:t>结渣性</w:t>
                  </w:r>
                </w:p>
              </w:tc>
              <w:tc>
                <w:tcPr>
                  <w:tcW w:w="2607" w:type="dxa"/>
                </w:tcPr>
                <w:p>
                  <w:pPr>
                    <w:pStyle w:val="90"/>
                    <w:ind w:firstLine="0" w:firstLineChars="0"/>
                    <w:rPr>
                      <w:rFonts w:ascii="Times New Roman" w:hAnsi="Times New Roman" w:cs="Times New Roman"/>
                    </w:rPr>
                  </w:pPr>
                  <w:r>
                    <w:rPr>
                      <w:rFonts w:ascii="Times New Roman" w:hAnsi="Times New Roman" w:cs="Times New Roman"/>
                    </w:rPr>
                    <w:t>—</w:t>
                  </w:r>
                </w:p>
              </w:tc>
              <w:tc>
                <w:tcPr>
                  <w:tcW w:w="2977" w:type="dxa"/>
                </w:tcPr>
                <w:p>
                  <w:pPr>
                    <w:pStyle w:val="90"/>
                    <w:ind w:firstLine="0" w:firstLineChars="0"/>
                    <w:rPr>
                      <w:rFonts w:ascii="Times New Roman" w:hAnsi="Times New Roman" w:cs="Times New Roman"/>
                    </w:rPr>
                  </w:pPr>
                  <w:r>
                    <w:rPr>
                      <w:rFonts w:ascii="Times New Roman" w:hAnsi="Times New Roman" w:cs="Times New Roman"/>
                    </w:rPr>
                    <w:t>弱结渣区</w:t>
                  </w:r>
                </w:p>
              </w:tc>
            </w:tr>
          </w:tbl>
          <w:p>
            <w:pPr>
              <w:pStyle w:val="62"/>
              <w:ind w:firstLine="0" w:firstLineChars="0"/>
              <w:rPr>
                <w:b/>
                <w:spacing w:val="0"/>
                <w:kern w:val="0"/>
                <w:szCs w:val="24"/>
              </w:rPr>
            </w:pPr>
            <w:r>
              <w:rPr>
                <w:rFonts w:hint="eastAsia"/>
                <w:b/>
                <w:spacing w:val="0"/>
                <w:kern w:val="0"/>
                <w:szCs w:val="24"/>
              </w:rPr>
              <w:t>5</w:t>
            </w:r>
            <w:r>
              <w:rPr>
                <w:b/>
                <w:spacing w:val="0"/>
                <w:kern w:val="0"/>
                <w:szCs w:val="24"/>
              </w:rPr>
              <w:t>、项目投资与资金来源</w:t>
            </w:r>
          </w:p>
          <w:p>
            <w:pPr>
              <w:pStyle w:val="62"/>
              <w:ind w:firstLine="480"/>
              <w:rPr>
                <w:bCs w:val="0"/>
                <w:spacing w:val="0"/>
                <w:kern w:val="0"/>
                <w:szCs w:val="24"/>
              </w:rPr>
            </w:pPr>
            <w:r>
              <w:rPr>
                <w:bCs w:val="0"/>
                <w:spacing w:val="0"/>
                <w:kern w:val="0"/>
                <w:szCs w:val="24"/>
              </w:rPr>
              <w:t>项目估算总投资</w:t>
            </w:r>
            <w:r>
              <w:rPr>
                <w:rFonts w:hint="eastAsia"/>
                <w:bCs w:val="0"/>
                <w:spacing w:val="0"/>
                <w:kern w:val="0"/>
                <w:szCs w:val="24"/>
              </w:rPr>
              <w:t>4000</w:t>
            </w:r>
            <w:r>
              <w:rPr>
                <w:bCs w:val="0"/>
                <w:spacing w:val="0"/>
                <w:kern w:val="0"/>
                <w:szCs w:val="24"/>
              </w:rPr>
              <w:t>万元，资金来源为企业自筹。</w:t>
            </w:r>
          </w:p>
          <w:p>
            <w:pPr>
              <w:pStyle w:val="62"/>
              <w:ind w:firstLine="0" w:firstLineChars="0"/>
              <w:rPr>
                <w:b/>
                <w:spacing w:val="0"/>
                <w:kern w:val="0"/>
                <w:szCs w:val="24"/>
              </w:rPr>
            </w:pPr>
            <w:r>
              <w:rPr>
                <w:rFonts w:hint="eastAsia"/>
                <w:b/>
                <w:spacing w:val="0"/>
                <w:kern w:val="0"/>
                <w:szCs w:val="24"/>
              </w:rPr>
              <w:t>6</w:t>
            </w:r>
            <w:r>
              <w:rPr>
                <w:b/>
                <w:spacing w:val="0"/>
                <w:kern w:val="0"/>
                <w:szCs w:val="24"/>
              </w:rPr>
              <w:t>、劳动定员及工作制度</w:t>
            </w:r>
          </w:p>
          <w:p>
            <w:pPr>
              <w:pStyle w:val="62"/>
              <w:ind w:firstLine="480"/>
              <w:rPr>
                <w:bCs w:val="0"/>
                <w:spacing w:val="0"/>
                <w:kern w:val="0"/>
                <w:szCs w:val="24"/>
              </w:rPr>
            </w:pPr>
            <w:r>
              <w:rPr>
                <w:rFonts w:hint="eastAsia"/>
                <w:bCs w:val="0"/>
                <w:spacing w:val="0"/>
                <w:kern w:val="0"/>
                <w:szCs w:val="24"/>
              </w:rPr>
              <w:t>本项目定员16人，厂内不设食宿，年工作时间为300d，每天8h。</w:t>
            </w:r>
          </w:p>
          <w:p>
            <w:pPr>
              <w:pStyle w:val="62"/>
              <w:ind w:firstLine="0" w:firstLineChars="0"/>
              <w:rPr>
                <w:b/>
                <w:spacing w:val="0"/>
                <w:kern w:val="0"/>
                <w:szCs w:val="24"/>
              </w:rPr>
            </w:pPr>
            <w:r>
              <w:rPr>
                <w:rFonts w:hint="eastAsia"/>
                <w:b/>
                <w:spacing w:val="0"/>
                <w:kern w:val="0"/>
                <w:szCs w:val="24"/>
              </w:rPr>
              <w:t>7</w:t>
            </w:r>
            <w:r>
              <w:rPr>
                <w:b/>
                <w:spacing w:val="0"/>
                <w:kern w:val="0"/>
                <w:szCs w:val="24"/>
              </w:rPr>
              <w:t>、项目进度</w:t>
            </w:r>
          </w:p>
          <w:p>
            <w:pPr>
              <w:pStyle w:val="62"/>
              <w:ind w:firstLine="480"/>
              <w:rPr>
                <w:bCs w:val="0"/>
                <w:spacing w:val="0"/>
                <w:kern w:val="0"/>
                <w:szCs w:val="24"/>
              </w:rPr>
            </w:pPr>
            <w:r>
              <w:rPr>
                <w:bCs w:val="0"/>
                <w:spacing w:val="0"/>
                <w:kern w:val="0"/>
                <w:szCs w:val="24"/>
              </w:rPr>
              <w:t>调查现场时，</w:t>
            </w:r>
            <w:r>
              <w:rPr>
                <w:rFonts w:hint="eastAsia"/>
                <w:bCs w:val="0"/>
                <w:spacing w:val="0"/>
                <w:kern w:val="0"/>
                <w:szCs w:val="24"/>
              </w:rPr>
              <w:t>现场为空地，项目未开始建设。</w:t>
            </w:r>
          </w:p>
          <w:p>
            <w:pPr>
              <w:pStyle w:val="62"/>
              <w:ind w:firstLine="0" w:firstLineChars="0"/>
              <w:rPr>
                <w:b/>
                <w:spacing w:val="0"/>
                <w:kern w:val="0"/>
                <w:szCs w:val="24"/>
              </w:rPr>
            </w:pPr>
            <w:r>
              <w:rPr>
                <w:rFonts w:hint="eastAsia"/>
                <w:b/>
                <w:spacing w:val="0"/>
                <w:kern w:val="0"/>
                <w:szCs w:val="24"/>
              </w:rPr>
              <w:t>8</w:t>
            </w:r>
            <w:r>
              <w:rPr>
                <w:b/>
                <w:spacing w:val="0"/>
                <w:kern w:val="0"/>
                <w:szCs w:val="24"/>
              </w:rPr>
              <w:t>、公用工程</w:t>
            </w:r>
          </w:p>
          <w:p>
            <w:pPr>
              <w:pStyle w:val="62"/>
              <w:ind w:firstLine="480"/>
              <w:rPr>
                <w:bCs w:val="0"/>
                <w:spacing w:val="0"/>
                <w:kern w:val="0"/>
                <w:szCs w:val="24"/>
              </w:rPr>
            </w:pPr>
            <w:r>
              <w:rPr>
                <w:rFonts w:hint="eastAsia"/>
                <w:bCs w:val="0"/>
                <w:spacing w:val="0"/>
                <w:kern w:val="0"/>
                <w:szCs w:val="24"/>
              </w:rPr>
              <w:t>8</w:t>
            </w:r>
            <w:r>
              <w:rPr>
                <w:bCs w:val="0"/>
                <w:spacing w:val="0"/>
                <w:kern w:val="0"/>
                <w:szCs w:val="24"/>
              </w:rPr>
              <w:t>.1给排水工程</w:t>
            </w:r>
          </w:p>
          <w:p>
            <w:pPr>
              <w:pStyle w:val="62"/>
              <w:ind w:firstLine="480"/>
              <w:rPr>
                <w:bCs w:val="0"/>
                <w:spacing w:val="0"/>
                <w:kern w:val="0"/>
                <w:szCs w:val="24"/>
              </w:rPr>
            </w:pPr>
            <w:r>
              <w:rPr>
                <w:rFonts w:hint="eastAsia"/>
                <w:bCs w:val="0"/>
                <w:spacing w:val="0"/>
                <w:kern w:val="0"/>
                <w:szCs w:val="24"/>
              </w:rPr>
              <w:t>8</w:t>
            </w:r>
            <w:r>
              <w:rPr>
                <w:bCs w:val="0"/>
                <w:spacing w:val="0"/>
                <w:kern w:val="0"/>
                <w:szCs w:val="24"/>
              </w:rPr>
              <w:t>.1.1水源</w:t>
            </w:r>
          </w:p>
          <w:p>
            <w:pPr>
              <w:pStyle w:val="62"/>
              <w:ind w:firstLine="480"/>
              <w:rPr>
                <w:bCs w:val="0"/>
                <w:spacing w:val="0"/>
                <w:kern w:val="0"/>
                <w:szCs w:val="24"/>
              </w:rPr>
            </w:pPr>
            <w:r>
              <w:rPr>
                <w:bCs w:val="0"/>
                <w:spacing w:val="0"/>
                <w:kern w:val="0"/>
                <w:szCs w:val="24"/>
              </w:rPr>
              <w:t>本项目水源由</w:t>
            </w:r>
            <w:r>
              <w:rPr>
                <w:rFonts w:hint="eastAsia"/>
              </w:rPr>
              <w:t>北京汇源集团万荣有限公司</w:t>
            </w:r>
            <w:r>
              <w:rPr>
                <w:rFonts w:hint="eastAsia"/>
                <w:kern w:val="0"/>
                <w:szCs w:val="24"/>
              </w:rPr>
              <w:t>供给</w:t>
            </w:r>
            <w:r>
              <w:rPr>
                <w:bCs w:val="0"/>
                <w:spacing w:val="0"/>
                <w:kern w:val="0"/>
                <w:szCs w:val="24"/>
              </w:rPr>
              <w:t>，可满足项目用水需求。</w:t>
            </w:r>
          </w:p>
          <w:p>
            <w:pPr>
              <w:pStyle w:val="62"/>
              <w:ind w:firstLine="480"/>
              <w:rPr>
                <w:bCs w:val="0"/>
                <w:spacing w:val="0"/>
                <w:kern w:val="0"/>
                <w:szCs w:val="24"/>
              </w:rPr>
            </w:pPr>
            <w:r>
              <w:rPr>
                <w:rFonts w:hint="eastAsia"/>
                <w:bCs w:val="0"/>
                <w:spacing w:val="0"/>
                <w:kern w:val="0"/>
                <w:szCs w:val="24"/>
              </w:rPr>
              <w:t>8</w:t>
            </w:r>
            <w:r>
              <w:rPr>
                <w:bCs w:val="0"/>
                <w:spacing w:val="0"/>
                <w:kern w:val="0"/>
                <w:szCs w:val="24"/>
              </w:rPr>
              <w:t>.1.2给排水</w:t>
            </w:r>
          </w:p>
          <w:p>
            <w:pPr>
              <w:pStyle w:val="62"/>
              <w:ind w:firstLine="480"/>
              <w:rPr>
                <w:bCs w:val="0"/>
                <w:spacing w:val="0"/>
                <w:kern w:val="0"/>
                <w:szCs w:val="24"/>
              </w:rPr>
            </w:pPr>
            <w:r>
              <w:rPr>
                <w:rFonts w:hint="eastAsia"/>
                <w:bCs w:val="0"/>
                <w:spacing w:val="0"/>
                <w:kern w:val="0"/>
                <w:szCs w:val="24"/>
              </w:rPr>
              <w:t>（1）生活用水</w:t>
            </w:r>
          </w:p>
          <w:p>
            <w:pPr>
              <w:pStyle w:val="62"/>
              <w:ind w:firstLine="480"/>
              <w:rPr>
                <w:bCs w:val="0"/>
                <w:spacing w:val="0"/>
                <w:kern w:val="0"/>
                <w:szCs w:val="24"/>
              </w:rPr>
            </w:pPr>
            <w:r>
              <w:rPr>
                <w:rFonts w:hint="eastAsia"/>
                <w:bCs w:val="0"/>
                <w:spacing w:val="0"/>
                <w:kern w:val="0"/>
                <w:szCs w:val="24"/>
              </w:rPr>
              <w:t>本工程劳动定员16人，均不在厂内食宿，根据《山西省用水定额》（DB14/T1049.4-2021），不在厂内食宿按90L/人•d计，则生活用水量为1.44m</w:t>
            </w:r>
            <w:r>
              <w:rPr>
                <w:rFonts w:hint="eastAsia"/>
                <w:bCs w:val="0"/>
                <w:spacing w:val="0"/>
                <w:kern w:val="0"/>
                <w:szCs w:val="24"/>
                <w:vertAlign w:val="superscript"/>
              </w:rPr>
              <w:t>3</w:t>
            </w:r>
            <w:r>
              <w:rPr>
                <w:rFonts w:hint="eastAsia"/>
                <w:bCs w:val="0"/>
                <w:spacing w:val="0"/>
                <w:kern w:val="0"/>
                <w:szCs w:val="24"/>
              </w:rPr>
              <w:t>/d（432m</w:t>
            </w:r>
            <w:r>
              <w:rPr>
                <w:rFonts w:hint="eastAsia"/>
                <w:bCs w:val="0"/>
                <w:spacing w:val="0"/>
                <w:kern w:val="0"/>
                <w:szCs w:val="24"/>
                <w:vertAlign w:val="superscript"/>
              </w:rPr>
              <w:t>3</w:t>
            </w:r>
            <w:r>
              <w:rPr>
                <w:rFonts w:hint="eastAsia"/>
                <w:bCs w:val="0"/>
                <w:spacing w:val="0"/>
                <w:kern w:val="0"/>
                <w:szCs w:val="24"/>
              </w:rPr>
              <w:t>/a），职工生活污水产生系数为用水量的80%，则生活污水产生量为1.152m</w:t>
            </w:r>
            <w:r>
              <w:rPr>
                <w:rFonts w:hint="eastAsia"/>
                <w:bCs w:val="0"/>
                <w:spacing w:val="0"/>
                <w:kern w:val="0"/>
                <w:szCs w:val="24"/>
                <w:vertAlign w:val="superscript"/>
              </w:rPr>
              <w:t>3</w:t>
            </w:r>
            <w:r>
              <w:rPr>
                <w:rFonts w:hint="eastAsia"/>
                <w:bCs w:val="0"/>
                <w:spacing w:val="0"/>
                <w:kern w:val="0"/>
                <w:szCs w:val="24"/>
              </w:rPr>
              <w:t>/d（345.6m</w:t>
            </w:r>
            <w:r>
              <w:rPr>
                <w:rFonts w:hint="eastAsia"/>
                <w:bCs w:val="0"/>
                <w:spacing w:val="0"/>
                <w:kern w:val="0"/>
                <w:szCs w:val="24"/>
                <w:vertAlign w:val="superscript"/>
              </w:rPr>
              <w:t>3</w:t>
            </w:r>
            <w:r>
              <w:rPr>
                <w:rFonts w:hint="eastAsia"/>
                <w:bCs w:val="0"/>
                <w:spacing w:val="0"/>
                <w:kern w:val="0"/>
                <w:szCs w:val="24"/>
              </w:rPr>
              <w:t>/a）。生活污水排入</w:t>
            </w:r>
            <w:r>
              <w:rPr>
                <w:rFonts w:hint="eastAsia"/>
              </w:rPr>
              <w:t>北京汇源集团万荣有限公司污水处理厂，处理后排入管网</w:t>
            </w:r>
            <w:r>
              <w:rPr>
                <w:rFonts w:hint="eastAsia"/>
                <w:bCs w:val="0"/>
                <w:spacing w:val="0"/>
                <w:kern w:val="0"/>
                <w:szCs w:val="24"/>
              </w:rPr>
              <w:t>。</w:t>
            </w:r>
          </w:p>
          <w:p>
            <w:pPr>
              <w:pStyle w:val="62"/>
              <w:ind w:firstLine="480"/>
              <w:rPr>
                <w:b/>
                <w:spacing w:val="0"/>
                <w:szCs w:val="24"/>
              </w:rPr>
            </w:pPr>
            <w:r>
              <w:rPr>
                <w:bCs w:val="0"/>
                <w:spacing w:val="0"/>
                <w:kern w:val="0"/>
                <w:szCs w:val="24"/>
              </w:rPr>
              <w:t>本项目给排水情况见</w:t>
            </w:r>
            <w:r>
              <w:rPr>
                <w:rFonts w:hint="eastAsia"/>
                <w:bCs w:val="0"/>
                <w:spacing w:val="0"/>
                <w:kern w:val="0"/>
                <w:szCs w:val="24"/>
              </w:rPr>
              <w:t>下</w:t>
            </w:r>
            <w:r>
              <w:rPr>
                <w:bCs w:val="0"/>
                <w:spacing w:val="0"/>
                <w:kern w:val="0"/>
                <w:szCs w:val="24"/>
              </w:rPr>
              <w:t>表，水平衡见</w:t>
            </w:r>
            <w:r>
              <w:rPr>
                <w:rFonts w:hint="eastAsia"/>
                <w:bCs w:val="0"/>
                <w:spacing w:val="0"/>
                <w:kern w:val="0"/>
                <w:szCs w:val="24"/>
              </w:rPr>
              <w:t>下图</w:t>
            </w:r>
            <w:r>
              <w:rPr>
                <w:bCs w:val="0"/>
                <w:spacing w:val="0"/>
                <w:kern w:val="0"/>
                <w:szCs w:val="24"/>
              </w:rPr>
              <w:t>。</w:t>
            </w:r>
          </w:p>
          <w:p>
            <w:pPr>
              <w:widowControl/>
              <w:tabs>
                <w:tab w:val="left" w:pos="2660"/>
              </w:tabs>
              <w:snapToGrid w:val="0"/>
              <w:jc w:val="center"/>
              <w:textAlignment w:val="baseline"/>
              <w:rPr>
                <w:b/>
                <w:bCs/>
                <w:szCs w:val="21"/>
              </w:rPr>
            </w:pPr>
            <w:r>
              <w:rPr>
                <w:b/>
                <w:bCs/>
                <w:szCs w:val="21"/>
              </w:rPr>
              <w:t>表</w:t>
            </w:r>
            <w:r>
              <w:rPr>
                <w:rFonts w:hint="eastAsia"/>
                <w:b/>
                <w:bCs/>
                <w:szCs w:val="21"/>
              </w:rPr>
              <w:t>2</w:t>
            </w:r>
            <w:r>
              <w:rPr>
                <w:b/>
                <w:bCs/>
                <w:szCs w:val="21"/>
              </w:rPr>
              <w:t>-</w:t>
            </w:r>
            <w:r>
              <w:rPr>
                <w:rFonts w:hint="eastAsia"/>
                <w:b/>
                <w:bCs/>
                <w:szCs w:val="21"/>
              </w:rPr>
              <w:t>6</w:t>
            </w:r>
            <w:r>
              <w:rPr>
                <w:b/>
                <w:bCs/>
                <w:szCs w:val="21"/>
              </w:rPr>
              <w:t xml:space="preserve">  </w:t>
            </w:r>
            <w:r>
              <w:rPr>
                <w:rFonts w:hint="eastAsia"/>
                <w:b/>
                <w:bCs/>
                <w:szCs w:val="21"/>
              </w:rPr>
              <w:t>项目</w:t>
            </w:r>
            <w:r>
              <w:rPr>
                <w:b/>
                <w:bCs/>
                <w:szCs w:val="21"/>
              </w:rPr>
              <w:t>给排水一览表</w:t>
            </w:r>
            <w:r>
              <w:rPr>
                <w:rFonts w:hint="eastAsia"/>
                <w:b/>
                <w:bCs/>
                <w:szCs w:val="21"/>
              </w:rPr>
              <w:t xml:space="preserve">     单位：m</w:t>
            </w:r>
            <w:r>
              <w:rPr>
                <w:rFonts w:hint="eastAsia"/>
                <w:b/>
                <w:bCs/>
                <w:szCs w:val="21"/>
                <w:vertAlign w:val="superscript"/>
              </w:rPr>
              <w:t>3</w:t>
            </w:r>
            <w:r>
              <w:rPr>
                <w:rFonts w:hint="eastAsia"/>
                <w:b/>
                <w:bCs/>
                <w:szCs w:val="21"/>
              </w:rPr>
              <w:t>/d</w:t>
            </w:r>
          </w:p>
          <w:tbl>
            <w:tblPr>
              <w:tblStyle w:val="20"/>
              <w:tblW w:w="8057"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645"/>
              <w:gridCol w:w="1980"/>
              <w:gridCol w:w="1345"/>
              <w:gridCol w:w="1393"/>
              <w:gridCol w:w="1001"/>
              <w:gridCol w:w="929"/>
              <w:gridCol w:w="764"/>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645" w:type="dxa"/>
                  <w:vAlign w:val="center"/>
                </w:tcPr>
                <w:p>
                  <w:pPr>
                    <w:jc w:val="center"/>
                    <w:rPr>
                      <w:bCs/>
                      <w:szCs w:val="21"/>
                    </w:rPr>
                  </w:pPr>
                  <w:r>
                    <w:rPr>
                      <w:bCs/>
                      <w:szCs w:val="21"/>
                    </w:rPr>
                    <w:t>序号</w:t>
                  </w:r>
                </w:p>
              </w:tc>
              <w:tc>
                <w:tcPr>
                  <w:tcW w:w="1980" w:type="dxa"/>
                  <w:vAlign w:val="center"/>
                </w:tcPr>
                <w:p>
                  <w:pPr>
                    <w:jc w:val="center"/>
                    <w:rPr>
                      <w:bCs/>
                      <w:szCs w:val="21"/>
                    </w:rPr>
                  </w:pPr>
                  <w:r>
                    <w:rPr>
                      <w:bCs/>
                      <w:szCs w:val="21"/>
                    </w:rPr>
                    <w:t>用水类型</w:t>
                  </w:r>
                </w:p>
              </w:tc>
              <w:tc>
                <w:tcPr>
                  <w:tcW w:w="1345" w:type="dxa"/>
                  <w:vAlign w:val="center"/>
                </w:tcPr>
                <w:p>
                  <w:pPr>
                    <w:jc w:val="center"/>
                    <w:rPr>
                      <w:bCs/>
                      <w:szCs w:val="21"/>
                    </w:rPr>
                  </w:pPr>
                  <w:r>
                    <w:rPr>
                      <w:bCs/>
                      <w:szCs w:val="21"/>
                    </w:rPr>
                    <w:t>用水标准</w:t>
                  </w:r>
                </w:p>
              </w:tc>
              <w:tc>
                <w:tcPr>
                  <w:tcW w:w="1393" w:type="dxa"/>
                  <w:vAlign w:val="center"/>
                </w:tcPr>
                <w:p>
                  <w:pPr>
                    <w:jc w:val="center"/>
                    <w:rPr>
                      <w:bCs/>
                      <w:szCs w:val="21"/>
                    </w:rPr>
                  </w:pPr>
                  <w:r>
                    <w:rPr>
                      <w:rFonts w:hint="eastAsia"/>
                      <w:bCs/>
                      <w:szCs w:val="21"/>
                    </w:rPr>
                    <w:t>新鲜</w:t>
                  </w:r>
                  <w:r>
                    <w:rPr>
                      <w:bCs/>
                      <w:szCs w:val="21"/>
                    </w:rPr>
                    <w:t>用</w:t>
                  </w:r>
                  <w:r>
                    <w:rPr>
                      <w:rFonts w:hint="eastAsia"/>
                      <w:bCs/>
                      <w:szCs w:val="21"/>
                    </w:rPr>
                    <w:t>水</w:t>
                  </w:r>
                  <w:r>
                    <w:rPr>
                      <w:bCs/>
                      <w:szCs w:val="21"/>
                    </w:rPr>
                    <w:t>量</w:t>
                  </w:r>
                </w:p>
              </w:tc>
              <w:tc>
                <w:tcPr>
                  <w:tcW w:w="1001" w:type="dxa"/>
                  <w:vAlign w:val="center"/>
                </w:tcPr>
                <w:p>
                  <w:pPr>
                    <w:jc w:val="center"/>
                    <w:rPr>
                      <w:bCs/>
                      <w:szCs w:val="21"/>
                    </w:rPr>
                  </w:pPr>
                  <w:r>
                    <w:rPr>
                      <w:bCs/>
                      <w:szCs w:val="21"/>
                    </w:rPr>
                    <w:t>消耗量</w:t>
                  </w:r>
                </w:p>
              </w:tc>
              <w:tc>
                <w:tcPr>
                  <w:tcW w:w="929" w:type="dxa"/>
                  <w:vAlign w:val="center"/>
                </w:tcPr>
                <w:p>
                  <w:pPr>
                    <w:jc w:val="center"/>
                    <w:rPr>
                      <w:bCs/>
                      <w:szCs w:val="21"/>
                    </w:rPr>
                  </w:pPr>
                  <w:r>
                    <w:rPr>
                      <w:bCs/>
                      <w:szCs w:val="21"/>
                    </w:rPr>
                    <w:t>排水量</w:t>
                  </w:r>
                </w:p>
              </w:tc>
              <w:tc>
                <w:tcPr>
                  <w:tcW w:w="764" w:type="dxa"/>
                  <w:vAlign w:val="center"/>
                </w:tcPr>
                <w:p>
                  <w:pPr>
                    <w:jc w:val="center"/>
                    <w:rPr>
                      <w:bCs/>
                      <w:szCs w:val="21"/>
                    </w:rPr>
                  </w:pPr>
                  <w:r>
                    <w:rPr>
                      <w:rFonts w:hint="eastAsia"/>
                      <w:bCs/>
                      <w:szCs w:val="21"/>
                    </w:rPr>
                    <w:t>备注</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37" w:hRule="atLeast"/>
                <w:jc w:val="center"/>
              </w:trPr>
              <w:tc>
                <w:tcPr>
                  <w:tcW w:w="645" w:type="dxa"/>
                  <w:vAlign w:val="center"/>
                </w:tcPr>
                <w:p>
                  <w:pPr>
                    <w:jc w:val="center"/>
                    <w:rPr>
                      <w:bCs/>
                      <w:szCs w:val="21"/>
                      <w:shd w:val="clear" w:color="auto" w:fill="FFFFFF"/>
                    </w:rPr>
                  </w:pPr>
                  <w:r>
                    <w:rPr>
                      <w:bCs/>
                      <w:szCs w:val="21"/>
                      <w:shd w:val="clear" w:color="auto" w:fill="FFFFFF"/>
                    </w:rPr>
                    <w:t>1</w:t>
                  </w:r>
                </w:p>
              </w:tc>
              <w:tc>
                <w:tcPr>
                  <w:tcW w:w="1980" w:type="dxa"/>
                  <w:vAlign w:val="center"/>
                </w:tcPr>
                <w:p>
                  <w:pPr>
                    <w:jc w:val="center"/>
                    <w:rPr>
                      <w:bCs/>
                      <w:szCs w:val="21"/>
                      <w:shd w:val="clear" w:color="auto" w:fill="FFFFFF"/>
                    </w:rPr>
                  </w:pPr>
                  <w:r>
                    <w:rPr>
                      <w:rFonts w:hint="eastAsia"/>
                      <w:bCs/>
                      <w:szCs w:val="21"/>
                      <w:shd w:val="clear" w:color="auto" w:fill="FFFFFF"/>
                    </w:rPr>
                    <w:t>生活用水</w:t>
                  </w:r>
                </w:p>
              </w:tc>
              <w:tc>
                <w:tcPr>
                  <w:tcW w:w="1345" w:type="dxa"/>
                  <w:vAlign w:val="center"/>
                </w:tcPr>
                <w:p>
                  <w:pPr>
                    <w:jc w:val="center"/>
                    <w:rPr>
                      <w:bCs/>
                      <w:szCs w:val="21"/>
                      <w:shd w:val="clear" w:color="auto" w:fill="FFFFFF"/>
                    </w:rPr>
                  </w:pPr>
                  <w:r>
                    <w:rPr>
                      <w:bCs/>
                      <w:szCs w:val="21"/>
                      <w:shd w:val="clear" w:color="auto" w:fill="FFFFFF"/>
                    </w:rPr>
                    <w:t>0.0</w:t>
                  </w:r>
                  <w:r>
                    <w:rPr>
                      <w:rFonts w:hint="eastAsia"/>
                      <w:bCs/>
                      <w:szCs w:val="21"/>
                      <w:shd w:val="clear" w:color="auto" w:fill="FFFFFF"/>
                    </w:rPr>
                    <w:t>9</w:t>
                  </w:r>
                  <w:r>
                    <w:rPr>
                      <w:bCs/>
                      <w:szCs w:val="21"/>
                      <w:shd w:val="clear" w:color="auto" w:fill="FFFFFF"/>
                    </w:rPr>
                    <w:t>m³/人·d</w:t>
                  </w:r>
                </w:p>
              </w:tc>
              <w:tc>
                <w:tcPr>
                  <w:tcW w:w="1393" w:type="dxa"/>
                  <w:vAlign w:val="center"/>
                </w:tcPr>
                <w:p>
                  <w:pPr>
                    <w:jc w:val="center"/>
                    <w:rPr>
                      <w:bCs/>
                      <w:szCs w:val="21"/>
                      <w:shd w:val="clear" w:color="auto" w:fill="FFFFFF"/>
                    </w:rPr>
                  </w:pPr>
                  <w:r>
                    <w:rPr>
                      <w:rFonts w:hint="eastAsia"/>
                      <w:bCs/>
                      <w:szCs w:val="21"/>
                      <w:shd w:val="clear" w:color="auto" w:fill="FFFFFF"/>
                    </w:rPr>
                    <w:t>1.44</w:t>
                  </w:r>
                </w:p>
              </w:tc>
              <w:tc>
                <w:tcPr>
                  <w:tcW w:w="1001" w:type="dxa"/>
                  <w:vAlign w:val="center"/>
                </w:tcPr>
                <w:p>
                  <w:pPr>
                    <w:jc w:val="center"/>
                    <w:rPr>
                      <w:bCs/>
                      <w:szCs w:val="21"/>
                      <w:shd w:val="clear" w:color="auto" w:fill="FFFFFF"/>
                    </w:rPr>
                  </w:pPr>
                  <w:r>
                    <w:rPr>
                      <w:rFonts w:hint="eastAsia"/>
                      <w:bCs/>
                      <w:szCs w:val="21"/>
                      <w:shd w:val="clear" w:color="auto" w:fill="FFFFFF"/>
                    </w:rPr>
                    <w:t>0.288</w:t>
                  </w:r>
                </w:p>
              </w:tc>
              <w:tc>
                <w:tcPr>
                  <w:tcW w:w="929" w:type="dxa"/>
                  <w:vAlign w:val="center"/>
                </w:tcPr>
                <w:p>
                  <w:pPr>
                    <w:jc w:val="center"/>
                    <w:rPr>
                      <w:bCs/>
                      <w:szCs w:val="21"/>
                      <w:shd w:val="clear" w:color="auto" w:fill="FFFFFF"/>
                    </w:rPr>
                  </w:pPr>
                  <w:r>
                    <w:rPr>
                      <w:rFonts w:hint="eastAsia"/>
                      <w:bCs/>
                      <w:szCs w:val="21"/>
                      <w:shd w:val="clear" w:color="auto" w:fill="FFFFFF"/>
                    </w:rPr>
                    <w:t>1.152</w:t>
                  </w:r>
                </w:p>
              </w:tc>
              <w:tc>
                <w:tcPr>
                  <w:tcW w:w="764" w:type="dxa"/>
                  <w:vAlign w:val="center"/>
                </w:tcPr>
                <w:p>
                  <w:pPr>
                    <w:jc w:val="center"/>
                    <w:rPr>
                      <w:bCs/>
                      <w:szCs w:val="21"/>
                      <w:shd w:val="clear" w:color="auto" w:fill="FFFFFF"/>
                    </w:rPr>
                  </w:pPr>
                  <w:r>
                    <w:rPr>
                      <w:rFonts w:hint="eastAsia"/>
                      <w:bCs/>
                      <w:szCs w:val="21"/>
                      <w:shd w:val="clear" w:color="auto" w:fill="FFFFFF"/>
                    </w:rPr>
                    <w:t>300d</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70" w:hRule="atLeast"/>
                <w:jc w:val="center"/>
              </w:trPr>
              <w:tc>
                <w:tcPr>
                  <w:tcW w:w="2625" w:type="dxa"/>
                  <w:gridSpan w:val="2"/>
                  <w:vAlign w:val="center"/>
                </w:tcPr>
                <w:p>
                  <w:pPr>
                    <w:jc w:val="center"/>
                    <w:rPr>
                      <w:bCs/>
                      <w:szCs w:val="21"/>
                    </w:rPr>
                  </w:pPr>
                  <w:r>
                    <w:rPr>
                      <w:bCs/>
                      <w:szCs w:val="21"/>
                    </w:rPr>
                    <w:t>合计</w:t>
                  </w:r>
                </w:p>
              </w:tc>
              <w:tc>
                <w:tcPr>
                  <w:tcW w:w="1345" w:type="dxa"/>
                  <w:vAlign w:val="center"/>
                </w:tcPr>
                <w:p>
                  <w:pPr>
                    <w:jc w:val="center"/>
                    <w:rPr>
                      <w:bCs/>
                      <w:szCs w:val="21"/>
                    </w:rPr>
                  </w:pPr>
                  <w:r>
                    <w:rPr>
                      <w:rFonts w:hint="eastAsia"/>
                      <w:bCs/>
                      <w:szCs w:val="21"/>
                      <w:shd w:val="clear" w:color="auto" w:fill="FFFFFF"/>
                    </w:rPr>
                    <w:t>/</w:t>
                  </w:r>
                </w:p>
              </w:tc>
              <w:tc>
                <w:tcPr>
                  <w:tcW w:w="1393" w:type="dxa"/>
                  <w:vAlign w:val="center"/>
                </w:tcPr>
                <w:p>
                  <w:pPr>
                    <w:jc w:val="center"/>
                    <w:rPr>
                      <w:bCs/>
                      <w:szCs w:val="21"/>
                    </w:rPr>
                  </w:pPr>
                  <w:r>
                    <w:rPr>
                      <w:rFonts w:hint="eastAsia"/>
                      <w:bCs/>
                      <w:szCs w:val="21"/>
                    </w:rPr>
                    <w:t>1.44</w:t>
                  </w:r>
                </w:p>
              </w:tc>
              <w:tc>
                <w:tcPr>
                  <w:tcW w:w="1001" w:type="dxa"/>
                  <w:vAlign w:val="center"/>
                </w:tcPr>
                <w:p>
                  <w:pPr>
                    <w:jc w:val="center"/>
                    <w:rPr>
                      <w:bCs/>
                      <w:szCs w:val="21"/>
                      <w:shd w:val="clear" w:color="auto" w:fill="FFFFFF"/>
                    </w:rPr>
                  </w:pPr>
                  <w:r>
                    <w:rPr>
                      <w:rFonts w:hint="eastAsia"/>
                      <w:bCs/>
                      <w:szCs w:val="21"/>
                      <w:shd w:val="clear" w:color="auto" w:fill="FFFFFF"/>
                    </w:rPr>
                    <w:t>0.288</w:t>
                  </w:r>
                </w:p>
              </w:tc>
              <w:tc>
                <w:tcPr>
                  <w:tcW w:w="929" w:type="dxa"/>
                  <w:vAlign w:val="center"/>
                </w:tcPr>
                <w:p>
                  <w:pPr>
                    <w:jc w:val="center"/>
                    <w:rPr>
                      <w:bCs/>
                      <w:szCs w:val="21"/>
                      <w:shd w:val="clear" w:color="auto" w:fill="FFFFFF"/>
                    </w:rPr>
                  </w:pPr>
                  <w:r>
                    <w:rPr>
                      <w:rFonts w:hint="eastAsia"/>
                      <w:bCs/>
                      <w:szCs w:val="21"/>
                      <w:shd w:val="clear" w:color="auto" w:fill="FFFFFF"/>
                    </w:rPr>
                    <w:t>1.152</w:t>
                  </w:r>
                </w:p>
              </w:tc>
              <w:tc>
                <w:tcPr>
                  <w:tcW w:w="764" w:type="dxa"/>
                  <w:vAlign w:val="center"/>
                </w:tcPr>
                <w:p>
                  <w:pPr>
                    <w:jc w:val="center"/>
                    <w:rPr>
                      <w:bCs/>
                      <w:szCs w:val="21"/>
                    </w:rPr>
                  </w:pPr>
                  <w:r>
                    <w:rPr>
                      <w:rFonts w:hint="eastAsia"/>
                      <w:bCs/>
                      <w:szCs w:val="21"/>
                    </w:rPr>
                    <w:t>/</w:t>
                  </w:r>
                </w:p>
              </w:tc>
            </w:tr>
          </w:tbl>
          <w:p>
            <w:pPr>
              <w:pStyle w:val="62"/>
              <w:ind w:firstLine="480"/>
              <w:rPr>
                <w:bCs w:val="0"/>
                <w:spacing w:val="0"/>
                <w:kern w:val="0"/>
                <w:szCs w:val="24"/>
              </w:rPr>
            </w:pPr>
            <w:r>
              <w:rPr>
                <w:rFonts w:hint="eastAsia"/>
                <w:bCs w:val="0"/>
                <w:spacing w:val="0"/>
                <w:kern w:val="0"/>
                <w:szCs w:val="24"/>
              </w:rPr>
              <w:t>8</w:t>
            </w:r>
            <w:r>
              <w:rPr>
                <w:bCs w:val="0"/>
                <w:spacing w:val="0"/>
                <w:kern w:val="0"/>
                <w:szCs w:val="24"/>
              </w:rPr>
              <w:t>.2供电</w:t>
            </w:r>
          </w:p>
          <w:p>
            <w:pPr>
              <w:pStyle w:val="62"/>
              <w:ind w:firstLine="480"/>
              <w:rPr>
                <w:bCs w:val="0"/>
                <w:spacing w:val="0"/>
                <w:kern w:val="0"/>
                <w:szCs w:val="24"/>
              </w:rPr>
            </w:pPr>
            <w:r>
              <w:rPr>
                <w:rFonts w:eastAsia="黑体"/>
                <w:szCs w:val="24"/>
              </w:rPr>
              <w:pict>
                <v:shape id="文本框 3394" o:spid="_x0000_s2214" o:spt="202" type="#_x0000_t202" style="position:absolute;left:0pt;margin-left:112.45pt;margin-top:16.65pt;height:25.25pt;width:60.3pt;z-index:251669504;mso-width-relative:page;mso-height-relative:page;" stroked="f" coordsize="21600,21600" o:gfxdata="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PhAea2AAAAAkBAAAPAAAAAAAAAAEAIAAAACIA&#10;AABkcnMvZG93bnJldi54bWxQSwECFAAUAAAACACHTuJAb0f9CkICAAByBAAADgAAAAAAAAABACAA&#10;AAAnAQAAZHJzL2Uyb0RvYy54bWxQSwUGAAAAAAYABgBZAQAA2wUAAAAA&#10;">
                  <v:path/>
                  <v:fill opacity="0f" focussize="0,0"/>
                  <v:stroke on="f" joinstyle="miter"/>
                  <v:imagedata o:title=""/>
                  <o:lock v:ext="edit"/>
                  <v:textbox>
                    <w:txbxContent>
                      <w:p>
                        <w:pPr>
                          <w:rPr>
                            <w:sz w:val="24"/>
                          </w:rPr>
                        </w:pPr>
                        <w:r>
                          <w:rPr>
                            <w:rFonts w:hint="eastAsia"/>
                            <w:color w:val="000000"/>
                            <w:szCs w:val="21"/>
                          </w:rPr>
                          <w:t>0.288</w:t>
                        </w:r>
                      </w:p>
                    </w:txbxContent>
                  </v:textbox>
                </v:shape>
              </w:pict>
            </w:r>
            <w:r>
              <w:rPr>
                <w:bCs w:val="0"/>
                <w:spacing w:val="0"/>
                <w:kern w:val="0"/>
                <w:szCs w:val="24"/>
              </w:rPr>
              <w:t>项目用电就近接入电网，能满足项目用电需求。</w:t>
            </w:r>
          </w:p>
          <w:p>
            <w:pPr>
              <w:pStyle w:val="4"/>
              <w:rPr>
                <w:rFonts w:ascii="Times New Roman" w:hAnsi="Times New Roman" w:cs="Times New Roman"/>
                <w:sz w:val="21"/>
                <w:szCs w:val="21"/>
              </w:rPr>
            </w:pPr>
            <w:r>
              <w:rPr>
                <w:rFonts w:ascii="Times New Roman" w:hAnsi="Times New Roman" w:cs="Times New Roman"/>
                <w:sz w:val="21"/>
                <w:szCs w:val="21"/>
              </w:rPr>
              <w:pict>
                <v:shape id="文本框 3360" o:spid="_x0000_s2209" o:spt="202" type="#_x0000_t202" style="position:absolute;left:0pt;margin-left:24.45pt;margin-top:13.4pt;height:31.2pt;width:62.25pt;z-index:251664384;mso-width-relative:page;mso-height-relative:page;" filled="f" stroked="f" coordsize="21600,21600" o:gfxdata="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DztUerWAAAACQEAAA8AAAAAAAAAAQAgAAAAIgAAAGRycy9kb3ducmV2LnhtbFBLAQIUABQAAAAI&#10;AIdO4kCtnkWiKAIAADIEAAAOAAAAAAAAAAEAIAAAACUBAABkcnMvZTJvRG9jLnhtbFBLBQYAAAAA&#10;BgAGAFkBAAC/BQAAAAA=&#10;">
                  <v:path/>
                  <v:fill on="f" focussize="0,0"/>
                  <v:stroke on="f" joinstyle="miter"/>
                  <v:imagedata o:title=""/>
                  <o:lock v:ext="edit"/>
                  <v:textbox>
                    <w:txbxContent>
                      <w:p>
                        <w:pPr>
                          <w:jc w:val="center"/>
                          <w:rPr>
                            <w:szCs w:val="21"/>
                          </w:rPr>
                        </w:pPr>
                        <w:r>
                          <w:rPr>
                            <w:rFonts w:hint="eastAsia"/>
                            <w:szCs w:val="21"/>
                          </w:rPr>
                          <w:t>1.44</w:t>
                        </w:r>
                      </w:p>
                    </w:txbxContent>
                  </v:textbox>
                </v:shape>
              </w:pict>
            </w:r>
            <w:r>
              <w:rPr>
                <w:rFonts w:ascii="Times New Roman" w:hAnsi="Times New Roman" w:cs="Times New Roman"/>
                <w:sz w:val="21"/>
                <w:szCs w:val="21"/>
              </w:rPr>
              <w:pict>
                <v:shape id="文本框 3361" o:spid="_x0000_s2210" o:spt="202" type="#_x0000_t202" style="position:absolute;left:0pt;margin-left:129.9pt;margin-top:10.85pt;height:31.2pt;width:57.5pt;z-index:251665408;mso-width-relative:page;mso-height-relative:page;" filled="f" stroked="f" coordsize="21600,21600" o:gfxdata="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O1R6tYAAAAJAQAADwAAAAAAAAABACAAAAAiAAAAZHJzL2Rvd25yZXYueG1sUEsBAhQAFAAA&#10;AAgAh07iQPzPqwwqAgAAMwQAAA4AAAAAAAAAAQAgAAAAJQEAAGRycy9lMm9Eb2MueG1sUEsFBgAA&#10;AAAGAAYAWQEAAMEFAAAAAA==&#10;">
                  <v:path/>
                  <v:fill on="f" focussize="0,0"/>
                  <v:stroke on="f" joinstyle="miter"/>
                  <v:imagedata o:title=""/>
                  <o:lock v:ext="edit"/>
                  <v:textbox>
                    <w:txbxContent>
                      <w:p>
                        <w:pPr>
                          <w:jc w:val="center"/>
                          <w:rPr>
                            <w:szCs w:val="21"/>
                          </w:rPr>
                        </w:pPr>
                        <w:r>
                          <w:rPr>
                            <w:rFonts w:hint="eastAsia"/>
                            <w:szCs w:val="21"/>
                          </w:rPr>
                          <w:t>1.152</w:t>
                        </w:r>
                      </w:p>
                    </w:txbxContent>
                  </v:textbox>
                </v:shape>
              </w:pict>
            </w:r>
            <w:r>
              <w:rPr>
                <w:rFonts w:ascii="Times New Roman" w:hAnsi="Times New Roman" w:cs="Times New Roman"/>
                <w:sz w:val="21"/>
                <w:szCs w:val="21"/>
              </w:rPr>
              <w:pict>
                <v:group id="组合 3354" o:spid="_x0000_s2203" o:spt="203" style="position:absolute;left:0pt;margin-left:112.45pt;margin-top:8.2pt;height:15.55pt;width:21.05pt;z-index:251661312;mso-width-relative:page;mso-height-relative:page;" coordorigin="5504,5941" coordsize="630,468" o:gfxdata="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7kPrZdkAAAAJAQAADwAAAAAAAAABACAAAAAiAAAAZHJzL2Rvd25yZXYueG1sUEsBAhQA&#10;FAAAAAgAh07iQKedAXXVAgAA9wgAAA4AAAAAAAAAAQAgAAAAKAEAAGRycy9lMm9Eb2MueG1sUEsF&#10;BgAAAAAGAAYAWQEAAG8GAAAAAA==&#10;">
                  <o:lock v:ext="edit"/>
                  <v:line id="直线 3355" o:spid="_x0000_s2204" o:spt="20" style="position:absolute;left:5819;top:6097;height:156;width:0;" coordsize="21600,21600" o:gfxdata="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qKxYa/&#10;AAAA3QAAAA8AAAAAAAAAAQAgAAAAIgAAAGRycy9kb3ducmV2LnhtbFBLAQIUABQAAAAIAIdO4kAz&#10;LwWeOwAAADkAAAAQAAAAAAAAAAEAIAAAAA4BAABkcnMvc2hhcGV4bWwueG1sUEsFBgAAAAAGAAYA&#10;WwEAALgDAAAAAA==&#10;">
                    <v:path arrowok="t"/>
                    <v:fill focussize="0,0"/>
                    <v:stroke weight="1pt"/>
                    <v:imagedata o:title=""/>
                    <o:lock v:ext="edit"/>
                  </v:line>
                  <v:line id="直线 3356" o:spid="_x0000_s2205" o:spt="20" style="position:absolute;left:5504;top:6097;flip:y;height:312;width:315;" coordsize="21600,21600" o:gfxdata="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V4Fr4A&#10;AADdAAAADwAAAAAAAAABACAAAAAiAAAAZHJzL2Rvd25yZXYueG1sUEsBAhQAFAAAAAgAh07iQDMv&#10;BZ47AAAAOQAAABAAAAAAAAAAAQAgAAAADQEAAGRycy9zaGFwZXhtbC54bWxQSwUGAAAAAAYABgBb&#10;AQAAtwMAAAAA&#10;">
                    <v:path arrowok="t"/>
                    <v:fill focussize="0,0"/>
                    <v:stroke weight="1pt"/>
                    <v:imagedata o:title=""/>
                    <o:lock v:ext="edit"/>
                  </v:line>
                  <v:line id="直线 3357" o:spid="_x0000_s2206" o:spt="20" style="position:absolute;left:5819;top:5941;flip:y;height:312;width:315;" coordsize="21600,21600" o:gfxdata="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RB1O/&#10;AAAA3QAAAA8AAAAAAAAAAQAgAAAAIgAAAGRycy9kb3ducmV2LnhtbFBLAQIUABQAAAAIAIdO4kAz&#10;LwWeOwAAADkAAAAQAAAAAAAAAAEAIAAAAA4BAABkcnMvc2hhcGV4bWwueG1sUEsFBgAAAAAGAAYA&#10;WwEAALgDAAAAAA==&#10;">
                    <v:path arrowok="t"/>
                    <v:fill focussize="0,0"/>
                    <v:stroke weight="1pt" endarrow="block"/>
                    <v:imagedata o:title=""/>
                    <o:lock v:ext="edit"/>
                  </v:line>
                </v:group>
              </w:pict>
            </w:r>
            <w:r>
              <w:rPr>
                <w:szCs w:val="21"/>
              </w:rPr>
              <w:pict>
                <v:shape id="文本框 3362" o:spid="_x0000_s2211" o:spt="202" type="#_x0000_t202" style="position:absolute;left:0pt;margin-left:77.15pt;margin-top:25.2pt;height:23.35pt;width:61.45pt;z-index:251666432;mso-width-relative:page;mso-height-relative:page;" filled="f" coordsize="21600,21600" o:gfxdata="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3oOwPNcAAAAJAQAA&#10;DwAAAAAAAAABACAAAAAiAAAAZHJzL2Rvd25yZXYueG1sUEsBAhQAFAAAAAgAh07iQCH4dp1TAgAA&#10;fAQAAA4AAAAAAAAAAQAgAAAAJgEAAGRycy9lMm9Eb2MueG1sUEsFBgAAAAAGAAYAWQEAAOsFAAAA&#10;AA==&#10;">
                  <v:path/>
                  <v:fill on="f" focussize="0,0"/>
                  <v:stroke joinstyle="miter"/>
                  <v:imagedata o:title=""/>
                  <o:lock v:ext="edit"/>
                  <v:textbox>
                    <w:txbxContent>
                      <w:p>
                        <w:pPr>
                          <w:jc w:val="center"/>
                          <w:rPr>
                            <w:szCs w:val="21"/>
                          </w:rPr>
                        </w:pPr>
                        <w:r>
                          <w:rPr>
                            <w:rFonts w:hint="eastAsia"/>
                            <w:szCs w:val="21"/>
                          </w:rPr>
                          <w:t>生活</w:t>
                        </w:r>
                        <w:r>
                          <w:rPr>
                            <w:szCs w:val="21"/>
                          </w:rPr>
                          <w:t>用水</w:t>
                        </w:r>
                      </w:p>
                    </w:txbxContent>
                  </v:textbox>
                </v:shape>
              </w:pict>
            </w:r>
            <w:r>
              <w:pict>
                <v:line id="_x0000_s2216" o:spid="_x0000_s2216" o:spt="20" style="position:absolute;left:0pt;flip:y;margin-left:36pt;margin-top:34pt;height:0pt;width:40pt;z-index:251670528;mso-width-relative:page;mso-height-relative:page;" coordsize="21600,21600" o:gfxdata="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5t32ctoAAAAJAQAADwAAAAAAAAAB&#10;ACAAAAAiAAAAZHJzL2Rvd25yZXYueG1sUEsBAhQAFAAAAAgAh07iQKO+mYcOAgAA+QMAAA4AAAAA&#10;AAAAAQAgAAAAKQEAAGRycy9lMm9Eb2MueG1sUEsFBgAAAAAGAAYAWQEAAKkFAAAAAA==&#10;">
                  <v:path arrowok="t"/>
                  <v:fill focussize="0,0"/>
                  <v:stroke endarrow="block"/>
                  <v:imagedata o:title=""/>
                  <o:lock v:ext="edit"/>
                </v:line>
              </w:pict>
            </w:r>
            <w:r>
              <w:rPr>
                <w:rFonts w:ascii="Times New Roman" w:hAnsi="Times New Roman" w:cs="Times New Roman"/>
                <w:sz w:val="21"/>
                <w:szCs w:val="21"/>
              </w:rPr>
              <w:pict>
                <v:shape id="_x0000_s2213" o:spid="_x0000_s2213" o:spt="202" type="#_x0000_t202" style="position:absolute;left:0pt;margin-left:180pt;margin-top:13.65pt;height:37.2pt;width:113.75pt;z-index:251668480;mso-width-relative:page;mso-height-relative:page;" filled="f" coordsize="21600,21600" o:gfxdata="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eg7A81wAAAAkBAAAP&#10;AAAAAAAAAAEAIAAAACIAAABkcnMvZG93bnJldi54bWxQSwECFAAUAAAACACHTuJAKhLpQVICAAB7&#10;BAAADgAAAAAAAAABACAAAAAmAQAAZHJzL2Uyb0RvYy54bWxQSwUGAAAAAAYABgBZAQAA6gUAAAAA&#10;">
                  <v:path/>
                  <v:fill on="f" focussize="0,0"/>
                  <v:stroke joinstyle="miter"/>
                  <v:imagedata o:title=""/>
                  <o:lock v:ext="edit"/>
                  <v:textbox>
                    <w:txbxContent>
                      <w:p>
                        <w:r>
                          <w:rPr>
                            <w:rFonts w:hint="eastAsia"/>
                          </w:rPr>
                          <w:t>北京汇源集团万荣有限公司污水处理厂</w:t>
                        </w:r>
                      </w:p>
                    </w:txbxContent>
                  </v:textbox>
                </v:shape>
              </w:pict>
            </w:r>
            <w:r>
              <w:pict>
                <v:shape id="文本框 3358" o:spid="_x0000_s2207" o:spt="202" type="#_x0000_t202" style="position:absolute;left:0pt;margin-left:-11.35pt;margin-top:25.2pt;height:24.4pt;width:47.35pt;z-index:251662336;mso-width-relative:page;mso-height-relative:page;" filled="f" stroked="f" coordsize="21600,21600" o:gfxdata="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PO1R6tYAAAAJAQAADwAAAAAAAAABACAAAAAiAAAAZHJzL2Rvd25yZXYueG1sUEsBAhQAFAAAAAgA&#10;h07iQMf0S1knAgAALgQAAA4AAAAAAAAAAQAgAAAAJQEAAGRycy9lMm9Eb2MueG1sUEsFBgAAAAAG&#10;AAYAWQEAAL4FAAAAAA==&#10;">
                  <v:path/>
                  <v:fill on="f" focussize="0,0"/>
                  <v:stroke on="f" joinstyle="miter"/>
                  <v:imagedata o:title=""/>
                  <o:lock v:ext="edit"/>
                  <v:textbox>
                    <w:txbxContent>
                      <w:p>
                        <w:pPr>
                          <w:jc w:val="right"/>
                          <w:rPr>
                            <w:szCs w:val="21"/>
                          </w:rPr>
                        </w:pPr>
                        <w:r>
                          <w:rPr>
                            <w:szCs w:val="21"/>
                          </w:rPr>
                          <w:t>新鲜水</w:t>
                        </w:r>
                      </w:p>
                    </w:txbxContent>
                  </v:textbox>
                </v:shape>
              </w:pict>
            </w:r>
            <w:r>
              <w:rPr>
                <w:rFonts w:eastAsia="黑体"/>
                <w:bCs w:val="0"/>
                <w:kern w:val="0"/>
                <w:sz w:val="21"/>
                <w:szCs w:val="21"/>
                <w:u w:color="000000"/>
              </w:rPr>
              <w:pict>
                <v:line id="直线 3376" o:spid="_x0000_s2212" o:spt="20" style="position:absolute;left:0pt;flip:y;margin-left:139.55pt;margin-top:34pt;height:0pt;width:40.45pt;z-index:251667456;mso-width-relative:page;mso-height-relative:page;" coordsize="21600,21600" o:gfxdata="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5t32ctoAAAAJAQAADwAAAAAAAAAB&#10;ACAAAAAiAAAAZHJzL2Rvd25yZXYueG1sUEsBAhQAFAAAAAgAh07iQKO+mYcOAgAA+QMAAA4AAAAA&#10;AAAAAQAgAAAAKQEAAGRycy9lMm9Eb2MueG1sUEsFBgAAAAAGAAYAWQEAAKkFAAAAAA==&#10;">
                  <v:path arrowok="t"/>
                  <v:fill focussize="0,0"/>
                  <v:stroke endarrow="block"/>
                  <v:imagedata o:title=""/>
                  <o:lock v:ext="edit"/>
                </v:line>
              </w:pict>
            </w:r>
          </w:p>
          <w:p>
            <w:pPr>
              <w:rPr>
                <w:szCs w:val="21"/>
              </w:rPr>
            </w:pPr>
            <w:r>
              <w:rPr>
                <w:rFonts w:eastAsia="黑体"/>
                <w:sz w:val="24"/>
              </w:rPr>
              <w:pict>
                <v:shape id="_x0000_s2238" o:spid="_x0000_s2238" o:spt="202" type="#_x0000_t202" style="position:absolute;left:0pt;margin-left:330.5pt;margin-top:5.6pt;height:23.35pt;width:61.45pt;z-index:251671552;mso-width-relative:page;mso-height-relative:page;" filled="f" coordsize="21600,21600" o:gfxdata="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3oOwPNcAAAAJAQAA&#10;DwAAAAAAAAABACAAAAAiAAAAZHJzL2Rvd25yZXYueG1sUEsBAhQAFAAAAAgAh07iQCH4dp1TAgAA&#10;fAQAAA4AAAAAAAAAAQAgAAAAJgEAAGRycy9lMm9Eb2MueG1sUEsFBgAAAAAGAAYAWQEAAOsFAAAA&#10;AA==&#10;">
                  <v:path/>
                  <v:fill on="f" focussize="0,0"/>
                  <v:stroke joinstyle="miter"/>
                  <v:imagedata o:title=""/>
                  <o:lock v:ext="edit"/>
                  <v:textbox>
                    <w:txbxContent>
                      <w:p>
                        <w:pPr>
                          <w:jc w:val="center"/>
                          <w:rPr>
                            <w:szCs w:val="21"/>
                          </w:rPr>
                        </w:pPr>
                        <w:r>
                          <w:rPr>
                            <w:rFonts w:hint="eastAsia"/>
                            <w:szCs w:val="21"/>
                          </w:rPr>
                          <w:t>排入管网</w:t>
                        </w:r>
                      </w:p>
                    </w:txbxContent>
                  </v:textbox>
                </v:shape>
              </w:pict>
            </w:r>
          </w:p>
          <w:p>
            <w:pPr>
              <w:pStyle w:val="62"/>
              <w:ind w:firstLine="0" w:firstLineChars="0"/>
              <w:rPr>
                <w:rFonts w:eastAsia="黑体"/>
                <w:bCs w:val="0"/>
                <w:spacing w:val="0"/>
                <w:kern w:val="0"/>
                <w:sz w:val="21"/>
                <w:szCs w:val="21"/>
                <w:u w:color="000000"/>
              </w:rPr>
            </w:pPr>
            <w:r>
              <w:rPr>
                <w:rFonts w:eastAsia="黑体"/>
                <w:bCs w:val="0"/>
                <w:spacing w:val="0"/>
                <w:kern w:val="0"/>
                <w:sz w:val="21"/>
                <w:szCs w:val="21"/>
                <w:u w:color="000000"/>
              </w:rPr>
              <w:pict>
                <v:line id="直线 3359" o:spid="_x0000_s2208" o:spt="20" style="position:absolute;left:0pt;margin-left:293.75pt;margin-top:3.75pt;height:0pt;width:36.75pt;z-index:251663360;mso-width-relative:page;mso-height-relative:page;" coordsize="21600,21600" o:gfxdata="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hv+fedoAAAAJAQAADwAAAAAAAAABACAAAAAi&#10;AAAAZHJzL2Rvd25yZXYueG1sUEsBAhQAFAAAAAgAh07iQDH1wjwIAgAA7wMAAA4AAAAAAAAAAQAg&#10;AAAAKQEAAGRycy9lMm9Eb2MueG1sUEsFBgAAAAAGAAYAWQEAAKMFAAAAAA==&#10;">
                  <v:path arrowok="t"/>
                  <v:fill focussize="0,0"/>
                  <v:stroke endarrow="block"/>
                  <v:imagedata o:title=""/>
                  <o:lock v:ext="edit"/>
                </v:line>
              </w:pict>
            </w:r>
          </w:p>
          <w:p>
            <w:pPr>
              <w:pStyle w:val="62"/>
              <w:ind w:firstLine="0" w:firstLineChars="0"/>
              <w:rPr>
                <w:rFonts w:eastAsia="黑体"/>
                <w:bCs w:val="0"/>
                <w:spacing w:val="0"/>
                <w:kern w:val="0"/>
                <w:sz w:val="21"/>
                <w:szCs w:val="21"/>
                <w:u w:color="000000"/>
              </w:rPr>
            </w:pPr>
          </w:p>
          <w:p>
            <w:pPr>
              <w:pStyle w:val="62"/>
              <w:ind w:firstLine="0" w:firstLineChars="0"/>
              <w:jc w:val="center"/>
              <w:rPr>
                <w:rFonts w:eastAsia="黑体"/>
                <w:bCs w:val="0"/>
                <w:spacing w:val="0"/>
                <w:kern w:val="0"/>
                <w:sz w:val="21"/>
                <w:szCs w:val="21"/>
                <w:u w:color="000000"/>
              </w:rPr>
            </w:pPr>
            <w:r>
              <w:rPr>
                <w:rFonts w:eastAsia="黑体"/>
                <w:bCs w:val="0"/>
                <w:spacing w:val="0"/>
                <w:kern w:val="0"/>
                <w:sz w:val="21"/>
                <w:szCs w:val="21"/>
                <w:u w:color="000000"/>
              </w:rPr>
              <w:t>图2-</w:t>
            </w:r>
            <w:r>
              <w:rPr>
                <w:rFonts w:hint="eastAsia" w:eastAsia="黑体"/>
                <w:bCs w:val="0"/>
                <w:spacing w:val="0"/>
                <w:kern w:val="0"/>
                <w:sz w:val="21"/>
                <w:szCs w:val="21"/>
                <w:u w:color="000000"/>
              </w:rPr>
              <w:t xml:space="preserve">1 </w:t>
            </w:r>
            <w:r>
              <w:rPr>
                <w:rFonts w:eastAsia="黑体"/>
                <w:bCs w:val="0"/>
                <w:spacing w:val="0"/>
                <w:kern w:val="0"/>
                <w:sz w:val="21"/>
                <w:szCs w:val="21"/>
                <w:u w:color="000000"/>
              </w:rPr>
              <w:t>水平衡图（单位：m³/d）</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21" w:hRule="atLeast"/>
          <w:jc w:val="center"/>
        </w:trPr>
        <w:tc>
          <w:tcPr>
            <w:tcW w:w="823" w:type="dxa"/>
            <w:vAlign w:val="center"/>
          </w:tcPr>
          <w:p>
            <w:pPr>
              <w:pStyle w:val="17"/>
              <w:adjustRightInd w:val="0"/>
              <w:snapToGrid w:val="0"/>
              <w:spacing w:before="0" w:beforeAutospacing="0" w:after="0" w:afterAutospacing="0"/>
              <w:jc w:val="center"/>
              <w:rPr>
                <w:rFonts w:ascii="Times New Roman" w:hAnsi="Times New Roman"/>
                <w:sz w:val="21"/>
                <w:szCs w:val="21"/>
              </w:rPr>
            </w:pPr>
            <w:r>
              <w:rPr>
                <w:rFonts w:ascii="Times New Roman" w:hAnsi="Times New Roman"/>
                <w:sz w:val="21"/>
                <w:szCs w:val="21"/>
              </w:rPr>
              <w:t>工艺流程和产排污环节</w:t>
            </w:r>
          </w:p>
        </w:tc>
        <w:tc>
          <w:tcPr>
            <w:tcW w:w="8161" w:type="dxa"/>
          </w:tcPr>
          <w:p>
            <w:pPr>
              <w:spacing w:line="360" w:lineRule="auto"/>
              <w:rPr>
                <w:b/>
                <w:bCs/>
                <w:kern w:val="0"/>
                <w:sz w:val="24"/>
              </w:rPr>
            </w:pPr>
            <w:r>
              <w:rPr>
                <w:b/>
                <w:bCs/>
                <w:kern w:val="0"/>
                <w:sz w:val="24"/>
              </w:rPr>
              <w:t>1、施工期</w:t>
            </w:r>
          </w:p>
          <w:p>
            <w:pPr>
              <w:pStyle w:val="62"/>
              <w:rPr>
                <w:szCs w:val="24"/>
              </w:rPr>
            </w:pPr>
            <w:r>
              <w:rPr>
                <w:szCs w:val="24"/>
              </w:rPr>
              <w:t>施工期主要是进行场地清理、建筑物施工、相关设备的安装等工程及进行辅助设施的施工建设，项目建设期为</w:t>
            </w:r>
            <w:r>
              <w:rPr>
                <w:rFonts w:hint="eastAsia"/>
                <w:szCs w:val="24"/>
              </w:rPr>
              <w:t>2</w:t>
            </w:r>
            <w:r>
              <w:rPr>
                <w:szCs w:val="24"/>
              </w:rPr>
              <w:t>个月，预计施工人数20人。施工过程中产生的施工噪声、建筑扬尘及污水排放等均会对周围环境造成一定影响，但由于施工期较短，对环境的影响随着施工期的结束而消失。</w:t>
            </w:r>
          </w:p>
          <w:p>
            <w:pPr>
              <w:pStyle w:val="62"/>
              <w:rPr>
                <w:szCs w:val="24"/>
              </w:rPr>
            </w:pPr>
            <w:r>
              <w:rPr>
                <w:szCs w:val="24"/>
              </w:rPr>
              <w:t>施工期污染工序及对应的污染物见表2-</w:t>
            </w:r>
            <w:r>
              <w:rPr>
                <w:rFonts w:hint="eastAsia"/>
                <w:szCs w:val="24"/>
              </w:rPr>
              <w:t>6</w:t>
            </w:r>
            <w:r>
              <w:rPr>
                <w:szCs w:val="24"/>
              </w:rPr>
              <w:t>。</w:t>
            </w:r>
          </w:p>
          <w:p>
            <w:pPr>
              <w:widowControl/>
              <w:tabs>
                <w:tab w:val="left" w:pos="2660"/>
              </w:tabs>
              <w:snapToGrid w:val="0"/>
              <w:jc w:val="center"/>
              <w:textAlignment w:val="baseline"/>
              <w:rPr>
                <w:b/>
                <w:bCs/>
                <w:szCs w:val="21"/>
              </w:rPr>
            </w:pPr>
            <w:r>
              <w:rPr>
                <w:b/>
                <w:bCs/>
                <w:szCs w:val="21"/>
              </w:rPr>
              <w:t>表2-</w:t>
            </w:r>
            <w:r>
              <w:rPr>
                <w:rFonts w:hint="eastAsia"/>
                <w:b/>
                <w:bCs/>
                <w:szCs w:val="21"/>
              </w:rPr>
              <w:t>7</w:t>
            </w:r>
            <w:r>
              <w:rPr>
                <w:b/>
                <w:bCs/>
                <w:szCs w:val="21"/>
              </w:rPr>
              <w:t xml:space="preserve">  施工期主要污染工序一览表</w:t>
            </w:r>
          </w:p>
          <w:tbl>
            <w:tblPr>
              <w:tblStyle w:val="20"/>
              <w:tblW w:w="7900"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1500"/>
              <w:gridCol w:w="2205"/>
              <w:gridCol w:w="297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220" w:type="dxa"/>
                  <w:vAlign w:val="center"/>
                </w:tcPr>
                <w:p>
                  <w:pPr>
                    <w:jc w:val="center"/>
                    <w:rPr>
                      <w:bCs/>
                      <w:szCs w:val="21"/>
                      <w:shd w:val="clear" w:color="auto" w:fill="FFFFFF"/>
                    </w:rPr>
                  </w:pPr>
                  <w:r>
                    <w:rPr>
                      <w:bCs/>
                      <w:szCs w:val="21"/>
                      <w:shd w:val="clear" w:color="auto" w:fill="FFFFFF"/>
                    </w:rPr>
                    <w:t>污染类别</w:t>
                  </w:r>
                </w:p>
              </w:tc>
              <w:tc>
                <w:tcPr>
                  <w:tcW w:w="1500" w:type="dxa"/>
                  <w:vAlign w:val="center"/>
                </w:tcPr>
                <w:p>
                  <w:pPr>
                    <w:jc w:val="center"/>
                    <w:rPr>
                      <w:bCs/>
                      <w:szCs w:val="21"/>
                      <w:shd w:val="clear" w:color="auto" w:fill="FFFFFF"/>
                    </w:rPr>
                  </w:pPr>
                  <w:r>
                    <w:rPr>
                      <w:bCs/>
                      <w:szCs w:val="21"/>
                      <w:shd w:val="clear" w:color="auto" w:fill="FFFFFF"/>
                    </w:rPr>
                    <w:t>污染源名称</w:t>
                  </w:r>
                </w:p>
              </w:tc>
              <w:tc>
                <w:tcPr>
                  <w:tcW w:w="2205" w:type="dxa"/>
                  <w:vAlign w:val="center"/>
                </w:tcPr>
                <w:p>
                  <w:pPr>
                    <w:jc w:val="center"/>
                    <w:rPr>
                      <w:bCs/>
                      <w:szCs w:val="21"/>
                      <w:shd w:val="clear" w:color="auto" w:fill="FFFFFF"/>
                    </w:rPr>
                  </w:pPr>
                  <w:r>
                    <w:rPr>
                      <w:bCs/>
                      <w:szCs w:val="21"/>
                      <w:shd w:val="clear" w:color="auto" w:fill="FFFFFF"/>
                    </w:rPr>
                    <w:t>产生工序</w:t>
                  </w:r>
                </w:p>
              </w:tc>
              <w:tc>
                <w:tcPr>
                  <w:tcW w:w="2975" w:type="dxa"/>
                  <w:vAlign w:val="center"/>
                </w:tcPr>
                <w:p>
                  <w:pPr>
                    <w:jc w:val="center"/>
                    <w:rPr>
                      <w:bCs/>
                      <w:szCs w:val="21"/>
                      <w:shd w:val="clear" w:color="auto" w:fill="FFFFFF"/>
                    </w:rPr>
                  </w:pPr>
                  <w:r>
                    <w:rPr>
                      <w:bCs/>
                      <w:szCs w:val="21"/>
                      <w:shd w:val="clear" w:color="auto" w:fill="FFFFFF"/>
                    </w:rPr>
                    <w:t>主要污染因子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20" w:type="dxa"/>
                  <w:vAlign w:val="center"/>
                </w:tcPr>
                <w:p>
                  <w:pPr>
                    <w:jc w:val="center"/>
                    <w:rPr>
                      <w:bCs/>
                      <w:szCs w:val="21"/>
                      <w:shd w:val="clear" w:color="auto" w:fill="FFFFFF"/>
                    </w:rPr>
                  </w:pPr>
                  <w:r>
                    <w:rPr>
                      <w:bCs/>
                      <w:szCs w:val="21"/>
                      <w:shd w:val="clear" w:color="auto" w:fill="FFFFFF"/>
                    </w:rPr>
                    <w:t>废气</w:t>
                  </w:r>
                </w:p>
              </w:tc>
              <w:tc>
                <w:tcPr>
                  <w:tcW w:w="1500" w:type="dxa"/>
                  <w:vAlign w:val="center"/>
                </w:tcPr>
                <w:p>
                  <w:pPr>
                    <w:jc w:val="center"/>
                    <w:rPr>
                      <w:bCs/>
                      <w:szCs w:val="21"/>
                      <w:shd w:val="clear" w:color="auto" w:fill="FFFFFF"/>
                    </w:rPr>
                  </w:pPr>
                  <w:r>
                    <w:rPr>
                      <w:bCs/>
                      <w:szCs w:val="21"/>
                      <w:shd w:val="clear" w:color="auto" w:fill="FFFFFF"/>
                    </w:rPr>
                    <w:t>施工过程</w:t>
                  </w:r>
                </w:p>
              </w:tc>
              <w:tc>
                <w:tcPr>
                  <w:tcW w:w="2205" w:type="dxa"/>
                  <w:vAlign w:val="center"/>
                </w:tcPr>
                <w:p>
                  <w:pPr>
                    <w:jc w:val="center"/>
                    <w:rPr>
                      <w:bCs/>
                      <w:szCs w:val="21"/>
                      <w:shd w:val="clear" w:color="auto" w:fill="FFFFFF"/>
                    </w:rPr>
                  </w:pPr>
                  <w:r>
                    <w:rPr>
                      <w:bCs/>
                      <w:szCs w:val="21"/>
                      <w:shd w:val="clear" w:color="auto" w:fill="FFFFFF"/>
                    </w:rPr>
                    <w:t>土石方、场地平整等</w:t>
                  </w:r>
                </w:p>
              </w:tc>
              <w:tc>
                <w:tcPr>
                  <w:tcW w:w="2975" w:type="dxa"/>
                  <w:vAlign w:val="center"/>
                </w:tcPr>
                <w:p>
                  <w:pPr>
                    <w:jc w:val="center"/>
                    <w:rPr>
                      <w:bCs/>
                      <w:szCs w:val="21"/>
                      <w:shd w:val="clear" w:color="auto" w:fill="FFFFFF"/>
                    </w:rPr>
                  </w:pPr>
                  <w:r>
                    <w:rPr>
                      <w:bCs/>
                      <w:szCs w:val="21"/>
                      <w:shd w:val="clear" w:color="auto" w:fill="FFFFFF"/>
                    </w:rPr>
                    <w:t>扬尘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20" w:type="dxa"/>
                  <w:vMerge w:val="restart"/>
                  <w:vAlign w:val="center"/>
                </w:tcPr>
                <w:p>
                  <w:pPr>
                    <w:jc w:val="center"/>
                    <w:rPr>
                      <w:bCs/>
                      <w:szCs w:val="21"/>
                      <w:shd w:val="clear" w:color="auto" w:fill="FFFFFF"/>
                    </w:rPr>
                  </w:pPr>
                  <w:r>
                    <w:rPr>
                      <w:bCs/>
                      <w:szCs w:val="21"/>
                      <w:shd w:val="clear" w:color="auto" w:fill="FFFFFF"/>
                    </w:rPr>
                    <w:t>废水</w:t>
                  </w:r>
                </w:p>
              </w:tc>
              <w:tc>
                <w:tcPr>
                  <w:tcW w:w="1500" w:type="dxa"/>
                  <w:vAlign w:val="center"/>
                </w:tcPr>
                <w:p>
                  <w:pPr>
                    <w:jc w:val="center"/>
                    <w:rPr>
                      <w:bCs/>
                      <w:szCs w:val="21"/>
                      <w:shd w:val="clear" w:color="auto" w:fill="FFFFFF"/>
                    </w:rPr>
                  </w:pPr>
                  <w:r>
                    <w:rPr>
                      <w:bCs/>
                      <w:szCs w:val="21"/>
                      <w:shd w:val="clear" w:color="auto" w:fill="FFFFFF"/>
                    </w:rPr>
                    <w:t>施工人员</w:t>
                  </w:r>
                </w:p>
              </w:tc>
              <w:tc>
                <w:tcPr>
                  <w:tcW w:w="2205" w:type="dxa"/>
                  <w:vAlign w:val="center"/>
                </w:tcPr>
                <w:p>
                  <w:pPr>
                    <w:jc w:val="center"/>
                    <w:rPr>
                      <w:bCs/>
                      <w:szCs w:val="21"/>
                      <w:shd w:val="clear" w:color="auto" w:fill="FFFFFF"/>
                    </w:rPr>
                  </w:pPr>
                  <w:r>
                    <w:rPr>
                      <w:bCs/>
                      <w:szCs w:val="21"/>
                      <w:shd w:val="clear" w:color="auto" w:fill="FFFFFF"/>
                    </w:rPr>
                    <w:t>施工人员生活</w:t>
                  </w:r>
                </w:p>
              </w:tc>
              <w:tc>
                <w:tcPr>
                  <w:tcW w:w="2975" w:type="dxa"/>
                  <w:vAlign w:val="center"/>
                </w:tcPr>
                <w:p>
                  <w:pPr>
                    <w:jc w:val="center"/>
                    <w:rPr>
                      <w:bCs/>
                      <w:szCs w:val="21"/>
                      <w:shd w:val="clear" w:color="auto" w:fill="FFFFFF"/>
                    </w:rPr>
                  </w:pPr>
                  <w:r>
                    <w:rPr>
                      <w:bCs/>
                      <w:szCs w:val="21"/>
                      <w:shd w:val="clear" w:color="auto" w:fill="FFFFFF"/>
                    </w:rPr>
                    <w:t>COD、BOD</w:t>
                  </w:r>
                  <w:r>
                    <w:rPr>
                      <w:bCs/>
                      <w:szCs w:val="21"/>
                      <w:shd w:val="clear" w:color="auto" w:fill="FFFFFF"/>
                      <w:vertAlign w:val="subscript"/>
                    </w:rPr>
                    <w:t>5</w:t>
                  </w:r>
                  <w:r>
                    <w:rPr>
                      <w:bCs/>
                      <w:szCs w:val="21"/>
                      <w:shd w:val="clear" w:color="auto" w:fill="FFFFFF"/>
                    </w:rPr>
                    <w:t>、SS、NH</w:t>
                  </w:r>
                  <w:r>
                    <w:rPr>
                      <w:bCs/>
                      <w:szCs w:val="21"/>
                      <w:shd w:val="clear" w:color="auto" w:fill="FFFFFF"/>
                      <w:vertAlign w:val="subscript"/>
                    </w:rPr>
                    <w:t>3</w:t>
                  </w:r>
                  <w:r>
                    <w:rPr>
                      <w:bCs/>
                      <w:szCs w:val="21"/>
                      <w:shd w:val="clear" w:color="auto" w:fill="FFFFFF"/>
                    </w:rPr>
                    <w:t>-N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20" w:type="dxa"/>
                  <w:vMerge w:val="continue"/>
                  <w:vAlign w:val="center"/>
                </w:tcPr>
                <w:p>
                  <w:pPr>
                    <w:jc w:val="center"/>
                    <w:rPr>
                      <w:bCs/>
                      <w:szCs w:val="21"/>
                      <w:shd w:val="clear" w:color="auto" w:fill="FFFFFF"/>
                    </w:rPr>
                  </w:pPr>
                </w:p>
              </w:tc>
              <w:tc>
                <w:tcPr>
                  <w:tcW w:w="1500" w:type="dxa"/>
                  <w:vAlign w:val="center"/>
                </w:tcPr>
                <w:p>
                  <w:pPr>
                    <w:jc w:val="center"/>
                    <w:rPr>
                      <w:bCs/>
                      <w:szCs w:val="21"/>
                      <w:shd w:val="clear" w:color="auto" w:fill="FFFFFF"/>
                    </w:rPr>
                  </w:pPr>
                  <w:r>
                    <w:rPr>
                      <w:bCs/>
                      <w:szCs w:val="21"/>
                      <w:shd w:val="clear" w:color="auto" w:fill="FFFFFF"/>
                    </w:rPr>
                    <w:t>施工过程</w:t>
                  </w:r>
                </w:p>
              </w:tc>
              <w:tc>
                <w:tcPr>
                  <w:tcW w:w="2205" w:type="dxa"/>
                  <w:vAlign w:val="center"/>
                </w:tcPr>
                <w:p>
                  <w:pPr>
                    <w:jc w:val="center"/>
                    <w:rPr>
                      <w:bCs/>
                      <w:szCs w:val="21"/>
                      <w:shd w:val="clear" w:color="auto" w:fill="FFFFFF"/>
                    </w:rPr>
                  </w:pPr>
                  <w:r>
                    <w:rPr>
                      <w:bCs/>
                      <w:szCs w:val="21"/>
                      <w:shd w:val="clear" w:color="auto" w:fill="FFFFFF"/>
                    </w:rPr>
                    <w:t>施工过程</w:t>
                  </w:r>
                </w:p>
              </w:tc>
              <w:tc>
                <w:tcPr>
                  <w:tcW w:w="2975" w:type="dxa"/>
                  <w:vAlign w:val="center"/>
                </w:tcPr>
                <w:p>
                  <w:pPr>
                    <w:jc w:val="center"/>
                    <w:rPr>
                      <w:bCs/>
                      <w:szCs w:val="21"/>
                      <w:shd w:val="clear" w:color="auto" w:fill="FFFFFF"/>
                    </w:rPr>
                  </w:pPr>
                  <w:r>
                    <w:rPr>
                      <w:bCs/>
                      <w:szCs w:val="21"/>
                      <w:shd w:val="clear" w:color="auto" w:fill="FFFFFF"/>
                    </w:rPr>
                    <w:t>SS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20" w:type="dxa"/>
                  <w:vAlign w:val="center"/>
                </w:tcPr>
                <w:p>
                  <w:pPr>
                    <w:jc w:val="center"/>
                    <w:rPr>
                      <w:bCs/>
                      <w:szCs w:val="21"/>
                      <w:shd w:val="clear" w:color="auto" w:fill="FFFFFF"/>
                    </w:rPr>
                  </w:pPr>
                  <w:r>
                    <w:rPr>
                      <w:bCs/>
                      <w:szCs w:val="21"/>
                      <w:shd w:val="clear" w:color="auto" w:fill="FFFFFF"/>
                    </w:rPr>
                    <w:t>噪声</w:t>
                  </w:r>
                </w:p>
              </w:tc>
              <w:tc>
                <w:tcPr>
                  <w:tcW w:w="1500" w:type="dxa"/>
                  <w:vAlign w:val="center"/>
                </w:tcPr>
                <w:p>
                  <w:pPr>
                    <w:jc w:val="center"/>
                    <w:rPr>
                      <w:bCs/>
                      <w:szCs w:val="21"/>
                      <w:shd w:val="clear" w:color="auto" w:fill="FFFFFF"/>
                    </w:rPr>
                  </w:pPr>
                  <w:r>
                    <w:rPr>
                      <w:bCs/>
                      <w:szCs w:val="21"/>
                      <w:shd w:val="clear" w:color="auto" w:fill="FFFFFF"/>
                    </w:rPr>
                    <w:t>施工过程</w:t>
                  </w:r>
                </w:p>
              </w:tc>
              <w:tc>
                <w:tcPr>
                  <w:tcW w:w="2205" w:type="dxa"/>
                  <w:vAlign w:val="center"/>
                </w:tcPr>
                <w:p>
                  <w:pPr>
                    <w:jc w:val="center"/>
                    <w:rPr>
                      <w:bCs/>
                      <w:szCs w:val="21"/>
                      <w:shd w:val="clear" w:color="auto" w:fill="FFFFFF"/>
                    </w:rPr>
                  </w:pPr>
                  <w:r>
                    <w:rPr>
                      <w:bCs/>
                      <w:szCs w:val="21"/>
                      <w:shd w:val="clear" w:color="auto" w:fill="FFFFFF"/>
                    </w:rPr>
                    <w:t>施工过程</w:t>
                  </w:r>
                </w:p>
              </w:tc>
              <w:tc>
                <w:tcPr>
                  <w:tcW w:w="2975" w:type="dxa"/>
                  <w:vAlign w:val="center"/>
                </w:tcPr>
                <w:p>
                  <w:pPr>
                    <w:jc w:val="center"/>
                    <w:rPr>
                      <w:bCs/>
                      <w:szCs w:val="21"/>
                      <w:shd w:val="clear" w:color="auto" w:fill="FFFFFF"/>
                    </w:rPr>
                  </w:pPr>
                  <w:r>
                    <w:rPr>
                      <w:bCs/>
                      <w:szCs w:val="21"/>
                      <w:shd w:val="clear" w:color="auto" w:fill="FFFFFF"/>
                    </w:rPr>
                    <w:t>噪声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20" w:type="dxa"/>
                  <w:vMerge w:val="restart"/>
                  <w:vAlign w:val="center"/>
                </w:tcPr>
                <w:p>
                  <w:pPr>
                    <w:jc w:val="center"/>
                    <w:rPr>
                      <w:bCs/>
                      <w:szCs w:val="21"/>
                      <w:shd w:val="clear" w:color="auto" w:fill="FFFFFF"/>
                    </w:rPr>
                  </w:pPr>
                  <w:r>
                    <w:rPr>
                      <w:bCs/>
                      <w:szCs w:val="21"/>
                      <w:shd w:val="clear" w:color="auto" w:fill="FFFFFF"/>
                    </w:rPr>
                    <w:t>一般固体废物</w:t>
                  </w:r>
                </w:p>
              </w:tc>
              <w:tc>
                <w:tcPr>
                  <w:tcW w:w="1500" w:type="dxa"/>
                  <w:vAlign w:val="center"/>
                </w:tcPr>
                <w:p>
                  <w:pPr>
                    <w:jc w:val="center"/>
                    <w:rPr>
                      <w:bCs/>
                      <w:szCs w:val="21"/>
                      <w:shd w:val="clear" w:color="auto" w:fill="FFFFFF"/>
                    </w:rPr>
                  </w:pPr>
                  <w:r>
                    <w:rPr>
                      <w:bCs/>
                      <w:szCs w:val="21"/>
                      <w:shd w:val="clear" w:color="auto" w:fill="FFFFFF"/>
                    </w:rPr>
                    <w:t>生活垃圾</w:t>
                  </w:r>
                </w:p>
              </w:tc>
              <w:tc>
                <w:tcPr>
                  <w:tcW w:w="2205" w:type="dxa"/>
                  <w:vAlign w:val="center"/>
                </w:tcPr>
                <w:p>
                  <w:pPr>
                    <w:jc w:val="center"/>
                    <w:rPr>
                      <w:bCs/>
                      <w:szCs w:val="21"/>
                      <w:shd w:val="clear" w:color="auto" w:fill="FFFFFF"/>
                    </w:rPr>
                  </w:pPr>
                  <w:r>
                    <w:rPr>
                      <w:bCs/>
                      <w:szCs w:val="21"/>
                      <w:shd w:val="clear" w:color="auto" w:fill="FFFFFF"/>
                    </w:rPr>
                    <w:t>施工人员生活</w:t>
                  </w:r>
                </w:p>
              </w:tc>
              <w:tc>
                <w:tcPr>
                  <w:tcW w:w="2975" w:type="dxa"/>
                  <w:vAlign w:val="center"/>
                </w:tcPr>
                <w:p>
                  <w:pPr>
                    <w:jc w:val="center"/>
                    <w:rPr>
                      <w:bCs/>
                      <w:szCs w:val="21"/>
                      <w:shd w:val="clear" w:color="auto" w:fill="FFFFFF"/>
                    </w:rPr>
                  </w:pPr>
                  <w:r>
                    <w:rPr>
                      <w:bCs/>
                      <w:szCs w:val="21"/>
                      <w:shd w:val="clear" w:color="auto" w:fill="FFFFFF"/>
                    </w:rPr>
                    <w:t>生活垃圾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20" w:type="dxa"/>
                  <w:vMerge w:val="continue"/>
                  <w:vAlign w:val="center"/>
                </w:tcPr>
                <w:p>
                  <w:pPr>
                    <w:jc w:val="center"/>
                    <w:rPr>
                      <w:bCs/>
                      <w:szCs w:val="21"/>
                      <w:shd w:val="clear" w:color="auto" w:fill="FFFFFF"/>
                    </w:rPr>
                  </w:pPr>
                </w:p>
              </w:tc>
              <w:tc>
                <w:tcPr>
                  <w:tcW w:w="1500" w:type="dxa"/>
                  <w:vAlign w:val="center"/>
                </w:tcPr>
                <w:p>
                  <w:pPr>
                    <w:jc w:val="center"/>
                    <w:rPr>
                      <w:bCs/>
                      <w:szCs w:val="21"/>
                      <w:shd w:val="clear" w:color="auto" w:fill="FFFFFF"/>
                    </w:rPr>
                  </w:pPr>
                  <w:r>
                    <w:rPr>
                      <w:bCs/>
                      <w:szCs w:val="21"/>
                      <w:shd w:val="clear" w:color="auto" w:fill="FFFFFF"/>
                    </w:rPr>
                    <w:t>施工垃圾</w:t>
                  </w:r>
                </w:p>
              </w:tc>
              <w:tc>
                <w:tcPr>
                  <w:tcW w:w="2205" w:type="dxa"/>
                  <w:vAlign w:val="center"/>
                </w:tcPr>
                <w:p>
                  <w:pPr>
                    <w:jc w:val="center"/>
                    <w:rPr>
                      <w:bCs/>
                      <w:szCs w:val="21"/>
                      <w:shd w:val="clear" w:color="auto" w:fill="FFFFFF"/>
                    </w:rPr>
                  </w:pPr>
                  <w:r>
                    <w:rPr>
                      <w:bCs/>
                      <w:szCs w:val="21"/>
                      <w:shd w:val="clear" w:color="auto" w:fill="FFFFFF"/>
                    </w:rPr>
                    <w:t>施工过程</w:t>
                  </w:r>
                </w:p>
              </w:tc>
              <w:tc>
                <w:tcPr>
                  <w:tcW w:w="2975" w:type="dxa"/>
                  <w:vAlign w:val="center"/>
                </w:tcPr>
                <w:p>
                  <w:pPr>
                    <w:jc w:val="center"/>
                    <w:rPr>
                      <w:bCs/>
                      <w:szCs w:val="21"/>
                      <w:shd w:val="clear" w:color="auto" w:fill="FFFFFF"/>
                    </w:rPr>
                  </w:pPr>
                  <w:r>
                    <w:rPr>
                      <w:bCs/>
                      <w:szCs w:val="21"/>
                      <w:shd w:val="clear" w:color="auto" w:fill="FFFFFF"/>
                    </w:rPr>
                    <w:t>建筑垃圾和废弃设备包装物等</w:t>
                  </w:r>
                </w:p>
              </w:tc>
            </w:tr>
          </w:tbl>
          <w:p>
            <w:pPr>
              <w:spacing w:line="360" w:lineRule="auto"/>
              <w:ind w:firstLine="482" w:firstLineChars="200"/>
              <w:rPr>
                <w:b/>
                <w:bCs/>
                <w:kern w:val="0"/>
                <w:sz w:val="24"/>
              </w:rPr>
            </w:pPr>
            <w:r>
              <w:rPr>
                <w:b/>
                <w:bCs/>
                <w:kern w:val="0"/>
                <w:sz w:val="24"/>
              </w:rPr>
              <w:t>2、运营期</w:t>
            </w:r>
          </w:p>
          <w:p>
            <w:pPr>
              <w:spacing w:line="360" w:lineRule="auto"/>
              <w:ind w:firstLine="482" w:firstLineChars="200"/>
              <w:rPr>
                <w:b/>
                <w:bCs/>
                <w:kern w:val="0"/>
                <w:sz w:val="24"/>
              </w:rPr>
            </w:pPr>
            <w:r>
              <w:rPr>
                <w:b/>
                <w:bCs/>
                <w:kern w:val="0"/>
                <w:sz w:val="24"/>
              </w:rPr>
              <w:t>2.1 工艺流程</w:t>
            </w:r>
          </w:p>
          <w:p>
            <w:pPr>
              <w:pStyle w:val="62"/>
              <w:adjustRightInd/>
              <w:rPr>
                <w:szCs w:val="24"/>
              </w:rPr>
            </w:pPr>
            <w:r>
              <w:rPr>
                <w:szCs w:val="24"/>
              </w:rPr>
              <w:t>生产线工艺流程描述：</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本项目产品为果渣饲料，生产工艺流程及产污环节见下图。</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1、原料接收</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本项目苹果渣外购于周边果汁生产企业，由运输车辆运至厂区生产车间原料区，原料区储存1天的苹果渣用量，原料封闭储存。</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2、烘干</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来料果渣（含水量70%）经皮带输送机送至滚筒烘干机中，物料被转筒中的抄板不断抄起又散落下来，使物料螺旋式向前移动，物料与高温烟气充分接触实现烘干，烘干后含水量约13%。</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3、破碎</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烘干后的物料</w:t>
            </w:r>
            <w:r>
              <w:rPr>
                <w:rFonts w:hint="eastAsia" w:ascii="Times New Roman" w:hAnsi="Times New Roman" w:cs="Times New Roman"/>
                <w:sz w:val="24"/>
                <w:szCs w:val="24"/>
              </w:rPr>
              <w:t>通过密闭皮带</w:t>
            </w:r>
            <w:r>
              <w:rPr>
                <w:rFonts w:ascii="Times New Roman" w:hAnsi="Times New Roman" w:cs="Times New Roman"/>
                <w:sz w:val="24"/>
                <w:szCs w:val="24"/>
              </w:rPr>
              <w:t>进入</w:t>
            </w:r>
            <w:r>
              <w:rPr>
                <w:rFonts w:hint="eastAsia" w:ascii="Times New Roman" w:hAnsi="Times New Roman" w:cs="Times New Roman"/>
                <w:sz w:val="24"/>
                <w:szCs w:val="24"/>
              </w:rPr>
              <w:t>地下</w:t>
            </w:r>
            <w:r>
              <w:rPr>
                <w:rFonts w:ascii="Times New Roman" w:hAnsi="Times New Roman" w:cs="Times New Roman"/>
                <w:sz w:val="24"/>
                <w:szCs w:val="24"/>
              </w:rPr>
              <w:t>破碎机</w:t>
            </w:r>
            <w:r>
              <w:rPr>
                <w:rFonts w:hint="eastAsia" w:ascii="Times New Roman" w:hAnsi="Times New Roman" w:cs="Times New Roman"/>
                <w:sz w:val="24"/>
                <w:szCs w:val="24"/>
              </w:rPr>
              <w:t>进行破碎，破碎为密闭破碎，基本不产尘。</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冷却包装</w:t>
            </w:r>
          </w:p>
          <w:p>
            <w:pPr>
              <w:pStyle w:val="90"/>
              <w:spacing w:line="360" w:lineRule="auto"/>
              <w:ind w:firstLine="480"/>
              <w:rPr>
                <w:rFonts w:ascii="Times New Roman" w:hAnsi="Times New Roman" w:cs="Times New Roman"/>
              </w:rPr>
            </w:pPr>
            <w:r>
              <w:rPr>
                <w:rFonts w:hint="eastAsia" w:ascii="Times New Roman" w:hAnsi="Times New Roman" w:cs="Times New Roman"/>
                <w:sz w:val="24"/>
                <w:szCs w:val="24"/>
              </w:rPr>
              <w:t>破碎后的成品进入冷却系统冷却，</w:t>
            </w:r>
            <w:r>
              <w:rPr>
                <w:rFonts w:ascii="Times New Roman" w:hAnsi="Times New Roman" w:cs="Times New Roman"/>
                <w:sz w:val="24"/>
                <w:szCs w:val="24"/>
              </w:rPr>
              <w:t>经冷却后的物料包装入库等待外售。</w:t>
            </w:r>
          </w:p>
          <w:p>
            <w:pPr>
              <w:adjustRightInd w:val="0"/>
              <w:snapToGrid w:val="0"/>
              <w:rPr>
                <w:bCs/>
                <w:szCs w:val="21"/>
              </w:rPr>
            </w:pPr>
            <w:r>
              <w:pict>
                <v:shape id="_x0000_s2242" o:spid="_x0000_s2242" o:spt="202" type="#_x0000_t202" style="position:absolute;left:0pt;margin-left:154.6pt;margin-top:-0.35pt;height:19.45pt;width:45.7pt;z-index:251674624;mso-width-relative:page;mso-height-relative:page;" filled="f" stroked="f" coordsize="21600,21600">
                  <v:path/>
                  <v:fill on="f" focussize="0,0"/>
                  <v:stroke on="f" joinstyle="miter"/>
                  <v:imagedata o:title=""/>
                  <o:lock v:ext="edit"/>
                  <v:textbox>
                    <w:txbxContent>
                      <w:p>
                        <w:pPr>
                          <w:rPr>
                            <w:sz w:val="20"/>
                            <w:szCs w:val="18"/>
                          </w:rPr>
                        </w:pPr>
                        <w:r>
                          <w:rPr>
                            <w:rFonts w:hint="eastAsia"/>
                            <w:sz w:val="20"/>
                            <w:szCs w:val="18"/>
                          </w:rPr>
                          <w:t>果渣</w:t>
                        </w:r>
                      </w:p>
                    </w:txbxContent>
                  </v:textbox>
                </v:shape>
              </w:pict>
            </w:r>
          </w:p>
          <w:p>
            <w:pPr>
              <w:adjustRightInd w:val="0"/>
              <w:snapToGrid w:val="0"/>
              <w:rPr>
                <w:bCs/>
                <w:szCs w:val="21"/>
              </w:rPr>
            </w:pPr>
            <w:r>
              <w:rPr>
                <w:bCs/>
                <w:szCs w:val="21"/>
              </w:rPr>
              <w:pict>
                <v:shape id="_x0000_s2244" o:spid="_x0000_s2244" o:spt="32" type="#_x0000_t32" style="position:absolute;left:0pt;margin-left:174.5pt;margin-top:7.05pt;height:30.8pt;width:0.15pt;z-index:251676672;mso-width-relative:page;mso-height-relative:page;" o:connectortype="straight" filled="f" coordsize="21600,21600">
                  <v:path arrowok="t"/>
                  <v:fill on="f" focussize="0,0"/>
                  <v:stroke endarrow="block"/>
                  <v:imagedata o:title=""/>
                  <o:lock v:ext="edit"/>
                </v:shape>
              </w:pict>
            </w:r>
          </w:p>
          <w:p>
            <w:pPr>
              <w:adjustRightInd w:val="0"/>
              <w:snapToGrid w:val="0"/>
              <w:rPr>
                <w:bCs/>
                <w:szCs w:val="21"/>
              </w:rPr>
            </w:pPr>
          </w:p>
          <w:p>
            <w:pPr>
              <w:adjustRightInd w:val="0"/>
              <w:snapToGrid w:val="0"/>
              <w:rPr>
                <w:bCs/>
                <w:szCs w:val="21"/>
              </w:rPr>
            </w:pPr>
            <w:r>
              <w:rPr>
                <w:bCs/>
                <w:szCs w:val="21"/>
              </w:rPr>
              <w:pict>
                <v:group id="_x0000_s2256" o:spid="_x0000_s2256" o:spt="203" style="position:absolute;left:0pt;margin-left:195.4pt;margin-top:1.35pt;height:25.9pt;width:64.45pt;z-index:251688960;mso-width-relative:page;mso-height-relative:page;" coordorigin="6208,3229" coordsize="1289,518">
                  <o:lock v:ext="edit"/>
                  <v:shape id="_x0000_s2257" o:spid="_x0000_s2257" o:spt="32" type="#_x0000_t32" style="position:absolute;left:6208;top:3428;flip:y;height:319;width:270;" o:connectortype="straight" filled="f" coordsize="21600,21600">
                    <v:path arrowok="t"/>
                    <v:fill on="f" focussize="0,0"/>
                    <v:stroke dashstyle="dash" endarrow="block"/>
                    <v:imagedata o:title=""/>
                    <o:lock v:ext="edit"/>
                  </v:shape>
                  <v:shape id="_x0000_s2258" o:spid="_x0000_s2258" o:spt="202" type="#_x0000_t202" style="position:absolute;left:6318;top:3229;height:389;width:1179;" filled="f" stroked="f" coordsize="21600,21600">
                    <v:path/>
                    <v:fill on="f" focussize="0,0"/>
                    <v:stroke on="f" joinstyle="miter"/>
                    <v:imagedata o:title=""/>
                    <o:lock v:ext="edit"/>
                    <v:textbox>
                      <w:txbxContent>
                        <w:p>
                          <w:pPr>
                            <w:rPr>
                              <w:sz w:val="18"/>
                              <w:szCs w:val="18"/>
                            </w:rPr>
                          </w:pPr>
                          <w:r>
                            <w:rPr>
                              <w:rFonts w:hint="eastAsia"/>
                              <w:sz w:val="18"/>
                              <w:szCs w:val="18"/>
                            </w:rPr>
                            <w:t>G</w:t>
                          </w:r>
                          <w:r>
                            <w:rPr>
                              <w:rFonts w:hint="eastAsia"/>
                              <w:sz w:val="18"/>
                              <w:szCs w:val="18"/>
                              <w:vertAlign w:val="subscript"/>
                            </w:rPr>
                            <w:t>1</w:t>
                          </w:r>
                          <w:r>
                            <w:rPr>
                              <w:rFonts w:hint="eastAsia"/>
                              <w:sz w:val="18"/>
                              <w:szCs w:val="18"/>
                            </w:rPr>
                            <w:t>、N</w:t>
                          </w:r>
                          <w:r>
                            <w:rPr>
                              <w:rFonts w:hint="eastAsia"/>
                              <w:sz w:val="18"/>
                              <w:szCs w:val="18"/>
                              <w:vertAlign w:val="subscript"/>
                            </w:rPr>
                            <w:t>1</w:t>
                          </w:r>
                        </w:p>
                      </w:txbxContent>
                    </v:textbox>
                  </v:shape>
                </v:group>
              </w:pict>
            </w:r>
          </w:p>
          <w:p>
            <w:pPr>
              <w:adjustRightInd w:val="0"/>
              <w:snapToGrid w:val="0"/>
              <w:rPr>
                <w:bCs/>
                <w:szCs w:val="21"/>
              </w:rPr>
            </w:pPr>
            <w:r>
              <w:rPr>
                <w:bCs/>
                <w:szCs w:val="21"/>
              </w:rPr>
              <w:pict>
                <v:shape id="_x0000_s2248" o:spid="_x0000_s2248" o:spt="32" type="#_x0000_t32" style="position:absolute;left:0pt;margin-left:131.6pt;margin-top:11.65pt;height:0pt;width:22.95pt;z-index:251680768;mso-width-relative:page;mso-height-relative:page;" o:connectortype="straight" filled="f" coordsize="21600,21600">
                  <v:path arrowok="t"/>
                  <v:fill on="f" focussize="0,0"/>
                  <v:stroke endarrow="block"/>
                  <v:imagedata o:title=""/>
                  <o:lock v:ext="edit"/>
                </v:shape>
              </w:pict>
            </w:r>
            <w:r>
              <w:rPr>
                <w:bCs/>
                <w:szCs w:val="21"/>
              </w:rPr>
              <w:pict>
                <v:shape id="_x0000_s2247" o:spid="_x0000_s2247" o:spt="202" type="#_x0000_t202" style="position:absolute;left:0pt;margin-left:58.25pt;margin-top:2.4pt;height:21.9pt;width:79.15pt;z-index:251679744;mso-width-relative:page;mso-height-relative:page;" filled="f" stroked="f" coordsize="21600,21600">
                  <v:path/>
                  <v:fill on="f" focussize="0,0"/>
                  <v:stroke on="f" joinstyle="miter"/>
                  <v:imagedata o:title=""/>
                  <o:lock v:ext="edit"/>
                  <v:textbox>
                    <w:txbxContent>
                      <w:p>
                        <w:pPr>
                          <w:jc w:val="center"/>
                        </w:pPr>
                        <w:r>
                          <w:rPr>
                            <w:rFonts w:hint="eastAsia"/>
                            <w:sz w:val="20"/>
                          </w:rPr>
                          <w:t>生物质热风炉</w:t>
                        </w:r>
                      </w:p>
                    </w:txbxContent>
                  </v:textbox>
                </v:shape>
              </w:pict>
            </w:r>
            <w:r>
              <w:rPr>
                <w:bCs/>
                <w:szCs w:val="21"/>
              </w:rPr>
              <w:pict>
                <v:shape id="_x0000_s2245" o:spid="_x0000_s2245" o:spt="202" type="#_x0000_t202" style="position:absolute;left:0pt;margin-left:153.85pt;margin-top:1.65pt;height:21.9pt;width:40.05pt;z-index:251677696;mso-width-relative:page;mso-height-relative:page;" filled="f" coordsize="21600,21600">
                  <v:path/>
                  <v:fill on="f" focussize="0,0"/>
                  <v:stroke joinstyle="miter"/>
                  <v:imagedata o:title=""/>
                  <o:lock v:ext="edit"/>
                  <v:textbox>
                    <w:txbxContent>
                      <w:p>
                        <w:pPr>
                          <w:jc w:val="center"/>
                        </w:pPr>
                        <w:r>
                          <w:rPr>
                            <w:rFonts w:hint="eastAsia"/>
                            <w:sz w:val="20"/>
                          </w:rPr>
                          <w:t>烘干</w:t>
                        </w:r>
                      </w:p>
                    </w:txbxContent>
                  </v:textbox>
                </v:shape>
              </w:pict>
            </w:r>
          </w:p>
          <w:p>
            <w:pPr>
              <w:adjustRightInd w:val="0"/>
              <w:snapToGrid w:val="0"/>
              <w:rPr>
                <w:bCs/>
                <w:szCs w:val="21"/>
              </w:rPr>
            </w:pPr>
            <w:r>
              <w:rPr>
                <w:bCs/>
                <w:szCs w:val="21"/>
              </w:rPr>
              <w:pict>
                <v:shape id="_x0000_s2249" o:spid="_x0000_s2249" o:spt="32" type="#_x0000_t32" style="position:absolute;left:0pt;margin-left:174.25pt;margin-top:11.45pt;height:20.05pt;width:0.05pt;z-index:251681792;mso-width-relative:page;mso-height-relative:page;" o:connectortype="straight" filled="f" coordsize="21600,21600">
                  <v:path arrowok="t"/>
                  <v:fill on="f" focussize="0,0"/>
                  <v:stroke endarrow="block"/>
                  <v:imagedata o:title=""/>
                  <o:lock v:ext="edit"/>
                </v:shape>
              </w:pict>
            </w:r>
          </w:p>
          <w:p>
            <w:pPr>
              <w:adjustRightInd w:val="0"/>
              <w:snapToGrid w:val="0"/>
              <w:rPr>
                <w:bCs/>
                <w:szCs w:val="21"/>
              </w:rPr>
            </w:pPr>
            <w:r>
              <w:rPr>
                <w:bCs/>
                <w:szCs w:val="21"/>
              </w:rPr>
              <w:pict>
                <v:group id="_x0000_s2259" o:spid="_x0000_s2259" o:spt="203" style="position:absolute;left:0pt;margin-left:193.9pt;margin-top:4.9pt;height:24.35pt;width:72.45pt;z-index:251689984;mso-width-relative:page;mso-height-relative:page;" coordorigin="6229,4099" coordsize="1449,487">
                  <o:lock v:ext="edit"/>
                  <v:shape id="_x0000_s2260" o:spid="_x0000_s2260" o:spt="32" type="#_x0000_t32" style="position:absolute;left:6229;top:4267;flip:y;height:319;width:270;" o:connectortype="straight" filled="f" coordsize="21600,21600">
                    <v:path arrowok="t"/>
                    <v:fill on="f" focussize="0,0"/>
                    <v:stroke dashstyle="dash" endarrow="block"/>
                    <v:imagedata o:title=""/>
                    <o:lock v:ext="edit"/>
                  </v:shape>
                  <v:shape id="_x0000_s2261" o:spid="_x0000_s2261" o:spt="202" type="#_x0000_t202" style="position:absolute;left:6499;top:4099;height:389;width:1179;" filled="f" stroked="f" coordsize="21600,21600">
                    <v:path/>
                    <v:fill on="f" focussize="0,0"/>
                    <v:stroke on="f" joinstyle="miter"/>
                    <v:imagedata o:title=""/>
                    <o:lock v:ext="edit"/>
                    <v:textbox>
                      <w:txbxContent>
                        <w:p>
                          <w:pPr>
                            <w:rPr>
                              <w:sz w:val="18"/>
                              <w:szCs w:val="18"/>
                            </w:rPr>
                          </w:pPr>
                          <w:r>
                            <w:rPr>
                              <w:rFonts w:hint="eastAsia"/>
                              <w:sz w:val="18"/>
                              <w:szCs w:val="18"/>
                            </w:rPr>
                            <w:t>N</w:t>
                          </w:r>
                          <w:r>
                            <w:rPr>
                              <w:rFonts w:hint="eastAsia"/>
                              <w:sz w:val="18"/>
                              <w:szCs w:val="18"/>
                              <w:vertAlign w:val="subscript"/>
                            </w:rPr>
                            <w:t>2</w:t>
                          </w:r>
                        </w:p>
                      </w:txbxContent>
                    </v:textbox>
                  </v:shape>
                </v:group>
              </w:pict>
            </w:r>
          </w:p>
          <w:p>
            <w:pPr>
              <w:adjustRightInd w:val="0"/>
              <w:snapToGrid w:val="0"/>
              <w:rPr>
                <w:bCs/>
                <w:szCs w:val="21"/>
              </w:rPr>
            </w:pPr>
            <w:r>
              <w:rPr>
                <w:bCs/>
                <w:szCs w:val="21"/>
              </w:rPr>
              <w:pict>
                <v:shape id="_x0000_s2246" o:spid="_x0000_s2246" o:spt="202" type="#_x0000_t202" style="position:absolute;left:0pt;margin-left:153.85pt;margin-top:7.35pt;height:21.9pt;width:40.05pt;z-index:251678720;mso-width-relative:page;mso-height-relative:page;" filled="f" coordsize="21600,21600">
                  <v:path/>
                  <v:fill on="f" focussize="0,0"/>
                  <v:stroke joinstyle="miter"/>
                  <v:imagedata o:title=""/>
                  <o:lock v:ext="edit"/>
                  <v:textbox>
                    <w:txbxContent>
                      <w:p>
                        <w:pPr>
                          <w:jc w:val="center"/>
                        </w:pPr>
                        <w:r>
                          <w:rPr>
                            <w:rFonts w:hint="eastAsia"/>
                            <w:sz w:val="20"/>
                          </w:rPr>
                          <w:t>破碎</w:t>
                        </w:r>
                      </w:p>
                    </w:txbxContent>
                  </v:textbox>
                </v:shape>
              </w:pict>
            </w:r>
          </w:p>
          <w:p>
            <w:pPr>
              <w:adjustRightInd w:val="0"/>
              <w:snapToGrid w:val="0"/>
              <w:rPr>
                <w:bCs/>
                <w:szCs w:val="21"/>
              </w:rPr>
            </w:pPr>
          </w:p>
          <w:p>
            <w:pPr>
              <w:adjustRightInd w:val="0"/>
              <w:snapToGrid w:val="0"/>
              <w:rPr>
                <w:bCs/>
                <w:szCs w:val="21"/>
              </w:rPr>
            </w:pPr>
            <w:r>
              <w:rPr>
                <w:bCs/>
                <w:szCs w:val="21"/>
              </w:rPr>
              <w:pict>
                <v:group id="_x0000_s2262" o:spid="_x0000_s2262" o:spt="203" style="position:absolute;left:0pt;margin-left:196.7pt;margin-top:8.45pt;height:30.65pt;width:72.45pt;z-index:251691008;mso-width-relative:page;mso-height-relative:page;" coordorigin="6354,4820" coordsize="1449,613">
                  <o:lock v:ext="edit"/>
                  <v:shape id="_x0000_s2263" o:spid="_x0000_s2263" o:spt="32" type="#_x0000_t32" style="position:absolute;left:6354;top:5114;flip:y;height:319;width:270;" o:connectortype="straight" filled="f" coordsize="21600,21600">
                    <v:path arrowok="t"/>
                    <v:fill on="f" focussize="0,0"/>
                    <v:stroke dashstyle="dash" endarrow="block"/>
                    <v:imagedata o:title=""/>
                    <o:lock v:ext="edit"/>
                  </v:shape>
                  <v:shape id="_x0000_s2264" o:spid="_x0000_s2264" o:spt="202" type="#_x0000_t202" style="position:absolute;left:6624;top:4820;height:389;width:1179;" filled="f" stroked="f" coordsize="21600,21600">
                    <v:path/>
                    <v:fill on="f" focussize="0,0"/>
                    <v:stroke on="f" joinstyle="miter"/>
                    <v:imagedata o:title=""/>
                    <o:lock v:ext="edit"/>
                    <v:textbox>
                      <w:txbxContent>
                        <w:p>
                          <w:pPr>
                            <w:rPr>
                              <w:sz w:val="18"/>
                              <w:szCs w:val="18"/>
                            </w:rPr>
                          </w:pPr>
                          <w:r>
                            <w:rPr>
                              <w:rFonts w:hint="eastAsia"/>
                              <w:sz w:val="18"/>
                              <w:szCs w:val="18"/>
                            </w:rPr>
                            <w:t>N</w:t>
                          </w:r>
                          <w:r>
                            <w:rPr>
                              <w:rFonts w:hint="eastAsia"/>
                              <w:sz w:val="18"/>
                              <w:szCs w:val="18"/>
                              <w:vertAlign w:val="subscript"/>
                            </w:rPr>
                            <w:t>3</w:t>
                          </w:r>
                        </w:p>
                      </w:txbxContent>
                    </v:textbox>
                  </v:shape>
                </v:group>
              </w:pict>
            </w:r>
            <w:r>
              <w:rPr>
                <w:bCs/>
                <w:szCs w:val="21"/>
              </w:rPr>
              <w:pict>
                <v:shape id="_x0000_s2253" o:spid="_x0000_s2253" o:spt="32" type="#_x0000_t32" style="position:absolute;left:0pt;margin-left:174.4pt;margin-top:5.55pt;height:20.05pt;width:0.05pt;z-index:251685888;mso-width-relative:page;mso-height-relative:page;" o:connectortype="straight" filled="f" coordsize="21600,21600">
                  <v:path arrowok="t"/>
                  <v:fill on="f" focussize="0,0"/>
                  <v:stroke endarrow="block"/>
                  <v:imagedata o:title=""/>
                  <o:lock v:ext="edit"/>
                </v:shape>
              </w:pict>
            </w:r>
          </w:p>
          <w:p>
            <w:pPr>
              <w:adjustRightInd w:val="0"/>
              <w:snapToGrid w:val="0"/>
              <w:rPr>
                <w:bCs/>
                <w:szCs w:val="21"/>
              </w:rPr>
            </w:pPr>
          </w:p>
          <w:p>
            <w:pPr>
              <w:adjustRightInd w:val="0"/>
              <w:snapToGrid w:val="0"/>
              <w:rPr>
                <w:bCs/>
                <w:szCs w:val="21"/>
              </w:rPr>
            </w:pPr>
            <w:r>
              <w:rPr>
                <w:bCs/>
                <w:szCs w:val="21"/>
              </w:rPr>
              <w:pict>
                <v:shape id="_x0000_s2250" o:spid="_x0000_s2250" o:spt="202" type="#_x0000_t202" style="position:absolute;left:0pt;margin-left:154.55pt;margin-top:2.05pt;height:21.9pt;width:40.05pt;z-index:251682816;mso-width-relative:page;mso-height-relative:page;" filled="f" coordsize="21600,21600">
                  <v:path/>
                  <v:fill on="f" focussize="0,0"/>
                  <v:stroke joinstyle="miter"/>
                  <v:imagedata o:title=""/>
                  <o:lock v:ext="edit"/>
                  <v:textbox>
                    <w:txbxContent>
                      <w:p>
                        <w:pPr>
                          <w:jc w:val="center"/>
                        </w:pPr>
                        <w:r>
                          <w:rPr>
                            <w:rFonts w:hint="eastAsia"/>
                            <w:sz w:val="20"/>
                          </w:rPr>
                          <w:t>冷却</w:t>
                        </w:r>
                      </w:p>
                    </w:txbxContent>
                  </v:textbox>
                </v:shape>
              </w:pict>
            </w:r>
          </w:p>
          <w:p>
            <w:pPr>
              <w:adjustRightInd w:val="0"/>
              <w:snapToGrid w:val="0"/>
              <w:rPr>
                <w:bCs/>
                <w:szCs w:val="21"/>
              </w:rPr>
            </w:pPr>
          </w:p>
          <w:p>
            <w:pPr>
              <w:adjustRightInd w:val="0"/>
              <w:snapToGrid w:val="0"/>
              <w:rPr>
                <w:bCs/>
                <w:szCs w:val="21"/>
              </w:rPr>
            </w:pPr>
            <w:r>
              <w:rPr>
                <w:bCs/>
                <w:szCs w:val="21"/>
              </w:rPr>
              <w:pict>
                <v:shape id="_x0000_s2254" o:spid="_x0000_s2254" o:spt="32" type="#_x0000_t32" style="position:absolute;left:0pt;margin-left:174.2pt;margin-top:-0.15pt;height:20.05pt;width:0.05pt;z-index:251686912;mso-width-relative:page;mso-height-relative:page;" o:connectortype="straight" filled="f" coordsize="21600,21600">
                  <v:path arrowok="t"/>
                  <v:fill on="f" focussize="0,0"/>
                  <v:stroke endarrow="block"/>
                  <v:imagedata o:title=""/>
                  <o:lock v:ext="edit"/>
                </v:shape>
              </w:pict>
            </w:r>
          </w:p>
          <w:p>
            <w:pPr>
              <w:adjustRightInd w:val="0"/>
              <w:snapToGrid w:val="0"/>
              <w:rPr>
                <w:bCs/>
                <w:szCs w:val="21"/>
              </w:rPr>
            </w:pPr>
            <w:r>
              <w:rPr>
                <w:bCs/>
                <w:szCs w:val="21"/>
              </w:rPr>
              <w:pict>
                <v:shape id="_x0000_s2251" o:spid="_x0000_s2251" o:spt="202" type="#_x0000_t202" style="position:absolute;left:0pt;margin-left:154.55pt;margin-top:7.8pt;height:21.9pt;width:40.05pt;z-index:251683840;mso-width-relative:page;mso-height-relative:page;" filled="f" coordsize="21600,21600">
                  <v:path/>
                  <v:fill on="f" focussize="0,0"/>
                  <v:stroke joinstyle="miter"/>
                  <v:imagedata o:title=""/>
                  <o:lock v:ext="edit"/>
                  <v:textbox>
                    <w:txbxContent>
                      <w:p>
                        <w:pPr>
                          <w:jc w:val="center"/>
                        </w:pPr>
                        <w:r>
                          <w:rPr>
                            <w:rFonts w:hint="eastAsia"/>
                            <w:sz w:val="20"/>
                          </w:rPr>
                          <w:t>包装</w:t>
                        </w:r>
                      </w:p>
                    </w:txbxContent>
                  </v:textbox>
                </v:shape>
              </w:pict>
            </w:r>
          </w:p>
          <w:p>
            <w:pPr>
              <w:adjustRightInd w:val="0"/>
              <w:snapToGrid w:val="0"/>
              <w:rPr>
                <w:bCs/>
                <w:szCs w:val="21"/>
              </w:rPr>
            </w:pPr>
          </w:p>
          <w:p>
            <w:pPr>
              <w:adjustRightInd w:val="0"/>
              <w:snapToGrid w:val="0"/>
              <w:rPr>
                <w:bCs/>
                <w:szCs w:val="21"/>
              </w:rPr>
            </w:pPr>
            <w:r>
              <w:rPr>
                <w:bCs/>
                <w:szCs w:val="21"/>
              </w:rPr>
              <w:pict>
                <v:shape id="_x0000_s2255" o:spid="_x0000_s2255" o:spt="32" type="#_x0000_t32" style="position:absolute;left:0pt;margin-left:174.45pt;margin-top:5.55pt;height:20.05pt;width:0.05pt;z-index:251687936;mso-width-relative:page;mso-height-relative:page;" o:connectortype="straight" filled="f" coordsize="21600,21600">
                  <v:path arrowok="t"/>
                  <v:fill on="f" focussize="0,0"/>
                  <v:stroke endarrow="block"/>
                  <v:imagedata o:title=""/>
                  <o:lock v:ext="edit"/>
                </v:shape>
              </w:pict>
            </w:r>
            <w:r>
              <w:rPr>
                <w:bCs/>
                <w:szCs w:val="21"/>
              </w:rPr>
              <w:pict>
                <v:shape id="_x0000_s2243" o:spid="_x0000_s2243" o:spt="202" type="#_x0000_t202" style="position:absolute;left:0pt;margin-left:322.65pt;margin-top:3.35pt;height:49.35pt;width:54.75pt;z-index:251675648;mso-width-relative:page;mso-height-relative:page;" coordsize="21600,21600">
                  <v:path/>
                  <v:fill focussize="0,0"/>
                  <v:stroke joinstyle="miter"/>
                  <v:imagedata o:title=""/>
                  <o:lock v:ext="edit"/>
                  <v:textbox>
                    <w:txbxContent>
                      <w:p>
                        <w:pPr>
                          <w:spacing w:line="240" w:lineRule="atLeast"/>
                          <w:rPr>
                            <w:szCs w:val="21"/>
                          </w:rPr>
                        </w:pPr>
                        <w:r>
                          <w:rPr>
                            <w:rFonts w:hint="eastAsia"/>
                            <w:szCs w:val="21"/>
                          </w:rPr>
                          <w:t>图例：</w:t>
                        </w:r>
                      </w:p>
                      <w:p>
                        <w:pPr>
                          <w:spacing w:line="240" w:lineRule="atLeast"/>
                          <w:rPr>
                            <w:szCs w:val="21"/>
                          </w:rPr>
                        </w:pPr>
                        <w:r>
                          <w:rPr>
                            <w:szCs w:val="21"/>
                          </w:rPr>
                          <w:t>G</w:t>
                        </w:r>
                        <w:r>
                          <w:rPr>
                            <w:rFonts w:hint="eastAsia"/>
                            <w:szCs w:val="21"/>
                          </w:rPr>
                          <w:t>：废气</w:t>
                        </w:r>
                      </w:p>
                      <w:p>
                        <w:pPr>
                          <w:spacing w:line="240" w:lineRule="atLeast"/>
                          <w:rPr>
                            <w:szCs w:val="21"/>
                          </w:rPr>
                        </w:pPr>
                        <w:r>
                          <w:rPr>
                            <w:szCs w:val="21"/>
                          </w:rPr>
                          <w:t>N</w:t>
                        </w:r>
                        <w:r>
                          <w:rPr>
                            <w:rFonts w:hint="eastAsia"/>
                            <w:szCs w:val="21"/>
                          </w:rPr>
                          <w:t>：噪声</w:t>
                        </w:r>
                      </w:p>
                      <w:p/>
                    </w:txbxContent>
                  </v:textbox>
                </v:shape>
              </w:pict>
            </w:r>
          </w:p>
          <w:p>
            <w:pPr>
              <w:adjustRightInd w:val="0"/>
              <w:snapToGrid w:val="0"/>
              <w:rPr>
                <w:bCs/>
                <w:szCs w:val="21"/>
              </w:rPr>
            </w:pPr>
          </w:p>
          <w:p>
            <w:pPr>
              <w:adjustRightInd w:val="0"/>
              <w:snapToGrid w:val="0"/>
              <w:rPr>
                <w:bCs/>
                <w:szCs w:val="21"/>
              </w:rPr>
            </w:pPr>
            <w:r>
              <w:rPr>
                <w:kern w:val="0"/>
                <w:sz w:val="24"/>
              </w:rPr>
              <w:pict>
                <v:shape id="_x0000_s2252" o:spid="_x0000_s2252" o:spt="202" type="#_x0000_t202" style="position:absolute;left:0pt;margin-left:145.65pt;margin-top:0.95pt;height:21.9pt;width:57.5pt;z-index:251684864;mso-width-relative:page;mso-height-relative:page;" filled="f" coordsize="21600,21600">
                  <v:path/>
                  <v:fill on="f" focussize="0,0"/>
                  <v:stroke joinstyle="miter"/>
                  <v:imagedata o:title=""/>
                  <o:lock v:ext="edit"/>
                  <v:textbox>
                    <w:txbxContent>
                      <w:p>
                        <w:pPr>
                          <w:jc w:val="center"/>
                        </w:pPr>
                        <w:r>
                          <w:rPr>
                            <w:rFonts w:hint="eastAsia"/>
                            <w:sz w:val="20"/>
                          </w:rPr>
                          <w:t>入库外售</w:t>
                        </w:r>
                      </w:p>
                    </w:txbxContent>
                  </v:textbox>
                </v:shape>
              </w:pict>
            </w:r>
            <w:r>
              <w:rPr>
                <w:kern w:val="0"/>
                <w:sz w:val="24"/>
              </w:rPr>
              <w:pict>
                <v:shape id="_x0000_s2240" o:spid="_x0000_s2240" o:spt="202" type="#_x0000_t202" style="position:absolute;left:0pt;margin-left:437.25pt;margin-top:529.4pt;height:83.45pt;width:53.85pt;z-index:251673600;mso-width-relative:page;mso-height-relative:page;" filled="f" coordsize="21600,21600">
                  <v:path/>
                  <v:fill on="f" focussize="0,0"/>
                  <v:stroke weight="0.25pt" joinstyle="miter"/>
                  <v:imagedata o:title=""/>
                  <o:lock v:ext="edit"/>
                  <v:textbox>
                    <w:txbxContent>
                      <w:p>
                        <w:pPr>
                          <w:spacing w:line="240" w:lineRule="atLeast"/>
                          <w:rPr>
                            <w:szCs w:val="21"/>
                          </w:rPr>
                        </w:pPr>
                        <w:r>
                          <w:rPr>
                            <w:rFonts w:hint="eastAsia"/>
                            <w:szCs w:val="21"/>
                          </w:rPr>
                          <w:t>图例：</w:t>
                        </w:r>
                      </w:p>
                      <w:p>
                        <w:pPr>
                          <w:spacing w:line="240" w:lineRule="atLeast"/>
                          <w:rPr>
                            <w:szCs w:val="21"/>
                          </w:rPr>
                        </w:pPr>
                        <w:r>
                          <w:rPr>
                            <w:szCs w:val="21"/>
                          </w:rPr>
                          <w:t>G</w:t>
                        </w:r>
                        <w:r>
                          <w:rPr>
                            <w:rFonts w:hint="eastAsia"/>
                            <w:szCs w:val="21"/>
                          </w:rPr>
                          <w:t>：废气</w:t>
                        </w:r>
                      </w:p>
                      <w:p>
                        <w:pPr>
                          <w:spacing w:line="240" w:lineRule="atLeast"/>
                          <w:rPr>
                            <w:szCs w:val="21"/>
                          </w:rPr>
                        </w:pPr>
                        <w:r>
                          <w:rPr>
                            <w:szCs w:val="21"/>
                          </w:rPr>
                          <w:t>W</w:t>
                        </w:r>
                        <w:r>
                          <w:rPr>
                            <w:rFonts w:hint="eastAsia"/>
                            <w:szCs w:val="21"/>
                          </w:rPr>
                          <w:t>：废水</w:t>
                        </w:r>
                      </w:p>
                      <w:p>
                        <w:pPr>
                          <w:spacing w:line="240" w:lineRule="atLeast"/>
                          <w:rPr>
                            <w:szCs w:val="21"/>
                          </w:rPr>
                        </w:pPr>
                        <w:r>
                          <w:rPr>
                            <w:szCs w:val="21"/>
                          </w:rPr>
                          <w:t>S</w:t>
                        </w:r>
                        <w:r>
                          <w:rPr>
                            <w:rFonts w:hint="eastAsia"/>
                            <w:szCs w:val="21"/>
                          </w:rPr>
                          <w:t>：固废</w:t>
                        </w:r>
                      </w:p>
                      <w:p>
                        <w:pPr>
                          <w:spacing w:line="240" w:lineRule="atLeast"/>
                          <w:rPr>
                            <w:szCs w:val="21"/>
                          </w:rPr>
                        </w:pPr>
                        <w:r>
                          <w:rPr>
                            <w:szCs w:val="21"/>
                          </w:rPr>
                          <w:t>N</w:t>
                        </w:r>
                        <w:r>
                          <w:rPr>
                            <w:rFonts w:hint="eastAsia"/>
                            <w:szCs w:val="21"/>
                          </w:rPr>
                          <w:t>：噪声</w:t>
                        </w:r>
                      </w:p>
                    </w:txbxContent>
                  </v:textbox>
                </v:shape>
              </w:pict>
            </w:r>
          </w:p>
          <w:p>
            <w:pPr>
              <w:pStyle w:val="86"/>
            </w:pPr>
            <w:r>
              <w:rPr>
                <w:kern w:val="0"/>
                <w:sz w:val="24"/>
                <w:szCs w:val="24"/>
              </w:rPr>
              <w:pict>
                <v:shape id="_x0000_s2239" o:spid="_x0000_s2239" o:spt="202" type="#_x0000_t202" style="position:absolute;left:0pt;margin-left:437.25pt;margin-top:529.4pt;height:83.45pt;width:53.85pt;z-index:251672576;mso-width-relative:page;mso-height-relative:page;" filled="f" coordsize="21600,21600">
                  <v:path/>
                  <v:fill on="f" focussize="0,0"/>
                  <v:stroke weight="0.25pt" joinstyle="miter"/>
                  <v:imagedata o:title=""/>
                  <o:lock v:ext="edit"/>
                  <v:textbox>
                    <w:txbxContent>
                      <w:p>
                        <w:pPr>
                          <w:spacing w:line="240" w:lineRule="atLeast"/>
                          <w:rPr>
                            <w:szCs w:val="21"/>
                          </w:rPr>
                        </w:pPr>
                        <w:r>
                          <w:rPr>
                            <w:rFonts w:hint="eastAsia"/>
                            <w:szCs w:val="21"/>
                          </w:rPr>
                          <w:t>图例：</w:t>
                        </w:r>
                      </w:p>
                      <w:p>
                        <w:pPr>
                          <w:spacing w:line="240" w:lineRule="atLeast"/>
                          <w:rPr>
                            <w:szCs w:val="21"/>
                          </w:rPr>
                        </w:pPr>
                        <w:r>
                          <w:rPr>
                            <w:szCs w:val="21"/>
                          </w:rPr>
                          <w:t>G</w:t>
                        </w:r>
                        <w:r>
                          <w:rPr>
                            <w:rFonts w:hint="eastAsia"/>
                            <w:szCs w:val="21"/>
                          </w:rPr>
                          <w:t>：废气</w:t>
                        </w:r>
                      </w:p>
                      <w:p>
                        <w:pPr>
                          <w:spacing w:line="240" w:lineRule="atLeast"/>
                          <w:rPr>
                            <w:szCs w:val="21"/>
                          </w:rPr>
                        </w:pPr>
                        <w:r>
                          <w:rPr>
                            <w:szCs w:val="21"/>
                          </w:rPr>
                          <w:t>W</w:t>
                        </w:r>
                        <w:r>
                          <w:rPr>
                            <w:rFonts w:hint="eastAsia"/>
                            <w:szCs w:val="21"/>
                          </w:rPr>
                          <w:t>：废水</w:t>
                        </w:r>
                      </w:p>
                      <w:p>
                        <w:pPr>
                          <w:spacing w:line="240" w:lineRule="atLeast"/>
                          <w:rPr>
                            <w:szCs w:val="21"/>
                          </w:rPr>
                        </w:pPr>
                        <w:r>
                          <w:rPr>
                            <w:szCs w:val="21"/>
                          </w:rPr>
                          <w:t>S</w:t>
                        </w:r>
                        <w:r>
                          <w:rPr>
                            <w:rFonts w:hint="eastAsia"/>
                            <w:szCs w:val="21"/>
                          </w:rPr>
                          <w:t>：固废</w:t>
                        </w:r>
                      </w:p>
                      <w:p>
                        <w:pPr>
                          <w:spacing w:line="240" w:lineRule="atLeast"/>
                          <w:rPr>
                            <w:szCs w:val="21"/>
                          </w:rPr>
                        </w:pPr>
                        <w:r>
                          <w:rPr>
                            <w:szCs w:val="21"/>
                          </w:rPr>
                          <w:t>N</w:t>
                        </w:r>
                        <w:r>
                          <w:rPr>
                            <w:rFonts w:hint="eastAsia"/>
                            <w:szCs w:val="21"/>
                          </w:rPr>
                          <w:t>：噪声</w:t>
                        </w:r>
                      </w:p>
                    </w:txbxContent>
                  </v:textbox>
                </v:shape>
              </w:pict>
            </w:r>
          </w:p>
          <w:p>
            <w:pPr>
              <w:pStyle w:val="86"/>
            </w:pPr>
            <w:r>
              <w:t>图2-2  饲料生产工艺流程及产排污环节图</w:t>
            </w:r>
          </w:p>
          <w:p>
            <w:pPr>
              <w:spacing w:line="360" w:lineRule="auto"/>
              <w:rPr>
                <w:b/>
                <w:bCs/>
                <w:kern w:val="0"/>
                <w:sz w:val="24"/>
              </w:rPr>
            </w:pPr>
            <w:r>
              <w:rPr>
                <w:rFonts w:hint="eastAsia"/>
                <w:b/>
                <w:bCs/>
                <w:kern w:val="0"/>
                <w:sz w:val="24"/>
              </w:rPr>
              <w:t>2.2</w:t>
            </w:r>
            <w:r>
              <w:rPr>
                <w:b/>
                <w:bCs/>
                <w:kern w:val="0"/>
                <w:sz w:val="24"/>
              </w:rPr>
              <w:t>运营期主要污染工序</w:t>
            </w:r>
          </w:p>
          <w:p>
            <w:pPr>
              <w:spacing w:line="360" w:lineRule="auto"/>
              <w:ind w:firstLine="480" w:firstLineChars="200"/>
              <w:rPr>
                <w:sz w:val="24"/>
              </w:rPr>
            </w:pPr>
            <w:r>
              <w:rPr>
                <w:rFonts w:hint="eastAsia"/>
                <w:sz w:val="24"/>
              </w:rPr>
              <w:t>根据该项目工艺特点，其主要污染源及污染因子识别见表2-7。</w:t>
            </w:r>
          </w:p>
          <w:p>
            <w:pPr>
              <w:widowControl/>
              <w:ind w:firstLine="482"/>
              <w:jc w:val="center"/>
              <w:textAlignment w:val="baseline"/>
              <w:rPr>
                <w:b/>
                <w:bCs/>
                <w:kern w:val="0"/>
                <w:szCs w:val="21"/>
              </w:rPr>
            </w:pPr>
            <w:r>
              <w:rPr>
                <w:rFonts w:hint="eastAsia"/>
                <w:b/>
                <w:bCs/>
                <w:kern w:val="0"/>
                <w:szCs w:val="21"/>
              </w:rPr>
              <w:t>表2-8   污染物产生环节汇总表</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57" w:type="dxa"/>
                <w:bottom w:w="0" w:type="dxa"/>
                <w:right w:w="57" w:type="dxa"/>
              </w:tblCellMar>
            </w:tblPr>
            <w:tblGrid>
              <w:gridCol w:w="1271"/>
              <w:gridCol w:w="1974"/>
              <w:gridCol w:w="4654"/>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299" w:hRule="atLeast"/>
                <w:tblHeader/>
                <w:jc w:val="center"/>
              </w:trPr>
              <w:tc>
                <w:tcPr>
                  <w:tcW w:w="1271"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类别</w:t>
                  </w:r>
                </w:p>
              </w:tc>
              <w:tc>
                <w:tcPr>
                  <w:tcW w:w="197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产生工序</w:t>
                  </w:r>
                </w:p>
              </w:tc>
              <w:tc>
                <w:tcPr>
                  <w:tcW w:w="465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污染因子</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9" w:hRule="atLeast"/>
                <w:jc w:val="center"/>
              </w:trPr>
              <w:tc>
                <w:tcPr>
                  <w:tcW w:w="1271"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废气</w:t>
                  </w:r>
                </w:p>
              </w:tc>
              <w:tc>
                <w:tcPr>
                  <w:tcW w:w="1974" w:type="dxa"/>
                  <w:tcMar>
                    <w:top w:w="0" w:type="dxa"/>
                    <w:left w:w="0" w:type="dxa"/>
                    <w:bottom w:w="0" w:type="dxa"/>
                    <w:right w:w="0" w:type="dxa"/>
                  </w:tcMar>
                  <w:vAlign w:val="center"/>
                </w:tcPr>
                <w:p>
                  <w:pPr>
                    <w:jc w:val="center"/>
                    <w:rPr>
                      <w:szCs w:val="21"/>
                    </w:rPr>
                  </w:pPr>
                  <w:r>
                    <w:rPr>
                      <w:rFonts w:hint="eastAsia"/>
                      <w:szCs w:val="21"/>
                    </w:rPr>
                    <w:t>烘干</w:t>
                  </w:r>
                </w:p>
              </w:tc>
              <w:tc>
                <w:tcPr>
                  <w:tcW w:w="465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颗粒物</w:t>
                  </w:r>
                  <w:r>
                    <w:rPr>
                      <w:szCs w:val="18"/>
                    </w:rPr>
                    <w:t>、SO</w:t>
                  </w:r>
                  <w:r>
                    <w:rPr>
                      <w:szCs w:val="18"/>
                      <w:vertAlign w:val="subscript"/>
                    </w:rPr>
                    <w:t>2</w:t>
                  </w:r>
                  <w:r>
                    <w:rPr>
                      <w:szCs w:val="18"/>
                    </w:rPr>
                    <w:t>、NO</w:t>
                  </w:r>
                  <w:r>
                    <w:rPr>
                      <w:szCs w:val="18"/>
                      <w:vertAlign w:val="subscript"/>
                    </w:rPr>
                    <w:t>x</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0" w:hRule="atLeast"/>
                <w:jc w:val="center"/>
              </w:trPr>
              <w:tc>
                <w:tcPr>
                  <w:tcW w:w="1271"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废水</w:t>
                  </w:r>
                </w:p>
              </w:tc>
              <w:tc>
                <w:tcPr>
                  <w:tcW w:w="197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生活污水</w:t>
                  </w:r>
                </w:p>
              </w:tc>
              <w:tc>
                <w:tcPr>
                  <w:tcW w:w="465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COD、BOD、SS、NH</w:t>
                  </w:r>
                  <w:r>
                    <w:rPr>
                      <w:rFonts w:hint="eastAsia"/>
                      <w:bCs/>
                      <w:szCs w:val="21"/>
                      <w:shd w:val="clear" w:color="auto" w:fill="FFFFFF"/>
                      <w:vertAlign w:val="subscript"/>
                    </w:rPr>
                    <w:t>3</w:t>
                  </w:r>
                  <w:r>
                    <w:rPr>
                      <w:rFonts w:hint="eastAsia"/>
                      <w:bCs/>
                      <w:szCs w:val="21"/>
                      <w:shd w:val="clear" w:color="auto" w:fill="FFFFFF"/>
                    </w:rPr>
                    <w:t>-N</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0" w:hRule="atLeast"/>
                <w:jc w:val="center"/>
              </w:trPr>
              <w:tc>
                <w:tcPr>
                  <w:tcW w:w="1271"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噪声</w:t>
                  </w:r>
                </w:p>
              </w:tc>
              <w:tc>
                <w:tcPr>
                  <w:tcW w:w="197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生产设备</w:t>
                  </w:r>
                </w:p>
              </w:tc>
              <w:tc>
                <w:tcPr>
                  <w:tcW w:w="465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等效连续A声级</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0" w:hRule="atLeast"/>
                <w:jc w:val="center"/>
              </w:trPr>
              <w:tc>
                <w:tcPr>
                  <w:tcW w:w="1271" w:type="dxa"/>
                  <w:vMerge w:val="restart"/>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固废</w:t>
                  </w:r>
                </w:p>
              </w:tc>
              <w:tc>
                <w:tcPr>
                  <w:tcW w:w="1974" w:type="dxa"/>
                  <w:tcMar>
                    <w:top w:w="0" w:type="dxa"/>
                    <w:left w:w="0" w:type="dxa"/>
                    <w:bottom w:w="0" w:type="dxa"/>
                    <w:right w:w="0" w:type="dxa"/>
                  </w:tcMar>
                  <w:vAlign w:val="center"/>
                </w:tcPr>
                <w:p>
                  <w:pPr>
                    <w:jc w:val="center"/>
                    <w:rPr>
                      <w:szCs w:val="21"/>
                    </w:rPr>
                  </w:pPr>
                  <w:r>
                    <w:rPr>
                      <w:rFonts w:hint="eastAsia"/>
                      <w:szCs w:val="21"/>
                    </w:rPr>
                    <w:t>职工办公生活</w:t>
                  </w:r>
                </w:p>
              </w:tc>
              <w:tc>
                <w:tcPr>
                  <w:tcW w:w="4654" w:type="dxa"/>
                  <w:tcMar>
                    <w:top w:w="0" w:type="dxa"/>
                    <w:left w:w="0" w:type="dxa"/>
                    <w:bottom w:w="0" w:type="dxa"/>
                    <w:right w:w="0" w:type="dxa"/>
                  </w:tcMar>
                  <w:vAlign w:val="center"/>
                </w:tcPr>
                <w:p>
                  <w:pPr>
                    <w:jc w:val="center"/>
                    <w:rPr>
                      <w:szCs w:val="21"/>
                    </w:rPr>
                  </w:pPr>
                  <w:r>
                    <w:rPr>
                      <w:rFonts w:hint="eastAsia"/>
                      <w:szCs w:val="21"/>
                    </w:rPr>
                    <w:t>生活垃圾</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0" w:hRule="atLeast"/>
                <w:jc w:val="center"/>
              </w:trPr>
              <w:tc>
                <w:tcPr>
                  <w:tcW w:w="1271" w:type="dxa"/>
                  <w:vMerge w:val="continue"/>
                  <w:tcMar>
                    <w:top w:w="0" w:type="dxa"/>
                    <w:left w:w="0" w:type="dxa"/>
                    <w:bottom w:w="0" w:type="dxa"/>
                    <w:right w:w="0" w:type="dxa"/>
                  </w:tcMar>
                  <w:vAlign w:val="center"/>
                </w:tcPr>
                <w:p>
                  <w:pPr>
                    <w:jc w:val="center"/>
                    <w:rPr>
                      <w:bCs/>
                      <w:szCs w:val="21"/>
                      <w:shd w:val="clear" w:color="auto" w:fill="FFFFFF"/>
                    </w:rPr>
                  </w:pPr>
                </w:p>
              </w:tc>
              <w:tc>
                <w:tcPr>
                  <w:tcW w:w="1974" w:type="dxa"/>
                  <w:tcMar>
                    <w:top w:w="0" w:type="dxa"/>
                    <w:left w:w="0" w:type="dxa"/>
                    <w:bottom w:w="0" w:type="dxa"/>
                    <w:right w:w="0" w:type="dxa"/>
                  </w:tcMar>
                  <w:vAlign w:val="center"/>
                </w:tcPr>
                <w:p>
                  <w:pPr>
                    <w:jc w:val="center"/>
                    <w:rPr>
                      <w:szCs w:val="21"/>
                    </w:rPr>
                  </w:pPr>
                  <w:r>
                    <w:rPr>
                      <w:rFonts w:hint="eastAsia"/>
                      <w:szCs w:val="21"/>
                    </w:rPr>
                    <w:t>燃烧炉</w:t>
                  </w:r>
                </w:p>
              </w:tc>
              <w:tc>
                <w:tcPr>
                  <w:tcW w:w="4654" w:type="dxa"/>
                  <w:tcMar>
                    <w:top w:w="0" w:type="dxa"/>
                    <w:left w:w="0" w:type="dxa"/>
                    <w:bottom w:w="0" w:type="dxa"/>
                    <w:right w:w="0" w:type="dxa"/>
                  </w:tcMar>
                  <w:vAlign w:val="center"/>
                </w:tcPr>
                <w:p>
                  <w:pPr>
                    <w:jc w:val="center"/>
                    <w:rPr>
                      <w:szCs w:val="21"/>
                    </w:rPr>
                  </w:pPr>
                  <w:r>
                    <w:rPr>
                      <w:rFonts w:hint="eastAsia"/>
                      <w:szCs w:val="21"/>
                    </w:rPr>
                    <w:t>炉渣</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0" w:hRule="atLeast"/>
                <w:jc w:val="center"/>
              </w:trPr>
              <w:tc>
                <w:tcPr>
                  <w:tcW w:w="1271" w:type="dxa"/>
                  <w:vMerge w:val="continue"/>
                  <w:tcMar>
                    <w:top w:w="0" w:type="dxa"/>
                    <w:left w:w="0" w:type="dxa"/>
                    <w:bottom w:w="0" w:type="dxa"/>
                    <w:right w:w="0" w:type="dxa"/>
                  </w:tcMar>
                  <w:vAlign w:val="center"/>
                </w:tcPr>
                <w:p>
                  <w:pPr>
                    <w:jc w:val="center"/>
                    <w:rPr>
                      <w:bCs/>
                      <w:szCs w:val="21"/>
                      <w:shd w:val="clear" w:color="auto" w:fill="FFFFFF"/>
                    </w:rPr>
                  </w:pPr>
                </w:p>
              </w:tc>
              <w:tc>
                <w:tcPr>
                  <w:tcW w:w="1974" w:type="dxa"/>
                  <w:tcMar>
                    <w:top w:w="0" w:type="dxa"/>
                    <w:left w:w="0" w:type="dxa"/>
                    <w:bottom w:w="0" w:type="dxa"/>
                    <w:right w:w="0" w:type="dxa"/>
                  </w:tcMar>
                  <w:vAlign w:val="center"/>
                </w:tcPr>
                <w:p>
                  <w:pPr>
                    <w:jc w:val="center"/>
                    <w:rPr>
                      <w:szCs w:val="21"/>
                    </w:rPr>
                  </w:pPr>
                  <w:r>
                    <w:rPr>
                      <w:rFonts w:hint="eastAsia"/>
                      <w:szCs w:val="21"/>
                    </w:rPr>
                    <w:t>除尘器</w:t>
                  </w:r>
                </w:p>
              </w:tc>
              <w:tc>
                <w:tcPr>
                  <w:tcW w:w="4654" w:type="dxa"/>
                  <w:tcMar>
                    <w:top w:w="0" w:type="dxa"/>
                    <w:left w:w="0" w:type="dxa"/>
                    <w:bottom w:w="0" w:type="dxa"/>
                    <w:right w:w="0" w:type="dxa"/>
                  </w:tcMar>
                  <w:vAlign w:val="center"/>
                </w:tcPr>
                <w:p>
                  <w:pPr>
                    <w:jc w:val="center"/>
                    <w:rPr>
                      <w:szCs w:val="21"/>
                    </w:rPr>
                  </w:pPr>
                  <w:r>
                    <w:rPr>
                      <w:rFonts w:hint="eastAsia"/>
                      <w:szCs w:val="21"/>
                    </w:rPr>
                    <w:t>除尘灰</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cantSplit/>
                <w:trHeight w:val="315" w:hRule="atLeast"/>
                <w:jc w:val="center"/>
              </w:trPr>
              <w:tc>
                <w:tcPr>
                  <w:tcW w:w="1271" w:type="dxa"/>
                  <w:vMerge w:val="continue"/>
                  <w:vAlign w:val="center"/>
                </w:tcPr>
                <w:p>
                  <w:pPr>
                    <w:jc w:val="center"/>
                    <w:rPr>
                      <w:bCs/>
                      <w:szCs w:val="21"/>
                      <w:shd w:val="clear" w:color="auto" w:fill="FFFFFF"/>
                    </w:rPr>
                  </w:pPr>
                </w:p>
              </w:tc>
              <w:tc>
                <w:tcPr>
                  <w:tcW w:w="197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机修间</w:t>
                  </w:r>
                </w:p>
              </w:tc>
              <w:tc>
                <w:tcPr>
                  <w:tcW w:w="4654" w:type="dxa"/>
                  <w:tcMar>
                    <w:top w:w="0" w:type="dxa"/>
                    <w:left w:w="0" w:type="dxa"/>
                    <w:bottom w:w="0" w:type="dxa"/>
                    <w:right w:w="0" w:type="dxa"/>
                  </w:tcMar>
                  <w:vAlign w:val="center"/>
                </w:tcPr>
                <w:p>
                  <w:pPr>
                    <w:jc w:val="center"/>
                    <w:rPr>
                      <w:bCs/>
                      <w:szCs w:val="21"/>
                      <w:shd w:val="clear" w:color="auto" w:fill="FFFFFF"/>
                    </w:rPr>
                  </w:pPr>
                  <w:r>
                    <w:rPr>
                      <w:rFonts w:hint="eastAsia"/>
                      <w:bCs/>
                      <w:szCs w:val="21"/>
                      <w:shd w:val="clear" w:color="auto" w:fill="FFFFFF"/>
                    </w:rPr>
                    <w:t>废润滑油和含油废物</w:t>
                  </w:r>
                </w:p>
              </w:tc>
            </w:tr>
          </w:tbl>
          <w:p>
            <w:pPr>
              <w:spacing w:line="360" w:lineRule="auto"/>
              <w:ind w:firstLine="480"/>
              <w:rPr>
                <w:bCs/>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Align w:val="center"/>
          </w:tcPr>
          <w:p>
            <w:pPr>
              <w:pStyle w:val="17"/>
              <w:adjustRightInd w:val="0"/>
              <w:snapToGrid w:val="0"/>
              <w:spacing w:before="0" w:beforeAutospacing="0" w:after="0" w:afterAutospacing="0"/>
              <w:jc w:val="center"/>
              <w:rPr>
                <w:rFonts w:ascii="Times New Roman" w:hAnsi="Times New Roman"/>
                <w:sz w:val="21"/>
                <w:szCs w:val="21"/>
              </w:rPr>
            </w:pPr>
            <w:r>
              <w:rPr>
                <w:rFonts w:ascii="Times New Roman" w:hAnsi="Times New Roman"/>
                <w:bCs/>
                <w:kern w:val="2"/>
                <w:sz w:val="21"/>
                <w:szCs w:val="21"/>
              </w:rPr>
              <w:t>与项目有关的原有环境污染问题</w:t>
            </w:r>
          </w:p>
        </w:tc>
        <w:tc>
          <w:tcPr>
            <w:tcW w:w="8161" w:type="dxa"/>
          </w:tcPr>
          <w:p>
            <w:pPr>
              <w:pStyle w:val="34"/>
              <w:ind w:left="0"/>
              <w:rPr>
                <w:rFonts w:hAnsiTheme="minorHAnsi" w:eastAsiaTheme="minorEastAsia" w:cstheme="minorBidi"/>
                <w:b w:val="0"/>
                <w:bCs w:val="0"/>
                <w:sz w:val="21"/>
                <w:szCs w:val="22"/>
                <w:u w:color="000000"/>
              </w:rPr>
            </w:pPr>
          </w:p>
          <w:p>
            <w:pPr>
              <w:pStyle w:val="53"/>
              <w:adjustRightInd/>
              <w:snapToGrid/>
              <w:spacing w:beforeLines="0" w:afterLines="0" w:line="360" w:lineRule="auto"/>
              <w:ind w:firstLine="480" w:firstLineChars="200"/>
              <w:jc w:val="both"/>
              <w:rPr>
                <w:sz w:val="24"/>
                <w:szCs w:val="24"/>
              </w:rPr>
            </w:pPr>
            <w:r>
              <w:rPr>
                <w:rFonts w:hint="eastAsia"/>
                <w:sz w:val="24"/>
                <w:szCs w:val="24"/>
              </w:rPr>
              <w:t>项目租赁北京汇源集团万荣有限公司厂区内空地，截止现场调研时，项目未开始建设，因此不存在与之</w:t>
            </w:r>
            <w:r>
              <w:rPr>
                <w:sz w:val="24"/>
                <w:szCs w:val="24"/>
              </w:rPr>
              <w:t>有关的原有污染及环境问题</w:t>
            </w:r>
            <w:r>
              <w:rPr>
                <w:rFonts w:hint="eastAsia"/>
                <w:sz w:val="24"/>
                <w:szCs w:val="24"/>
              </w:rPr>
              <w:t>。</w:t>
            </w:r>
          </w:p>
          <w:p>
            <w:pPr>
              <w:rPr>
                <w:rFonts w:ascii="宋体" w:hAnsiTheme="minorHAnsi" w:eastAsiaTheme="minorEastAsia" w:cstheme="minorBidi"/>
                <w:szCs w:val="22"/>
                <w:u w:color="000000"/>
              </w:rPr>
            </w:pPr>
          </w:p>
          <w:p>
            <w:pPr>
              <w:pStyle w:val="53"/>
              <w:adjustRightInd/>
              <w:snapToGrid/>
              <w:spacing w:beforeLines="0" w:afterLines="0" w:line="360" w:lineRule="auto"/>
              <w:jc w:val="both"/>
            </w:pPr>
          </w:p>
        </w:tc>
      </w:tr>
    </w:tbl>
    <w:p>
      <w:pPr>
        <w:pStyle w:val="17"/>
        <w:jc w:val="center"/>
        <w:rPr>
          <w:rFonts w:ascii="Times New Roman" w:hAnsi="Times New Roman" w:eastAsia="黑体"/>
          <w:snapToGrid w:val="0"/>
          <w:sz w:val="36"/>
          <w:szCs w:val="36"/>
        </w:rPr>
        <w:sectPr>
          <w:pgSz w:w="11906" w:h="16838"/>
          <w:pgMar w:top="1701" w:right="1531" w:bottom="1701" w:left="1531" w:header="851" w:footer="851" w:gutter="0"/>
          <w:pgNumType w:fmt="numberInDash"/>
          <w:cols w:space="720" w:num="1"/>
          <w:docGrid w:linePitch="312" w:charSpace="0"/>
        </w:sectPr>
      </w:pPr>
    </w:p>
    <w:p>
      <w:pPr>
        <w:pStyle w:val="17"/>
        <w:adjustRightInd w:val="0"/>
        <w:snapToGrid w:val="0"/>
        <w:spacing w:before="0" w:beforeAutospacing="0" w:after="0" w:afterAutospacing="0" w:line="14" w:lineRule="auto"/>
        <w:jc w:val="center"/>
        <w:outlineLvl w:val="0"/>
        <w:rPr>
          <w:rFonts w:ascii="Times New Roman" w:hAnsi="Times New Roman" w:eastAsia="黑体"/>
          <w:snapToGrid w:val="0"/>
          <w:sz w:val="30"/>
          <w:szCs w:val="30"/>
        </w:rPr>
      </w:pPr>
    </w:p>
    <w:p>
      <w:pPr>
        <w:pStyle w:val="17"/>
        <w:jc w:val="center"/>
        <w:outlineLvl w:val="0"/>
        <w:rPr>
          <w:rFonts w:ascii="Times New Roman" w:hAnsi="Times New Roman" w:eastAsia="黑体"/>
          <w:snapToGrid w:val="0"/>
          <w:sz w:val="30"/>
          <w:szCs w:val="30"/>
        </w:rPr>
      </w:pPr>
      <w:r>
        <w:rPr>
          <w:rFonts w:ascii="Times New Roman" w:hAnsi="Times New Roman" w:eastAsia="黑体"/>
          <w:snapToGrid w:val="0"/>
          <w:sz w:val="30"/>
          <w:szCs w:val="30"/>
        </w:rPr>
        <w:t>三、区域环境质量现状、环境保护目标及评价标准</w:t>
      </w:r>
    </w:p>
    <w:tbl>
      <w:tblPr>
        <w:tblStyle w:val="2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00"/>
        <w:gridCol w:w="81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800" w:type="dxa"/>
            <w:vAlign w:val="center"/>
          </w:tcPr>
          <w:p>
            <w:pPr>
              <w:adjustRightInd w:val="0"/>
              <w:snapToGrid w:val="0"/>
              <w:jc w:val="center"/>
              <w:rPr>
                <w:kern w:val="0"/>
                <w:szCs w:val="21"/>
              </w:rPr>
            </w:pPr>
            <w:r>
              <w:rPr>
                <w:kern w:val="0"/>
                <w:szCs w:val="21"/>
              </w:rPr>
              <w:t>区域</w:t>
            </w:r>
          </w:p>
          <w:p>
            <w:pPr>
              <w:adjustRightInd w:val="0"/>
              <w:snapToGrid w:val="0"/>
              <w:jc w:val="center"/>
              <w:rPr>
                <w:kern w:val="0"/>
                <w:szCs w:val="21"/>
              </w:rPr>
            </w:pPr>
            <w:r>
              <w:rPr>
                <w:kern w:val="0"/>
                <w:szCs w:val="21"/>
              </w:rPr>
              <w:t>环境</w:t>
            </w:r>
          </w:p>
          <w:p>
            <w:pPr>
              <w:adjustRightInd w:val="0"/>
              <w:snapToGrid w:val="0"/>
              <w:jc w:val="center"/>
              <w:rPr>
                <w:kern w:val="0"/>
                <w:szCs w:val="21"/>
              </w:rPr>
            </w:pPr>
            <w:r>
              <w:rPr>
                <w:kern w:val="0"/>
                <w:szCs w:val="21"/>
              </w:rPr>
              <w:t>质量</w:t>
            </w:r>
          </w:p>
          <w:p>
            <w:pPr>
              <w:adjustRightInd w:val="0"/>
              <w:snapToGrid w:val="0"/>
              <w:jc w:val="center"/>
              <w:rPr>
                <w:kern w:val="0"/>
                <w:szCs w:val="21"/>
              </w:rPr>
            </w:pPr>
            <w:r>
              <w:rPr>
                <w:kern w:val="0"/>
                <w:szCs w:val="21"/>
              </w:rPr>
              <w:t>现状</w:t>
            </w:r>
          </w:p>
        </w:tc>
        <w:tc>
          <w:tcPr>
            <w:tcW w:w="8190" w:type="dxa"/>
            <w:vAlign w:val="center"/>
          </w:tcPr>
          <w:p>
            <w:pPr>
              <w:spacing w:line="360" w:lineRule="auto"/>
              <w:rPr>
                <w:b/>
                <w:bCs/>
                <w:kern w:val="0"/>
                <w:sz w:val="24"/>
              </w:rPr>
            </w:pPr>
            <w:r>
              <w:rPr>
                <w:b/>
                <w:bCs/>
                <w:kern w:val="0"/>
                <w:sz w:val="24"/>
              </w:rPr>
              <w:t>1、环境空气现状</w:t>
            </w:r>
          </w:p>
          <w:p>
            <w:pPr>
              <w:spacing w:line="360" w:lineRule="auto"/>
              <w:ind w:firstLine="480"/>
              <w:rPr>
                <w:kern w:val="0"/>
                <w:sz w:val="24"/>
              </w:rPr>
            </w:pPr>
            <w:r>
              <w:rPr>
                <w:kern w:val="0"/>
                <w:sz w:val="24"/>
              </w:rPr>
              <w:t>本次评价选取202</w:t>
            </w:r>
            <w:r>
              <w:rPr>
                <w:rFonts w:hint="eastAsia"/>
                <w:kern w:val="0"/>
                <w:sz w:val="24"/>
              </w:rPr>
              <w:t>2</w:t>
            </w:r>
            <w:r>
              <w:rPr>
                <w:kern w:val="0"/>
                <w:sz w:val="24"/>
              </w:rPr>
              <w:t>年为评价基准年，本次评价引用202</w:t>
            </w:r>
            <w:r>
              <w:rPr>
                <w:rFonts w:hint="eastAsia"/>
                <w:kern w:val="0"/>
                <w:sz w:val="24"/>
              </w:rPr>
              <w:t>1</w:t>
            </w:r>
            <w:r>
              <w:rPr>
                <w:kern w:val="0"/>
                <w:sz w:val="24"/>
              </w:rPr>
              <w:t>年环境空气质量状况通报中</w:t>
            </w:r>
            <w:r>
              <w:rPr>
                <w:rFonts w:hint="eastAsia"/>
                <w:kern w:val="0"/>
                <w:sz w:val="24"/>
              </w:rPr>
              <w:t>万荣县</w:t>
            </w:r>
            <w:r>
              <w:rPr>
                <w:kern w:val="0"/>
                <w:sz w:val="24"/>
              </w:rPr>
              <w:t>的环境空气质量现状数据。SO</w:t>
            </w:r>
            <w:r>
              <w:rPr>
                <w:kern w:val="0"/>
                <w:sz w:val="24"/>
                <w:vertAlign w:val="subscript"/>
              </w:rPr>
              <w:t>2</w:t>
            </w:r>
            <w:r>
              <w:rPr>
                <w:kern w:val="0"/>
                <w:sz w:val="24"/>
              </w:rPr>
              <w:t>、NO</w:t>
            </w:r>
            <w:r>
              <w:rPr>
                <w:kern w:val="0"/>
                <w:sz w:val="24"/>
                <w:vertAlign w:val="subscript"/>
              </w:rPr>
              <w:t>2</w:t>
            </w:r>
            <w:r>
              <w:rPr>
                <w:kern w:val="0"/>
                <w:sz w:val="24"/>
              </w:rPr>
              <w:t>、PM</w:t>
            </w:r>
            <w:r>
              <w:rPr>
                <w:kern w:val="0"/>
                <w:sz w:val="24"/>
                <w:vertAlign w:val="subscript"/>
              </w:rPr>
              <w:t>10</w:t>
            </w:r>
            <w:r>
              <w:rPr>
                <w:kern w:val="0"/>
                <w:sz w:val="24"/>
              </w:rPr>
              <w:t>、PM</w:t>
            </w:r>
            <w:r>
              <w:rPr>
                <w:kern w:val="0"/>
                <w:sz w:val="24"/>
                <w:vertAlign w:val="subscript"/>
              </w:rPr>
              <w:t>2.5</w:t>
            </w:r>
            <w:r>
              <w:rPr>
                <w:kern w:val="0"/>
                <w:sz w:val="24"/>
              </w:rPr>
              <w:t>、CO、O</w:t>
            </w:r>
            <w:r>
              <w:rPr>
                <w:kern w:val="0"/>
                <w:sz w:val="24"/>
                <w:vertAlign w:val="subscript"/>
              </w:rPr>
              <w:t>3</w:t>
            </w:r>
            <w:r>
              <w:rPr>
                <w:kern w:val="0"/>
                <w:sz w:val="24"/>
              </w:rPr>
              <w:t>这六项污染物的年评价指标包括：SO</w:t>
            </w:r>
            <w:r>
              <w:rPr>
                <w:kern w:val="0"/>
                <w:sz w:val="24"/>
                <w:vertAlign w:val="subscript"/>
              </w:rPr>
              <w:t>2</w:t>
            </w:r>
            <w:r>
              <w:rPr>
                <w:kern w:val="0"/>
                <w:sz w:val="24"/>
              </w:rPr>
              <w:t>年平均数，NO</w:t>
            </w:r>
            <w:r>
              <w:rPr>
                <w:kern w:val="0"/>
                <w:sz w:val="24"/>
                <w:vertAlign w:val="subscript"/>
              </w:rPr>
              <w:t>2</w:t>
            </w:r>
            <w:r>
              <w:rPr>
                <w:kern w:val="0"/>
                <w:sz w:val="24"/>
              </w:rPr>
              <w:t>年平均数，PM</w:t>
            </w:r>
            <w:r>
              <w:rPr>
                <w:kern w:val="0"/>
                <w:sz w:val="24"/>
                <w:vertAlign w:val="subscript"/>
              </w:rPr>
              <w:t>10</w:t>
            </w:r>
            <w:r>
              <w:rPr>
                <w:kern w:val="0"/>
                <w:sz w:val="24"/>
              </w:rPr>
              <w:t>年平均数，PM</w:t>
            </w:r>
            <w:r>
              <w:rPr>
                <w:kern w:val="0"/>
                <w:sz w:val="24"/>
                <w:vertAlign w:val="subscript"/>
              </w:rPr>
              <w:t>2.5</w:t>
            </w:r>
            <w:r>
              <w:rPr>
                <w:kern w:val="0"/>
                <w:sz w:val="24"/>
              </w:rPr>
              <w:t>年平均数，CO的24小时平均第95百分位数、O</w:t>
            </w:r>
            <w:r>
              <w:rPr>
                <w:kern w:val="0"/>
                <w:sz w:val="24"/>
                <w:vertAlign w:val="subscript"/>
              </w:rPr>
              <w:t>3</w:t>
            </w:r>
            <w:r>
              <w:rPr>
                <w:kern w:val="0"/>
                <w:sz w:val="24"/>
              </w:rPr>
              <w:t>日最大8小时滑动平均值的第90 百分位数，具体值见表3-1。</w:t>
            </w:r>
          </w:p>
          <w:p>
            <w:pPr>
              <w:widowControl/>
              <w:ind w:firstLine="482"/>
              <w:jc w:val="center"/>
              <w:textAlignment w:val="baseline"/>
              <w:rPr>
                <w:b/>
                <w:bCs/>
                <w:kern w:val="0"/>
                <w:szCs w:val="21"/>
              </w:rPr>
            </w:pPr>
            <w:r>
              <w:rPr>
                <w:b/>
                <w:bCs/>
                <w:kern w:val="0"/>
                <w:szCs w:val="21"/>
              </w:rPr>
              <w:t>表3-1  监测数据统计表</w:t>
            </w:r>
          </w:p>
          <w:tbl>
            <w:tblPr>
              <w:tblStyle w:val="20"/>
              <w:tblW w:w="805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29"/>
              <w:gridCol w:w="2712"/>
              <w:gridCol w:w="1095"/>
              <w:gridCol w:w="1157"/>
              <w:gridCol w:w="1046"/>
              <w:gridCol w:w="11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29" w:type="dxa"/>
                  <w:vAlign w:val="center"/>
                </w:tcPr>
                <w:p>
                  <w:pPr>
                    <w:jc w:val="center"/>
                    <w:rPr>
                      <w:szCs w:val="21"/>
                    </w:rPr>
                  </w:pPr>
                  <w:r>
                    <w:rPr>
                      <w:szCs w:val="21"/>
                    </w:rPr>
                    <w:t>污染物</w:t>
                  </w:r>
                </w:p>
              </w:tc>
              <w:tc>
                <w:tcPr>
                  <w:tcW w:w="2712" w:type="dxa"/>
                  <w:vAlign w:val="center"/>
                </w:tcPr>
                <w:p>
                  <w:pPr>
                    <w:jc w:val="center"/>
                    <w:rPr>
                      <w:szCs w:val="21"/>
                    </w:rPr>
                  </w:pPr>
                  <w:r>
                    <w:rPr>
                      <w:szCs w:val="21"/>
                    </w:rPr>
                    <w:t>年评价指标</w:t>
                  </w:r>
                </w:p>
              </w:tc>
              <w:tc>
                <w:tcPr>
                  <w:tcW w:w="1095" w:type="dxa"/>
                  <w:vAlign w:val="center"/>
                </w:tcPr>
                <w:p>
                  <w:pPr>
                    <w:jc w:val="center"/>
                    <w:rPr>
                      <w:szCs w:val="21"/>
                    </w:rPr>
                  </w:pPr>
                  <w:r>
                    <w:rPr>
                      <w:szCs w:val="21"/>
                    </w:rPr>
                    <w:t>现状浓度（μg/</w:t>
                  </w:r>
                  <w:r>
                    <w:rPr>
                      <w:rFonts w:hint="eastAsia"/>
                      <w:szCs w:val="21"/>
                    </w:rPr>
                    <w:t>m³</w:t>
                  </w:r>
                  <w:r>
                    <w:rPr>
                      <w:szCs w:val="21"/>
                    </w:rPr>
                    <w:t>）</w:t>
                  </w:r>
                </w:p>
              </w:tc>
              <w:tc>
                <w:tcPr>
                  <w:tcW w:w="1157" w:type="dxa"/>
                  <w:vAlign w:val="center"/>
                </w:tcPr>
                <w:p>
                  <w:pPr>
                    <w:jc w:val="center"/>
                    <w:rPr>
                      <w:szCs w:val="21"/>
                    </w:rPr>
                  </w:pPr>
                  <w:r>
                    <w:rPr>
                      <w:szCs w:val="21"/>
                    </w:rPr>
                    <w:t>标准值（μg/</w:t>
                  </w:r>
                  <w:r>
                    <w:rPr>
                      <w:rFonts w:hint="eastAsia"/>
                      <w:szCs w:val="21"/>
                    </w:rPr>
                    <w:t>m³</w:t>
                  </w:r>
                  <w:r>
                    <w:rPr>
                      <w:szCs w:val="21"/>
                    </w:rPr>
                    <w:t>）</w:t>
                  </w:r>
                </w:p>
              </w:tc>
              <w:tc>
                <w:tcPr>
                  <w:tcW w:w="1046" w:type="dxa"/>
                  <w:vAlign w:val="center"/>
                </w:tcPr>
                <w:p>
                  <w:pPr>
                    <w:jc w:val="center"/>
                    <w:rPr>
                      <w:szCs w:val="21"/>
                    </w:rPr>
                  </w:pPr>
                  <w:r>
                    <w:rPr>
                      <w:szCs w:val="21"/>
                    </w:rPr>
                    <w:t>占标率%</w:t>
                  </w:r>
                </w:p>
              </w:tc>
              <w:tc>
                <w:tcPr>
                  <w:tcW w:w="1117" w:type="dxa"/>
                  <w:vAlign w:val="center"/>
                </w:tcPr>
                <w:p>
                  <w:pPr>
                    <w:jc w:val="center"/>
                    <w:rPr>
                      <w:szCs w:val="21"/>
                    </w:rPr>
                  </w:pPr>
                  <w:r>
                    <w:rPr>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29" w:type="dxa"/>
                  <w:vAlign w:val="center"/>
                </w:tcPr>
                <w:p>
                  <w:pPr>
                    <w:pStyle w:val="63"/>
                    <w:spacing w:line="340" w:lineRule="exact"/>
                    <w:rPr>
                      <w:bCs/>
                      <w:szCs w:val="21"/>
                    </w:rPr>
                  </w:pPr>
                  <w:r>
                    <w:rPr>
                      <w:szCs w:val="21"/>
                    </w:rPr>
                    <w:t>SO</w:t>
                  </w:r>
                  <w:r>
                    <w:rPr>
                      <w:szCs w:val="21"/>
                      <w:vertAlign w:val="subscript"/>
                    </w:rPr>
                    <w:t>2</w:t>
                  </w:r>
                </w:p>
              </w:tc>
              <w:tc>
                <w:tcPr>
                  <w:tcW w:w="2712" w:type="dxa"/>
                  <w:vAlign w:val="center"/>
                </w:tcPr>
                <w:p>
                  <w:pPr>
                    <w:pStyle w:val="63"/>
                    <w:spacing w:line="340" w:lineRule="exact"/>
                    <w:rPr>
                      <w:bCs/>
                      <w:szCs w:val="21"/>
                    </w:rPr>
                  </w:pPr>
                  <w:r>
                    <w:rPr>
                      <w:szCs w:val="21"/>
                    </w:rPr>
                    <w:t>年平均质量浓度</w:t>
                  </w:r>
                </w:p>
              </w:tc>
              <w:tc>
                <w:tcPr>
                  <w:tcW w:w="1095" w:type="dxa"/>
                  <w:vAlign w:val="center"/>
                </w:tcPr>
                <w:p>
                  <w:pPr>
                    <w:pStyle w:val="63"/>
                    <w:spacing w:line="340" w:lineRule="exact"/>
                    <w:rPr>
                      <w:bCs/>
                      <w:szCs w:val="21"/>
                    </w:rPr>
                  </w:pPr>
                  <w:r>
                    <w:rPr>
                      <w:rFonts w:hint="eastAsia"/>
                      <w:szCs w:val="21"/>
                    </w:rPr>
                    <w:t>20</w:t>
                  </w:r>
                  <w:r>
                    <w:rPr>
                      <w:szCs w:val="21"/>
                    </w:rPr>
                    <w:t>μg/m</w:t>
                  </w:r>
                  <w:r>
                    <w:rPr>
                      <w:szCs w:val="21"/>
                      <w:vertAlign w:val="superscript"/>
                    </w:rPr>
                    <w:t>3</w:t>
                  </w:r>
                </w:p>
              </w:tc>
              <w:tc>
                <w:tcPr>
                  <w:tcW w:w="1157" w:type="dxa"/>
                  <w:vAlign w:val="center"/>
                </w:tcPr>
                <w:p>
                  <w:pPr>
                    <w:pStyle w:val="63"/>
                    <w:spacing w:line="340" w:lineRule="exact"/>
                    <w:rPr>
                      <w:bCs/>
                      <w:szCs w:val="21"/>
                    </w:rPr>
                  </w:pPr>
                  <w:r>
                    <w:rPr>
                      <w:rFonts w:hint="eastAsia"/>
                      <w:szCs w:val="21"/>
                    </w:rPr>
                    <w:t>60</w:t>
                  </w:r>
                  <w:r>
                    <w:rPr>
                      <w:szCs w:val="21"/>
                    </w:rPr>
                    <w:t>μg/m</w:t>
                  </w:r>
                  <w:r>
                    <w:rPr>
                      <w:szCs w:val="21"/>
                      <w:vertAlign w:val="superscript"/>
                    </w:rPr>
                    <w:t>3</w:t>
                  </w:r>
                </w:p>
              </w:tc>
              <w:tc>
                <w:tcPr>
                  <w:tcW w:w="1046" w:type="dxa"/>
                  <w:vAlign w:val="center"/>
                </w:tcPr>
                <w:p>
                  <w:pPr>
                    <w:pStyle w:val="63"/>
                    <w:spacing w:line="340" w:lineRule="exact"/>
                    <w:rPr>
                      <w:szCs w:val="21"/>
                    </w:rPr>
                  </w:pPr>
                  <w:r>
                    <w:rPr>
                      <w:rFonts w:hint="eastAsia"/>
                      <w:szCs w:val="21"/>
                    </w:rPr>
                    <w:t>33</w:t>
                  </w:r>
                  <w:r>
                    <w:rPr>
                      <w:szCs w:val="21"/>
                    </w:rPr>
                    <w:t>%</w:t>
                  </w:r>
                </w:p>
              </w:tc>
              <w:tc>
                <w:tcPr>
                  <w:tcW w:w="1117" w:type="dxa"/>
                  <w:vAlign w:val="center"/>
                </w:tcPr>
                <w:p>
                  <w:pPr>
                    <w:pStyle w:val="63"/>
                    <w:spacing w:line="340" w:lineRule="exact"/>
                    <w:rPr>
                      <w:bCs/>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29" w:type="dxa"/>
                  <w:vAlign w:val="center"/>
                </w:tcPr>
                <w:p>
                  <w:pPr>
                    <w:pStyle w:val="63"/>
                    <w:spacing w:line="340" w:lineRule="exact"/>
                    <w:rPr>
                      <w:bCs/>
                      <w:szCs w:val="21"/>
                    </w:rPr>
                  </w:pPr>
                  <w:r>
                    <w:rPr>
                      <w:szCs w:val="21"/>
                    </w:rPr>
                    <w:t>NO</w:t>
                  </w:r>
                  <w:r>
                    <w:rPr>
                      <w:szCs w:val="21"/>
                      <w:vertAlign w:val="subscript"/>
                    </w:rPr>
                    <w:t>2</w:t>
                  </w:r>
                </w:p>
              </w:tc>
              <w:tc>
                <w:tcPr>
                  <w:tcW w:w="2712" w:type="dxa"/>
                  <w:vAlign w:val="center"/>
                </w:tcPr>
                <w:p>
                  <w:pPr>
                    <w:pStyle w:val="63"/>
                    <w:spacing w:line="340" w:lineRule="exact"/>
                    <w:rPr>
                      <w:bCs/>
                      <w:szCs w:val="21"/>
                    </w:rPr>
                  </w:pPr>
                  <w:r>
                    <w:rPr>
                      <w:szCs w:val="21"/>
                    </w:rPr>
                    <w:t>年平均质量浓度</w:t>
                  </w:r>
                </w:p>
              </w:tc>
              <w:tc>
                <w:tcPr>
                  <w:tcW w:w="1095" w:type="dxa"/>
                  <w:vAlign w:val="center"/>
                </w:tcPr>
                <w:p>
                  <w:pPr>
                    <w:pStyle w:val="63"/>
                    <w:spacing w:line="340" w:lineRule="exact"/>
                    <w:rPr>
                      <w:bCs/>
                      <w:szCs w:val="21"/>
                    </w:rPr>
                  </w:pPr>
                  <w:r>
                    <w:rPr>
                      <w:rFonts w:hint="eastAsia"/>
                      <w:szCs w:val="21"/>
                    </w:rPr>
                    <w:t>43</w:t>
                  </w:r>
                  <w:r>
                    <w:rPr>
                      <w:szCs w:val="21"/>
                    </w:rPr>
                    <w:t>μg/m</w:t>
                  </w:r>
                  <w:r>
                    <w:rPr>
                      <w:szCs w:val="21"/>
                      <w:vertAlign w:val="superscript"/>
                    </w:rPr>
                    <w:t>3</w:t>
                  </w:r>
                </w:p>
              </w:tc>
              <w:tc>
                <w:tcPr>
                  <w:tcW w:w="1157" w:type="dxa"/>
                  <w:vAlign w:val="center"/>
                </w:tcPr>
                <w:p>
                  <w:pPr>
                    <w:pStyle w:val="63"/>
                    <w:spacing w:line="340" w:lineRule="exact"/>
                    <w:rPr>
                      <w:szCs w:val="21"/>
                    </w:rPr>
                  </w:pPr>
                  <w:r>
                    <w:rPr>
                      <w:rFonts w:hint="eastAsia"/>
                      <w:szCs w:val="21"/>
                    </w:rPr>
                    <w:t>40</w:t>
                  </w:r>
                  <w:r>
                    <w:rPr>
                      <w:szCs w:val="21"/>
                    </w:rPr>
                    <w:t>μg/m</w:t>
                  </w:r>
                  <w:r>
                    <w:rPr>
                      <w:szCs w:val="21"/>
                      <w:vertAlign w:val="superscript"/>
                    </w:rPr>
                    <w:t>3</w:t>
                  </w:r>
                </w:p>
              </w:tc>
              <w:tc>
                <w:tcPr>
                  <w:tcW w:w="1046" w:type="dxa"/>
                  <w:vAlign w:val="center"/>
                </w:tcPr>
                <w:p>
                  <w:pPr>
                    <w:pStyle w:val="63"/>
                    <w:spacing w:line="340" w:lineRule="exact"/>
                    <w:rPr>
                      <w:szCs w:val="21"/>
                    </w:rPr>
                  </w:pPr>
                  <w:r>
                    <w:rPr>
                      <w:rFonts w:hint="eastAsia"/>
                      <w:szCs w:val="21"/>
                    </w:rPr>
                    <w:t>107</w:t>
                  </w:r>
                  <w:r>
                    <w:rPr>
                      <w:szCs w:val="21"/>
                    </w:rPr>
                    <w:t>%</w:t>
                  </w:r>
                </w:p>
              </w:tc>
              <w:tc>
                <w:tcPr>
                  <w:tcW w:w="1117" w:type="dxa"/>
                  <w:vAlign w:val="center"/>
                </w:tcPr>
                <w:p>
                  <w:pPr>
                    <w:pStyle w:val="63"/>
                    <w:spacing w:line="340" w:lineRule="exact"/>
                    <w:rPr>
                      <w:bCs/>
                      <w:szCs w:val="21"/>
                    </w:rPr>
                  </w:pPr>
                  <w:r>
                    <w:rPr>
                      <w:rFonts w:hint="eastAsia"/>
                      <w:szCs w:val="21"/>
                    </w:rPr>
                    <w:t>超</w:t>
                  </w:r>
                  <w:r>
                    <w:rPr>
                      <w:szCs w:val="21"/>
                    </w:rPr>
                    <w:t>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29" w:type="dxa"/>
                  <w:vAlign w:val="center"/>
                </w:tcPr>
                <w:p>
                  <w:pPr>
                    <w:pStyle w:val="63"/>
                    <w:spacing w:line="340" w:lineRule="exact"/>
                    <w:rPr>
                      <w:bCs/>
                      <w:szCs w:val="21"/>
                    </w:rPr>
                  </w:pPr>
                  <w:r>
                    <w:rPr>
                      <w:szCs w:val="21"/>
                    </w:rPr>
                    <w:t>PM</w:t>
                  </w:r>
                  <w:r>
                    <w:rPr>
                      <w:szCs w:val="21"/>
                      <w:vertAlign w:val="subscript"/>
                    </w:rPr>
                    <w:t>10</w:t>
                  </w:r>
                </w:p>
              </w:tc>
              <w:tc>
                <w:tcPr>
                  <w:tcW w:w="2712" w:type="dxa"/>
                  <w:vAlign w:val="center"/>
                </w:tcPr>
                <w:p>
                  <w:pPr>
                    <w:pStyle w:val="63"/>
                    <w:spacing w:line="340" w:lineRule="exact"/>
                    <w:rPr>
                      <w:bCs/>
                      <w:szCs w:val="21"/>
                    </w:rPr>
                  </w:pPr>
                  <w:r>
                    <w:rPr>
                      <w:szCs w:val="21"/>
                    </w:rPr>
                    <w:t>年平均质量浓度</w:t>
                  </w:r>
                </w:p>
              </w:tc>
              <w:tc>
                <w:tcPr>
                  <w:tcW w:w="1095" w:type="dxa"/>
                  <w:vAlign w:val="center"/>
                </w:tcPr>
                <w:p>
                  <w:pPr>
                    <w:pStyle w:val="63"/>
                    <w:spacing w:line="340" w:lineRule="exact"/>
                    <w:rPr>
                      <w:bCs/>
                      <w:szCs w:val="21"/>
                    </w:rPr>
                  </w:pPr>
                  <w:r>
                    <w:rPr>
                      <w:rFonts w:hint="eastAsia"/>
                      <w:szCs w:val="21"/>
                    </w:rPr>
                    <w:t>107</w:t>
                  </w:r>
                  <w:r>
                    <w:rPr>
                      <w:szCs w:val="21"/>
                    </w:rPr>
                    <w:t>μg/m</w:t>
                  </w:r>
                  <w:r>
                    <w:rPr>
                      <w:szCs w:val="21"/>
                      <w:vertAlign w:val="superscript"/>
                    </w:rPr>
                    <w:t>3</w:t>
                  </w:r>
                </w:p>
              </w:tc>
              <w:tc>
                <w:tcPr>
                  <w:tcW w:w="1157" w:type="dxa"/>
                  <w:vAlign w:val="center"/>
                </w:tcPr>
                <w:p>
                  <w:pPr>
                    <w:pStyle w:val="63"/>
                    <w:spacing w:line="340" w:lineRule="exact"/>
                    <w:rPr>
                      <w:szCs w:val="21"/>
                    </w:rPr>
                  </w:pPr>
                  <w:r>
                    <w:rPr>
                      <w:rFonts w:hint="eastAsia"/>
                      <w:szCs w:val="21"/>
                    </w:rPr>
                    <w:t>70</w:t>
                  </w:r>
                  <w:r>
                    <w:rPr>
                      <w:szCs w:val="21"/>
                    </w:rPr>
                    <w:t>μg/m</w:t>
                  </w:r>
                  <w:r>
                    <w:rPr>
                      <w:szCs w:val="21"/>
                      <w:vertAlign w:val="superscript"/>
                    </w:rPr>
                    <w:t>3</w:t>
                  </w:r>
                </w:p>
              </w:tc>
              <w:tc>
                <w:tcPr>
                  <w:tcW w:w="1046" w:type="dxa"/>
                  <w:vAlign w:val="center"/>
                </w:tcPr>
                <w:p>
                  <w:pPr>
                    <w:pStyle w:val="63"/>
                    <w:spacing w:line="340" w:lineRule="exact"/>
                    <w:rPr>
                      <w:szCs w:val="21"/>
                    </w:rPr>
                  </w:pPr>
                  <w:r>
                    <w:rPr>
                      <w:rFonts w:hint="eastAsia"/>
                      <w:szCs w:val="21"/>
                    </w:rPr>
                    <w:t>153</w:t>
                  </w:r>
                  <w:r>
                    <w:rPr>
                      <w:szCs w:val="21"/>
                    </w:rPr>
                    <w:t>%</w:t>
                  </w:r>
                </w:p>
              </w:tc>
              <w:tc>
                <w:tcPr>
                  <w:tcW w:w="1117" w:type="dxa"/>
                  <w:vAlign w:val="center"/>
                </w:tcPr>
                <w:p>
                  <w:pPr>
                    <w:pStyle w:val="63"/>
                    <w:spacing w:line="340" w:lineRule="exact"/>
                    <w:rPr>
                      <w:bCs/>
                      <w:szCs w:val="21"/>
                    </w:rPr>
                  </w:pPr>
                  <w:r>
                    <w:rPr>
                      <w:szCs w:val="21"/>
                    </w:rPr>
                    <w:t>超标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29" w:type="dxa"/>
                  <w:vAlign w:val="center"/>
                </w:tcPr>
                <w:p>
                  <w:pPr>
                    <w:pStyle w:val="63"/>
                    <w:spacing w:line="340" w:lineRule="exact"/>
                    <w:rPr>
                      <w:bCs/>
                      <w:szCs w:val="21"/>
                    </w:rPr>
                  </w:pPr>
                  <w:r>
                    <w:rPr>
                      <w:szCs w:val="21"/>
                    </w:rPr>
                    <w:t>PM</w:t>
                  </w:r>
                  <w:r>
                    <w:rPr>
                      <w:szCs w:val="21"/>
                      <w:vertAlign w:val="subscript"/>
                    </w:rPr>
                    <w:t>2.5</w:t>
                  </w:r>
                </w:p>
              </w:tc>
              <w:tc>
                <w:tcPr>
                  <w:tcW w:w="2712" w:type="dxa"/>
                  <w:vAlign w:val="center"/>
                </w:tcPr>
                <w:p>
                  <w:pPr>
                    <w:pStyle w:val="63"/>
                    <w:spacing w:line="340" w:lineRule="exact"/>
                    <w:rPr>
                      <w:bCs/>
                      <w:szCs w:val="21"/>
                    </w:rPr>
                  </w:pPr>
                  <w:r>
                    <w:rPr>
                      <w:szCs w:val="21"/>
                    </w:rPr>
                    <w:t>年平均质量浓度</w:t>
                  </w:r>
                </w:p>
              </w:tc>
              <w:tc>
                <w:tcPr>
                  <w:tcW w:w="1095" w:type="dxa"/>
                  <w:vAlign w:val="center"/>
                </w:tcPr>
                <w:p>
                  <w:pPr>
                    <w:pStyle w:val="63"/>
                    <w:spacing w:line="340" w:lineRule="exact"/>
                    <w:rPr>
                      <w:bCs/>
                      <w:szCs w:val="21"/>
                    </w:rPr>
                  </w:pPr>
                  <w:r>
                    <w:rPr>
                      <w:rFonts w:hint="eastAsia"/>
                      <w:szCs w:val="21"/>
                    </w:rPr>
                    <w:t>70</w:t>
                  </w:r>
                  <w:r>
                    <w:rPr>
                      <w:szCs w:val="21"/>
                    </w:rPr>
                    <w:t>μg/m</w:t>
                  </w:r>
                  <w:r>
                    <w:rPr>
                      <w:szCs w:val="21"/>
                      <w:vertAlign w:val="superscript"/>
                    </w:rPr>
                    <w:t>3</w:t>
                  </w:r>
                </w:p>
              </w:tc>
              <w:tc>
                <w:tcPr>
                  <w:tcW w:w="1157" w:type="dxa"/>
                  <w:vAlign w:val="center"/>
                </w:tcPr>
                <w:p>
                  <w:pPr>
                    <w:pStyle w:val="63"/>
                    <w:spacing w:line="340" w:lineRule="exact"/>
                    <w:rPr>
                      <w:szCs w:val="21"/>
                    </w:rPr>
                  </w:pPr>
                  <w:r>
                    <w:rPr>
                      <w:rFonts w:hint="eastAsia"/>
                      <w:szCs w:val="21"/>
                    </w:rPr>
                    <w:t>35</w:t>
                  </w:r>
                  <w:r>
                    <w:rPr>
                      <w:szCs w:val="21"/>
                    </w:rPr>
                    <w:t>μg/m</w:t>
                  </w:r>
                  <w:r>
                    <w:rPr>
                      <w:szCs w:val="21"/>
                      <w:vertAlign w:val="superscript"/>
                    </w:rPr>
                    <w:t>3</w:t>
                  </w:r>
                </w:p>
              </w:tc>
              <w:tc>
                <w:tcPr>
                  <w:tcW w:w="1046" w:type="dxa"/>
                  <w:vAlign w:val="center"/>
                </w:tcPr>
                <w:p>
                  <w:pPr>
                    <w:pStyle w:val="63"/>
                    <w:spacing w:line="340" w:lineRule="exact"/>
                    <w:rPr>
                      <w:szCs w:val="21"/>
                    </w:rPr>
                  </w:pPr>
                  <w:r>
                    <w:rPr>
                      <w:rFonts w:hint="eastAsia"/>
                      <w:szCs w:val="21"/>
                    </w:rPr>
                    <w:t>200</w:t>
                  </w:r>
                  <w:r>
                    <w:rPr>
                      <w:szCs w:val="21"/>
                    </w:rPr>
                    <w:t>%</w:t>
                  </w:r>
                </w:p>
              </w:tc>
              <w:tc>
                <w:tcPr>
                  <w:tcW w:w="1117" w:type="dxa"/>
                  <w:vAlign w:val="center"/>
                </w:tcPr>
                <w:p>
                  <w:pPr>
                    <w:pStyle w:val="63"/>
                    <w:spacing w:line="340" w:lineRule="exact"/>
                    <w:rPr>
                      <w:bCs/>
                      <w:szCs w:val="21"/>
                    </w:rPr>
                  </w:pPr>
                  <w:r>
                    <w:rPr>
                      <w:szCs w:val="21"/>
                    </w:rPr>
                    <w:t>超标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29" w:type="dxa"/>
                  <w:vAlign w:val="center"/>
                </w:tcPr>
                <w:p>
                  <w:pPr>
                    <w:adjustRightInd w:val="0"/>
                    <w:snapToGrid w:val="0"/>
                    <w:spacing w:line="360" w:lineRule="exact"/>
                    <w:jc w:val="center"/>
                    <w:rPr>
                      <w:bCs/>
                      <w:szCs w:val="21"/>
                    </w:rPr>
                  </w:pPr>
                  <w:r>
                    <w:rPr>
                      <w:szCs w:val="21"/>
                    </w:rPr>
                    <w:t>CO</w:t>
                  </w:r>
                </w:p>
              </w:tc>
              <w:tc>
                <w:tcPr>
                  <w:tcW w:w="2712" w:type="dxa"/>
                  <w:vAlign w:val="center"/>
                </w:tcPr>
                <w:p>
                  <w:pPr>
                    <w:adjustRightInd w:val="0"/>
                    <w:snapToGrid w:val="0"/>
                    <w:spacing w:line="360" w:lineRule="exact"/>
                    <w:jc w:val="center"/>
                    <w:rPr>
                      <w:bCs/>
                      <w:szCs w:val="21"/>
                    </w:rPr>
                  </w:pPr>
                  <w:r>
                    <w:rPr>
                      <w:rFonts w:hint="eastAsia" w:ascii="宋体" w:hAnsi="宋体"/>
                      <w:szCs w:val="21"/>
                    </w:rPr>
                    <w:t>第</w:t>
                  </w:r>
                  <w:r>
                    <w:rPr>
                      <w:szCs w:val="21"/>
                    </w:rPr>
                    <w:t>95</w:t>
                  </w:r>
                  <w:r>
                    <w:rPr>
                      <w:rFonts w:hint="eastAsia" w:ascii="宋体" w:hAnsi="宋体"/>
                      <w:szCs w:val="21"/>
                    </w:rPr>
                    <w:t>百分位数平均浓度</w:t>
                  </w:r>
                </w:p>
              </w:tc>
              <w:tc>
                <w:tcPr>
                  <w:tcW w:w="1095" w:type="dxa"/>
                  <w:vAlign w:val="center"/>
                </w:tcPr>
                <w:p>
                  <w:pPr>
                    <w:pStyle w:val="63"/>
                    <w:spacing w:line="340" w:lineRule="exact"/>
                    <w:rPr>
                      <w:bCs/>
                      <w:szCs w:val="21"/>
                    </w:rPr>
                  </w:pPr>
                  <w:r>
                    <w:rPr>
                      <w:szCs w:val="21"/>
                    </w:rPr>
                    <w:t>2.</w:t>
                  </w:r>
                  <w:r>
                    <w:rPr>
                      <w:rFonts w:hint="eastAsia"/>
                      <w:szCs w:val="21"/>
                    </w:rPr>
                    <w:t>2m</w:t>
                  </w:r>
                  <w:r>
                    <w:rPr>
                      <w:szCs w:val="21"/>
                    </w:rPr>
                    <w:t>g/m</w:t>
                  </w:r>
                  <w:r>
                    <w:rPr>
                      <w:szCs w:val="21"/>
                      <w:vertAlign w:val="superscript"/>
                    </w:rPr>
                    <w:t>3</w:t>
                  </w:r>
                </w:p>
              </w:tc>
              <w:tc>
                <w:tcPr>
                  <w:tcW w:w="1157" w:type="dxa"/>
                  <w:vAlign w:val="center"/>
                </w:tcPr>
                <w:p>
                  <w:pPr>
                    <w:pStyle w:val="63"/>
                    <w:spacing w:line="340" w:lineRule="exact"/>
                    <w:rPr>
                      <w:szCs w:val="21"/>
                    </w:rPr>
                  </w:pPr>
                  <w:r>
                    <w:rPr>
                      <w:szCs w:val="21"/>
                    </w:rPr>
                    <w:t>4</w:t>
                  </w:r>
                  <w:r>
                    <w:rPr>
                      <w:rFonts w:hint="eastAsia"/>
                      <w:szCs w:val="21"/>
                    </w:rPr>
                    <w:t>m</w:t>
                  </w:r>
                  <w:r>
                    <w:rPr>
                      <w:szCs w:val="21"/>
                    </w:rPr>
                    <w:t>g/m</w:t>
                  </w:r>
                  <w:r>
                    <w:rPr>
                      <w:szCs w:val="21"/>
                      <w:vertAlign w:val="superscript"/>
                    </w:rPr>
                    <w:t>3</w:t>
                  </w:r>
                </w:p>
              </w:tc>
              <w:tc>
                <w:tcPr>
                  <w:tcW w:w="1046" w:type="dxa"/>
                  <w:vAlign w:val="center"/>
                </w:tcPr>
                <w:p>
                  <w:pPr>
                    <w:pStyle w:val="63"/>
                    <w:spacing w:line="340" w:lineRule="exact"/>
                    <w:rPr>
                      <w:szCs w:val="21"/>
                    </w:rPr>
                  </w:pPr>
                  <w:r>
                    <w:rPr>
                      <w:rFonts w:hint="eastAsia"/>
                      <w:szCs w:val="21"/>
                    </w:rPr>
                    <w:t>55</w:t>
                  </w:r>
                  <w:r>
                    <w:rPr>
                      <w:szCs w:val="21"/>
                    </w:rPr>
                    <w:t>%</w:t>
                  </w:r>
                </w:p>
              </w:tc>
              <w:tc>
                <w:tcPr>
                  <w:tcW w:w="1117" w:type="dxa"/>
                  <w:vAlign w:val="center"/>
                </w:tcPr>
                <w:p>
                  <w:pPr>
                    <w:pStyle w:val="63"/>
                    <w:spacing w:line="340" w:lineRule="exact"/>
                    <w:rPr>
                      <w:bCs/>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Align w:val="center"/>
                </w:tcPr>
                <w:p>
                  <w:pPr>
                    <w:adjustRightInd w:val="0"/>
                    <w:snapToGrid w:val="0"/>
                    <w:spacing w:line="360" w:lineRule="exact"/>
                    <w:jc w:val="center"/>
                    <w:rPr>
                      <w:bCs/>
                      <w:szCs w:val="21"/>
                    </w:rPr>
                  </w:pPr>
                  <w:r>
                    <w:rPr>
                      <w:szCs w:val="21"/>
                    </w:rPr>
                    <w:t>O</w:t>
                  </w:r>
                  <w:r>
                    <w:rPr>
                      <w:szCs w:val="21"/>
                      <w:vertAlign w:val="subscript"/>
                    </w:rPr>
                    <w:t>3</w:t>
                  </w:r>
                  <w:r>
                    <w:rPr>
                      <w:szCs w:val="21"/>
                    </w:rPr>
                    <w:t>-8h</w:t>
                  </w:r>
                </w:p>
              </w:tc>
              <w:tc>
                <w:tcPr>
                  <w:tcW w:w="2712" w:type="dxa"/>
                  <w:vAlign w:val="center"/>
                </w:tcPr>
                <w:p>
                  <w:pPr>
                    <w:adjustRightInd w:val="0"/>
                    <w:snapToGrid w:val="0"/>
                    <w:spacing w:line="360" w:lineRule="exact"/>
                    <w:jc w:val="center"/>
                    <w:rPr>
                      <w:bCs/>
                      <w:szCs w:val="21"/>
                    </w:rPr>
                  </w:pPr>
                  <w:r>
                    <w:rPr>
                      <w:rFonts w:hint="eastAsia" w:ascii="宋体" w:hAnsi="宋体"/>
                      <w:szCs w:val="21"/>
                    </w:rPr>
                    <w:t>第</w:t>
                  </w:r>
                  <w:r>
                    <w:rPr>
                      <w:szCs w:val="21"/>
                    </w:rPr>
                    <w:t>90</w:t>
                  </w:r>
                  <w:r>
                    <w:rPr>
                      <w:rFonts w:hint="eastAsia" w:ascii="宋体" w:hAnsi="宋体"/>
                      <w:szCs w:val="21"/>
                    </w:rPr>
                    <w:t>百分位数平均浓度</w:t>
                  </w:r>
                </w:p>
              </w:tc>
              <w:tc>
                <w:tcPr>
                  <w:tcW w:w="1095" w:type="dxa"/>
                  <w:vAlign w:val="center"/>
                </w:tcPr>
                <w:p>
                  <w:pPr>
                    <w:pStyle w:val="63"/>
                    <w:spacing w:line="340" w:lineRule="exact"/>
                    <w:rPr>
                      <w:bCs/>
                      <w:szCs w:val="21"/>
                    </w:rPr>
                  </w:pPr>
                  <w:r>
                    <w:rPr>
                      <w:rFonts w:hint="eastAsia"/>
                      <w:szCs w:val="21"/>
                    </w:rPr>
                    <w:t>7</w:t>
                  </w:r>
                  <w:r>
                    <w:rPr>
                      <w:szCs w:val="21"/>
                    </w:rPr>
                    <w:t>0μg/m</w:t>
                  </w:r>
                  <w:r>
                    <w:rPr>
                      <w:szCs w:val="21"/>
                      <w:vertAlign w:val="superscript"/>
                    </w:rPr>
                    <w:t>3</w:t>
                  </w:r>
                </w:p>
              </w:tc>
              <w:tc>
                <w:tcPr>
                  <w:tcW w:w="1157" w:type="dxa"/>
                  <w:vAlign w:val="center"/>
                </w:tcPr>
                <w:p>
                  <w:pPr>
                    <w:pStyle w:val="63"/>
                    <w:spacing w:line="340" w:lineRule="exact"/>
                    <w:rPr>
                      <w:szCs w:val="21"/>
                    </w:rPr>
                  </w:pPr>
                  <w:r>
                    <w:rPr>
                      <w:rFonts w:hint="eastAsia"/>
                      <w:szCs w:val="21"/>
                    </w:rPr>
                    <w:t>160</w:t>
                  </w:r>
                  <w:r>
                    <w:rPr>
                      <w:szCs w:val="21"/>
                    </w:rPr>
                    <w:t>μg/m</w:t>
                  </w:r>
                  <w:r>
                    <w:rPr>
                      <w:szCs w:val="21"/>
                      <w:vertAlign w:val="superscript"/>
                    </w:rPr>
                    <w:t>3</w:t>
                  </w:r>
                </w:p>
              </w:tc>
              <w:tc>
                <w:tcPr>
                  <w:tcW w:w="1046" w:type="dxa"/>
                  <w:vAlign w:val="center"/>
                </w:tcPr>
                <w:p>
                  <w:pPr>
                    <w:pStyle w:val="63"/>
                    <w:spacing w:line="340" w:lineRule="exact"/>
                    <w:rPr>
                      <w:szCs w:val="21"/>
                    </w:rPr>
                  </w:pPr>
                  <w:r>
                    <w:rPr>
                      <w:rFonts w:hint="eastAsia"/>
                      <w:szCs w:val="21"/>
                    </w:rPr>
                    <w:t>44</w:t>
                  </w:r>
                  <w:r>
                    <w:rPr>
                      <w:szCs w:val="21"/>
                    </w:rPr>
                    <w:t>%</w:t>
                  </w:r>
                </w:p>
              </w:tc>
              <w:tc>
                <w:tcPr>
                  <w:tcW w:w="1117" w:type="dxa"/>
                  <w:vAlign w:val="center"/>
                </w:tcPr>
                <w:p>
                  <w:pPr>
                    <w:pStyle w:val="63"/>
                    <w:spacing w:line="340" w:lineRule="exact"/>
                    <w:rPr>
                      <w:bCs/>
                      <w:szCs w:val="21"/>
                    </w:rPr>
                  </w:pPr>
                  <w:r>
                    <w:rPr>
                      <w:rFonts w:hint="eastAsia"/>
                      <w:szCs w:val="21"/>
                    </w:rPr>
                    <w:t>达</w:t>
                  </w:r>
                  <w:r>
                    <w:rPr>
                      <w:szCs w:val="21"/>
                    </w:rPr>
                    <w:t>标</w:t>
                  </w:r>
                </w:p>
              </w:tc>
            </w:tr>
          </w:tbl>
          <w:p>
            <w:pPr>
              <w:spacing w:line="360" w:lineRule="auto"/>
              <w:ind w:firstLine="480"/>
              <w:rPr>
                <w:kern w:val="0"/>
                <w:sz w:val="24"/>
              </w:rPr>
            </w:pPr>
            <w:r>
              <w:rPr>
                <w:kern w:val="0"/>
                <w:sz w:val="24"/>
              </w:rPr>
              <w:t>由统计数据可知，PM</w:t>
            </w:r>
            <w:r>
              <w:rPr>
                <w:kern w:val="0"/>
                <w:sz w:val="24"/>
                <w:vertAlign w:val="subscript"/>
              </w:rPr>
              <w:t>10</w:t>
            </w:r>
            <w:r>
              <w:rPr>
                <w:kern w:val="0"/>
                <w:sz w:val="24"/>
              </w:rPr>
              <w:t>、PM</w:t>
            </w:r>
            <w:r>
              <w:rPr>
                <w:kern w:val="0"/>
                <w:sz w:val="24"/>
                <w:vertAlign w:val="subscript"/>
              </w:rPr>
              <w:t>2.5</w:t>
            </w:r>
            <w:r>
              <w:rPr>
                <w:kern w:val="0"/>
                <w:sz w:val="24"/>
              </w:rPr>
              <w:t>、</w:t>
            </w:r>
            <w:r>
              <w:rPr>
                <w:szCs w:val="21"/>
              </w:rPr>
              <w:t>NO</w:t>
            </w:r>
            <w:r>
              <w:rPr>
                <w:szCs w:val="21"/>
                <w:vertAlign w:val="subscript"/>
              </w:rPr>
              <w:t>2</w:t>
            </w:r>
            <w:r>
              <w:rPr>
                <w:kern w:val="0"/>
                <w:sz w:val="24"/>
              </w:rPr>
              <w:t>的年均浓度均出现超标，其余污染物的各评价指标达标。综上判断，项目所在区域属于不达标区。</w:t>
            </w:r>
          </w:p>
          <w:p>
            <w:pPr>
              <w:spacing w:line="360" w:lineRule="auto"/>
              <w:rPr>
                <w:b/>
                <w:bCs/>
                <w:kern w:val="0"/>
                <w:sz w:val="24"/>
              </w:rPr>
            </w:pPr>
            <w:r>
              <w:rPr>
                <w:b/>
                <w:bCs/>
                <w:kern w:val="0"/>
                <w:sz w:val="24"/>
              </w:rPr>
              <w:t>2、地表水环境</w:t>
            </w:r>
          </w:p>
          <w:p>
            <w:pPr>
              <w:spacing w:line="360" w:lineRule="auto"/>
              <w:ind w:firstLine="480"/>
              <w:rPr>
                <w:kern w:val="0"/>
                <w:sz w:val="24"/>
              </w:rPr>
            </w:pPr>
            <w:r>
              <w:rPr>
                <w:rFonts w:hint="eastAsia"/>
                <w:kern w:val="0"/>
                <w:sz w:val="24"/>
              </w:rPr>
              <w:t>根据《2022年山西省地表水环境质量报告》，距离本项目最近的地表水体为项目西侧29km处的黄河，水质为优，现状良好</w:t>
            </w:r>
            <w:r>
              <w:rPr>
                <w:kern w:val="0"/>
                <w:sz w:val="24"/>
              </w:rPr>
              <w:t>。</w:t>
            </w:r>
          </w:p>
          <w:p>
            <w:pPr>
              <w:spacing w:line="360" w:lineRule="auto"/>
              <w:rPr>
                <w:kern w:val="0"/>
                <w:sz w:val="24"/>
              </w:rPr>
            </w:pPr>
            <w:r>
              <w:rPr>
                <w:b/>
                <w:bCs/>
                <w:kern w:val="0"/>
                <w:sz w:val="24"/>
              </w:rPr>
              <w:t>3、声环境质量状况</w:t>
            </w:r>
          </w:p>
          <w:p>
            <w:pPr>
              <w:spacing w:line="360" w:lineRule="auto"/>
              <w:ind w:firstLine="480"/>
              <w:rPr>
                <w:kern w:val="0"/>
                <w:sz w:val="24"/>
              </w:rPr>
            </w:pPr>
            <w:r>
              <w:rPr>
                <w:kern w:val="0"/>
                <w:sz w:val="24"/>
              </w:rPr>
              <w:t>项目厂界外周边50m范围内不存在声环境保护目标，故未对声环境现状进行监测</w:t>
            </w:r>
            <w:r>
              <w:rPr>
                <w:rFonts w:hint="eastAsia"/>
                <w:kern w:val="0"/>
                <w:sz w:val="24"/>
              </w:rPr>
              <w:t>。</w:t>
            </w:r>
          </w:p>
          <w:p>
            <w:pPr>
              <w:spacing w:line="360" w:lineRule="auto"/>
              <w:rPr>
                <w:b/>
                <w:bCs/>
                <w:kern w:val="0"/>
                <w:sz w:val="24"/>
              </w:rPr>
            </w:pPr>
            <w:r>
              <w:rPr>
                <w:b/>
                <w:bCs/>
                <w:kern w:val="0"/>
                <w:sz w:val="24"/>
              </w:rPr>
              <w:t>4、生态环境现状调查</w:t>
            </w:r>
          </w:p>
          <w:p>
            <w:pPr>
              <w:spacing w:line="360" w:lineRule="auto"/>
              <w:ind w:firstLine="480"/>
              <w:rPr>
                <w:kern w:val="0"/>
                <w:sz w:val="24"/>
              </w:rPr>
            </w:pPr>
            <w:r>
              <w:rPr>
                <w:rFonts w:hint="eastAsia"/>
                <w:kern w:val="0"/>
                <w:sz w:val="24"/>
              </w:rPr>
              <w:t>项目在</w:t>
            </w:r>
            <w:r>
              <w:rPr>
                <w:rFonts w:hint="eastAsia"/>
                <w:sz w:val="24"/>
              </w:rPr>
              <w:t>北京汇源集团万荣有限公司</w:t>
            </w:r>
            <w:r>
              <w:rPr>
                <w:rFonts w:hint="eastAsia"/>
                <w:kern w:val="0"/>
                <w:sz w:val="24"/>
              </w:rPr>
              <w:t>厂区内进行建设，未新增用地且用地范围内无生态环境保护目标，未开展生态环境现状调查</w:t>
            </w:r>
            <w:r>
              <w:rPr>
                <w:kern w:val="0"/>
                <w:sz w:val="24"/>
              </w:rPr>
              <w:t>。</w:t>
            </w:r>
          </w:p>
          <w:p>
            <w:pPr>
              <w:spacing w:line="360" w:lineRule="auto"/>
              <w:rPr>
                <w:b/>
                <w:bCs/>
                <w:kern w:val="0"/>
                <w:sz w:val="24"/>
              </w:rPr>
            </w:pPr>
            <w:r>
              <w:rPr>
                <w:b/>
                <w:bCs/>
                <w:kern w:val="0"/>
                <w:sz w:val="24"/>
              </w:rPr>
              <w:t>5、电磁辐射</w:t>
            </w:r>
          </w:p>
          <w:p>
            <w:pPr>
              <w:spacing w:line="360" w:lineRule="auto"/>
              <w:ind w:firstLine="480"/>
              <w:rPr>
                <w:kern w:val="0"/>
                <w:sz w:val="24"/>
              </w:rPr>
            </w:pPr>
            <w:r>
              <w:rPr>
                <w:kern w:val="0"/>
                <w:sz w:val="24"/>
              </w:rPr>
              <w:t>本项目不涉及。</w:t>
            </w:r>
          </w:p>
          <w:p>
            <w:pPr>
              <w:spacing w:line="360" w:lineRule="auto"/>
              <w:rPr>
                <w:b/>
                <w:bCs/>
                <w:kern w:val="0"/>
                <w:sz w:val="24"/>
              </w:rPr>
            </w:pPr>
            <w:r>
              <w:rPr>
                <w:b/>
                <w:bCs/>
                <w:kern w:val="0"/>
                <w:sz w:val="24"/>
              </w:rPr>
              <w:t>6、地下水、土壤环境</w:t>
            </w:r>
          </w:p>
          <w:p>
            <w:pPr>
              <w:spacing w:line="360" w:lineRule="auto"/>
              <w:ind w:firstLine="480"/>
              <w:rPr>
                <w:kern w:val="0"/>
                <w:szCs w:val="21"/>
              </w:rPr>
            </w:pPr>
            <w:r>
              <w:rPr>
                <w:kern w:val="0"/>
                <w:sz w:val="24"/>
              </w:rPr>
              <w:t>本项目</w:t>
            </w:r>
            <w:r>
              <w:rPr>
                <w:rFonts w:hint="eastAsia"/>
                <w:kern w:val="0"/>
                <w:sz w:val="24"/>
              </w:rPr>
              <w:t>周围不存在饮用式水源地，</w:t>
            </w:r>
            <w:r>
              <w:rPr>
                <w:kern w:val="0"/>
                <w:sz w:val="24"/>
              </w:rPr>
              <w:t>在正常生产及采取防渗措施情况下不存在地下水及土壤的污染途径，无需开展环境质量现状调查</w:t>
            </w:r>
            <w:r>
              <w:rPr>
                <w:rFonts w:hint="eastAsia"/>
                <w:kern w:val="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800" w:type="dxa"/>
            <w:vAlign w:val="center"/>
          </w:tcPr>
          <w:p>
            <w:pPr>
              <w:adjustRightInd w:val="0"/>
              <w:snapToGrid w:val="0"/>
              <w:jc w:val="center"/>
              <w:rPr>
                <w:kern w:val="0"/>
                <w:szCs w:val="21"/>
              </w:rPr>
            </w:pPr>
            <w:r>
              <w:rPr>
                <w:kern w:val="0"/>
                <w:szCs w:val="21"/>
              </w:rPr>
              <w:t>环境</w:t>
            </w:r>
          </w:p>
          <w:p>
            <w:pPr>
              <w:adjustRightInd w:val="0"/>
              <w:snapToGrid w:val="0"/>
              <w:jc w:val="center"/>
              <w:rPr>
                <w:kern w:val="0"/>
                <w:szCs w:val="21"/>
              </w:rPr>
            </w:pPr>
            <w:r>
              <w:rPr>
                <w:kern w:val="0"/>
                <w:szCs w:val="21"/>
              </w:rPr>
              <w:t>保护</w:t>
            </w:r>
          </w:p>
          <w:p>
            <w:pPr>
              <w:adjustRightInd w:val="0"/>
              <w:snapToGrid w:val="0"/>
              <w:jc w:val="center"/>
              <w:rPr>
                <w:kern w:val="0"/>
                <w:szCs w:val="21"/>
              </w:rPr>
            </w:pPr>
            <w:r>
              <w:rPr>
                <w:kern w:val="0"/>
                <w:szCs w:val="21"/>
              </w:rPr>
              <w:t>目标</w:t>
            </w:r>
          </w:p>
        </w:tc>
        <w:tc>
          <w:tcPr>
            <w:tcW w:w="8190" w:type="dxa"/>
            <w:vAlign w:val="center"/>
          </w:tcPr>
          <w:p>
            <w:pPr>
              <w:spacing w:line="360" w:lineRule="auto"/>
              <w:rPr>
                <w:b/>
                <w:bCs/>
                <w:kern w:val="0"/>
                <w:sz w:val="24"/>
              </w:rPr>
            </w:pPr>
            <w:r>
              <w:rPr>
                <w:rFonts w:hint="eastAsia"/>
                <w:b/>
                <w:bCs/>
                <w:kern w:val="0"/>
                <w:sz w:val="24"/>
              </w:rPr>
              <w:t>1、</w:t>
            </w:r>
            <w:r>
              <w:rPr>
                <w:b/>
                <w:bCs/>
                <w:kern w:val="0"/>
                <w:sz w:val="24"/>
              </w:rPr>
              <w:t>大气环境</w:t>
            </w:r>
          </w:p>
          <w:p>
            <w:pPr>
              <w:spacing w:line="360" w:lineRule="auto"/>
              <w:ind w:firstLine="480"/>
              <w:rPr>
                <w:kern w:val="0"/>
                <w:sz w:val="24"/>
              </w:rPr>
            </w:pPr>
            <w:r>
              <w:rPr>
                <w:rFonts w:hint="eastAsia"/>
                <w:kern w:val="0"/>
                <w:sz w:val="24"/>
              </w:rPr>
              <w:t>距离最近的敏感点为项目东侧700m的</w:t>
            </w:r>
            <w:r>
              <w:rPr>
                <w:rFonts w:hint="eastAsia"/>
                <w:sz w:val="24"/>
              </w:rPr>
              <w:t>西贾村</w:t>
            </w:r>
            <w:r>
              <w:rPr>
                <w:rFonts w:hint="eastAsia"/>
                <w:kern w:val="0"/>
                <w:sz w:val="24"/>
              </w:rPr>
              <w:t>，</w:t>
            </w:r>
            <w:r>
              <w:rPr>
                <w:kern w:val="0"/>
                <w:sz w:val="24"/>
              </w:rPr>
              <w:t>厂界外500米范围内</w:t>
            </w:r>
            <w:r>
              <w:rPr>
                <w:rFonts w:hint="eastAsia"/>
                <w:kern w:val="0"/>
                <w:sz w:val="24"/>
              </w:rPr>
              <w:t>不存在</w:t>
            </w:r>
            <w:r>
              <w:rPr>
                <w:kern w:val="0"/>
                <w:sz w:val="24"/>
              </w:rPr>
              <w:t>自然保护区、风景名胜区、居住区、文化区和农村地区中人群较集中的区域等保护目标。</w:t>
            </w:r>
          </w:p>
          <w:p>
            <w:pPr>
              <w:spacing w:line="360" w:lineRule="auto"/>
              <w:rPr>
                <w:b/>
                <w:bCs/>
                <w:kern w:val="0"/>
                <w:sz w:val="24"/>
              </w:rPr>
            </w:pPr>
            <w:r>
              <w:rPr>
                <w:rFonts w:hint="eastAsia"/>
                <w:b/>
                <w:bCs/>
                <w:kern w:val="0"/>
                <w:sz w:val="24"/>
              </w:rPr>
              <w:t>2、</w:t>
            </w:r>
            <w:r>
              <w:rPr>
                <w:b/>
                <w:bCs/>
                <w:kern w:val="0"/>
                <w:sz w:val="24"/>
              </w:rPr>
              <w:t>声环境</w:t>
            </w:r>
          </w:p>
          <w:p>
            <w:pPr>
              <w:pStyle w:val="32"/>
              <w:spacing w:line="360" w:lineRule="auto"/>
              <w:ind w:firstLine="480" w:firstLineChars="200"/>
              <w:rPr>
                <w:rFonts w:ascii="Times New Roman" w:hAnsi="Times New Roman" w:cs="Times New Roman"/>
                <w:color w:val="auto"/>
                <w:kern w:val="0"/>
              </w:rPr>
            </w:pPr>
            <w:r>
              <w:rPr>
                <w:rFonts w:ascii="Times New Roman" w:hAnsi="Times New Roman" w:cs="Times New Roman"/>
                <w:color w:val="auto"/>
                <w:kern w:val="0"/>
              </w:rPr>
              <w:t>项目厂界外50米范围内无居民、学校、医院等声环境敏感保护目标。</w:t>
            </w:r>
          </w:p>
          <w:p>
            <w:pPr>
              <w:spacing w:line="360" w:lineRule="auto"/>
              <w:rPr>
                <w:b/>
                <w:bCs/>
                <w:kern w:val="0"/>
                <w:sz w:val="24"/>
              </w:rPr>
            </w:pPr>
            <w:r>
              <w:rPr>
                <w:rFonts w:hint="eastAsia"/>
                <w:b/>
                <w:bCs/>
                <w:kern w:val="0"/>
                <w:sz w:val="24"/>
              </w:rPr>
              <w:t>3、</w:t>
            </w:r>
            <w:r>
              <w:rPr>
                <w:b/>
                <w:bCs/>
                <w:kern w:val="0"/>
                <w:sz w:val="24"/>
              </w:rPr>
              <w:t>地下水环境</w:t>
            </w:r>
          </w:p>
          <w:p>
            <w:pPr>
              <w:pStyle w:val="32"/>
              <w:adjustRightInd/>
              <w:spacing w:line="360" w:lineRule="auto"/>
              <w:ind w:firstLine="480" w:firstLineChars="200"/>
              <w:rPr>
                <w:rFonts w:ascii="Times New Roman" w:hAnsi="Times New Roman" w:cs="Times New Roman"/>
                <w:color w:val="auto"/>
                <w:kern w:val="0"/>
              </w:rPr>
            </w:pPr>
            <w:r>
              <w:rPr>
                <w:rFonts w:ascii="Times New Roman" w:hAnsi="Times New Roman" w:cs="Times New Roman"/>
                <w:color w:val="auto"/>
                <w:kern w:val="0"/>
              </w:rPr>
              <w:t>项目厂界外500m范围内无地下水集中式饮用水水源和热水、矿泉水、温泉等特殊地下水资源。</w:t>
            </w:r>
          </w:p>
          <w:p>
            <w:pPr>
              <w:spacing w:line="360" w:lineRule="auto"/>
              <w:rPr>
                <w:b/>
                <w:bCs/>
                <w:kern w:val="0"/>
                <w:sz w:val="24"/>
              </w:rPr>
            </w:pPr>
            <w:r>
              <w:rPr>
                <w:rFonts w:hint="eastAsia"/>
                <w:b/>
                <w:bCs/>
                <w:kern w:val="0"/>
                <w:sz w:val="24"/>
              </w:rPr>
              <w:t>4、</w:t>
            </w:r>
            <w:r>
              <w:rPr>
                <w:b/>
                <w:bCs/>
                <w:kern w:val="0"/>
                <w:sz w:val="24"/>
              </w:rPr>
              <w:t>生态环境</w:t>
            </w:r>
          </w:p>
          <w:p>
            <w:pPr>
              <w:spacing w:line="360" w:lineRule="auto"/>
              <w:ind w:firstLine="480" w:firstLineChars="200"/>
              <w:rPr>
                <w:kern w:val="0"/>
                <w:szCs w:val="21"/>
              </w:rPr>
            </w:pPr>
            <w:r>
              <w:rPr>
                <w:kern w:val="0"/>
                <w:sz w:val="24"/>
              </w:rPr>
              <w:t>项目</w:t>
            </w:r>
            <w:r>
              <w:rPr>
                <w:rFonts w:hint="eastAsia"/>
                <w:kern w:val="0"/>
                <w:sz w:val="24"/>
              </w:rPr>
              <w:t>在现有场地内进行建设</w:t>
            </w:r>
            <w:r>
              <w:rPr>
                <w:kern w:val="0"/>
                <w:sz w:val="24"/>
              </w:rPr>
              <w:t>，不新增</w:t>
            </w:r>
            <w:r>
              <w:rPr>
                <w:rFonts w:hint="eastAsia"/>
                <w:kern w:val="0"/>
                <w:sz w:val="24"/>
              </w:rPr>
              <w:t>占地</w:t>
            </w:r>
            <w:r>
              <w:rPr>
                <w:kern w:val="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0" w:type="dxa"/>
            <w:tcMar>
              <w:left w:w="28" w:type="dxa"/>
              <w:right w:w="28" w:type="dxa"/>
            </w:tcMar>
            <w:vAlign w:val="center"/>
          </w:tcPr>
          <w:p>
            <w:pPr>
              <w:adjustRightInd w:val="0"/>
              <w:snapToGrid w:val="0"/>
              <w:jc w:val="center"/>
              <w:rPr>
                <w:kern w:val="0"/>
                <w:szCs w:val="21"/>
              </w:rPr>
            </w:pPr>
            <w:r>
              <w:rPr>
                <w:kern w:val="0"/>
                <w:szCs w:val="21"/>
              </w:rPr>
              <w:t>污染</w:t>
            </w:r>
          </w:p>
          <w:p>
            <w:pPr>
              <w:adjustRightInd w:val="0"/>
              <w:snapToGrid w:val="0"/>
              <w:jc w:val="center"/>
              <w:rPr>
                <w:kern w:val="0"/>
                <w:szCs w:val="21"/>
              </w:rPr>
            </w:pPr>
            <w:r>
              <w:rPr>
                <w:kern w:val="0"/>
                <w:szCs w:val="21"/>
              </w:rPr>
              <w:t>物排</w:t>
            </w:r>
          </w:p>
          <w:p>
            <w:pPr>
              <w:adjustRightInd w:val="0"/>
              <w:snapToGrid w:val="0"/>
              <w:jc w:val="center"/>
              <w:rPr>
                <w:kern w:val="0"/>
                <w:szCs w:val="21"/>
              </w:rPr>
            </w:pPr>
            <w:r>
              <w:rPr>
                <w:kern w:val="0"/>
                <w:szCs w:val="21"/>
              </w:rPr>
              <w:t>放控</w:t>
            </w:r>
          </w:p>
          <w:p>
            <w:pPr>
              <w:adjustRightInd w:val="0"/>
              <w:snapToGrid w:val="0"/>
              <w:jc w:val="center"/>
              <w:rPr>
                <w:kern w:val="0"/>
                <w:szCs w:val="21"/>
              </w:rPr>
            </w:pPr>
            <w:r>
              <w:rPr>
                <w:kern w:val="0"/>
                <w:szCs w:val="21"/>
              </w:rPr>
              <w:t>制标</w:t>
            </w:r>
          </w:p>
          <w:p>
            <w:pPr>
              <w:adjustRightInd w:val="0"/>
              <w:snapToGrid w:val="0"/>
              <w:jc w:val="center"/>
              <w:rPr>
                <w:kern w:val="0"/>
                <w:szCs w:val="21"/>
              </w:rPr>
            </w:pPr>
            <w:r>
              <w:rPr>
                <w:kern w:val="0"/>
                <w:szCs w:val="21"/>
              </w:rPr>
              <w:t>准</w:t>
            </w:r>
          </w:p>
        </w:tc>
        <w:tc>
          <w:tcPr>
            <w:tcW w:w="8190" w:type="dxa"/>
            <w:vAlign w:val="center"/>
          </w:tcPr>
          <w:p>
            <w:pPr>
              <w:spacing w:line="360" w:lineRule="auto"/>
              <w:rPr>
                <w:b/>
                <w:bCs/>
                <w:kern w:val="0"/>
                <w:sz w:val="24"/>
              </w:rPr>
            </w:pPr>
            <w:r>
              <w:rPr>
                <w:rFonts w:hint="eastAsia"/>
                <w:b/>
                <w:bCs/>
                <w:kern w:val="0"/>
                <w:sz w:val="24"/>
              </w:rPr>
              <w:t>1</w:t>
            </w:r>
            <w:r>
              <w:rPr>
                <w:b/>
                <w:bCs/>
                <w:kern w:val="0"/>
                <w:sz w:val="24"/>
              </w:rPr>
              <w:t>、废气</w:t>
            </w:r>
          </w:p>
          <w:p>
            <w:pPr>
              <w:pStyle w:val="90"/>
              <w:adjustRightInd/>
              <w:snapToGrid/>
              <w:spacing w:line="360" w:lineRule="auto"/>
              <w:ind w:firstLine="480"/>
              <w:rPr>
                <w:rFonts w:ascii="Times New Roman" w:hAnsi="Times New Roman" w:cs="Times New Roman"/>
                <w:sz w:val="24"/>
                <w:szCs w:val="24"/>
              </w:rPr>
            </w:pPr>
            <w:r>
              <w:rPr>
                <w:rFonts w:ascii="Times New Roman" w:hAnsi="Times New Roman" w:cs="Times New Roman"/>
                <w:sz w:val="24"/>
                <w:szCs w:val="24"/>
              </w:rPr>
              <w:t>本项目生产过程中产生的</w:t>
            </w:r>
            <w:r>
              <w:rPr>
                <w:rFonts w:hint="eastAsia" w:ascii="Times New Roman" w:hAnsi="Times New Roman" w:cs="Times New Roman"/>
                <w:sz w:val="24"/>
                <w:szCs w:val="24"/>
              </w:rPr>
              <w:t>废气</w:t>
            </w:r>
            <w:r>
              <w:rPr>
                <w:rFonts w:ascii="Times New Roman" w:hAnsi="Times New Roman" w:cs="Times New Roman"/>
                <w:sz w:val="24"/>
                <w:szCs w:val="24"/>
              </w:rPr>
              <w:t>执行</w:t>
            </w:r>
            <w:r>
              <w:rPr>
                <w:rFonts w:hint="eastAsia" w:ascii="Times New Roman" w:hAnsi="Times New Roman" w:cs="Times New Roman"/>
                <w:sz w:val="24"/>
                <w:szCs w:val="24"/>
              </w:rPr>
              <w:t>《</w:t>
            </w:r>
            <w:r>
              <w:rPr>
                <w:rFonts w:ascii="Times New Roman" w:hAnsi="Times New Roman" w:cs="Times New Roman"/>
                <w:sz w:val="24"/>
                <w:szCs w:val="24"/>
              </w:rPr>
              <w:t>运城市人民政府办公室关于印发运城市工业炉窑污染治理行动方案的通知》（运政办发电〔2019〕9号）中规定的浓度限值。</w:t>
            </w:r>
          </w:p>
          <w:p>
            <w:pPr>
              <w:pStyle w:val="86"/>
              <w:rPr>
                <w:szCs w:val="24"/>
              </w:rPr>
            </w:pPr>
            <w:r>
              <w:rPr>
                <w:szCs w:val="24"/>
              </w:rPr>
              <w:t>表3-</w:t>
            </w:r>
            <w:r>
              <w:rPr>
                <w:rFonts w:hint="eastAsia"/>
                <w:szCs w:val="24"/>
              </w:rPr>
              <w:t>2</w:t>
            </w:r>
            <w:r>
              <w:rPr>
                <w:szCs w:val="24"/>
              </w:rPr>
              <w:t xml:space="preserve">  工业炉窑</w:t>
            </w:r>
            <w:r>
              <w:rPr>
                <w:kern w:val="0"/>
                <w:szCs w:val="24"/>
              </w:rPr>
              <w:t>大气污染物排放标准</w:t>
            </w:r>
          </w:p>
          <w:tbl>
            <w:tblPr>
              <w:tblStyle w:val="20"/>
              <w:tblW w:w="0" w:type="auto"/>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1411"/>
              <w:gridCol w:w="3119"/>
              <w:gridCol w:w="3543"/>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jc w:val="center"/>
              </w:trPr>
              <w:tc>
                <w:tcPr>
                  <w:tcW w:w="1411" w:type="dxa"/>
                  <w:vAlign w:val="center"/>
                </w:tcPr>
                <w:p>
                  <w:pPr>
                    <w:pStyle w:val="94"/>
                    <w:rPr>
                      <w:rFonts w:ascii="Times New Roman" w:hAnsi="Times New Roman" w:cs="Times New Roman"/>
                    </w:rPr>
                  </w:pPr>
                  <w:r>
                    <w:rPr>
                      <w:rFonts w:ascii="Times New Roman" w:hAnsi="Times New Roman" w:cs="Times New Roman"/>
                    </w:rPr>
                    <w:t>序号</w:t>
                  </w:r>
                </w:p>
              </w:tc>
              <w:tc>
                <w:tcPr>
                  <w:tcW w:w="3119" w:type="dxa"/>
                  <w:vAlign w:val="center"/>
                </w:tcPr>
                <w:p>
                  <w:pPr>
                    <w:pStyle w:val="94"/>
                    <w:rPr>
                      <w:rFonts w:ascii="Times New Roman" w:hAnsi="Times New Roman" w:cs="Times New Roman"/>
                    </w:rPr>
                  </w:pPr>
                  <w:r>
                    <w:rPr>
                      <w:rFonts w:ascii="Times New Roman" w:hAnsi="Times New Roman" w:cs="Times New Roman"/>
                    </w:rPr>
                    <w:t>污染物项目</w:t>
                  </w:r>
                </w:p>
              </w:tc>
              <w:tc>
                <w:tcPr>
                  <w:tcW w:w="3543" w:type="dxa"/>
                  <w:vAlign w:val="center"/>
                </w:tcPr>
                <w:p>
                  <w:pPr>
                    <w:pStyle w:val="94"/>
                    <w:rPr>
                      <w:rFonts w:ascii="Times New Roman" w:hAnsi="Times New Roman" w:cs="Times New Roman"/>
                    </w:rPr>
                  </w:pPr>
                  <w:r>
                    <w:rPr>
                      <w:rFonts w:ascii="Times New Roman" w:hAnsi="Times New Roman" w:cs="Times New Roman"/>
                    </w:rPr>
                    <w:t>限值/（mg/m</w:t>
                  </w:r>
                  <w:r>
                    <w:rPr>
                      <w:rFonts w:ascii="Times New Roman" w:hAnsi="Times New Roman" w:cs="Times New Roman"/>
                      <w:vertAlign w:val="superscript"/>
                    </w:rPr>
                    <w:t>3</w:t>
                  </w:r>
                  <w:r>
                    <w:rPr>
                      <w:rFonts w:ascii="Times New Roman" w:hAnsi="Times New Roman" w:cs="Times New Roman"/>
                    </w:rP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90" w:hRule="atLeast"/>
                <w:jc w:val="center"/>
              </w:trPr>
              <w:tc>
                <w:tcPr>
                  <w:tcW w:w="1411" w:type="dxa"/>
                  <w:vAlign w:val="center"/>
                </w:tcPr>
                <w:p>
                  <w:pPr>
                    <w:pStyle w:val="94"/>
                    <w:rPr>
                      <w:rFonts w:ascii="Times New Roman" w:hAnsi="Times New Roman" w:cs="Times New Roman"/>
                    </w:rPr>
                  </w:pPr>
                  <w:r>
                    <w:rPr>
                      <w:rFonts w:ascii="Times New Roman" w:hAnsi="Times New Roman" w:cs="Times New Roman"/>
                    </w:rPr>
                    <w:t>1</w:t>
                  </w:r>
                </w:p>
              </w:tc>
              <w:tc>
                <w:tcPr>
                  <w:tcW w:w="3119" w:type="dxa"/>
                  <w:vAlign w:val="center"/>
                </w:tcPr>
                <w:p>
                  <w:pPr>
                    <w:pStyle w:val="94"/>
                    <w:rPr>
                      <w:rFonts w:ascii="Times New Roman" w:hAnsi="Times New Roman" w:cs="Times New Roman"/>
                    </w:rPr>
                  </w:pPr>
                  <w:r>
                    <w:rPr>
                      <w:rFonts w:ascii="Times New Roman" w:hAnsi="Times New Roman" w:cs="Times New Roman"/>
                    </w:rPr>
                    <w:t>颗粒物</w:t>
                  </w:r>
                </w:p>
              </w:tc>
              <w:tc>
                <w:tcPr>
                  <w:tcW w:w="3543" w:type="dxa"/>
                  <w:vAlign w:val="center"/>
                </w:tcPr>
                <w:p>
                  <w:pPr>
                    <w:pStyle w:val="94"/>
                    <w:rPr>
                      <w:rFonts w:ascii="Times New Roman" w:hAnsi="Times New Roman" w:cs="Times New Roman"/>
                    </w:rPr>
                  </w:pPr>
                  <w:r>
                    <w:rPr>
                      <w:rFonts w:ascii="Times New Roman" w:hAnsi="Times New Roman" w:cs="Times New Roman"/>
                    </w:rPr>
                    <w:t>30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90" w:hRule="atLeast"/>
                <w:jc w:val="center"/>
              </w:trPr>
              <w:tc>
                <w:tcPr>
                  <w:tcW w:w="1411" w:type="dxa"/>
                  <w:vAlign w:val="center"/>
                </w:tcPr>
                <w:p>
                  <w:pPr>
                    <w:pStyle w:val="94"/>
                    <w:rPr>
                      <w:rFonts w:ascii="Times New Roman" w:hAnsi="Times New Roman" w:cs="Times New Roman"/>
                    </w:rPr>
                  </w:pPr>
                  <w:r>
                    <w:rPr>
                      <w:rFonts w:ascii="Times New Roman" w:hAnsi="Times New Roman" w:cs="Times New Roman"/>
                    </w:rPr>
                    <w:t>2</w:t>
                  </w:r>
                </w:p>
              </w:tc>
              <w:tc>
                <w:tcPr>
                  <w:tcW w:w="3119" w:type="dxa"/>
                  <w:vAlign w:val="center"/>
                </w:tcPr>
                <w:p>
                  <w:pPr>
                    <w:pStyle w:val="94"/>
                    <w:rPr>
                      <w:rFonts w:ascii="Times New Roman" w:hAnsi="Times New Roman" w:cs="Times New Roman"/>
                    </w:rPr>
                  </w:pPr>
                  <w:r>
                    <w:rPr>
                      <w:rFonts w:ascii="Times New Roman" w:hAnsi="Times New Roman" w:cs="Times New Roman"/>
                    </w:rPr>
                    <w:t>SO</w:t>
                  </w:r>
                  <w:r>
                    <w:rPr>
                      <w:rFonts w:ascii="Times New Roman" w:hAnsi="Times New Roman" w:cs="Times New Roman"/>
                      <w:vertAlign w:val="subscript"/>
                    </w:rPr>
                    <w:t>2</w:t>
                  </w:r>
                </w:p>
              </w:tc>
              <w:tc>
                <w:tcPr>
                  <w:tcW w:w="3543" w:type="dxa"/>
                  <w:vAlign w:val="center"/>
                </w:tcPr>
                <w:p>
                  <w:pPr>
                    <w:pStyle w:val="94"/>
                    <w:rPr>
                      <w:rFonts w:ascii="Times New Roman" w:hAnsi="Times New Roman" w:cs="Times New Roman"/>
                    </w:rPr>
                  </w:pPr>
                  <w:r>
                    <w:rPr>
                      <w:rFonts w:ascii="Times New Roman" w:hAnsi="Times New Roman" w:cs="Times New Roman"/>
                    </w:rPr>
                    <w:t>200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90" w:hRule="atLeast"/>
                <w:jc w:val="center"/>
              </w:trPr>
              <w:tc>
                <w:tcPr>
                  <w:tcW w:w="1411" w:type="dxa"/>
                  <w:vAlign w:val="center"/>
                </w:tcPr>
                <w:p>
                  <w:pPr>
                    <w:pStyle w:val="94"/>
                    <w:rPr>
                      <w:rFonts w:ascii="Times New Roman" w:hAnsi="Times New Roman" w:cs="Times New Roman"/>
                    </w:rPr>
                  </w:pPr>
                  <w:r>
                    <w:rPr>
                      <w:rFonts w:ascii="Times New Roman" w:hAnsi="Times New Roman" w:cs="Times New Roman"/>
                    </w:rPr>
                    <w:t>3</w:t>
                  </w:r>
                </w:p>
              </w:tc>
              <w:tc>
                <w:tcPr>
                  <w:tcW w:w="3119" w:type="dxa"/>
                  <w:vAlign w:val="center"/>
                </w:tcPr>
                <w:p>
                  <w:pPr>
                    <w:pStyle w:val="94"/>
                    <w:rPr>
                      <w:rFonts w:ascii="Times New Roman" w:hAnsi="Times New Roman" w:cs="Times New Roman"/>
                    </w:rPr>
                  </w:pPr>
                  <w:r>
                    <w:rPr>
                      <w:rFonts w:ascii="Times New Roman" w:hAnsi="Times New Roman" w:cs="Times New Roman"/>
                    </w:rPr>
                    <w:t>NO</w:t>
                  </w:r>
                  <w:r>
                    <w:rPr>
                      <w:rFonts w:ascii="Times New Roman" w:hAnsi="Times New Roman" w:cs="Times New Roman"/>
                      <w:vertAlign w:val="subscript"/>
                    </w:rPr>
                    <w:t>X</w:t>
                  </w:r>
                </w:p>
              </w:tc>
              <w:tc>
                <w:tcPr>
                  <w:tcW w:w="3543" w:type="dxa"/>
                  <w:vAlign w:val="center"/>
                </w:tcPr>
                <w:p>
                  <w:pPr>
                    <w:pStyle w:val="94"/>
                    <w:rPr>
                      <w:rFonts w:ascii="Times New Roman" w:hAnsi="Times New Roman" w:cs="Times New Roman"/>
                    </w:rPr>
                  </w:pPr>
                  <w:r>
                    <w:rPr>
                      <w:rFonts w:ascii="Times New Roman" w:hAnsi="Times New Roman" w:cs="Times New Roman"/>
                    </w:rPr>
                    <w:t>300</w:t>
                  </w:r>
                </w:p>
              </w:tc>
            </w:tr>
          </w:tbl>
          <w:p>
            <w:pPr>
              <w:spacing w:line="360" w:lineRule="auto"/>
              <w:rPr>
                <w:b/>
                <w:bCs/>
                <w:kern w:val="0"/>
                <w:sz w:val="24"/>
              </w:rPr>
            </w:pPr>
            <w:r>
              <w:rPr>
                <w:rFonts w:hint="eastAsia"/>
                <w:b/>
                <w:bCs/>
                <w:kern w:val="0"/>
                <w:sz w:val="24"/>
              </w:rPr>
              <w:t>2</w:t>
            </w:r>
            <w:r>
              <w:rPr>
                <w:b/>
                <w:bCs/>
                <w:kern w:val="0"/>
                <w:sz w:val="24"/>
              </w:rPr>
              <w:t>、</w:t>
            </w:r>
            <w:r>
              <w:rPr>
                <w:rFonts w:hint="eastAsia"/>
                <w:b/>
                <w:bCs/>
                <w:kern w:val="0"/>
                <w:sz w:val="24"/>
              </w:rPr>
              <w:t>废水</w:t>
            </w:r>
          </w:p>
          <w:p>
            <w:pPr>
              <w:spacing w:line="360" w:lineRule="auto"/>
              <w:ind w:firstLine="480"/>
              <w:rPr>
                <w:color w:val="000000"/>
                <w:sz w:val="24"/>
              </w:rPr>
            </w:pPr>
            <w:r>
              <w:rPr>
                <w:color w:val="000000"/>
                <w:sz w:val="24"/>
              </w:rPr>
              <w:t>项目生活污水执行《污水排入城镇下水道水质标准》（GB/T 31962-2015）表1中C级标准，详见下表。</w:t>
            </w:r>
          </w:p>
          <w:p>
            <w:pPr>
              <w:tabs>
                <w:tab w:val="left" w:pos="0"/>
              </w:tabs>
              <w:jc w:val="center"/>
              <w:rPr>
                <w:rFonts w:hint="eastAsia"/>
                <w:b/>
                <w:bCs/>
                <w:kern w:val="0"/>
                <w:szCs w:val="21"/>
              </w:rPr>
            </w:pPr>
          </w:p>
          <w:p>
            <w:pPr>
              <w:tabs>
                <w:tab w:val="left" w:pos="0"/>
              </w:tabs>
              <w:jc w:val="center"/>
              <w:rPr>
                <w:b/>
                <w:bCs/>
                <w:kern w:val="0"/>
                <w:szCs w:val="21"/>
              </w:rPr>
            </w:pPr>
            <w:r>
              <w:rPr>
                <w:rFonts w:hint="eastAsia"/>
                <w:b/>
                <w:bCs/>
                <w:kern w:val="0"/>
                <w:szCs w:val="21"/>
              </w:rPr>
              <w:t>表3-3  污水处理厂进水水质标准 mg/L</w:t>
            </w:r>
          </w:p>
          <w:p>
            <w:pPr>
              <w:jc w:val="right"/>
              <w:rPr>
                <w:b/>
              </w:rPr>
            </w:pPr>
            <w:r>
              <w:rPr>
                <w:b/>
              </w:rPr>
              <w:t xml:space="preserve">     </w:t>
            </w:r>
            <w:r>
              <w:rPr>
                <w:b/>
                <w:bCs/>
                <w:kern w:val="0"/>
                <w:szCs w:val="21"/>
              </w:rPr>
              <w:t>限值单位mg/L</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1626"/>
              <w:gridCol w:w="1626"/>
              <w:gridCol w:w="1626"/>
              <w:gridCol w:w="1627"/>
              <w:gridCol w:w="1627"/>
            </w:tblGrid>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51" w:hRule="atLeast"/>
                <w:jc w:val="center"/>
              </w:trPr>
              <w:tc>
                <w:tcPr>
                  <w:tcW w:w="1626" w:type="dxa"/>
                </w:tcPr>
                <w:p>
                  <w:pPr>
                    <w:tabs>
                      <w:tab w:val="left" w:pos="360"/>
                    </w:tabs>
                    <w:jc w:val="center"/>
                    <w:rPr>
                      <w:color w:val="000000"/>
                    </w:rPr>
                  </w:pPr>
                  <w:r>
                    <w:rPr>
                      <w:color w:val="000000"/>
                    </w:rPr>
                    <w:t>污染物</w:t>
                  </w:r>
                </w:p>
              </w:tc>
              <w:tc>
                <w:tcPr>
                  <w:tcW w:w="1626" w:type="dxa"/>
                </w:tcPr>
                <w:p>
                  <w:pPr>
                    <w:tabs>
                      <w:tab w:val="left" w:pos="360"/>
                    </w:tabs>
                    <w:jc w:val="center"/>
                    <w:rPr>
                      <w:color w:val="000000"/>
                    </w:rPr>
                  </w:pPr>
                  <w:r>
                    <w:rPr>
                      <w:color w:val="000000"/>
                    </w:rPr>
                    <w:t>CODcr</w:t>
                  </w:r>
                </w:p>
              </w:tc>
              <w:tc>
                <w:tcPr>
                  <w:tcW w:w="1626" w:type="dxa"/>
                </w:tcPr>
                <w:p>
                  <w:pPr>
                    <w:tabs>
                      <w:tab w:val="left" w:pos="360"/>
                    </w:tabs>
                    <w:jc w:val="center"/>
                    <w:rPr>
                      <w:color w:val="000000"/>
                    </w:rPr>
                  </w:pPr>
                  <w:r>
                    <w:rPr>
                      <w:color w:val="000000"/>
                    </w:rPr>
                    <w:t>BOD</w:t>
                  </w:r>
                  <w:r>
                    <w:rPr>
                      <w:color w:val="000000"/>
                      <w:vertAlign w:val="subscript"/>
                    </w:rPr>
                    <w:t>5</w:t>
                  </w:r>
                </w:p>
              </w:tc>
              <w:tc>
                <w:tcPr>
                  <w:tcW w:w="1627" w:type="dxa"/>
                </w:tcPr>
                <w:p>
                  <w:pPr>
                    <w:tabs>
                      <w:tab w:val="left" w:pos="360"/>
                    </w:tabs>
                    <w:jc w:val="center"/>
                    <w:rPr>
                      <w:color w:val="000000"/>
                    </w:rPr>
                  </w:pPr>
                  <w:r>
                    <w:rPr>
                      <w:color w:val="000000"/>
                    </w:rPr>
                    <w:t>SS</w:t>
                  </w:r>
                </w:p>
              </w:tc>
              <w:tc>
                <w:tcPr>
                  <w:tcW w:w="1627" w:type="dxa"/>
                </w:tcPr>
                <w:p>
                  <w:pPr>
                    <w:tabs>
                      <w:tab w:val="left" w:pos="360"/>
                    </w:tabs>
                    <w:jc w:val="center"/>
                    <w:rPr>
                      <w:color w:val="000000"/>
                    </w:rPr>
                  </w:pPr>
                  <w:r>
                    <w:rPr>
                      <w:color w:val="000000"/>
                    </w:rPr>
                    <w:t>NH</w:t>
                  </w:r>
                  <w:r>
                    <w:rPr>
                      <w:color w:val="000000"/>
                      <w:vertAlign w:val="subscript"/>
                    </w:rPr>
                    <w:t>3</w:t>
                  </w:r>
                  <w:r>
                    <w:rPr>
                      <w:color w:val="000000"/>
                    </w:rPr>
                    <w:t>-N</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51" w:hRule="atLeast"/>
                <w:jc w:val="center"/>
              </w:trPr>
              <w:tc>
                <w:tcPr>
                  <w:tcW w:w="1626" w:type="dxa"/>
                </w:tcPr>
                <w:p>
                  <w:pPr>
                    <w:tabs>
                      <w:tab w:val="left" w:pos="360"/>
                    </w:tabs>
                    <w:jc w:val="center"/>
                    <w:rPr>
                      <w:color w:val="000000"/>
                    </w:rPr>
                  </w:pPr>
                  <w:r>
                    <w:rPr>
                      <w:color w:val="000000"/>
                    </w:rPr>
                    <w:t>限值</w:t>
                  </w:r>
                </w:p>
              </w:tc>
              <w:tc>
                <w:tcPr>
                  <w:tcW w:w="1626" w:type="dxa"/>
                </w:tcPr>
                <w:p>
                  <w:pPr>
                    <w:tabs>
                      <w:tab w:val="left" w:pos="360"/>
                    </w:tabs>
                    <w:jc w:val="center"/>
                    <w:rPr>
                      <w:color w:val="000000"/>
                    </w:rPr>
                  </w:pPr>
                  <w:r>
                    <w:rPr>
                      <w:color w:val="000000"/>
                    </w:rPr>
                    <w:t>300</w:t>
                  </w:r>
                </w:p>
              </w:tc>
              <w:tc>
                <w:tcPr>
                  <w:tcW w:w="1626" w:type="dxa"/>
                </w:tcPr>
                <w:p>
                  <w:pPr>
                    <w:tabs>
                      <w:tab w:val="left" w:pos="360"/>
                    </w:tabs>
                    <w:jc w:val="center"/>
                    <w:rPr>
                      <w:color w:val="000000"/>
                    </w:rPr>
                  </w:pPr>
                  <w:r>
                    <w:rPr>
                      <w:color w:val="000000"/>
                    </w:rPr>
                    <w:t>150</w:t>
                  </w:r>
                </w:p>
              </w:tc>
              <w:tc>
                <w:tcPr>
                  <w:tcW w:w="1627" w:type="dxa"/>
                </w:tcPr>
                <w:p>
                  <w:pPr>
                    <w:tabs>
                      <w:tab w:val="left" w:pos="360"/>
                    </w:tabs>
                    <w:jc w:val="center"/>
                    <w:rPr>
                      <w:color w:val="000000"/>
                    </w:rPr>
                  </w:pPr>
                  <w:r>
                    <w:rPr>
                      <w:color w:val="000000"/>
                    </w:rPr>
                    <w:t>250</w:t>
                  </w:r>
                </w:p>
              </w:tc>
              <w:tc>
                <w:tcPr>
                  <w:tcW w:w="1627" w:type="dxa"/>
                </w:tcPr>
                <w:p>
                  <w:pPr>
                    <w:tabs>
                      <w:tab w:val="left" w:pos="360"/>
                    </w:tabs>
                    <w:jc w:val="center"/>
                    <w:rPr>
                      <w:color w:val="000000"/>
                    </w:rPr>
                  </w:pPr>
                  <w:r>
                    <w:rPr>
                      <w:color w:val="000000"/>
                    </w:rPr>
                    <w:t>25</w:t>
                  </w:r>
                </w:p>
              </w:tc>
            </w:tr>
          </w:tbl>
          <w:p>
            <w:pPr>
              <w:spacing w:line="360" w:lineRule="auto"/>
              <w:rPr>
                <w:b/>
                <w:bCs/>
                <w:kern w:val="0"/>
                <w:sz w:val="24"/>
              </w:rPr>
            </w:pPr>
            <w:r>
              <w:rPr>
                <w:rFonts w:hint="eastAsia"/>
                <w:b/>
                <w:bCs/>
                <w:kern w:val="0"/>
                <w:sz w:val="24"/>
              </w:rPr>
              <w:t>3</w:t>
            </w:r>
            <w:r>
              <w:rPr>
                <w:b/>
                <w:bCs/>
                <w:kern w:val="0"/>
                <w:sz w:val="24"/>
              </w:rPr>
              <w:t>、噪声</w:t>
            </w:r>
          </w:p>
          <w:p>
            <w:pPr>
              <w:spacing w:line="360" w:lineRule="auto"/>
              <w:ind w:firstLine="480"/>
              <w:rPr>
                <w:kern w:val="0"/>
                <w:sz w:val="24"/>
              </w:rPr>
            </w:pPr>
            <w:r>
              <w:rPr>
                <w:rFonts w:hint="eastAsia"/>
                <w:kern w:val="0"/>
                <w:sz w:val="24"/>
              </w:rPr>
              <w:t>项目施工期噪声执行《建筑施工场界环境噪声排放标准》（GB12523-2011）；运行期项目噪声执行《工业企业厂界环境噪声排放标准》（GB12348-2008）中2类标准要求，见表3-4。</w:t>
            </w:r>
          </w:p>
          <w:p>
            <w:pPr>
              <w:widowControl/>
              <w:ind w:firstLine="482"/>
              <w:jc w:val="center"/>
              <w:textAlignment w:val="baseline"/>
              <w:rPr>
                <w:b/>
                <w:bCs/>
                <w:kern w:val="0"/>
                <w:szCs w:val="21"/>
              </w:rPr>
            </w:pPr>
            <w:r>
              <w:rPr>
                <w:b/>
                <w:bCs/>
                <w:kern w:val="0"/>
                <w:szCs w:val="21"/>
              </w:rPr>
              <w:t>表</w:t>
            </w:r>
            <w:r>
              <w:rPr>
                <w:rFonts w:hint="eastAsia"/>
                <w:b/>
                <w:bCs/>
                <w:kern w:val="0"/>
                <w:szCs w:val="21"/>
              </w:rPr>
              <w:t>3-4</w:t>
            </w:r>
            <w:r>
              <w:rPr>
                <w:b/>
                <w:bCs/>
                <w:kern w:val="0"/>
                <w:szCs w:val="21"/>
              </w:rPr>
              <w:t xml:space="preserve">  </w:t>
            </w:r>
            <w:r>
              <w:rPr>
                <w:rFonts w:hint="eastAsia"/>
                <w:b/>
                <w:bCs/>
                <w:kern w:val="0"/>
                <w:szCs w:val="21"/>
              </w:rPr>
              <w:t xml:space="preserve"> </w:t>
            </w:r>
            <w:r>
              <w:rPr>
                <w:b/>
                <w:bCs/>
                <w:kern w:val="0"/>
                <w:szCs w:val="21"/>
              </w:rPr>
              <w:t xml:space="preserve"> 项目施工期及运营期噪声排放限值</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39"/>
              <w:gridCol w:w="1520"/>
              <w:gridCol w:w="1592"/>
              <w:gridCol w:w="1782"/>
              <w:gridCol w:w="118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1739" w:type="dxa"/>
                  <w:vMerge w:val="restart"/>
                  <w:vAlign w:val="center"/>
                </w:tcPr>
                <w:p>
                  <w:pPr>
                    <w:widowControl/>
                    <w:spacing w:line="240" w:lineRule="atLeast"/>
                    <w:jc w:val="center"/>
                    <w:textAlignment w:val="baseline"/>
                    <w:rPr>
                      <w:szCs w:val="21"/>
                    </w:rPr>
                  </w:pPr>
                  <w:r>
                    <w:rPr>
                      <w:rFonts w:hint="eastAsia"/>
                      <w:szCs w:val="21"/>
                    </w:rPr>
                    <w:t>适用区域</w:t>
                  </w:r>
                </w:p>
              </w:tc>
              <w:tc>
                <w:tcPr>
                  <w:tcW w:w="1520" w:type="dxa"/>
                  <w:vMerge w:val="restart"/>
                  <w:vAlign w:val="center"/>
                </w:tcPr>
                <w:p>
                  <w:pPr>
                    <w:widowControl/>
                    <w:spacing w:line="240" w:lineRule="atLeast"/>
                    <w:jc w:val="center"/>
                    <w:textAlignment w:val="baseline"/>
                    <w:rPr>
                      <w:szCs w:val="21"/>
                    </w:rPr>
                  </w:pPr>
                  <w:r>
                    <w:rPr>
                      <w:rFonts w:hint="eastAsia"/>
                      <w:szCs w:val="21"/>
                    </w:rPr>
                    <w:t>级别</w:t>
                  </w:r>
                </w:p>
              </w:tc>
              <w:tc>
                <w:tcPr>
                  <w:tcW w:w="1592" w:type="dxa"/>
                  <w:vMerge w:val="restart"/>
                  <w:vAlign w:val="center"/>
                </w:tcPr>
                <w:p>
                  <w:pPr>
                    <w:widowControl/>
                    <w:spacing w:line="240" w:lineRule="atLeast"/>
                    <w:jc w:val="center"/>
                    <w:textAlignment w:val="baseline"/>
                    <w:rPr>
                      <w:szCs w:val="21"/>
                    </w:rPr>
                  </w:pPr>
                  <w:r>
                    <w:rPr>
                      <w:rFonts w:hint="eastAsia"/>
                      <w:szCs w:val="21"/>
                    </w:rPr>
                    <w:t>单位</w:t>
                  </w:r>
                </w:p>
              </w:tc>
              <w:tc>
                <w:tcPr>
                  <w:tcW w:w="2967" w:type="dxa"/>
                  <w:gridSpan w:val="2"/>
                  <w:vAlign w:val="center"/>
                </w:tcPr>
                <w:p>
                  <w:pPr>
                    <w:widowControl/>
                    <w:spacing w:line="240" w:lineRule="atLeast"/>
                    <w:jc w:val="center"/>
                    <w:textAlignment w:val="baseline"/>
                    <w:rPr>
                      <w:szCs w:val="21"/>
                    </w:rPr>
                  </w:pPr>
                  <w:r>
                    <w:rPr>
                      <w:rFonts w:hint="eastAsia"/>
                      <w:szCs w:val="21"/>
                    </w:rPr>
                    <w:t>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1739" w:type="dxa"/>
                  <w:vMerge w:val="continue"/>
                  <w:vAlign w:val="center"/>
                </w:tcPr>
                <w:p>
                  <w:pPr>
                    <w:widowControl/>
                    <w:spacing w:line="240" w:lineRule="atLeast"/>
                    <w:jc w:val="center"/>
                    <w:textAlignment w:val="baseline"/>
                    <w:rPr>
                      <w:szCs w:val="21"/>
                    </w:rPr>
                  </w:pPr>
                </w:p>
              </w:tc>
              <w:tc>
                <w:tcPr>
                  <w:tcW w:w="1520" w:type="dxa"/>
                  <w:vMerge w:val="continue"/>
                  <w:vAlign w:val="center"/>
                </w:tcPr>
                <w:p>
                  <w:pPr>
                    <w:widowControl/>
                    <w:spacing w:line="240" w:lineRule="atLeast"/>
                    <w:jc w:val="center"/>
                    <w:textAlignment w:val="baseline"/>
                    <w:rPr>
                      <w:szCs w:val="21"/>
                    </w:rPr>
                  </w:pPr>
                </w:p>
              </w:tc>
              <w:tc>
                <w:tcPr>
                  <w:tcW w:w="1592" w:type="dxa"/>
                  <w:vMerge w:val="continue"/>
                  <w:vAlign w:val="center"/>
                </w:tcPr>
                <w:p>
                  <w:pPr>
                    <w:widowControl/>
                    <w:spacing w:line="240" w:lineRule="atLeast"/>
                    <w:jc w:val="center"/>
                    <w:textAlignment w:val="baseline"/>
                    <w:rPr>
                      <w:szCs w:val="21"/>
                    </w:rPr>
                  </w:pPr>
                </w:p>
              </w:tc>
              <w:tc>
                <w:tcPr>
                  <w:tcW w:w="1782" w:type="dxa"/>
                  <w:vAlign w:val="center"/>
                </w:tcPr>
                <w:p>
                  <w:pPr>
                    <w:widowControl/>
                    <w:spacing w:line="240" w:lineRule="atLeast"/>
                    <w:jc w:val="center"/>
                    <w:textAlignment w:val="baseline"/>
                    <w:rPr>
                      <w:szCs w:val="21"/>
                    </w:rPr>
                  </w:pPr>
                  <w:r>
                    <w:rPr>
                      <w:rFonts w:hint="eastAsia"/>
                      <w:szCs w:val="21"/>
                    </w:rPr>
                    <w:t>昼间</w:t>
                  </w:r>
                </w:p>
              </w:tc>
              <w:tc>
                <w:tcPr>
                  <w:tcW w:w="1185" w:type="dxa"/>
                  <w:vAlign w:val="center"/>
                </w:tcPr>
                <w:p>
                  <w:pPr>
                    <w:widowControl/>
                    <w:spacing w:line="240" w:lineRule="atLeast"/>
                    <w:jc w:val="center"/>
                    <w:textAlignment w:val="baseline"/>
                    <w:rPr>
                      <w:szCs w:val="21"/>
                    </w:rPr>
                  </w:pPr>
                  <w:r>
                    <w:rPr>
                      <w:rFonts w:hint="eastAsia"/>
                      <w:szCs w:val="21"/>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1739" w:type="dxa"/>
                  <w:vAlign w:val="center"/>
                </w:tcPr>
                <w:p>
                  <w:pPr>
                    <w:widowControl/>
                    <w:spacing w:line="240" w:lineRule="atLeast"/>
                    <w:jc w:val="center"/>
                    <w:textAlignment w:val="baseline"/>
                    <w:rPr>
                      <w:szCs w:val="21"/>
                    </w:rPr>
                  </w:pPr>
                  <w:r>
                    <w:rPr>
                      <w:rFonts w:hint="eastAsia"/>
                      <w:szCs w:val="21"/>
                    </w:rPr>
                    <w:t>施工期场界</w:t>
                  </w:r>
                </w:p>
              </w:tc>
              <w:tc>
                <w:tcPr>
                  <w:tcW w:w="1520" w:type="dxa"/>
                  <w:vAlign w:val="center"/>
                </w:tcPr>
                <w:p>
                  <w:pPr>
                    <w:widowControl/>
                    <w:spacing w:line="240" w:lineRule="atLeast"/>
                    <w:jc w:val="center"/>
                    <w:textAlignment w:val="baseline"/>
                    <w:rPr>
                      <w:szCs w:val="21"/>
                    </w:rPr>
                  </w:pPr>
                  <w:r>
                    <w:rPr>
                      <w:rFonts w:hint="eastAsia"/>
                      <w:szCs w:val="21"/>
                    </w:rPr>
                    <w:t>/</w:t>
                  </w:r>
                </w:p>
              </w:tc>
              <w:tc>
                <w:tcPr>
                  <w:tcW w:w="1592" w:type="dxa"/>
                  <w:vAlign w:val="center"/>
                </w:tcPr>
                <w:p>
                  <w:pPr>
                    <w:widowControl/>
                    <w:spacing w:line="240" w:lineRule="atLeast"/>
                    <w:jc w:val="center"/>
                    <w:textAlignment w:val="baseline"/>
                    <w:rPr>
                      <w:szCs w:val="21"/>
                    </w:rPr>
                  </w:pPr>
                  <w:r>
                    <w:rPr>
                      <w:rFonts w:hint="eastAsia"/>
                      <w:szCs w:val="21"/>
                    </w:rPr>
                    <w:t>dB（A）</w:t>
                  </w:r>
                </w:p>
              </w:tc>
              <w:tc>
                <w:tcPr>
                  <w:tcW w:w="1782" w:type="dxa"/>
                  <w:vAlign w:val="center"/>
                </w:tcPr>
                <w:p>
                  <w:pPr>
                    <w:widowControl/>
                    <w:spacing w:line="240" w:lineRule="atLeast"/>
                    <w:jc w:val="center"/>
                    <w:textAlignment w:val="baseline"/>
                    <w:rPr>
                      <w:szCs w:val="21"/>
                    </w:rPr>
                  </w:pPr>
                  <w:r>
                    <w:rPr>
                      <w:rFonts w:hint="eastAsia"/>
                      <w:szCs w:val="21"/>
                    </w:rPr>
                    <w:t>70</w:t>
                  </w:r>
                </w:p>
              </w:tc>
              <w:tc>
                <w:tcPr>
                  <w:tcW w:w="1185" w:type="dxa"/>
                  <w:vAlign w:val="center"/>
                </w:tcPr>
                <w:p>
                  <w:pPr>
                    <w:widowControl/>
                    <w:spacing w:line="240" w:lineRule="atLeast"/>
                    <w:jc w:val="center"/>
                    <w:textAlignment w:val="baseline"/>
                    <w:rPr>
                      <w:szCs w:val="21"/>
                    </w:rPr>
                  </w:pPr>
                  <w:r>
                    <w:rPr>
                      <w:rFonts w:hint="eastAsia"/>
                      <w:szCs w:val="21"/>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739" w:type="dxa"/>
                  <w:vAlign w:val="center"/>
                </w:tcPr>
                <w:p>
                  <w:pPr>
                    <w:widowControl/>
                    <w:spacing w:line="240" w:lineRule="atLeast"/>
                    <w:jc w:val="center"/>
                    <w:textAlignment w:val="baseline"/>
                    <w:rPr>
                      <w:szCs w:val="21"/>
                    </w:rPr>
                  </w:pPr>
                  <w:r>
                    <w:rPr>
                      <w:rFonts w:hint="eastAsia"/>
                      <w:szCs w:val="21"/>
                    </w:rPr>
                    <w:t>运营期厂界</w:t>
                  </w:r>
                </w:p>
              </w:tc>
              <w:tc>
                <w:tcPr>
                  <w:tcW w:w="1520" w:type="dxa"/>
                  <w:vAlign w:val="center"/>
                </w:tcPr>
                <w:p>
                  <w:pPr>
                    <w:widowControl/>
                    <w:spacing w:line="240" w:lineRule="atLeast"/>
                    <w:jc w:val="center"/>
                    <w:textAlignment w:val="baseline"/>
                    <w:rPr>
                      <w:szCs w:val="21"/>
                    </w:rPr>
                  </w:pPr>
                  <w:r>
                    <w:rPr>
                      <w:rFonts w:hint="eastAsia"/>
                      <w:szCs w:val="21"/>
                    </w:rPr>
                    <w:t>2类</w:t>
                  </w:r>
                </w:p>
              </w:tc>
              <w:tc>
                <w:tcPr>
                  <w:tcW w:w="1592" w:type="dxa"/>
                  <w:vAlign w:val="center"/>
                </w:tcPr>
                <w:p>
                  <w:pPr>
                    <w:widowControl/>
                    <w:spacing w:line="240" w:lineRule="atLeast"/>
                    <w:jc w:val="center"/>
                    <w:textAlignment w:val="baseline"/>
                    <w:rPr>
                      <w:szCs w:val="21"/>
                    </w:rPr>
                  </w:pPr>
                  <w:r>
                    <w:rPr>
                      <w:rFonts w:hint="eastAsia"/>
                      <w:szCs w:val="21"/>
                    </w:rPr>
                    <w:t>dB（A）</w:t>
                  </w:r>
                </w:p>
              </w:tc>
              <w:tc>
                <w:tcPr>
                  <w:tcW w:w="1782" w:type="dxa"/>
                  <w:vAlign w:val="center"/>
                </w:tcPr>
                <w:p>
                  <w:pPr>
                    <w:widowControl/>
                    <w:spacing w:line="240" w:lineRule="atLeast"/>
                    <w:jc w:val="center"/>
                    <w:textAlignment w:val="baseline"/>
                    <w:rPr>
                      <w:szCs w:val="21"/>
                    </w:rPr>
                  </w:pPr>
                  <w:r>
                    <w:rPr>
                      <w:rFonts w:hint="eastAsia"/>
                      <w:szCs w:val="21"/>
                    </w:rPr>
                    <w:t>60</w:t>
                  </w:r>
                </w:p>
              </w:tc>
              <w:tc>
                <w:tcPr>
                  <w:tcW w:w="1185" w:type="dxa"/>
                  <w:vAlign w:val="center"/>
                </w:tcPr>
                <w:p>
                  <w:pPr>
                    <w:widowControl/>
                    <w:spacing w:line="240" w:lineRule="atLeast"/>
                    <w:jc w:val="center"/>
                    <w:textAlignment w:val="baseline"/>
                    <w:rPr>
                      <w:szCs w:val="21"/>
                    </w:rPr>
                  </w:pPr>
                  <w:r>
                    <w:rPr>
                      <w:rFonts w:hint="eastAsia"/>
                      <w:szCs w:val="21"/>
                    </w:rPr>
                    <w:t>50</w:t>
                  </w:r>
                </w:p>
              </w:tc>
            </w:tr>
          </w:tbl>
          <w:p>
            <w:pPr>
              <w:spacing w:line="360" w:lineRule="auto"/>
              <w:rPr>
                <w:b/>
                <w:bCs/>
                <w:kern w:val="0"/>
                <w:sz w:val="24"/>
              </w:rPr>
            </w:pPr>
            <w:r>
              <w:rPr>
                <w:rFonts w:hint="eastAsia"/>
                <w:b/>
                <w:bCs/>
                <w:kern w:val="0"/>
                <w:sz w:val="24"/>
              </w:rPr>
              <w:t>3、废水</w:t>
            </w:r>
          </w:p>
          <w:p>
            <w:pPr>
              <w:spacing w:line="360" w:lineRule="auto"/>
              <w:ind w:firstLine="480"/>
              <w:rPr>
                <w:kern w:val="0"/>
                <w:sz w:val="24"/>
              </w:rPr>
            </w:pPr>
            <w:r>
              <w:rPr>
                <w:rFonts w:hint="eastAsia"/>
                <w:kern w:val="0"/>
                <w:sz w:val="24"/>
              </w:rPr>
              <w:t>生活污水</w:t>
            </w:r>
            <w:r>
              <w:rPr>
                <w:kern w:val="0"/>
                <w:sz w:val="24"/>
              </w:rPr>
              <w:t>。</w:t>
            </w:r>
          </w:p>
          <w:p>
            <w:pPr>
              <w:spacing w:line="360" w:lineRule="auto"/>
              <w:rPr>
                <w:b/>
                <w:bCs/>
                <w:kern w:val="0"/>
                <w:sz w:val="24"/>
              </w:rPr>
            </w:pPr>
            <w:r>
              <w:rPr>
                <w:rFonts w:hint="eastAsia"/>
                <w:b/>
                <w:bCs/>
                <w:kern w:val="0"/>
                <w:sz w:val="24"/>
              </w:rPr>
              <w:t>4</w:t>
            </w:r>
            <w:r>
              <w:rPr>
                <w:b/>
                <w:bCs/>
                <w:kern w:val="0"/>
                <w:sz w:val="24"/>
              </w:rPr>
              <w:t>、固体废物</w:t>
            </w:r>
          </w:p>
          <w:p>
            <w:pPr>
              <w:spacing w:line="360" w:lineRule="auto"/>
              <w:ind w:firstLine="480"/>
              <w:rPr>
                <w:kern w:val="0"/>
                <w:sz w:val="24"/>
              </w:rPr>
            </w:pPr>
            <w:r>
              <w:rPr>
                <w:kern w:val="0"/>
                <w:sz w:val="24"/>
              </w:rPr>
              <w:t>一般工业固体废物执行《一般工业固体废物贮存</w:t>
            </w:r>
            <w:r>
              <w:rPr>
                <w:rFonts w:hint="eastAsia"/>
                <w:kern w:val="0"/>
                <w:sz w:val="24"/>
              </w:rPr>
              <w:t>和填埋</w:t>
            </w:r>
            <w:r>
              <w:rPr>
                <w:kern w:val="0"/>
                <w:sz w:val="24"/>
              </w:rPr>
              <w:t>污染控制标准》(GB18599-20</w:t>
            </w:r>
            <w:r>
              <w:rPr>
                <w:rFonts w:hint="eastAsia"/>
                <w:kern w:val="0"/>
                <w:sz w:val="24"/>
              </w:rPr>
              <w:t>20</w:t>
            </w:r>
            <w:r>
              <w:rPr>
                <w:kern w:val="0"/>
                <w:sz w:val="24"/>
              </w:rPr>
              <w:t>)</w:t>
            </w:r>
            <w:r>
              <w:rPr>
                <w:rFonts w:hint="eastAsia"/>
                <w:kern w:val="0"/>
                <w:sz w:val="24"/>
              </w:rPr>
              <w:t>。</w:t>
            </w:r>
          </w:p>
          <w:p>
            <w:pPr>
              <w:spacing w:line="360" w:lineRule="auto"/>
              <w:ind w:firstLine="480"/>
              <w:rPr>
                <w:kern w:val="0"/>
                <w:szCs w:val="21"/>
              </w:rPr>
            </w:pPr>
            <w:r>
              <w:rPr>
                <w:kern w:val="0"/>
                <w:sz w:val="24"/>
              </w:rPr>
              <w:t>危险废物</w:t>
            </w:r>
            <w:r>
              <w:rPr>
                <w:color w:val="000000"/>
                <w:sz w:val="24"/>
              </w:rPr>
              <w:t>执行</w:t>
            </w:r>
            <w:r>
              <w:rPr>
                <w:rFonts w:hint="eastAsia"/>
                <w:color w:val="000000"/>
                <w:sz w:val="24"/>
              </w:rPr>
              <w:t>《</w:t>
            </w:r>
            <w:r>
              <w:rPr>
                <w:color w:val="000000"/>
                <w:sz w:val="24"/>
              </w:rPr>
              <w:t>危险废物贮存污染控制标准</w:t>
            </w:r>
            <w:r>
              <w:rPr>
                <w:rFonts w:hint="eastAsia"/>
                <w:color w:val="000000"/>
                <w:sz w:val="24"/>
              </w:rPr>
              <w:t>》</w:t>
            </w:r>
            <w:r>
              <w:rPr>
                <w:color w:val="000000"/>
                <w:sz w:val="24"/>
              </w:rPr>
              <w:t>（GB18597-2023）</w:t>
            </w:r>
            <w:r>
              <w:rPr>
                <w:rFonts w:hint="eastAsia"/>
                <w:color w:val="00000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0" w:type="dxa"/>
            <w:vAlign w:val="center"/>
          </w:tcPr>
          <w:p>
            <w:pPr>
              <w:adjustRightInd w:val="0"/>
              <w:snapToGrid w:val="0"/>
              <w:jc w:val="center"/>
              <w:rPr>
                <w:kern w:val="0"/>
                <w:szCs w:val="21"/>
              </w:rPr>
            </w:pPr>
            <w:r>
              <w:rPr>
                <w:kern w:val="0"/>
                <w:szCs w:val="21"/>
              </w:rPr>
              <w:t>总量</w:t>
            </w:r>
          </w:p>
          <w:p>
            <w:pPr>
              <w:adjustRightInd w:val="0"/>
              <w:snapToGrid w:val="0"/>
              <w:jc w:val="center"/>
              <w:rPr>
                <w:kern w:val="0"/>
                <w:szCs w:val="21"/>
              </w:rPr>
            </w:pPr>
            <w:r>
              <w:rPr>
                <w:kern w:val="0"/>
                <w:szCs w:val="21"/>
              </w:rPr>
              <w:t>控制</w:t>
            </w:r>
          </w:p>
          <w:p>
            <w:pPr>
              <w:adjustRightInd w:val="0"/>
              <w:snapToGrid w:val="0"/>
              <w:jc w:val="center"/>
              <w:rPr>
                <w:kern w:val="0"/>
                <w:szCs w:val="21"/>
              </w:rPr>
            </w:pPr>
            <w:r>
              <w:rPr>
                <w:kern w:val="0"/>
                <w:szCs w:val="21"/>
              </w:rPr>
              <w:t>指标</w:t>
            </w:r>
          </w:p>
        </w:tc>
        <w:tc>
          <w:tcPr>
            <w:tcW w:w="8190" w:type="dxa"/>
            <w:vAlign w:val="center"/>
          </w:tcPr>
          <w:p>
            <w:pPr>
              <w:pStyle w:val="4"/>
            </w:pPr>
          </w:p>
          <w:p>
            <w:pPr>
              <w:spacing w:line="360" w:lineRule="auto"/>
              <w:rPr>
                <w:b/>
                <w:bCs/>
                <w:color w:val="FF0000"/>
                <w:kern w:val="0"/>
                <w:sz w:val="24"/>
              </w:rPr>
            </w:pPr>
          </w:p>
          <w:p>
            <w:pPr>
              <w:spacing w:line="360" w:lineRule="auto"/>
              <w:ind w:firstLine="480"/>
              <w:rPr>
                <w:color w:val="FF0000"/>
                <w:kern w:val="0"/>
                <w:sz w:val="24"/>
              </w:rPr>
            </w:pPr>
            <w:r>
              <w:rPr>
                <w:color w:val="000000"/>
                <w:sz w:val="24"/>
              </w:rPr>
              <w:t>根据</w:t>
            </w:r>
            <w:r>
              <w:rPr>
                <w:rFonts w:hint="eastAsia"/>
                <w:color w:val="000000"/>
                <w:sz w:val="24"/>
              </w:rPr>
              <w:t>山西省生态环境厅晋环规【2023】1号“关于印发《建设项目主要污染物排放总量指标核定暂行办法》的通知”</w:t>
            </w:r>
            <w:r>
              <w:rPr>
                <w:color w:val="000000"/>
                <w:sz w:val="24"/>
              </w:rPr>
              <w:t>，本项目</w:t>
            </w:r>
            <w:r>
              <w:rPr>
                <w:rFonts w:hint="eastAsia"/>
                <w:color w:val="000000"/>
                <w:sz w:val="24"/>
              </w:rPr>
              <w:t>需要进行总量核定的污染物为</w:t>
            </w:r>
            <w:r>
              <w:rPr>
                <w:color w:val="000000"/>
                <w:sz w:val="24"/>
              </w:rPr>
              <w:t>：</w:t>
            </w:r>
            <w:r>
              <w:rPr>
                <w:rFonts w:hint="eastAsia"/>
                <w:color w:val="000000"/>
                <w:sz w:val="24"/>
              </w:rPr>
              <w:t>烟尘0.3t/a，二氧化硫1.36t/a，氮氧化物2.856t/a</w:t>
            </w:r>
            <w:r>
              <w:rPr>
                <w:color w:val="000000"/>
                <w:sz w:val="24"/>
              </w:rPr>
              <w:t>。</w:t>
            </w:r>
          </w:p>
          <w:p>
            <w:pPr>
              <w:pStyle w:val="4"/>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kern w:val="0"/>
                <w:sz w:val="24"/>
              </w:rPr>
            </w:pPr>
          </w:p>
          <w:p>
            <w:pPr>
              <w:pStyle w:val="4"/>
              <w:rPr>
                <w:sz w:val="21"/>
                <w:szCs w:val="21"/>
              </w:rPr>
            </w:pPr>
          </w:p>
        </w:tc>
      </w:tr>
    </w:tbl>
    <w:p>
      <w:pPr>
        <w:pStyle w:val="17"/>
        <w:jc w:val="center"/>
        <w:outlineLvl w:val="0"/>
        <w:rPr>
          <w:rFonts w:ascii="Times New Roman" w:hAnsi="Times New Roman" w:eastAsia="黑体"/>
          <w:snapToGrid w:val="0"/>
          <w:sz w:val="30"/>
          <w:szCs w:val="30"/>
        </w:rPr>
      </w:pPr>
      <w:r>
        <w:rPr>
          <w:rFonts w:ascii="Times New Roman" w:hAnsi="Times New Roman" w:eastAsia="黑体"/>
          <w:snapToGrid w:val="0"/>
          <w:sz w:val="36"/>
          <w:szCs w:val="36"/>
        </w:rPr>
        <w:br w:type="page"/>
      </w:r>
      <w:r>
        <w:rPr>
          <w:rFonts w:ascii="Times New Roman" w:hAnsi="Times New Roman" w:eastAsia="黑体"/>
          <w:snapToGrid w:val="0"/>
          <w:sz w:val="30"/>
          <w:szCs w:val="30"/>
        </w:rPr>
        <w:t>四、主要环境影响和保护措施</w:t>
      </w:r>
    </w:p>
    <w:tbl>
      <w:tblPr>
        <w:tblStyle w:val="20"/>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83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983" w:hRule="atLeast"/>
          <w:jc w:val="center"/>
        </w:trPr>
        <w:tc>
          <w:tcPr>
            <w:tcW w:w="760" w:type="dxa"/>
            <w:tcBorders>
              <w:top w:val="single" w:color="auto" w:sz="12" w:space="0"/>
              <w:bottom w:val="single" w:color="auto" w:sz="12" w:space="0"/>
            </w:tcBorders>
            <w:tcMar>
              <w:left w:w="28" w:type="dxa"/>
              <w:right w:w="28" w:type="dxa"/>
            </w:tcMar>
            <w:vAlign w:val="center"/>
          </w:tcPr>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施工</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期环</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境保</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护措</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施</w:t>
            </w: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tc>
        <w:tc>
          <w:tcPr>
            <w:tcW w:w="8311" w:type="dxa"/>
            <w:tcBorders>
              <w:top w:val="single" w:color="auto" w:sz="12" w:space="0"/>
              <w:bottom w:val="single" w:color="auto" w:sz="12" w:space="0"/>
            </w:tcBorders>
            <w:vAlign w:val="center"/>
          </w:tcPr>
          <w:p>
            <w:pPr>
              <w:pStyle w:val="55"/>
              <w:spacing w:line="360" w:lineRule="auto"/>
              <w:ind w:firstLine="0" w:firstLineChars="0"/>
              <w:jc w:val="left"/>
              <w:rPr>
                <w:b/>
                <w:color w:val="000000"/>
              </w:rPr>
            </w:pPr>
            <w:r>
              <w:rPr>
                <w:rFonts w:hint="eastAsia"/>
                <w:b/>
                <w:color w:val="000000"/>
              </w:rPr>
              <w:t>（一）施工期</w:t>
            </w:r>
            <w:r>
              <w:rPr>
                <w:b/>
                <w:color w:val="000000"/>
              </w:rPr>
              <w:t>环境</w:t>
            </w:r>
            <w:r>
              <w:rPr>
                <w:rFonts w:hint="eastAsia"/>
                <w:b/>
                <w:color w:val="000000"/>
              </w:rPr>
              <w:t>保护措施</w:t>
            </w:r>
          </w:p>
          <w:p>
            <w:pPr>
              <w:adjustRightInd w:val="0"/>
              <w:snapToGrid w:val="0"/>
              <w:spacing w:line="360" w:lineRule="auto"/>
              <w:ind w:firstLine="480"/>
              <w:rPr>
                <w:color w:val="000000"/>
                <w:sz w:val="24"/>
              </w:rPr>
            </w:pPr>
            <w:r>
              <w:rPr>
                <w:color w:val="000000"/>
                <w:spacing w:val="10"/>
                <w:sz w:val="24"/>
              </w:rPr>
              <w:t>项目区的环境影响主要表现在施工期间，</w:t>
            </w:r>
            <w:r>
              <w:rPr>
                <w:color w:val="000000"/>
                <w:sz w:val="24"/>
              </w:rPr>
              <w:t>施工期主要污染源随着施工阶段的不同略有差异，且施工期污染物的排放均呈阶段性排放特征。</w:t>
            </w:r>
          </w:p>
          <w:p>
            <w:pPr>
              <w:snapToGrid w:val="0"/>
              <w:spacing w:line="360" w:lineRule="auto"/>
              <w:ind w:firstLine="480" w:firstLineChars="200"/>
              <w:rPr>
                <w:color w:val="000000"/>
                <w:sz w:val="24"/>
              </w:rPr>
            </w:pPr>
            <w:r>
              <w:rPr>
                <w:color w:val="000000"/>
                <w:sz w:val="24"/>
              </w:rPr>
              <w:t>本项目建设预计总工期为</w:t>
            </w:r>
            <w:r>
              <w:rPr>
                <w:rFonts w:hint="eastAsia"/>
                <w:color w:val="000000"/>
                <w:sz w:val="24"/>
              </w:rPr>
              <w:t>4</w:t>
            </w:r>
            <w:r>
              <w:rPr>
                <w:color w:val="000000"/>
                <w:sz w:val="24"/>
              </w:rPr>
              <w:t>个月。施工建设期间，施工人数平均为</w:t>
            </w:r>
            <w:r>
              <w:rPr>
                <w:rFonts w:hint="eastAsia"/>
                <w:color w:val="000000"/>
                <w:sz w:val="24"/>
              </w:rPr>
              <w:t>40</w:t>
            </w:r>
            <w:r>
              <w:rPr>
                <w:color w:val="000000"/>
                <w:sz w:val="24"/>
              </w:rPr>
              <w:t>人。本项目不设施工营地。</w:t>
            </w:r>
          </w:p>
          <w:p>
            <w:pPr>
              <w:snapToGrid w:val="0"/>
              <w:spacing w:line="360" w:lineRule="auto"/>
              <w:rPr>
                <w:b/>
                <w:color w:val="000000"/>
                <w:sz w:val="24"/>
              </w:rPr>
            </w:pPr>
            <w:r>
              <w:rPr>
                <w:b/>
                <w:color w:val="000000"/>
                <w:sz w:val="24"/>
              </w:rPr>
              <w:t>1.1</w:t>
            </w:r>
            <w:r>
              <w:rPr>
                <w:rFonts w:hint="eastAsia"/>
                <w:b/>
                <w:color w:val="000000"/>
                <w:sz w:val="24"/>
              </w:rPr>
              <w:t>施工扬尘</w:t>
            </w:r>
          </w:p>
          <w:p>
            <w:pPr>
              <w:snapToGrid w:val="0"/>
              <w:spacing w:line="360" w:lineRule="auto"/>
              <w:ind w:firstLine="480" w:firstLineChars="200"/>
              <w:rPr>
                <w:color w:val="000000"/>
                <w:sz w:val="24"/>
              </w:rPr>
            </w:pPr>
            <w:r>
              <w:rPr>
                <w:color w:val="000000"/>
                <w:sz w:val="24"/>
              </w:rPr>
              <w:t>施工期废气主要是项目在砂石、水泥，材料等的装卸、运输过程中有尘埃散逸，汽车运送建筑材料时引起道路扬尘等。</w:t>
            </w:r>
          </w:p>
          <w:p>
            <w:pPr>
              <w:widowControl/>
              <w:snapToGrid w:val="0"/>
              <w:spacing w:line="360" w:lineRule="auto"/>
              <w:ind w:firstLine="456" w:firstLineChars="200"/>
              <w:textAlignment w:val="baseline"/>
              <w:rPr>
                <w:bCs/>
                <w:color w:val="000000"/>
                <w:spacing w:val="-6"/>
                <w:sz w:val="24"/>
              </w:rPr>
            </w:pPr>
            <w:r>
              <w:rPr>
                <w:bCs/>
                <w:color w:val="000000"/>
                <w:spacing w:val="-6"/>
                <w:sz w:val="24"/>
              </w:rPr>
              <w:t>根据《运城市2020-2021年秋冬季大气污染防治攻坚行动方案的通知》，施工期扬尘污染防治措施具体如下：</w:t>
            </w:r>
          </w:p>
          <w:p>
            <w:pPr>
              <w:widowControl/>
              <w:spacing w:line="360" w:lineRule="auto"/>
              <w:ind w:firstLine="480" w:firstLineChars="200"/>
              <w:textAlignment w:val="baseline"/>
              <w:rPr>
                <w:color w:val="000000"/>
                <w:sz w:val="24"/>
              </w:rPr>
            </w:pPr>
            <w:r>
              <w:rPr>
                <w:rFonts w:hint="eastAsia"/>
                <w:color w:val="000000"/>
                <w:sz w:val="24"/>
              </w:rPr>
              <w:t>（1）</w:t>
            </w:r>
            <w:r>
              <w:rPr>
                <w:color w:val="000000"/>
                <w:sz w:val="24"/>
              </w:rPr>
              <w:t>施工场地要进行合理规划，文明施工，尽量少占地，现场周围要经常洒水，以减少施工扬尘的扩散范围。</w:t>
            </w:r>
          </w:p>
          <w:p>
            <w:pPr>
              <w:pStyle w:val="32"/>
              <w:spacing w:line="360" w:lineRule="auto"/>
              <w:ind w:firstLine="456" w:firstLineChars="200"/>
              <w:rPr>
                <w:rFonts w:ascii="Times New Roman" w:cs="Times New Roman"/>
              </w:rPr>
            </w:pPr>
            <w:r>
              <w:rPr>
                <w:rFonts w:hint="eastAsia" w:ascii="Times New Roman" w:cs="Times New Roman"/>
                <w:bCs/>
                <w:spacing w:val="-6"/>
              </w:rPr>
              <w:t>（2）</w:t>
            </w:r>
            <w:r>
              <w:rPr>
                <w:rFonts w:ascii="Times New Roman" w:cs="Times New Roman"/>
                <w:bCs/>
                <w:spacing w:val="-6"/>
              </w:rPr>
              <w:t>确保做到工地周边围挡、物料堆放覆盖、土方开挖湿法作业、路面硬化、出入车辆清洗、渣土车辆密闭运输“六个百分之百”。</w:t>
            </w:r>
          </w:p>
          <w:p>
            <w:pPr>
              <w:widowControl/>
              <w:spacing w:line="360" w:lineRule="auto"/>
              <w:ind w:firstLine="480" w:firstLineChars="200"/>
              <w:textAlignment w:val="baseline"/>
              <w:rPr>
                <w:color w:val="000000"/>
                <w:sz w:val="24"/>
              </w:rPr>
            </w:pPr>
            <w:r>
              <w:rPr>
                <w:rFonts w:hint="eastAsia"/>
                <w:color w:val="000000"/>
                <w:sz w:val="24"/>
              </w:rPr>
              <w:t>（3）</w:t>
            </w:r>
            <w:r>
              <w:rPr>
                <w:color w:val="000000"/>
                <w:sz w:val="24"/>
              </w:rPr>
              <w:t>易产尘的建筑材料不得随意堆放，尽量避开在项目区的上风向，要有专门的堆棚，并在堆棚周围设置</w:t>
            </w:r>
            <w:r>
              <w:rPr>
                <w:rFonts w:hint="eastAsia"/>
                <w:color w:val="000000"/>
                <w:sz w:val="24"/>
              </w:rPr>
              <w:t>围挡</w:t>
            </w:r>
            <w:r>
              <w:rPr>
                <w:color w:val="000000"/>
                <w:sz w:val="24"/>
              </w:rPr>
              <w:t>，减少扬尘的产生。</w:t>
            </w:r>
          </w:p>
          <w:p>
            <w:pPr>
              <w:widowControl/>
              <w:spacing w:line="360" w:lineRule="auto"/>
              <w:ind w:firstLine="480" w:firstLineChars="200"/>
              <w:textAlignment w:val="baseline"/>
              <w:rPr>
                <w:color w:val="000000"/>
                <w:sz w:val="24"/>
              </w:rPr>
            </w:pPr>
            <w:r>
              <w:rPr>
                <w:rFonts w:hint="eastAsia"/>
                <w:color w:val="000000"/>
                <w:sz w:val="24"/>
              </w:rPr>
              <w:t>（4）</w:t>
            </w:r>
            <w:r>
              <w:rPr>
                <w:color w:val="000000"/>
                <w:sz w:val="24"/>
              </w:rPr>
              <w:t>混凝土须购买商品混凝土，不得在施工现场搅拌。</w:t>
            </w:r>
          </w:p>
          <w:p>
            <w:pPr>
              <w:widowControl/>
              <w:spacing w:line="360" w:lineRule="auto"/>
              <w:ind w:firstLine="480" w:firstLineChars="200"/>
              <w:textAlignment w:val="baseline"/>
              <w:rPr>
                <w:color w:val="000000"/>
                <w:sz w:val="24"/>
              </w:rPr>
            </w:pPr>
            <w:r>
              <w:rPr>
                <w:rFonts w:hint="eastAsia"/>
                <w:color w:val="000000"/>
                <w:sz w:val="24"/>
              </w:rPr>
              <w:t>（5）</w:t>
            </w:r>
            <w:r>
              <w:rPr>
                <w:color w:val="000000"/>
                <w:sz w:val="24"/>
              </w:rPr>
              <w:t>建筑材料的运输车辆一定要用篷布加盖严实，严禁沿路抛洒，减少运输中二次扬尘的产生。并且要求运输车辆进入生活区应低速行驶，减轻对周围环境的影响。</w:t>
            </w:r>
          </w:p>
          <w:p>
            <w:pPr>
              <w:widowControl/>
              <w:spacing w:line="360" w:lineRule="auto"/>
              <w:ind w:firstLine="480" w:firstLineChars="200"/>
              <w:textAlignment w:val="baseline"/>
              <w:rPr>
                <w:color w:val="000000"/>
                <w:sz w:val="24"/>
              </w:rPr>
            </w:pPr>
            <w:r>
              <w:rPr>
                <w:rFonts w:hint="eastAsia"/>
                <w:color w:val="000000"/>
                <w:sz w:val="24"/>
              </w:rPr>
              <w:t>（6）</w:t>
            </w:r>
            <w:r>
              <w:rPr>
                <w:color w:val="000000"/>
                <w:sz w:val="24"/>
              </w:rPr>
              <w:t>进出工地的物料、渣土、垃圾运输车辆应尽可能采用密闭车斗，并保证物料不遗撒外漏。若无密闭车斗，物料、垃圾、渣土的装载高度不得超过车辆槽帮上沿，车斗应用苫布遮盖严实。苫布边缘至少要遮住槽帮上沿以下15厘米，保证物料、渣土、垃圾等不露出。车辆应按照批准的路线和时间进行物料、渣土、垃圾的运输。</w:t>
            </w:r>
          </w:p>
          <w:p>
            <w:pPr>
              <w:snapToGrid w:val="0"/>
              <w:spacing w:line="360" w:lineRule="auto"/>
              <w:ind w:firstLine="480" w:firstLineChars="200"/>
              <w:rPr>
                <w:color w:val="000000"/>
                <w:sz w:val="24"/>
              </w:rPr>
            </w:pPr>
            <w:r>
              <w:rPr>
                <w:color w:val="000000"/>
                <w:sz w:val="24"/>
              </w:rPr>
              <w:t>采取以上措施后，施工期废气对周围环境影响很小。</w:t>
            </w:r>
          </w:p>
          <w:p>
            <w:pPr>
              <w:tabs>
                <w:tab w:val="left" w:pos="1200"/>
              </w:tabs>
              <w:spacing w:line="360" w:lineRule="auto"/>
              <w:jc w:val="left"/>
              <w:rPr>
                <w:b/>
                <w:color w:val="000000"/>
                <w:sz w:val="24"/>
              </w:rPr>
            </w:pPr>
            <w:r>
              <w:rPr>
                <w:b/>
                <w:color w:val="000000"/>
                <w:sz w:val="24"/>
              </w:rPr>
              <w:t>1.2噪声</w:t>
            </w:r>
          </w:p>
          <w:p>
            <w:pPr>
              <w:tabs>
                <w:tab w:val="left" w:pos="1200"/>
              </w:tabs>
              <w:spacing w:line="360" w:lineRule="auto"/>
              <w:ind w:firstLine="480" w:firstLineChars="200"/>
              <w:rPr>
                <w:color w:val="000000"/>
                <w:sz w:val="24"/>
              </w:rPr>
            </w:pPr>
            <w:r>
              <w:rPr>
                <w:color w:val="000000"/>
                <w:sz w:val="24"/>
              </w:rPr>
              <w:t>为了尽量减少本项目施工噪声的不利影响，评价采取以下控制措施：</w:t>
            </w:r>
          </w:p>
          <w:p>
            <w:pPr>
              <w:adjustRightInd w:val="0"/>
              <w:snapToGrid w:val="0"/>
              <w:spacing w:line="360" w:lineRule="auto"/>
              <w:ind w:firstLine="480" w:firstLineChars="200"/>
              <w:rPr>
                <w:color w:val="000000"/>
                <w:sz w:val="24"/>
              </w:rPr>
            </w:pPr>
            <w:r>
              <w:rPr>
                <w:rFonts w:hint="eastAsia"/>
                <w:color w:val="000000"/>
                <w:sz w:val="24"/>
              </w:rPr>
              <w:t>（1）</w:t>
            </w:r>
            <w:r>
              <w:rPr>
                <w:color w:val="000000"/>
                <w:sz w:val="24"/>
              </w:rPr>
              <w:t>从声源上控制：建设单位与施工单位签定合同时，要求其使用的主要机械设备为低噪声机械设备。同时在施工过程中施工单位应设专人对设备进行定期保养维护，并负责对现场工作人员进行培训，严格按操作规范操作机械，保证车辆和施工机械处于良好的运行状态，以降低噪声；</w:t>
            </w:r>
          </w:p>
          <w:p>
            <w:pPr>
              <w:adjustRightInd w:val="0"/>
              <w:snapToGrid w:val="0"/>
              <w:spacing w:line="360" w:lineRule="auto"/>
              <w:ind w:firstLine="480" w:firstLineChars="200"/>
              <w:rPr>
                <w:color w:val="000000"/>
                <w:sz w:val="24"/>
              </w:rPr>
            </w:pPr>
            <w:r>
              <w:rPr>
                <w:rFonts w:hint="eastAsia"/>
                <w:color w:val="000000"/>
                <w:sz w:val="24"/>
              </w:rPr>
              <w:t>（2）</w:t>
            </w:r>
            <w:r>
              <w:rPr>
                <w:color w:val="000000"/>
                <w:sz w:val="24"/>
              </w:rPr>
              <w:t>合理安排施工时间，严禁在12：00~14：00和22：00~6：00施工；</w:t>
            </w:r>
          </w:p>
          <w:p>
            <w:pPr>
              <w:adjustRightInd w:val="0"/>
              <w:snapToGrid w:val="0"/>
              <w:spacing w:line="360" w:lineRule="auto"/>
              <w:ind w:firstLine="480" w:firstLineChars="200"/>
              <w:rPr>
                <w:color w:val="000000"/>
                <w:sz w:val="24"/>
              </w:rPr>
            </w:pPr>
            <w:r>
              <w:rPr>
                <w:rFonts w:hint="eastAsia"/>
                <w:color w:val="000000"/>
                <w:sz w:val="24"/>
              </w:rPr>
              <w:t>（3）</w:t>
            </w:r>
            <w:r>
              <w:rPr>
                <w:color w:val="000000"/>
                <w:sz w:val="24"/>
              </w:rPr>
              <w:t>使用商品混凝土，避免混凝土搅拌机等噪声影响；</w:t>
            </w:r>
          </w:p>
          <w:p>
            <w:pPr>
              <w:adjustRightInd w:val="0"/>
              <w:snapToGrid w:val="0"/>
              <w:spacing w:line="360" w:lineRule="auto"/>
              <w:ind w:firstLine="480" w:firstLineChars="200"/>
              <w:rPr>
                <w:color w:val="000000"/>
                <w:sz w:val="24"/>
              </w:rPr>
            </w:pPr>
            <w:r>
              <w:rPr>
                <w:rFonts w:hint="eastAsia"/>
                <w:color w:val="000000"/>
                <w:sz w:val="24"/>
              </w:rPr>
              <w:t>（4）</w:t>
            </w:r>
            <w:r>
              <w:rPr>
                <w:color w:val="000000"/>
                <w:sz w:val="24"/>
                <w:szCs w:val="22"/>
              </w:rPr>
              <w:t>加强对施工车辆的进出管理，尽量缩短汽车的怠速停留时间，禁止车辆鸣笛；</w:t>
            </w:r>
          </w:p>
          <w:p>
            <w:pPr>
              <w:adjustRightInd w:val="0"/>
              <w:snapToGrid w:val="0"/>
              <w:spacing w:line="360" w:lineRule="auto"/>
              <w:ind w:firstLine="480" w:firstLineChars="200"/>
              <w:rPr>
                <w:color w:val="000000"/>
                <w:sz w:val="24"/>
              </w:rPr>
            </w:pPr>
            <w:r>
              <w:rPr>
                <w:rFonts w:hint="eastAsia"/>
                <w:color w:val="000000"/>
                <w:sz w:val="24"/>
              </w:rPr>
              <w:t>（5）</w:t>
            </w:r>
            <w:r>
              <w:rPr>
                <w:color w:val="000000"/>
                <w:sz w:val="24"/>
              </w:rPr>
              <w:t>建设管理部门应加强对施工现场的噪声管理，施工企业也应对施工噪声进行自律，文明施工，避免因噪声产生纠纷。</w:t>
            </w:r>
          </w:p>
          <w:p>
            <w:pPr>
              <w:spacing w:line="360" w:lineRule="auto"/>
              <w:rPr>
                <w:b/>
                <w:color w:val="000000"/>
                <w:sz w:val="24"/>
              </w:rPr>
            </w:pPr>
            <w:r>
              <w:rPr>
                <w:b/>
                <w:color w:val="000000"/>
                <w:sz w:val="24"/>
              </w:rPr>
              <w:t>1.3</w:t>
            </w:r>
            <w:r>
              <w:rPr>
                <w:rFonts w:hint="eastAsia"/>
                <w:b/>
                <w:color w:val="000000"/>
                <w:sz w:val="24"/>
              </w:rPr>
              <w:t>废水</w:t>
            </w:r>
          </w:p>
          <w:p>
            <w:pPr>
              <w:spacing w:line="360" w:lineRule="auto"/>
              <w:ind w:firstLine="480"/>
              <w:rPr>
                <w:color w:val="000000"/>
                <w:sz w:val="24"/>
                <w:szCs w:val="32"/>
              </w:rPr>
            </w:pPr>
            <w:r>
              <w:rPr>
                <w:color w:val="000000"/>
                <w:sz w:val="24"/>
                <w:szCs w:val="32"/>
              </w:rPr>
              <w:t>项目施工期废水主要为机械车辆冲洗废水、施工人员生活污水。</w:t>
            </w:r>
          </w:p>
          <w:p>
            <w:pPr>
              <w:adjustRightInd w:val="0"/>
              <w:snapToGrid w:val="0"/>
              <w:spacing w:line="360" w:lineRule="auto"/>
              <w:ind w:firstLine="480"/>
              <w:rPr>
                <w:color w:val="000000"/>
                <w:sz w:val="24"/>
                <w:szCs w:val="32"/>
              </w:rPr>
            </w:pPr>
            <w:r>
              <w:rPr>
                <w:color w:val="000000"/>
                <w:sz w:val="24"/>
                <w:szCs w:val="32"/>
              </w:rPr>
              <w:t>车辆冲洗水成份相对比较简单，污染物浓度低，水量较少，</w:t>
            </w:r>
            <w:r>
              <w:rPr>
                <w:rFonts w:hint="eastAsia"/>
                <w:color w:val="000000"/>
                <w:sz w:val="24"/>
                <w:szCs w:val="32"/>
              </w:rPr>
              <w:t>收集沉淀后进行回用</w:t>
            </w:r>
            <w:r>
              <w:rPr>
                <w:color w:val="000000"/>
                <w:sz w:val="24"/>
                <w:szCs w:val="32"/>
              </w:rPr>
              <w:t>；施工期间作业人员不在厂内食宿，产生的生活废水量较少，生活废水经</w:t>
            </w:r>
            <w:r>
              <w:rPr>
                <w:color w:val="000000"/>
                <w:sz w:val="24"/>
              </w:rPr>
              <w:t>2m</w:t>
            </w:r>
            <w:r>
              <w:rPr>
                <w:color w:val="000000"/>
                <w:sz w:val="24"/>
                <w:vertAlign w:val="superscript"/>
              </w:rPr>
              <w:t>3</w:t>
            </w:r>
            <w:r>
              <w:rPr>
                <w:color w:val="000000"/>
                <w:sz w:val="24"/>
                <w:szCs w:val="32"/>
              </w:rPr>
              <w:t>沉淀池沉淀后，用于场地洒水。</w:t>
            </w:r>
          </w:p>
          <w:p>
            <w:pPr>
              <w:adjustRightInd w:val="0"/>
              <w:snapToGrid w:val="0"/>
              <w:spacing w:line="360" w:lineRule="auto"/>
              <w:ind w:firstLine="480"/>
              <w:rPr>
                <w:color w:val="000000"/>
                <w:sz w:val="24"/>
              </w:rPr>
            </w:pPr>
            <w:r>
              <w:rPr>
                <w:color w:val="000000"/>
                <w:sz w:val="24"/>
                <w:szCs w:val="32"/>
              </w:rPr>
              <w:t>采取措施后，施工期间产生的废水对环境的影响较小。</w:t>
            </w:r>
          </w:p>
          <w:p>
            <w:pPr>
              <w:spacing w:line="360" w:lineRule="auto"/>
              <w:rPr>
                <w:b/>
                <w:color w:val="000000"/>
                <w:sz w:val="24"/>
              </w:rPr>
            </w:pPr>
            <w:r>
              <w:rPr>
                <w:b/>
                <w:color w:val="000000"/>
                <w:sz w:val="24"/>
              </w:rPr>
              <w:t>1.4固体废物</w:t>
            </w:r>
          </w:p>
          <w:p>
            <w:pPr>
              <w:spacing w:line="360" w:lineRule="auto"/>
              <w:ind w:firstLine="480" w:firstLineChars="200"/>
              <w:rPr>
                <w:color w:val="000000"/>
                <w:sz w:val="24"/>
              </w:rPr>
            </w:pPr>
            <w:r>
              <w:rPr>
                <w:color w:val="000000"/>
                <w:sz w:val="24"/>
              </w:rPr>
              <w:t>施工产生的固体废物主要有施工人员的生活垃圾、钢结构产生的废角料、废装修材料等。经现场勘测，项目所在地面起伏不大，建设项目挖方量较少，主要为土地平整。这些废弃物处置不明确或无规划乱丢乱放，将影响当地环境质量，容易造成二次污染。</w:t>
            </w:r>
          </w:p>
          <w:p>
            <w:pPr>
              <w:snapToGrid w:val="0"/>
              <w:spacing w:line="360" w:lineRule="auto"/>
              <w:rPr>
                <w:color w:val="000000"/>
                <w:sz w:val="24"/>
              </w:rPr>
            </w:pPr>
            <w:r>
              <w:rPr>
                <w:color w:val="000000"/>
                <w:sz w:val="24"/>
              </w:rPr>
              <w:t>因此，施工单位对于施工中产生的钢结构废角料收集后出售给废品收购站，</w:t>
            </w:r>
            <w:r>
              <w:rPr>
                <w:rFonts w:hint="eastAsia"/>
                <w:color w:val="000000"/>
                <w:sz w:val="24"/>
                <w:szCs w:val="32"/>
              </w:rPr>
              <w:t>不可利用建筑垃圾送垃圾填埋场进行填埋处理，</w:t>
            </w:r>
            <w:r>
              <w:rPr>
                <w:color w:val="000000"/>
                <w:sz w:val="24"/>
              </w:rPr>
              <w:t>生活垃圾和装修材料集中收集，收集后委托环卫部门</w:t>
            </w:r>
            <w:r>
              <w:rPr>
                <w:rFonts w:hint="eastAsia"/>
                <w:color w:val="000000"/>
                <w:sz w:val="24"/>
              </w:rPr>
              <w:t>进行</w:t>
            </w:r>
            <w:r>
              <w:rPr>
                <w:color w:val="000000"/>
                <w:sz w:val="24"/>
              </w:rPr>
              <w:t>处理。</w:t>
            </w:r>
          </w:p>
          <w:p>
            <w:pPr>
              <w:snapToGrid w:val="0"/>
              <w:spacing w:line="360" w:lineRule="auto"/>
              <w:rPr>
                <w:b/>
                <w:color w:val="000000"/>
                <w:sz w:val="24"/>
              </w:rPr>
            </w:pPr>
            <w:r>
              <w:rPr>
                <w:b/>
                <w:color w:val="000000"/>
                <w:sz w:val="24"/>
              </w:rPr>
              <w:t>1.5生态环境</w:t>
            </w:r>
          </w:p>
          <w:p>
            <w:pPr>
              <w:snapToGrid w:val="0"/>
              <w:spacing w:line="360" w:lineRule="auto"/>
              <w:ind w:firstLine="496" w:firstLineChars="200"/>
              <w:rPr>
                <w:color w:val="000000"/>
                <w:spacing w:val="4"/>
                <w:sz w:val="24"/>
              </w:rPr>
            </w:pPr>
            <w:r>
              <w:rPr>
                <w:color w:val="000000"/>
                <w:spacing w:val="4"/>
                <w:sz w:val="24"/>
              </w:rPr>
              <w:t>项目施工时废建筑材料临时堆放时以及施工结束前后地表硬化、绿化工作尚未完成时，都将造成土壤裸露。遇雨时，尤其是暴雨时，将会造成水土流失。</w:t>
            </w:r>
          </w:p>
          <w:p>
            <w:pPr>
              <w:autoSpaceDN w:val="0"/>
              <w:spacing w:line="360" w:lineRule="auto"/>
              <w:ind w:firstLine="496" w:firstLineChars="200"/>
              <w:rPr>
                <w:color w:val="000000"/>
                <w:spacing w:val="4"/>
                <w:sz w:val="24"/>
              </w:rPr>
            </w:pPr>
            <w:r>
              <w:rPr>
                <w:color w:val="000000"/>
                <w:spacing w:val="4"/>
                <w:sz w:val="24"/>
              </w:rPr>
              <w:t>施工期应严格控制施工范围，施工活动严格控制在项目占地范围内，不占用场区以外用地；施工完成后及时进行绿化、硬化，通过人工绿化措施使其生态环境得到恢复，减缓项目建设对周围生态环境的影响。</w:t>
            </w:r>
          </w:p>
          <w:p>
            <w:pPr>
              <w:spacing w:line="360" w:lineRule="auto"/>
              <w:ind w:firstLine="496" w:firstLineChars="200"/>
              <w:rPr>
                <w:color w:val="000000"/>
                <w:sz w:val="24"/>
              </w:rPr>
            </w:pPr>
            <w:r>
              <w:rPr>
                <w:color w:val="000000"/>
                <w:spacing w:val="4"/>
                <w:sz w:val="24"/>
              </w:rPr>
              <w:t>施工期环境影响是暂时的，随施工期的结束而消失</w:t>
            </w:r>
            <w:r>
              <w:rPr>
                <w:color w:val="000000"/>
                <w:sz w:val="24"/>
              </w:rPr>
              <w:t>。</w:t>
            </w: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rFonts w:hint="eastAsia"/>
                <w:sz w:val="24"/>
              </w:rPr>
            </w:pPr>
          </w:p>
          <w:p>
            <w:pPr>
              <w:rPr>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9" w:hRule="atLeast"/>
          <w:jc w:val="center"/>
        </w:trPr>
        <w:tc>
          <w:tcPr>
            <w:tcW w:w="760" w:type="dxa"/>
            <w:tcMar>
              <w:left w:w="28" w:type="dxa"/>
              <w:right w:w="28" w:type="dxa"/>
            </w:tcMar>
            <w:vAlign w:val="center"/>
          </w:tcPr>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pStyle w:val="32"/>
            </w:pPr>
          </w:p>
          <w:p>
            <w:pPr>
              <w:adjustRightInd w:val="0"/>
              <w:snapToGrid w:val="0"/>
              <w:jc w:val="center"/>
              <w:rPr>
                <w:color w:val="000000"/>
              </w:rPr>
            </w:pPr>
          </w:p>
          <w:p>
            <w:pPr>
              <w:adjustRightInd w:val="0"/>
              <w:snapToGrid w:val="0"/>
              <w:jc w:val="center"/>
              <w:rPr>
                <w:color w:val="000000"/>
              </w:rPr>
            </w:pPr>
            <w:r>
              <w:rPr>
                <w:color w:val="000000"/>
              </w:rPr>
              <w:t>运营</w:t>
            </w:r>
          </w:p>
          <w:p>
            <w:pPr>
              <w:adjustRightInd w:val="0"/>
              <w:snapToGrid w:val="0"/>
              <w:jc w:val="center"/>
              <w:rPr>
                <w:color w:val="000000"/>
              </w:rPr>
            </w:pPr>
            <w:r>
              <w:rPr>
                <w:color w:val="000000"/>
              </w:rPr>
              <w:t>期环</w:t>
            </w:r>
          </w:p>
          <w:p>
            <w:pPr>
              <w:adjustRightInd w:val="0"/>
              <w:snapToGrid w:val="0"/>
              <w:jc w:val="center"/>
              <w:rPr>
                <w:color w:val="000000"/>
              </w:rPr>
            </w:pPr>
            <w:r>
              <w:rPr>
                <w:color w:val="000000"/>
              </w:rPr>
              <w:t>境影</w:t>
            </w:r>
          </w:p>
          <w:p>
            <w:pPr>
              <w:adjustRightInd w:val="0"/>
              <w:snapToGrid w:val="0"/>
              <w:jc w:val="center"/>
              <w:rPr>
                <w:color w:val="000000"/>
              </w:rPr>
            </w:pPr>
            <w:r>
              <w:rPr>
                <w:color w:val="000000"/>
              </w:rPr>
              <w:t>响和</w:t>
            </w:r>
          </w:p>
          <w:p>
            <w:pPr>
              <w:adjustRightInd w:val="0"/>
              <w:snapToGrid w:val="0"/>
              <w:jc w:val="center"/>
              <w:rPr>
                <w:color w:val="000000"/>
              </w:rPr>
            </w:pPr>
            <w:r>
              <w:rPr>
                <w:color w:val="000000"/>
              </w:rPr>
              <w:t>保护</w:t>
            </w:r>
          </w:p>
          <w:p>
            <w:pPr>
              <w:adjustRightInd w:val="0"/>
              <w:snapToGrid w:val="0"/>
              <w:jc w:val="center"/>
              <w:rPr>
                <w:color w:val="000000"/>
              </w:rPr>
            </w:pPr>
            <w:r>
              <w:rPr>
                <w:color w:val="000000"/>
              </w:rPr>
              <w:t>措施</w:t>
            </w: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adjustRightInd w:val="0"/>
              <w:snapToGrid w:val="0"/>
              <w:jc w:val="center"/>
              <w:rPr>
                <w:color w:val="000000"/>
              </w:rPr>
            </w:pPr>
            <w:r>
              <w:rPr>
                <w:color w:val="000000"/>
              </w:rPr>
              <w:t>运营</w:t>
            </w:r>
          </w:p>
          <w:p>
            <w:pPr>
              <w:adjustRightInd w:val="0"/>
              <w:snapToGrid w:val="0"/>
              <w:jc w:val="center"/>
              <w:rPr>
                <w:color w:val="000000"/>
              </w:rPr>
            </w:pPr>
            <w:r>
              <w:rPr>
                <w:color w:val="000000"/>
              </w:rPr>
              <w:t>期环</w:t>
            </w:r>
          </w:p>
          <w:p>
            <w:pPr>
              <w:adjustRightInd w:val="0"/>
              <w:snapToGrid w:val="0"/>
              <w:jc w:val="center"/>
              <w:rPr>
                <w:color w:val="000000"/>
              </w:rPr>
            </w:pPr>
            <w:r>
              <w:rPr>
                <w:color w:val="000000"/>
              </w:rPr>
              <w:t>境影</w:t>
            </w:r>
          </w:p>
          <w:p>
            <w:pPr>
              <w:adjustRightInd w:val="0"/>
              <w:snapToGrid w:val="0"/>
              <w:jc w:val="center"/>
              <w:rPr>
                <w:color w:val="000000"/>
              </w:rPr>
            </w:pPr>
            <w:r>
              <w:rPr>
                <w:color w:val="000000"/>
              </w:rPr>
              <w:t>响和</w:t>
            </w:r>
          </w:p>
          <w:p>
            <w:pPr>
              <w:adjustRightInd w:val="0"/>
              <w:snapToGrid w:val="0"/>
              <w:jc w:val="center"/>
              <w:rPr>
                <w:color w:val="000000"/>
                <w:szCs w:val="21"/>
              </w:rPr>
            </w:pPr>
            <w:r>
              <w:rPr>
                <w:color w:val="000000"/>
                <w:szCs w:val="21"/>
              </w:rPr>
              <w:t>保护</w:t>
            </w:r>
          </w:p>
          <w:p>
            <w:pPr>
              <w:pStyle w:val="32"/>
              <w:jc w:val="center"/>
              <w:rPr>
                <w:sz w:val="21"/>
                <w:szCs w:val="21"/>
              </w:rPr>
            </w:pPr>
            <w:r>
              <w:rPr>
                <w:sz w:val="21"/>
                <w:szCs w:val="21"/>
              </w:rPr>
              <w:t>措施</w:t>
            </w: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32"/>
            </w:pPr>
          </w:p>
          <w:p>
            <w:pPr>
              <w:pStyle w:val="11"/>
              <w:ind w:firstLine="480"/>
              <w:rPr>
                <w:color w:val="000000"/>
              </w:rPr>
            </w:pPr>
          </w:p>
          <w:p>
            <w:pPr>
              <w:rPr>
                <w:color w:val="000000"/>
              </w:rPr>
            </w:pPr>
          </w:p>
          <w:p>
            <w:pPr>
              <w:pStyle w:val="11"/>
              <w:ind w:firstLine="480"/>
              <w:rPr>
                <w:color w:val="000000"/>
              </w:rPr>
            </w:pPr>
          </w:p>
        </w:tc>
        <w:tc>
          <w:tcPr>
            <w:tcW w:w="8311" w:type="dxa"/>
            <w:vAlign w:val="center"/>
          </w:tcPr>
          <w:p>
            <w:pPr>
              <w:spacing w:line="360" w:lineRule="auto"/>
              <w:jc w:val="left"/>
              <w:rPr>
                <w:b/>
                <w:bCs/>
                <w:kern w:val="0"/>
                <w:sz w:val="24"/>
              </w:rPr>
            </w:pPr>
            <w:r>
              <w:rPr>
                <w:rFonts w:hint="eastAsia"/>
                <w:b/>
                <w:bCs/>
                <w:kern w:val="0"/>
                <w:sz w:val="24"/>
              </w:rPr>
              <w:t>1</w:t>
            </w:r>
            <w:r>
              <w:rPr>
                <w:b/>
                <w:bCs/>
                <w:kern w:val="0"/>
                <w:sz w:val="24"/>
              </w:rPr>
              <w:t>、</w:t>
            </w:r>
            <w:r>
              <w:rPr>
                <w:rFonts w:hint="eastAsia"/>
                <w:b/>
                <w:bCs/>
                <w:kern w:val="0"/>
                <w:sz w:val="24"/>
              </w:rPr>
              <w:t>大气</w:t>
            </w:r>
            <w:r>
              <w:rPr>
                <w:b/>
                <w:bCs/>
                <w:kern w:val="0"/>
                <w:sz w:val="24"/>
              </w:rPr>
              <w:t>环境影响分析</w:t>
            </w:r>
            <w:r>
              <w:rPr>
                <w:rFonts w:hint="eastAsia"/>
                <w:b/>
                <w:bCs/>
                <w:kern w:val="0"/>
                <w:sz w:val="24"/>
              </w:rPr>
              <w:t>和环保措施</w:t>
            </w:r>
          </w:p>
          <w:p>
            <w:pPr>
              <w:spacing w:line="360" w:lineRule="auto"/>
              <w:rPr>
                <w:b/>
                <w:bCs/>
                <w:kern w:val="0"/>
                <w:sz w:val="24"/>
              </w:rPr>
            </w:pPr>
            <w:r>
              <w:rPr>
                <w:rFonts w:hint="eastAsia"/>
                <w:b/>
                <w:bCs/>
                <w:kern w:val="0"/>
                <w:sz w:val="24"/>
              </w:rPr>
              <w:t>1.1污染物源强核算</w:t>
            </w:r>
          </w:p>
          <w:p>
            <w:pPr>
              <w:spacing w:line="360" w:lineRule="auto"/>
              <w:ind w:firstLine="480" w:firstLineChars="200"/>
              <w:rPr>
                <w:sz w:val="24"/>
              </w:rPr>
            </w:pPr>
            <w:r>
              <w:rPr>
                <w:rFonts w:hint="eastAsia"/>
                <w:sz w:val="24"/>
                <w:szCs w:val="20"/>
              </w:rPr>
              <w:t>本项目大气污染物为生物质热风炉燃烧产生的烟气，本项目热风炉年运行2400h。</w:t>
            </w:r>
            <w:r>
              <w:rPr>
                <w:rFonts w:hint="eastAsia"/>
                <w:sz w:val="24"/>
              </w:rPr>
              <w:t>参照《排污许可证申请与核发技术规范 锅炉》（HJ953-2018）以及</w:t>
            </w:r>
            <w:r>
              <w:rPr>
                <w:rFonts w:hint="eastAsia"/>
                <w:kern w:val="0"/>
                <w:sz w:val="24"/>
              </w:rPr>
              <w:t>《排放源统计调查产排污核算方法和系数手册》（环境部公告2021年第24号）核算本项目废气污染物源强如下：</w:t>
            </w:r>
          </w:p>
          <w:p>
            <w:pPr>
              <w:spacing w:line="360" w:lineRule="auto"/>
              <w:ind w:firstLine="480" w:firstLineChars="200"/>
              <w:rPr>
                <w:kern w:val="0"/>
                <w:sz w:val="24"/>
              </w:rPr>
            </w:pPr>
            <w:r>
              <w:rPr>
                <w:rFonts w:hint="eastAsia"/>
                <w:kern w:val="0"/>
                <w:sz w:val="24"/>
              </w:rPr>
              <w:drawing>
                <wp:anchor distT="0" distB="0" distL="114300" distR="114300" simplePos="0" relativeHeight="251692032" behindDoc="0" locked="0" layoutInCell="1" allowOverlap="1">
                  <wp:simplePos x="0" y="0"/>
                  <wp:positionH relativeFrom="column">
                    <wp:posOffset>674370</wp:posOffset>
                  </wp:positionH>
                  <wp:positionV relativeFrom="paragraph">
                    <wp:posOffset>842010</wp:posOffset>
                  </wp:positionV>
                  <wp:extent cx="1944370" cy="262255"/>
                  <wp:effectExtent l="19050" t="0" r="0" b="0"/>
                  <wp:wrapNone/>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noChangeArrowheads="1"/>
                          </pic:cNvPicPr>
                        </pic:nvPicPr>
                        <pic:blipFill>
                          <a:blip r:embed="rId8"/>
                          <a:srcRect/>
                          <a:stretch>
                            <a:fillRect/>
                          </a:stretch>
                        </pic:blipFill>
                        <pic:spPr>
                          <a:xfrm>
                            <a:off x="0" y="0"/>
                            <a:ext cx="1944370" cy="262255"/>
                          </a:xfrm>
                          <a:prstGeom prst="rect">
                            <a:avLst/>
                          </a:prstGeom>
                          <a:noFill/>
                          <a:ln w="9525">
                            <a:noFill/>
                            <a:miter lim="800000"/>
                            <a:headEnd/>
                            <a:tailEnd/>
                          </a:ln>
                        </pic:spPr>
                      </pic:pic>
                    </a:graphicData>
                  </a:graphic>
                </wp:anchor>
              </w:drawing>
            </w:r>
            <w:r>
              <w:rPr>
                <w:rFonts w:hint="eastAsia"/>
                <w:kern w:val="0"/>
                <w:sz w:val="24"/>
              </w:rPr>
              <w:t>烟气量：参照《排污许可证申请与核发技术规范 锅炉》（HJ953-2018）中经验公式估算法，</w:t>
            </w:r>
            <w:r>
              <w:rPr>
                <w:rFonts w:hint="eastAsia"/>
                <w:sz w:val="24"/>
                <w:szCs w:val="20"/>
              </w:rPr>
              <w:t>当燃料收到基低位发热量</w:t>
            </w:r>
            <w:r>
              <w:rPr>
                <w:rFonts w:hint="eastAsia"/>
                <w:sz w:val="24"/>
              </w:rPr>
              <w:t>Q</w:t>
            </w:r>
            <w:r>
              <w:rPr>
                <w:rFonts w:hint="eastAsia"/>
                <w:sz w:val="24"/>
                <w:vertAlign w:val="subscript"/>
              </w:rPr>
              <w:t>net,ar</w:t>
            </w:r>
            <w:r>
              <w:rPr>
                <w:rFonts w:hint="eastAsia"/>
                <w:sz w:val="24"/>
              </w:rPr>
              <w:t>≥12.54MJ/kg，燃料干燥无灰基挥发分V</w:t>
            </w:r>
            <w:r>
              <w:rPr>
                <w:rFonts w:hint="eastAsia"/>
                <w:sz w:val="24"/>
                <w:vertAlign w:val="subscript"/>
              </w:rPr>
              <w:t>daf</w:t>
            </w:r>
            <w:r>
              <w:rPr>
                <w:rFonts w:hint="eastAsia"/>
                <w:sz w:val="24"/>
              </w:rPr>
              <w:t>≥15%时，燃生物质锅炉的基准烟气量：</w:t>
            </w:r>
          </w:p>
          <w:p>
            <w:pPr>
              <w:spacing w:line="360" w:lineRule="auto"/>
              <w:ind w:firstLine="480" w:firstLineChars="200"/>
              <w:rPr>
                <w:sz w:val="24"/>
                <w:szCs w:val="20"/>
              </w:rPr>
            </w:pPr>
          </w:p>
          <w:p>
            <w:pPr>
              <w:spacing w:line="360" w:lineRule="auto"/>
              <w:ind w:firstLine="480" w:firstLineChars="200"/>
              <w:rPr>
                <w:kern w:val="0"/>
                <w:sz w:val="24"/>
              </w:rPr>
            </w:pPr>
            <w:r>
              <w:rPr>
                <w:rFonts w:hint="eastAsia"/>
                <w:kern w:val="0"/>
                <w:sz w:val="24"/>
              </w:rPr>
              <w:t>式中：V</w:t>
            </w:r>
            <w:r>
              <w:rPr>
                <w:rFonts w:hint="eastAsia"/>
                <w:kern w:val="0"/>
                <w:sz w:val="24"/>
                <w:vertAlign w:val="subscript"/>
              </w:rPr>
              <w:t>gy</w:t>
            </w:r>
            <w:r>
              <w:rPr>
                <w:rFonts w:hint="eastAsia"/>
                <w:kern w:val="0"/>
                <w:sz w:val="24"/>
              </w:rPr>
              <w:t>—基准烟气量，标立方米/千克</w:t>
            </w:r>
          </w:p>
          <w:p>
            <w:pPr>
              <w:spacing w:line="360" w:lineRule="auto"/>
              <w:ind w:firstLine="480" w:firstLineChars="200"/>
              <w:rPr>
                <w:kern w:val="0"/>
                <w:sz w:val="24"/>
              </w:rPr>
            </w:pPr>
            <w:r>
              <w:rPr>
                <w:rFonts w:hint="eastAsia"/>
                <w:kern w:val="0"/>
                <w:sz w:val="24"/>
              </w:rPr>
              <w:t xml:space="preserve">      </w:t>
            </w:r>
            <w:r>
              <w:rPr>
                <w:rFonts w:hint="eastAsia"/>
                <w:sz w:val="24"/>
              </w:rPr>
              <w:t>Q</w:t>
            </w:r>
            <w:r>
              <w:rPr>
                <w:rFonts w:hint="eastAsia"/>
                <w:sz w:val="24"/>
                <w:vertAlign w:val="subscript"/>
              </w:rPr>
              <w:t>net,ar</w:t>
            </w:r>
            <w:r>
              <w:rPr>
                <w:rFonts w:hint="eastAsia"/>
                <w:kern w:val="0"/>
                <w:sz w:val="24"/>
              </w:rPr>
              <w:t>—</w:t>
            </w:r>
            <w:r>
              <w:rPr>
                <w:rFonts w:hint="eastAsia"/>
                <w:sz w:val="24"/>
                <w:szCs w:val="20"/>
              </w:rPr>
              <w:t>燃料收到基低位发热量</w:t>
            </w:r>
            <w:r>
              <w:rPr>
                <w:rFonts w:hint="eastAsia"/>
                <w:kern w:val="0"/>
                <w:sz w:val="24"/>
              </w:rPr>
              <w:t>（MJ/kg），取16.9</w:t>
            </w:r>
          </w:p>
          <w:p>
            <w:pPr>
              <w:spacing w:line="360" w:lineRule="auto"/>
              <w:ind w:firstLine="480" w:firstLineChars="200"/>
              <w:rPr>
                <w:sz w:val="24"/>
                <w:szCs w:val="20"/>
              </w:rPr>
            </w:pPr>
            <w:r>
              <w:rPr>
                <w:rFonts w:hint="eastAsia"/>
                <w:sz w:val="24"/>
                <w:szCs w:val="20"/>
              </w:rPr>
              <w:t>经计算，热风炉的基准烟气量约为7.5Nm</w:t>
            </w:r>
            <w:r>
              <w:rPr>
                <w:rFonts w:hint="eastAsia"/>
                <w:sz w:val="24"/>
                <w:szCs w:val="20"/>
                <w:vertAlign w:val="superscript"/>
              </w:rPr>
              <w:t>3</w:t>
            </w:r>
            <w:r>
              <w:rPr>
                <w:rFonts w:hint="eastAsia"/>
                <w:sz w:val="24"/>
                <w:szCs w:val="20"/>
              </w:rPr>
              <w:t>/kg，1#热风炉年用生物质颗粒燃料2000t，则产生的烟气量约为1500</w:t>
            </w:r>
            <w:r>
              <w:rPr>
                <w:rFonts w:hint="eastAsia"/>
                <w:kern w:val="0"/>
                <w:sz w:val="24"/>
              </w:rPr>
              <w:t>万m</w:t>
            </w:r>
            <w:r>
              <w:rPr>
                <w:rFonts w:hint="eastAsia"/>
                <w:kern w:val="0"/>
                <w:sz w:val="24"/>
                <w:vertAlign w:val="superscript"/>
              </w:rPr>
              <w:t>3</w:t>
            </w:r>
            <w:r>
              <w:rPr>
                <w:rFonts w:hint="eastAsia"/>
                <w:kern w:val="0"/>
                <w:sz w:val="24"/>
              </w:rPr>
              <w:t>/a。</w:t>
            </w:r>
          </w:p>
          <w:p>
            <w:pPr>
              <w:spacing w:line="360" w:lineRule="auto"/>
              <w:ind w:firstLine="480" w:firstLineChars="200"/>
              <w:rPr>
                <w:sz w:val="24"/>
                <w:szCs w:val="20"/>
              </w:rPr>
            </w:pPr>
            <w:r>
              <w:rPr>
                <w:sz w:val="24"/>
                <w:szCs w:val="20"/>
              </w:rPr>
              <w:t>颗粒物：参照</w:t>
            </w:r>
            <w:r>
              <w:rPr>
                <w:kern w:val="0"/>
                <w:sz w:val="24"/>
              </w:rPr>
              <w:t>《排放源统计调查产排污核算方法和系数手册》（环境部公告2021年第24号）中锅炉产排污量核算系数手册中生物质燃料的颗粒物的产污系数为0.5千克/吨-原料，本项目</w:t>
            </w:r>
            <w:r>
              <w:rPr>
                <w:sz w:val="24"/>
                <w:szCs w:val="20"/>
              </w:rPr>
              <w:t>1#热风炉</w:t>
            </w:r>
            <w:r>
              <w:rPr>
                <w:kern w:val="0"/>
                <w:sz w:val="24"/>
              </w:rPr>
              <w:t>年用生物质颗粒燃料2000t/a，则颗粒物的产生量为1t/a，</w:t>
            </w:r>
            <w:r>
              <w:rPr>
                <w:sz w:val="24"/>
                <w:szCs w:val="20"/>
              </w:rPr>
              <w:t xml:space="preserve"> </w:t>
            </w:r>
            <w:r>
              <w:rPr>
                <w:kern w:val="0"/>
                <w:sz w:val="24"/>
              </w:rPr>
              <w:t>采用</w:t>
            </w:r>
            <w:r>
              <w:rPr>
                <w:bCs/>
                <w:sz w:val="24"/>
              </w:rPr>
              <w:t>旋风除尘+布袋除尘</w:t>
            </w:r>
            <w:r>
              <w:rPr>
                <w:sz w:val="24"/>
                <w:szCs w:val="20"/>
              </w:rPr>
              <w:t>去除颗粒物，可保证去除效率≥99%，则颗粒物的排放量为0.15t/a，排放浓度约为10mg/m</w:t>
            </w:r>
            <w:r>
              <w:rPr>
                <w:sz w:val="24"/>
                <w:szCs w:val="20"/>
                <w:vertAlign w:val="superscript"/>
              </w:rPr>
              <w:t>3</w:t>
            </w:r>
            <w:r>
              <w:rPr>
                <w:sz w:val="24"/>
                <w:szCs w:val="20"/>
              </w:rPr>
              <w:t>。</w:t>
            </w:r>
          </w:p>
          <w:p>
            <w:pPr>
              <w:spacing w:line="360" w:lineRule="auto"/>
              <w:ind w:firstLine="480" w:firstLineChars="200"/>
              <w:rPr>
                <w:sz w:val="24"/>
                <w:szCs w:val="20"/>
              </w:rPr>
            </w:pPr>
            <w:r>
              <w:rPr>
                <w:snapToGrid w:val="0"/>
                <w:sz w:val="24"/>
                <w:szCs w:val="20"/>
              </w:rPr>
              <w:t>SO</w:t>
            </w:r>
            <w:r>
              <w:rPr>
                <w:snapToGrid w:val="0"/>
                <w:sz w:val="24"/>
                <w:szCs w:val="20"/>
                <w:vertAlign w:val="subscript"/>
              </w:rPr>
              <w:t>2</w:t>
            </w:r>
            <w:r>
              <w:rPr>
                <w:snapToGrid w:val="0"/>
                <w:sz w:val="24"/>
                <w:szCs w:val="20"/>
              </w:rPr>
              <w:t>：</w:t>
            </w:r>
            <w:r>
              <w:rPr>
                <w:sz w:val="24"/>
                <w:szCs w:val="20"/>
              </w:rPr>
              <w:t>参照</w:t>
            </w:r>
            <w:r>
              <w:rPr>
                <w:kern w:val="0"/>
                <w:sz w:val="24"/>
              </w:rPr>
              <w:t>锅炉产排污量核算系数手册中采用生物质燃料为原料的二氧化硫产污系数为17S千克/吨-原料</w:t>
            </w:r>
            <w:r>
              <w:rPr>
                <w:sz w:val="24"/>
              </w:rPr>
              <w:t>（其中含硫量（S％）是指生物质收到基硫分含量，本项目S＜0.02），则</w:t>
            </w:r>
            <w:r>
              <w:rPr>
                <w:snapToGrid w:val="0"/>
                <w:sz w:val="24"/>
                <w:szCs w:val="20"/>
              </w:rPr>
              <w:t>SO</w:t>
            </w:r>
            <w:r>
              <w:rPr>
                <w:snapToGrid w:val="0"/>
                <w:sz w:val="24"/>
                <w:szCs w:val="20"/>
                <w:vertAlign w:val="subscript"/>
              </w:rPr>
              <w:t>2</w:t>
            </w:r>
            <w:r>
              <w:rPr>
                <w:sz w:val="24"/>
              </w:rPr>
              <w:t>的最大产生量约为0.</w:t>
            </w:r>
            <w:r>
              <w:rPr>
                <w:rFonts w:hint="eastAsia"/>
                <w:sz w:val="24"/>
              </w:rPr>
              <w:t>68t/a，则</w:t>
            </w:r>
            <w:r>
              <w:rPr>
                <w:snapToGrid w:val="0"/>
                <w:sz w:val="24"/>
                <w:szCs w:val="20"/>
              </w:rPr>
              <w:t>SO</w:t>
            </w:r>
            <w:r>
              <w:rPr>
                <w:snapToGrid w:val="0"/>
                <w:sz w:val="24"/>
                <w:szCs w:val="20"/>
                <w:vertAlign w:val="subscript"/>
              </w:rPr>
              <w:t>2</w:t>
            </w:r>
            <w:r>
              <w:rPr>
                <w:rFonts w:hint="eastAsia"/>
                <w:sz w:val="24"/>
              </w:rPr>
              <w:t>的排放量约为0.68t/a，排放浓度约为45</w:t>
            </w:r>
            <w:r>
              <w:rPr>
                <w:rFonts w:hint="eastAsia"/>
                <w:sz w:val="24"/>
                <w:szCs w:val="20"/>
              </w:rPr>
              <w:t>mg/m</w:t>
            </w:r>
            <w:r>
              <w:rPr>
                <w:rFonts w:hint="eastAsia"/>
                <w:sz w:val="24"/>
                <w:szCs w:val="20"/>
                <w:vertAlign w:val="superscript"/>
              </w:rPr>
              <w:t>3</w:t>
            </w:r>
            <w:r>
              <w:rPr>
                <w:rFonts w:hint="eastAsia"/>
                <w:sz w:val="24"/>
                <w:szCs w:val="20"/>
              </w:rPr>
              <w:t>。</w:t>
            </w:r>
          </w:p>
          <w:p>
            <w:pPr>
              <w:spacing w:line="360" w:lineRule="auto"/>
              <w:ind w:firstLine="480" w:firstLineChars="200"/>
              <w:rPr>
                <w:sz w:val="24"/>
                <w:szCs w:val="20"/>
              </w:rPr>
            </w:pPr>
            <w:r>
              <w:rPr>
                <w:snapToGrid w:val="0"/>
                <w:sz w:val="24"/>
              </w:rPr>
              <w:t>N</w:t>
            </w:r>
            <w:r>
              <w:rPr>
                <w:rFonts w:hint="eastAsia"/>
                <w:snapToGrid w:val="0"/>
                <w:sz w:val="24"/>
              </w:rPr>
              <w:t>O</w:t>
            </w:r>
            <w:r>
              <w:rPr>
                <w:snapToGrid w:val="0"/>
                <w:sz w:val="24"/>
              </w:rPr>
              <w:t>x</w:t>
            </w:r>
            <w:r>
              <w:rPr>
                <w:rFonts w:hint="eastAsia"/>
                <w:snapToGrid w:val="0"/>
                <w:sz w:val="24"/>
              </w:rPr>
              <w:t>：</w:t>
            </w:r>
            <w:r>
              <w:rPr>
                <w:rFonts w:hint="eastAsia"/>
                <w:sz w:val="24"/>
                <w:szCs w:val="20"/>
              </w:rPr>
              <w:t>参照</w:t>
            </w:r>
            <w:r>
              <w:rPr>
                <w:rFonts w:hint="eastAsia"/>
                <w:kern w:val="0"/>
                <w:sz w:val="24"/>
              </w:rPr>
              <w:t>锅炉产排污量核算系数手册中采用生物质燃料为原料的氮氧化物产污系数为1.02千克/吨-原料，则</w:t>
            </w:r>
            <w:r>
              <w:rPr>
                <w:snapToGrid w:val="0"/>
                <w:sz w:val="24"/>
              </w:rPr>
              <w:t>N</w:t>
            </w:r>
            <w:r>
              <w:rPr>
                <w:rFonts w:hint="eastAsia"/>
                <w:snapToGrid w:val="0"/>
                <w:sz w:val="24"/>
              </w:rPr>
              <w:t>O</w:t>
            </w:r>
            <w:r>
              <w:rPr>
                <w:snapToGrid w:val="0"/>
                <w:sz w:val="24"/>
              </w:rPr>
              <w:t>x的产生量约为</w:t>
            </w:r>
            <w:r>
              <w:rPr>
                <w:rFonts w:hint="eastAsia"/>
                <w:snapToGrid w:val="0"/>
                <w:sz w:val="24"/>
              </w:rPr>
              <w:t>4.08t/a，</w:t>
            </w:r>
            <w:r>
              <w:rPr>
                <w:rFonts w:hint="eastAsia"/>
                <w:kern w:val="0"/>
                <w:sz w:val="24"/>
              </w:rPr>
              <w:t>选用低氮燃烧技术的去除效率为30%，</w:t>
            </w:r>
            <w:r>
              <w:rPr>
                <w:rFonts w:hint="eastAsia"/>
                <w:snapToGrid w:val="0"/>
                <w:sz w:val="24"/>
              </w:rPr>
              <w:t>则</w:t>
            </w:r>
            <w:r>
              <w:rPr>
                <w:snapToGrid w:val="0"/>
                <w:sz w:val="24"/>
              </w:rPr>
              <w:t>N</w:t>
            </w:r>
            <w:r>
              <w:rPr>
                <w:rFonts w:hint="eastAsia"/>
                <w:snapToGrid w:val="0"/>
                <w:sz w:val="24"/>
              </w:rPr>
              <w:t>O</w:t>
            </w:r>
            <w:r>
              <w:rPr>
                <w:snapToGrid w:val="0"/>
                <w:sz w:val="24"/>
              </w:rPr>
              <w:t>x的排放量约为</w:t>
            </w:r>
            <w:r>
              <w:rPr>
                <w:rFonts w:hint="eastAsia"/>
                <w:snapToGrid w:val="0"/>
                <w:sz w:val="24"/>
              </w:rPr>
              <w:t>1.428t/a，排放浓度约为95.2</w:t>
            </w:r>
            <w:r>
              <w:rPr>
                <w:rFonts w:hint="eastAsia"/>
                <w:sz w:val="24"/>
                <w:szCs w:val="20"/>
              </w:rPr>
              <w:t>mg/m</w:t>
            </w:r>
            <w:r>
              <w:rPr>
                <w:rFonts w:hint="eastAsia"/>
                <w:sz w:val="24"/>
                <w:szCs w:val="20"/>
                <w:vertAlign w:val="superscript"/>
              </w:rPr>
              <w:t>3</w:t>
            </w:r>
            <w:r>
              <w:rPr>
                <w:rFonts w:hint="eastAsia"/>
                <w:sz w:val="24"/>
                <w:szCs w:val="20"/>
              </w:rPr>
              <w:t>。</w:t>
            </w:r>
          </w:p>
          <w:p>
            <w:pPr>
              <w:spacing w:line="360" w:lineRule="auto"/>
              <w:ind w:firstLine="480" w:firstLineChars="200"/>
              <w:rPr>
                <w:sz w:val="24"/>
                <w:szCs w:val="20"/>
              </w:rPr>
            </w:pPr>
            <w:r>
              <w:rPr>
                <w:rFonts w:hint="eastAsia"/>
                <w:sz w:val="24"/>
                <w:szCs w:val="20"/>
              </w:rPr>
              <w:t>2#热风炉与1#热风炉相同，</w:t>
            </w:r>
            <w:r>
              <w:rPr>
                <w:sz w:val="24"/>
                <w:szCs w:val="20"/>
              </w:rPr>
              <w:t>则</w:t>
            </w:r>
            <w:r>
              <w:rPr>
                <w:rFonts w:hint="eastAsia"/>
                <w:sz w:val="24"/>
                <w:szCs w:val="20"/>
              </w:rPr>
              <w:t>2#热风炉</w:t>
            </w:r>
            <w:r>
              <w:rPr>
                <w:sz w:val="24"/>
                <w:szCs w:val="20"/>
              </w:rPr>
              <w:t>颗粒物的排放量为</w:t>
            </w:r>
            <w:r>
              <w:rPr>
                <w:rFonts w:hint="eastAsia"/>
                <w:sz w:val="24"/>
                <w:szCs w:val="20"/>
              </w:rPr>
              <w:t>0.15t/a，排放浓度约为10mg/m</w:t>
            </w:r>
            <w:r>
              <w:rPr>
                <w:rFonts w:hint="eastAsia"/>
                <w:sz w:val="24"/>
                <w:szCs w:val="20"/>
                <w:vertAlign w:val="superscript"/>
              </w:rPr>
              <w:t>3</w:t>
            </w:r>
            <w:r>
              <w:rPr>
                <w:rFonts w:hint="eastAsia"/>
                <w:sz w:val="24"/>
                <w:szCs w:val="20"/>
              </w:rPr>
              <w:t>。</w:t>
            </w:r>
            <w:r>
              <w:rPr>
                <w:rFonts w:hint="eastAsia"/>
                <w:sz w:val="24"/>
              </w:rPr>
              <w:t>则</w:t>
            </w:r>
            <w:r>
              <w:rPr>
                <w:snapToGrid w:val="0"/>
                <w:sz w:val="24"/>
                <w:szCs w:val="20"/>
              </w:rPr>
              <w:t>SO</w:t>
            </w:r>
            <w:r>
              <w:rPr>
                <w:snapToGrid w:val="0"/>
                <w:sz w:val="24"/>
                <w:szCs w:val="20"/>
                <w:vertAlign w:val="subscript"/>
              </w:rPr>
              <w:t>2</w:t>
            </w:r>
            <w:r>
              <w:rPr>
                <w:rFonts w:hint="eastAsia"/>
                <w:sz w:val="24"/>
              </w:rPr>
              <w:t>的排放量约为0.68t/a，排放浓度约为45</w:t>
            </w:r>
            <w:r>
              <w:rPr>
                <w:rFonts w:hint="eastAsia"/>
                <w:sz w:val="24"/>
                <w:szCs w:val="20"/>
              </w:rPr>
              <w:t>mg/m</w:t>
            </w:r>
            <w:r>
              <w:rPr>
                <w:rFonts w:hint="eastAsia"/>
                <w:sz w:val="24"/>
                <w:szCs w:val="20"/>
                <w:vertAlign w:val="superscript"/>
              </w:rPr>
              <w:t>3</w:t>
            </w:r>
            <w:r>
              <w:rPr>
                <w:rFonts w:hint="eastAsia"/>
                <w:sz w:val="24"/>
                <w:szCs w:val="20"/>
              </w:rPr>
              <w:t>。</w:t>
            </w:r>
            <w:r>
              <w:rPr>
                <w:snapToGrid w:val="0"/>
                <w:sz w:val="24"/>
              </w:rPr>
              <w:t>N</w:t>
            </w:r>
            <w:r>
              <w:rPr>
                <w:rFonts w:hint="eastAsia"/>
                <w:snapToGrid w:val="0"/>
                <w:sz w:val="24"/>
              </w:rPr>
              <w:t>O</w:t>
            </w:r>
            <w:r>
              <w:rPr>
                <w:snapToGrid w:val="0"/>
                <w:sz w:val="24"/>
              </w:rPr>
              <w:t>x的排放量约为</w:t>
            </w:r>
            <w:r>
              <w:rPr>
                <w:rFonts w:hint="eastAsia"/>
                <w:snapToGrid w:val="0"/>
                <w:sz w:val="24"/>
              </w:rPr>
              <w:t>1.428t/a，排放浓度约为95.2</w:t>
            </w:r>
            <w:r>
              <w:rPr>
                <w:rFonts w:hint="eastAsia"/>
                <w:sz w:val="24"/>
                <w:szCs w:val="20"/>
              </w:rPr>
              <w:t>mg/m</w:t>
            </w:r>
            <w:r>
              <w:rPr>
                <w:rFonts w:hint="eastAsia"/>
                <w:sz w:val="24"/>
                <w:szCs w:val="20"/>
                <w:vertAlign w:val="superscript"/>
              </w:rPr>
              <w:t>3</w:t>
            </w:r>
            <w:r>
              <w:rPr>
                <w:rFonts w:hint="eastAsia"/>
                <w:sz w:val="24"/>
                <w:szCs w:val="20"/>
              </w:rPr>
              <w:t>。</w:t>
            </w:r>
          </w:p>
          <w:p>
            <w:pPr>
              <w:spacing w:line="360" w:lineRule="auto"/>
              <w:jc w:val="left"/>
              <w:rPr>
                <w:rFonts w:hAnsi="宋体"/>
                <w:b/>
                <w:spacing w:val="4"/>
                <w:sz w:val="24"/>
                <w:szCs w:val="20"/>
              </w:rPr>
            </w:pPr>
            <w:r>
              <w:rPr>
                <w:rFonts w:hint="eastAsia" w:hAnsi="宋体"/>
                <w:b/>
                <w:spacing w:val="4"/>
                <w:sz w:val="24"/>
                <w:szCs w:val="20"/>
              </w:rPr>
              <w:t>1.2污染防治技术可行性分析</w:t>
            </w:r>
          </w:p>
          <w:p>
            <w:pPr>
              <w:spacing w:line="360" w:lineRule="auto"/>
              <w:ind w:firstLine="496" w:firstLineChars="200"/>
              <w:jc w:val="left"/>
              <w:rPr>
                <w:sz w:val="24"/>
                <w:szCs w:val="20"/>
              </w:rPr>
            </w:pPr>
            <w:r>
              <w:rPr>
                <w:rFonts w:hint="eastAsia" w:hAnsi="宋体"/>
                <w:spacing w:val="4"/>
                <w:sz w:val="24"/>
                <w:szCs w:val="20"/>
              </w:rPr>
              <w:t>根据</w:t>
            </w:r>
            <w:r>
              <w:rPr>
                <w:rFonts w:hint="eastAsia"/>
                <w:kern w:val="0"/>
                <w:sz w:val="24"/>
              </w:rPr>
              <w:t>《排污许可证申请与核发技术规范 工业炉窑》（HJ1121-2020）中规定的锅炉烟气污染防治可行技术，本项目</w:t>
            </w:r>
            <w:r>
              <w:rPr>
                <w:rFonts w:hint="eastAsia"/>
                <w:bCs/>
                <w:sz w:val="24"/>
              </w:rPr>
              <w:t>热风炉烟气</w:t>
            </w:r>
            <w:r>
              <w:rPr>
                <w:rFonts w:hint="eastAsia"/>
                <w:kern w:val="0"/>
                <w:sz w:val="24"/>
              </w:rPr>
              <w:t>采用</w:t>
            </w:r>
            <w:r>
              <w:rPr>
                <w:rFonts w:hint="eastAsia"/>
                <w:bCs/>
                <w:sz w:val="24"/>
              </w:rPr>
              <w:t>低氮燃烧+旋风除尘+布袋除尘处理热风炉烟气属于可行技术</w:t>
            </w:r>
            <w:r>
              <w:rPr>
                <w:rFonts w:hint="eastAsia" w:hAnsi="宋体"/>
                <w:spacing w:val="4"/>
                <w:sz w:val="24"/>
                <w:szCs w:val="20"/>
              </w:rPr>
              <w:t>。</w:t>
            </w:r>
          </w:p>
          <w:p>
            <w:pPr>
              <w:widowControl/>
              <w:spacing w:line="360" w:lineRule="auto"/>
              <w:ind w:firstLine="480" w:firstLineChars="200"/>
              <w:jc w:val="left"/>
              <w:rPr>
                <w:kern w:val="0"/>
                <w:sz w:val="24"/>
              </w:rPr>
            </w:pPr>
            <w:r>
              <w:rPr>
                <w:rFonts w:hint="eastAsia"/>
                <w:kern w:val="0"/>
                <w:sz w:val="24"/>
              </w:rPr>
              <w:t>本项目热风炉安装有低氮燃烧器。低氮燃烧技术是通过改变燃烧设备的燃烧条件来降低NOx的形成，具体来说是通过调节燃烧温度、烟气中的氧的浓度、烟气在高温区的停留时间等方法来抑制NOx的生成或破坏已生产的NOx。本项目选用的低氮燃烧器采用内循环加外循环技术实现低氮排放。</w:t>
            </w:r>
          </w:p>
          <w:p>
            <w:pPr>
              <w:widowControl/>
              <w:spacing w:line="360" w:lineRule="auto"/>
              <w:ind w:firstLine="480" w:firstLineChars="200"/>
              <w:jc w:val="left"/>
              <w:rPr>
                <w:kern w:val="0"/>
                <w:sz w:val="24"/>
              </w:rPr>
            </w:pPr>
            <w:r>
              <w:rPr>
                <w:rFonts w:hint="eastAsia"/>
                <w:kern w:val="0"/>
                <w:sz w:val="24"/>
              </w:rPr>
              <w:t>低氮燃烧器燃烧头为专利低氮燃烧头，燃烧器为特殊定制适用烟气再燃烧，另外添加外部烟气外循环FGR系统（烟气外循环系统）。</w:t>
            </w:r>
          </w:p>
          <w:p>
            <w:pPr>
              <w:widowControl/>
              <w:spacing w:line="360" w:lineRule="auto"/>
              <w:ind w:firstLine="480" w:firstLineChars="200"/>
              <w:jc w:val="left"/>
              <w:rPr>
                <w:kern w:val="0"/>
                <w:sz w:val="24"/>
              </w:rPr>
            </w:pPr>
            <w:r>
              <w:rPr>
                <w:rFonts w:hint="eastAsia"/>
                <w:kern w:val="0"/>
                <w:sz w:val="24"/>
              </w:rPr>
              <w:t>通过低氮燃烧头烟气内循环低氮技术（在炉膛配合情况下）可以使烟气排放的氮氧化物降低，再加上烟气外循环设备可以有效降低烟气中的氮氧化物。机型采用特殊燃烧器及配置专用电子比例调节程控器，加装烟气循环FGR系统另外烟气循环装置配置控制蝶阀伺服机，以便控制烟气循环含量，以达到最优的燃烧效果。。</w:t>
            </w:r>
          </w:p>
          <w:p>
            <w:pPr>
              <w:widowControl/>
              <w:spacing w:line="360" w:lineRule="auto"/>
              <w:ind w:firstLine="480" w:firstLineChars="200"/>
              <w:jc w:val="left"/>
              <w:rPr>
                <w:kern w:val="0"/>
                <w:sz w:val="24"/>
              </w:rPr>
            </w:pPr>
            <w:r>
              <w:rPr>
                <w:rFonts w:hint="eastAsia"/>
                <w:kern w:val="0"/>
                <w:sz w:val="24"/>
              </w:rPr>
              <w:t>本项目低氮燃烧器内部烟气循环原理如下：</w:t>
            </w:r>
          </w:p>
          <w:p>
            <w:pPr>
              <w:spacing w:line="360" w:lineRule="auto"/>
              <w:ind w:firstLine="480" w:firstLineChars="200"/>
              <w:rPr>
                <w:color w:val="000000"/>
                <w:kern w:val="0"/>
                <w:sz w:val="24"/>
              </w:rPr>
            </w:pPr>
          </w:p>
          <w:p>
            <w:pPr>
              <w:spacing w:line="360" w:lineRule="auto"/>
              <w:ind w:firstLine="480" w:firstLineChars="200"/>
              <w:rPr>
                <w:color w:val="000000"/>
                <w:kern w:val="0"/>
                <w:sz w:val="24"/>
              </w:rPr>
            </w:pPr>
          </w:p>
          <w:p>
            <w:pPr>
              <w:widowControl/>
              <w:spacing w:line="360" w:lineRule="auto"/>
              <w:ind w:firstLine="480" w:firstLineChars="200"/>
              <w:jc w:val="left"/>
              <w:rPr>
                <w:kern w:val="0"/>
                <w:sz w:val="24"/>
              </w:rPr>
            </w:pPr>
          </w:p>
          <w:p>
            <w:pPr>
              <w:widowControl/>
              <w:spacing w:line="360" w:lineRule="auto"/>
              <w:ind w:firstLine="480" w:firstLineChars="200"/>
              <w:jc w:val="left"/>
              <w:rPr>
                <w:kern w:val="0"/>
                <w:sz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p>
          <w:p>
            <w:pPr>
              <w:pStyle w:val="7"/>
              <w:spacing w:after="0" w:line="360" w:lineRule="auto"/>
              <w:ind w:left="0" w:leftChars="0" w:firstLine="480"/>
              <w:rPr>
                <w:szCs w:val="24"/>
              </w:rPr>
            </w:pPr>
            <w:r>
              <w:rPr>
                <w:szCs w:val="24"/>
              </w:rPr>
              <w:drawing>
                <wp:anchor distT="0" distB="0" distL="114300" distR="114300" simplePos="0" relativeHeight="251693056" behindDoc="0" locked="0" layoutInCell="1" allowOverlap="1">
                  <wp:simplePos x="0" y="0"/>
                  <wp:positionH relativeFrom="column">
                    <wp:posOffset>1016635</wp:posOffset>
                  </wp:positionH>
                  <wp:positionV relativeFrom="paragraph">
                    <wp:posOffset>172085</wp:posOffset>
                  </wp:positionV>
                  <wp:extent cx="2898775" cy="2846070"/>
                  <wp:effectExtent l="19050" t="0" r="0" b="0"/>
                  <wp:wrapNone/>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noChangeArrowheads="1"/>
                          </pic:cNvPicPr>
                        </pic:nvPicPr>
                        <pic:blipFill>
                          <a:blip r:embed="rId9"/>
                          <a:srcRect/>
                          <a:stretch>
                            <a:fillRect/>
                          </a:stretch>
                        </pic:blipFill>
                        <pic:spPr>
                          <a:xfrm>
                            <a:off x="0" y="0"/>
                            <a:ext cx="2898775" cy="2846070"/>
                          </a:xfrm>
                          <a:prstGeom prst="rect">
                            <a:avLst/>
                          </a:prstGeom>
                          <a:noFill/>
                          <a:ln w="9525">
                            <a:noFill/>
                            <a:miter lim="800000"/>
                            <a:headEnd/>
                            <a:tailEnd/>
                          </a:ln>
                          <a:effectLst/>
                        </pic:spPr>
                      </pic:pic>
                    </a:graphicData>
                  </a:graphic>
                </wp:anchor>
              </w:drawing>
            </w:r>
          </w:p>
          <w:p>
            <w:pPr>
              <w:pStyle w:val="7"/>
              <w:spacing w:after="0" w:line="360" w:lineRule="auto"/>
              <w:ind w:left="0" w:leftChars="0" w:firstLine="480"/>
              <w:rPr>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r>
              <w:rPr>
                <w:rFonts w:hint="eastAsia" w:eastAsia="黑体"/>
                <w:szCs w:val="24"/>
              </w:rPr>
              <w:drawing>
                <wp:anchor distT="0" distB="0" distL="114300" distR="114300" simplePos="0" relativeHeight="251694080" behindDoc="0" locked="0" layoutInCell="1" allowOverlap="1">
                  <wp:simplePos x="0" y="0"/>
                  <wp:positionH relativeFrom="column">
                    <wp:posOffset>1016635</wp:posOffset>
                  </wp:positionH>
                  <wp:positionV relativeFrom="paragraph">
                    <wp:posOffset>285750</wp:posOffset>
                  </wp:positionV>
                  <wp:extent cx="3073400" cy="3037205"/>
                  <wp:effectExtent l="19050" t="0" r="0" b="0"/>
                  <wp:wrapNone/>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noChangeArrowheads="1"/>
                          </pic:cNvPicPr>
                        </pic:nvPicPr>
                        <pic:blipFill>
                          <a:blip r:embed="rId10"/>
                          <a:srcRect/>
                          <a:stretch>
                            <a:fillRect/>
                          </a:stretch>
                        </pic:blipFill>
                        <pic:spPr>
                          <a:xfrm>
                            <a:off x="0" y="0"/>
                            <a:ext cx="3073400" cy="3037205"/>
                          </a:xfrm>
                          <a:prstGeom prst="rect">
                            <a:avLst/>
                          </a:prstGeom>
                          <a:noFill/>
                          <a:ln w="9525">
                            <a:noFill/>
                            <a:miter lim="800000"/>
                            <a:headEnd/>
                            <a:tailEnd/>
                          </a:ln>
                        </pic:spPr>
                      </pic:pic>
                    </a:graphicData>
                  </a:graphic>
                </wp:anchor>
              </w:drawing>
            </w:r>
            <w:r>
              <w:rPr>
                <w:rFonts w:hint="eastAsia" w:eastAsia="黑体"/>
                <w:szCs w:val="24"/>
              </w:rPr>
              <w:t>图</w:t>
            </w:r>
            <w:r>
              <w:rPr>
                <w:szCs w:val="24"/>
              </w:rPr>
              <w:t>4-1</w:t>
            </w:r>
            <w:r>
              <w:rPr>
                <w:rFonts w:hint="eastAsia" w:eastAsia="黑体"/>
                <w:szCs w:val="24"/>
              </w:rPr>
              <w:t xml:space="preserve"> 烟气循环系统示意图</w:t>
            </w:r>
          </w:p>
          <w:p>
            <w:pPr>
              <w:pStyle w:val="7"/>
              <w:spacing w:after="0" w:line="360" w:lineRule="auto"/>
              <w:ind w:left="0" w:leftChars="0" w:firstLine="480"/>
              <w:jc w:val="center"/>
              <w:rPr>
                <w:rFonts w:eastAsia="黑体"/>
                <w:szCs w:val="24"/>
              </w:rPr>
            </w:pPr>
          </w:p>
          <w:p>
            <w:pPr>
              <w:pStyle w:val="7"/>
              <w:spacing w:after="0" w:line="360" w:lineRule="auto"/>
              <w:ind w:left="0" w:leftChars="0" w:firstLine="0" w:firstLineChars="0"/>
              <w:rPr>
                <w:rFonts w:eastAsia="黑体"/>
                <w:szCs w:val="24"/>
              </w:rPr>
            </w:pPr>
          </w:p>
          <w:p>
            <w:pPr>
              <w:spacing w:line="360" w:lineRule="auto"/>
              <w:jc w:val="center"/>
              <w:rPr>
                <w:b/>
                <w:szCs w:val="21"/>
              </w:rPr>
            </w:pPr>
          </w:p>
          <w:p>
            <w:pPr>
              <w:spacing w:line="360" w:lineRule="auto"/>
              <w:jc w:val="center"/>
              <w:rPr>
                <w:b/>
                <w:szCs w:val="21"/>
              </w:rPr>
            </w:pPr>
          </w:p>
          <w:p>
            <w:pPr>
              <w:pStyle w:val="32"/>
              <w:spacing w:line="360" w:lineRule="auto"/>
              <w:rPr>
                <w:color w:val="auto"/>
              </w:rPr>
            </w:pPr>
          </w:p>
          <w:p>
            <w:pPr>
              <w:spacing w:line="360" w:lineRule="auto"/>
              <w:ind w:firstLine="480" w:firstLineChars="200"/>
              <w:rPr>
                <w:color w:val="000000"/>
                <w:kern w:val="0"/>
                <w:sz w:val="24"/>
              </w:rPr>
            </w:pPr>
          </w:p>
          <w:p>
            <w:pPr>
              <w:spacing w:line="360" w:lineRule="auto"/>
              <w:ind w:firstLine="480" w:firstLineChars="200"/>
              <w:rPr>
                <w:color w:val="000000"/>
                <w:kern w:val="0"/>
                <w:sz w:val="24"/>
              </w:rPr>
            </w:pPr>
          </w:p>
          <w:p>
            <w:pPr>
              <w:spacing w:line="360" w:lineRule="auto"/>
              <w:ind w:firstLine="480" w:firstLineChars="200"/>
              <w:rPr>
                <w:color w:val="000000"/>
                <w:kern w:val="0"/>
                <w:sz w:val="24"/>
              </w:rPr>
            </w:pPr>
          </w:p>
          <w:p>
            <w:pPr>
              <w:spacing w:line="360" w:lineRule="auto"/>
              <w:ind w:firstLine="480" w:firstLineChars="200"/>
              <w:rPr>
                <w:color w:val="000000"/>
                <w:kern w:val="0"/>
                <w:sz w:val="24"/>
              </w:rPr>
            </w:pPr>
          </w:p>
          <w:p>
            <w:pPr>
              <w:spacing w:line="360" w:lineRule="auto"/>
              <w:rPr>
                <w:color w:val="000000"/>
                <w:kern w:val="0"/>
                <w:sz w:val="24"/>
              </w:rPr>
            </w:pPr>
          </w:p>
          <w:p>
            <w:pPr>
              <w:spacing w:line="360" w:lineRule="auto"/>
              <w:ind w:firstLine="480" w:firstLineChars="200"/>
              <w:rPr>
                <w:color w:val="000000"/>
                <w:kern w:val="0"/>
                <w:sz w:val="24"/>
              </w:rPr>
            </w:pPr>
          </w:p>
          <w:p>
            <w:pPr>
              <w:pStyle w:val="7"/>
              <w:spacing w:after="0" w:line="360" w:lineRule="auto"/>
              <w:ind w:left="0" w:leftChars="0" w:firstLine="480"/>
              <w:jc w:val="center"/>
              <w:rPr>
                <w:rFonts w:eastAsia="黑体"/>
                <w:szCs w:val="24"/>
              </w:rPr>
            </w:pPr>
          </w:p>
          <w:p>
            <w:pPr>
              <w:pStyle w:val="7"/>
              <w:spacing w:after="0" w:line="360" w:lineRule="auto"/>
              <w:ind w:left="0" w:leftChars="0" w:firstLine="480"/>
              <w:jc w:val="center"/>
              <w:rPr>
                <w:rFonts w:eastAsia="黑体"/>
                <w:szCs w:val="24"/>
              </w:rPr>
            </w:pPr>
            <w:r>
              <w:rPr>
                <w:rFonts w:hint="eastAsia" w:eastAsia="黑体"/>
                <w:szCs w:val="24"/>
              </w:rPr>
              <w:t>图</w:t>
            </w:r>
            <w:r>
              <w:rPr>
                <w:szCs w:val="24"/>
              </w:rPr>
              <w:t>4-</w:t>
            </w:r>
            <w:r>
              <w:rPr>
                <w:rFonts w:hint="eastAsia"/>
                <w:szCs w:val="24"/>
              </w:rPr>
              <w:t>2</w:t>
            </w:r>
            <w:r>
              <w:rPr>
                <w:rFonts w:hint="eastAsia" w:eastAsia="黑体"/>
                <w:szCs w:val="24"/>
              </w:rPr>
              <w:t xml:space="preserve"> 低氮燃烧器炉膛示意图</w:t>
            </w:r>
          </w:p>
          <w:p>
            <w:pPr>
              <w:pStyle w:val="32"/>
              <w:adjustRightInd/>
              <w:spacing w:line="360" w:lineRule="auto"/>
              <w:rPr>
                <w:rFonts w:ascii="Times New Roman" w:hAnsi="Times New Roman" w:cs="Times New Roman"/>
                <w:b/>
                <w:color w:val="auto"/>
              </w:rPr>
            </w:pPr>
            <w:r>
              <w:rPr>
                <w:rFonts w:hint="eastAsia" w:ascii="Times New Roman" w:hAnsi="Times New Roman" w:cs="Times New Roman"/>
                <w:b/>
                <w:color w:val="auto"/>
              </w:rPr>
              <w:t>1.3非正常工况源强分析</w:t>
            </w:r>
          </w:p>
          <w:p>
            <w:pPr>
              <w:adjustRightInd w:val="0"/>
              <w:snapToGrid w:val="0"/>
              <w:spacing w:line="360" w:lineRule="auto"/>
              <w:ind w:firstLine="480" w:firstLineChars="200"/>
              <w:rPr>
                <w:sz w:val="24"/>
              </w:rPr>
            </w:pPr>
            <w:r>
              <w:rPr>
                <w:rFonts w:hint="eastAsia"/>
                <w:sz w:val="24"/>
              </w:rPr>
              <w:t>非正常排放是指生产过程中开停车（工、炉）、设备检修、工艺设备运转异常等非正常工况下的污染物排放，以及污染物排放控制措施达不到应有效率等情况下的排放。</w:t>
            </w:r>
          </w:p>
          <w:p>
            <w:pPr>
              <w:adjustRightInd w:val="0"/>
              <w:snapToGrid w:val="0"/>
              <w:spacing w:line="360" w:lineRule="auto"/>
              <w:ind w:firstLine="480" w:firstLineChars="200"/>
              <w:rPr>
                <w:sz w:val="24"/>
              </w:rPr>
            </w:pPr>
            <w:r>
              <w:rPr>
                <w:rFonts w:hint="eastAsia"/>
                <w:sz w:val="24"/>
              </w:rPr>
              <w:t>本次环评考虑建设项目污染物排放控制措施达不到应有效率情况下造成大量未处理废气直接进入大气环境，故障抢修至恢复正常运转时间约30分钟。本项目非正常工况考虑最不利情况，处理效率为零，处理装置失效（失效时间按30分钟计）的情况分析。</w:t>
            </w:r>
          </w:p>
          <w:p>
            <w:pPr>
              <w:adjustRightInd w:val="0"/>
              <w:snapToGrid w:val="0"/>
              <w:spacing w:line="360" w:lineRule="auto"/>
              <w:ind w:firstLine="480" w:firstLineChars="200"/>
              <w:rPr>
                <w:sz w:val="24"/>
              </w:rPr>
            </w:pPr>
            <w:r>
              <w:rPr>
                <w:rFonts w:hint="eastAsia"/>
                <w:sz w:val="24"/>
              </w:rPr>
              <w:t>非正常及事故状态下的大气污染物排放源强情况见表4-1。</w:t>
            </w:r>
          </w:p>
          <w:p>
            <w:pPr>
              <w:spacing w:line="360" w:lineRule="auto"/>
              <w:ind w:firstLine="480"/>
              <w:jc w:val="center"/>
              <w:rPr>
                <w:b/>
                <w:bCs/>
                <w:kern w:val="0"/>
                <w:szCs w:val="21"/>
              </w:rPr>
            </w:pPr>
            <w:r>
              <w:rPr>
                <w:b/>
                <w:bCs/>
                <w:kern w:val="0"/>
                <w:szCs w:val="21"/>
              </w:rPr>
              <w:t>表4-</w:t>
            </w:r>
            <w:r>
              <w:rPr>
                <w:rFonts w:hint="eastAsia"/>
                <w:b/>
                <w:bCs/>
                <w:kern w:val="0"/>
                <w:szCs w:val="21"/>
              </w:rPr>
              <w:t>1</w:t>
            </w:r>
            <w:r>
              <w:rPr>
                <w:b/>
                <w:bCs/>
                <w:kern w:val="0"/>
                <w:szCs w:val="21"/>
              </w:rPr>
              <w:t xml:space="preserve"> </w:t>
            </w:r>
            <w:r>
              <w:rPr>
                <w:rFonts w:hint="eastAsia"/>
                <w:b/>
                <w:bCs/>
                <w:kern w:val="0"/>
                <w:szCs w:val="21"/>
              </w:rPr>
              <w:t>非正常及事故状态下的大气污染物排放源强</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0" w:type="dxa"/>
                <w:bottom w:w="0" w:type="dxa"/>
                <w:right w:w="0" w:type="dxa"/>
              </w:tblCellMar>
            </w:tblPr>
            <w:tblGrid>
              <w:gridCol w:w="1328"/>
              <w:gridCol w:w="1129"/>
              <w:gridCol w:w="1135"/>
              <w:gridCol w:w="1245"/>
              <w:gridCol w:w="1083"/>
              <w:gridCol w:w="1083"/>
              <w:gridCol w:w="108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01" w:hRule="atLeast"/>
                <w:jc w:val="center"/>
              </w:trPr>
              <w:tc>
                <w:tcPr>
                  <w:tcW w:w="821" w:type="pct"/>
                  <w:tcBorders>
                    <w:top w:val="single" w:color="auto" w:sz="12" w:space="0"/>
                    <w:left w:val="nil"/>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工况</w:t>
                  </w:r>
                </w:p>
              </w:tc>
              <w:tc>
                <w:tcPr>
                  <w:tcW w:w="698" w:type="pct"/>
                  <w:tcBorders>
                    <w:top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污染源</w:t>
                  </w:r>
                </w:p>
              </w:tc>
              <w:tc>
                <w:tcPr>
                  <w:tcW w:w="702" w:type="pct"/>
                  <w:tcBorders>
                    <w:top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污染物</w:t>
                  </w:r>
                </w:p>
              </w:tc>
              <w:tc>
                <w:tcPr>
                  <w:tcW w:w="770" w:type="pct"/>
                  <w:tcBorders>
                    <w:top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源强（kg/h）</w:t>
                  </w:r>
                </w:p>
              </w:tc>
              <w:tc>
                <w:tcPr>
                  <w:tcW w:w="670" w:type="pct"/>
                  <w:tcBorders>
                    <w:top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排放量（kg）</w:t>
                  </w:r>
                </w:p>
              </w:tc>
              <w:tc>
                <w:tcPr>
                  <w:tcW w:w="670" w:type="pct"/>
                  <w:tcBorders>
                    <w:top w:val="single" w:color="auto" w:sz="12" w:space="0"/>
                  </w:tcBorders>
                  <w:tcMar>
                    <w:left w:w="28" w:type="dxa"/>
                    <w:right w:w="28" w:type="dxa"/>
                  </w:tcMar>
                  <w:vAlign w:val="center"/>
                </w:tcPr>
                <w:p>
                  <w:pPr>
                    <w:adjustRightInd w:val="0"/>
                    <w:snapToGrid w:val="0"/>
                    <w:spacing w:line="360" w:lineRule="auto"/>
                    <w:jc w:val="center"/>
                    <w:rPr>
                      <w:szCs w:val="21"/>
                    </w:rPr>
                  </w:pPr>
                  <w:r>
                    <w:rPr>
                      <w:rFonts w:hint="eastAsia"/>
                      <w:szCs w:val="21"/>
                    </w:rPr>
                    <w:t>排放方式</w:t>
                  </w:r>
                </w:p>
              </w:tc>
              <w:tc>
                <w:tcPr>
                  <w:tcW w:w="669" w:type="pct"/>
                  <w:tcBorders>
                    <w:top w:val="single" w:color="auto" w:sz="12" w:space="0"/>
                    <w:right w:val="nil"/>
                  </w:tcBorders>
                  <w:tcMar>
                    <w:left w:w="28" w:type="dxa"/>
                    <w:right w:w="28" w:type="dxa"/>
                  </w:tcMar>
                  <w:vAlign w:val="center"/>
                </w:tcPr>
                <w:p>
                  <w:pPr>
                    <w:adjustRightInd w:val="0"/>
                    <w:snapToGrid w:val="0"/>
                    <w:spacing w:line="360" w:lineRule="auto"/>
                    <w:jc w:val="center"/>
                    <w:rPr>
                      <w:szCs w:val="21"/>
                    </w:rPr>
                  </w:pPr>
                  <w:r>
                    <w:rPr>
                      <w:rFonts w:hint="eastAsia"/>
                      <w:szCs w:val="21"/>
                    </w:rPr>
                    <w:t>排放时间（h）</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59" w:hRule="atLeast"/>
                <w:jc w:val="center"/>
              </w:trPr>
              <w:tc>
                <w:tcPr>
                  <w:tcW w:w="821" w:type="pct"/>
                  <w:vMerge w:val="restart"/>
                  <w:tcBorders>
                    <w:left w:val="nil"/>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非正常工况</w:t>
                  </w:r>
                </w:p>
              </w:tc>
              <w:tc>
                <w:tcPr>
                  <w:tcW w:w="698" w:type="pct"/>
                  <w:vMerge w:val="restar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DA001</w:t>
                  </w:r>
                </w:p>
              </w:tc>
              <w:tc>
                <w:tcPr>
                  <w:tcW w:w="702" w:type="pc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烟尘</w:t>
                  </w:r>
                </w:p>
              </w:tc>
              <w:tc>
                <w:tcPr>
                  <w:tcW w:w="770" w:type="pc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0.417</w:t>
                  </w:r>
                </w:p>
              </w:tc>
              <w:tc>
                <w:tcPr>
                  <w:tcW w:w="670" w:type="pc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0.208</w:t>
                  </w:r>
                </w:p>
              </w:tc>
              <w:tc>
                <w:tcPr>
                  <w:tcW w:w="670" w:type="pct"/>
                  <w:vMerge w:val="restart"/>
                  <w:tcMar>
                    <w:left w:w="28" w:type="dxa"/>
                    <w:right w:w="28" w:type="dxa"/>
                  </w:tcMar>
                  <w:vAlign w:val="center"/>
                </w:tcPr>
                <w:p>
                  <w:pPr>
                    <w:adjustRightInd w:val="0"/>
                    <w:snapToGrid w:val="0"/>
                    <w:spacing w:line="360" w:lineRule="auto"/>
                    <w:jc w:val="center"/>
                    <w:rPr>
                      <w:szCs w:val="21"/>
                    </w:rPr>
                  </w:pPr>
                  <w:r>
                    <w:rPr>
                      <w:rFonts w:hint="eastAsia"/>
                      <w:szCs w:val="21"/>
                    </w:rPr>
                    <w:t>非正常</w:t>
                  </w:r>
                </w:p>
              </w:tc>
              <w:tc>
                <w:tcPr>
                  <w:tcW w:w="669" w:type="pct"/>
                  <w:vMerge w:val="restart"/>
                  <w:tcBorders>
                    <w:right w:val="nil"/>
                  </w:tcBorders>
                  <w:tcMar>
                    <w:left w:w="28" w:type="dxa"/>
                    <w:right w:w="28" w:type="dxa"/>
                  </w:tcMar>
                  <w:vAlign w:val="center"/>
                </w:tcPr>
                <w:p>
                  <w:pPr>
                    <w:adjustRightInd w:val="0"/>
                    <w:snapToGrid w:val="0"/>
                    <w:spacing w:line="360" w:lineRule="auto"/>
                    <w:jc w:val="center"/>
                    <w:rPr>
                      <w:szCs w:val="21"/>
                    </w:rPr>
                  </w:pPr>
                  <w:r>
                    <w:rPr>
                      <w:rFonts w:hint="eastAsia"/>
                      <w:szCs w:val="21"/>
                    </w:rPr>
                    <w:t>0.5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59" w:hRule="atLeast"/>
                <w:jc w:val="center"/>
              </w:trPr>
              <w:tc>
                <w:tcPr>
                  <w:tcW w:w="821" w:type="pct"/>
                  <w:vMerge w:val="continue"/>
                  <w:tcBorders>
                    <w:left w:val="nil"/>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698" w:type="pct"/>
                  <w:vMerge w:val="continue"/>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702" w:type="pc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SO</w:t>
                  </w:r>
                  <w:r>
                    <w:rPr>
                      <w:rFonts w:hint="eastAsia" w:ascii="Times New Roman" w:hAnsi="Times New Roman" w:cs="Times New Roman"/>
                      <w:color w:val="auto"/>
                      <w:sz w:val="21"/>
                      <w:szCs w:val="21"/>
                      <w:vertAlign w:val="subscript"/>
                    </w:rPr>
                    <w:t>2</w:t>
                  </w:r>
                </w:p>
              </w:tc>
              <w:tc>
                <w:tcPr>
                  <w:tcW w:w="770" w:type="pc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0.283</w:t>
                  </w:r>
                </w:p>
              </w:tc>
              <w:tc>
                <w:tcPr>
                  <w:tcW w:w="670" w:type="pct"/>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0.142</w:t>
                  </w:r>
                </w:p>
              </w:tc>
              <w:tc>
                <w:tcPr>
                  <w:tcW w:w="670" w:type="pct"/>
                  <w:vMerge w:val="continue"/>
                  <w:tcMar>
                    <w:left w:w="28" w:type="dxa"/>
                    <w:right w:w="28" w:type="dxa"/>
                  </w:tcMar>
                  <w:vAlign w:val="center"/>
                </w:tcPr>
                <w:p>
                  <w:pPr>
                    <w:adjustRightInd w:val="0"/>
                    <w:snapToGrid w:val="0"/>
                    <w:spacing w:line="360" w:lineRule="auto"/>
                    <w:jc w:val="center"/>
                    <w:rPr>
                      <w:szCs w:val="21"/>
                    </w:rPr>
                  </w:pPr>
                </w:p>
              </w:tc>
              <w:tc>
                <w:tcPr>
                  <w:tcW w:w="669" w:type="pct"/>
                  <w:vMerge w:val="continue"/>
                  <w:tcBorders>
                    <w:right w:val="nil"/>
                  </w:tcBorders>
                  <w:tcMar>
                    <w:left w:w="28" w:type="dxa"/>
                    <w:right w:w="28" w:type="dxa"/>
                  </w:tcMar>
                  <w:vAlign w:val="center"/>
                </w:tcPr>
                <w:p>
                  <w:pPr>
                    <w:adjustRightInd w:val="0"/>
                    <w:snapToGrid w:val="0"/>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0" w:hRule="atLeast"/>
                <w:jc w:val="center"/>
              </w:trPr>
              <w:tc>
                <w:tcPr>
                  <w:tcW w:w="821" w:type="pct"/>
                  <w:vMerge w:val="continue"/>
                  <w:tcBorders>
                    <w:left w:val="nil"/>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698" w:type="pct"/>
                  <w:vMerge w:val="continue"/>
                  <w:tcBorders>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702" w:type="pct"/>
                  <w:tcBorders>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NO</w:t>
                  </w:r>
                  <w:r>
                    <w:rPr>
                      <w:rFonts w:hint="eastAsia" w:ascii="Times New Roman" w:hAnsi="Times New Roman" w:cs="Times New Roman"/>
                      <w:color w:val="auto"/>
                      <w:sz w:val="21"/>
                      <w:szCs w:val="21"/>
                      <w:vertAlign w:val="subscript"/>
                    </w:rPr>
                    <w:t>X</w:t>
                  </w:r>
                </w:p>
              </w:tc>
              <w:tc>
                <w:tcPr>
                  <w:tcW w:w="770" w:type="pct"/>
                  <w:tcBorders>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0.85</w:t>
                  </w:r>
                </w:p>
              </w:tc>
              <w:tc>
                <w:tcPr>
                  <w:tcW w:w="670" w:type="pct"/>
                  <w:tcBorders>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0.425</w:t>
                  </w:r>
                </w:p>
              </w:tc>
              <w:tc>
                <w:tcPr>
                  <w:tcW w:w="670" w:type="pct"/>
                  <w:vMerge w:val="continue"/>
                  <w:tcMar>
                    <w:left w:w="28" w:type="dxa"/>
                    <w:right w:w="28" w:type="dxa"/>
                  </w:tcMar>
                  <w:vAlign w:val="center"/>
                </w:tcPr>
                <w:p>
                  <w:pPr>
                    <w:adjustRightInd w:val="0"/>
                    <w:snapToGrid w:val="0"/>
                    <w:spacing w:line="360" w:lineRule="auto"/>
                    <w:jc w:val="center"/>
                    <w:rPr>
                      <w:szCs w:val="21"/>
                    </w:rPr>
                  </w:pPr>
                </w:p>
              </w:tc>
              <w:tc>
                <w:tcPr>
                  <w:tcW w:w="669" w:type="pct"/>
                  <w:vMerge w:val="continue"/>
                  <w:tcBorders>
                    <w:right w:val="nil"/>
                  </w:tcBorders>
                  <w:tcMar>
                    <w:left w:w="28" w:type="dxa"/>
                    <w:right w:w="28" w:type="dxa"/>
                  </w:tcMar>
                  <w:vAlign w:val="center"/>
                </w:tcPr>
                <w:p>
                  <w:pPr>
                    <w:adjustRightInd w:val="0"/>
                    <w:snapToGrid w:val="0"/>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00" w:hRule="atLeast"/>
                <w:jc w:val="center"/>
              </w:trPr>
              <w:tc>
                <w:tcPr>
                  <w:tcW w:w="821" w:type="pct"/>
                  <w:vMerge w:val="continue"/>
                  <w:tcBorders>
                    <w:left w:val="nil"/>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698" w:type="pct"/>
                  <w:vMerge w:val="restart"/>
                  <w:tcBorders>
                    <w:top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DA002</w:t>
                  </w:r>
                </w:p>
              </w:tc>
              <w:tc>
                <w:tcPr>
                  <w:tcW w:w="702" w:type="pct"/>
                  <w:tcBorders>
                    <w:top w:val="single" w:color="auto" w:sz="4" w:space="0"/>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烟尘</w:t>
                  </w:r>
                </w:p>
              </w:tc>
              <w:tc>
                <w:tcPr>
                  <w:tcW w:w="770" w:type="pct"/>
                  <w:tcBorders>
                    <w:top w:val="single" w:color="auto" w:sz="4" w:space="0"/>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0.417</w:t>
                  </w:r>
                </w:p>
              </w:tc>
              <w:tc>
                <w:tcPr>
                  <w:tcW w:w="670" w:type="pct"/>
                  <w:tcBorders>
                    <w:top w:val="single" w:color="auto" w:sz="4" w:space="0"/>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0.208</w:t>
                  </w:r>
                </w:p>
              </w:tc>
              <w:tc>
                <w:tcPr>
                  <w:tcW w:w="670" w:type="pct"/>
                  <w:vMerge w:val="continue"/>
                  <w:tcMar>
                    <w:left w:w="28" w:type="dxa"/>
                    <w:right w:w="28" w:type="dxa"/>
                  </w:tcMar>
                  <w:vAlign w:val="center"/>
                </w:tcPr>
                <w:p>
                  <w:pPr>
                    <w:adjustRightInd w:val="0"/>
                    <w:snapToGrid w:val="0"/>
                    <w:spacing w:line="360" w:lineRule="auto"/>
                    <w:jc w:val="center"/>
                    <w:rPr>
                      <w:szCs w:val="21"/>
                    </w:rPr>
                  </w:pPr>
                </w:p>
              </w:tc>
              <w:tc>
                <w:tcPr>
                  <w:tcW w:w="669" w:type="pct"/>
                  <w:vMerge w:val="continue"/>
                  <w:tcBorders>
                    <w:right w:val="nil"/>
                  </w:tcBorders>
                  <w:tcMar>
                    <w:left w:w="28" w:type="dxa"/>
                    <w:right w:w="28" w:type="dxa"/>
                  </w:tcMar>
                  <w:vAlign w:val="center"/>
                </w:tcPr>
                <w:p>
                  <w:pPr>
                    <w:adjustRightInd w:val="0"/>
                    <w:snapToGrid w:val="0"/>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50" w:hRule="atLeast"/>
                <w:jc w:val="center"/>
              </w:trPr>
              <w:tc>
                <w:tcPr>
                  <w:tcW w:w="821" w:type="pct"/>
                  <w:vMerge w:val="continue"/>
                  <w:tcBorders>
                    <w:left w:val="nil"/>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698" w:type="pct"/>
                  <w:vMerge w:val="continue"/>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702" w:type="pct"/>
                  <w:tcBorders>
                    <w:top w:val="single" w:color="auto" w:sz="4" w:space="0"/>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SO</w:t>
                  </w:r>
                  <w:r>
                    <w:rPr>
                      <w:rFonts w:hint="eastAsia" w:ascii="Times New Roman" w:hAnsi="Times New Roman" w:cs="Times New Roman"/>
                      <w:color w:val="auto"/>
                      <w:sz w:val="21"/>
                      <w:szCs w:val="21"/>
                      <w:vertAlign w:val="subscript"/>
                    </w:rPr>
                    <w:t>2</w:t>
                  </w:r>
                </w:p>
              </w:tc>
              <w:tc>
                <w:tcPr>
                  <w:tcW w:w="770" w:type="pct"/>
                  <w:tcBorders>
                    <w:top w:val="single" w:color="auto" w:sz="4" w:space="0"/>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0.283</w:t>
                  </w:r>
                </w:p>
              </w:tc>
              <w:tc>
                <w:tcPr>
                  <w:tcW w:w="670" w:type="pct"/>
                  <w:tcBorders>
                    <w:top w:val="single" w:color="auto" w:sz="4" w:space="0"/>
                    <w:bottom w:val="single" w:color="auto" w:sz="4"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0.142</w:t>
                  </w:r>
                </w:p>
              </w:tc>
              <w:tc>
                <w:tcPr>
                  <w:tcW w:w="670" w:type="pct"/>
                  <w:vMerge w:val="continue"/>
                  <w:tcMar>
                    <w:left w:w="28" w:type="dxa"/>
                    <w:right w:w="28" w:type="dxa"/>
                  </w:tcMar>
                  <w:vAlign w:val="center"/>
                </w:tcPr>
                <w:p>
                  <w:pPr>
                    <w:adjustRightInd w:val="0"/>
                    <w:snapToGrid w:val="0"/>
                    <w:spacing w:line="360" w:lineRule="auto"/>
                    <w:jc w:val="center"/>
                    <w:rPr>
                      <w:szCs w:val="21"/>
                    </w:rPr>
                  </w:pPr>
                </w:p>
              </w:tc>
              <w:tc>
                <w:tcPr>
                  <w:tcW w:w="669" w:type="pct"/>
                  <w:vMerge w:val="continue"/>
                  <w:tcBorders>
                    <w:right w:val="nil"/>
                  </w:tcBorders>
                  <w:tcMar>
                    <w:left w:w="28" w:type="dxa"/>
                    <w:right w:w="28" w:type="dxa"/>
                  </w:tcMar>
                  <w:vAlign w:val="center"/>
                </w:tcPr>
                <w:p>
                  <w:pPr>
                    <w:adjustRightInd w:val="0"/>
                    <w:snapToGrid w:val="0"/>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38" w:hRule="atLeast"/>
                <w:jc w:val="center"/>
              </w:trPr>
              <w:tc>
                <w:tcPr>
                  <w:tcW w:w="821" w:type="pct"/>
                  <w:vMerge w:val="continue"/>
                  <w:tcBorders>
                    <w:left w:val="nil"/>
                    <w:bottom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698" w:type="pct"/>
                  <w:vMerge w:val="continue"/>
                  <w:tcBorders>
                    <w:bottom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p>
              </w:tc>
              <w:tc>
                <w:tcPr>
                  <w:tcW w:w="702" w:type="pct"/>
                  <w:tcBorders>
                    <w:top w:val="single" w:color="auto" w:sz="4" w:space="0"/>
                    <w:bottom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NO</w:t>
                  </w:r>
                  <w:r>
                    <w:rPr>
                      <w:rFonts w:hint="eastAsia" w:ascii="Times New Roman" w:hAnsi="Times New Roman" w:cs="Times New Roman"/>
                      <w:color w:val="auto"/>
                      <w:sz w:val="21"/>
                      <w:szCs w:val="21"/>
                      <w:vertAlign w:val="subscript"/>
                    </w:rPr>
                    <w:t>X</w:t>
                  </w:r>
                </w:p>
              </w:tc>
              <w:tc>
                <w:tcPr>
                  <w:tcW w:w="770" w:type="pct"/>
                  <w:tcBorders>
                    <w:top w:val="single" w:color="auto" w:sz="4" w:space="0"/>
                    <w:bottom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0.85</w:t>
                  </w:r>
                </w:p>
              </w:tc>
              <w:tc>
                <w:tcPr>
                  <w:tcW w:w="670" w:type="pct"/>
                  <w:tcBorders>
                    <w:top w:val="single" w:color="auto" w:sz="4" w:space="0"/>
                    <w:bottom w:val="single" w:color="auto" w:sz="12" w:space="0"/>
                  </w:tcBorders>
                  <w:tcMar>
                    <w:left w:w="28" w:type="dxa"/>
                    <w:right w:w="28" w:type="dxa"/>
                  </w:tcMar>
                  <w:vAlign w:val="center"/>
                </w:tcPr>
                <w:p>
                  <w:pPr>
                    <w:pStyle w:val="32"/>
                    <w:snapToGrid w:val="0"/>
                    <w:spacing w:line="360" w:lineRule="auto"/>
                    <w:jc w:val="center"/>
                    <w:textAlignment w:val="baseline"/>
                    <w:rPr>
                      <w:rFonts w:ascii="Times New Roman" w:hAnsi="Times New Roman" w:cs="Times New Roman"/>
                      <w:color w:val="auto"/>
                      <w:sz w:val="21"/>
                      <w:szCs w:val="21"/>
                    </w:rPr>
                  </w:pPr>
                  <w:r>
                    <w:rPr>
                      <w:rFonts w:hint="eastAsia" w:ascii="Times New Roman" w:hAnsi="Times New Roman" w:cs="Times New Roman"/>
                      <w:color w:val="auto"/>
                      <w:sz w:val="21"/>
                      <w:szCs w:val="21"/>
                    </w:rPr>
                    <w:t>0.425</w:t>
                  </w:r>
                </w:p>
              </w:tc>
              <w:tc>
                <w:tcPr>
                  <w:tcW w:w="670" w:type="pct"/>
                  <w:vMerge w:val="continue"/>
                  <w:tcBorders>
                    <w:bottom w:val="single" w:color="auto" w:sz="12" w:space="0"/>
                  </w:tcBorders>
                  <w:tcMar>
                    <w:left w:w="28" w:type="dxa"/>
                    <w:right w:w="28" w:type="dxa"/>
                  </w:tcMar>
                  <w:vAlign w:val="center"/>
                </w:tcPr>
                <w:p>
                  <w:pPr>
                    <w:adjustRightInd w:val="0"/>
                    <w:snapToGrid w:val="0"/>
                    <w:spacing w:line="360" w:lineRule="auto"/>
                    <w:jc w:val="center"/>
                    <w:rPr>
                      <w:szCs w:val="21"/>
                    </w:rPr>
                  </w:pPr>
                </w:p>
              </w:tc>
              <w:tc>
                <w:tcPr>
                  <w:tcW w:w="669" w:type="pct"/>
                  <w:vMerge w:val="continue"/>
                  <w:tcBorders>
                    <w:bottom w:val="single" w:color="auto" w:sz="12" w:space="0"/>
                    <w:right w:val="nil"/>
                  </w:tcBorders>
                  <w:tcMar>
                    <w:left w:w="28" w:type="dxa"/>
                    <w:right w:w="28" w:type="dxa"/>
                  </w:tcMar>
                  <w:vAlign w:val="center"/>
                </w:tcPr>
                <w:p>
                  <w:pPr>
                    <w:adjustRightInd w:val="0"/>
                    <w:snapToGrid w:val="0"/>
                    <w:spacing w:line="360" w:lineRule="auto"/>
                    <w:jc w:val="center"/>
                    <w:rPr>
                      <w:szCs w:val="21"/>
                    </w:rPr>
                  </w:pPr>
                </w:p>
              </w:tc>
            </w:tr>
          </w:tbl>
          <w:p>
            <w:pPr>
              <w:pStyle w:val="10"/>
              <w:widowControl w:val="0"/>
              <w:snapToGrid/>
              <w:spacing w:before="0" w:after="0" w:line="360" w:lineRule="auto"/>
              <w:ind w:right="0" w:firstLine="480" w:firstLineChars="200"/>
              <w:rPr>
                <w:sz w:val="24"/>
                <w:szCs w:val="24"/>
              </w:rPr>
            </w:pPr>
            <w:r>
              <w:rPr>
                <w:rFonts w:hint="eastAsia"/>
                <w:sz w:val="24"/>
                <w:szCs w:val="24"/>
              </w:rPr>
              <w:t>（3）</w:t>
            </w:r>
            <w:r>
              <w:rPr>
                <w:sz w:val="24"/>
                <w:szCs w:val="24"/>
              </w:rPr>
              <w:t>大气影响分析</w:t>
            </w:r>
          </w:p>
          <w:p>
            <w:pPr>
              <w:pStyle w:val="10"/>
              <w:widowControl w:val="0"/>
              <w:snapToGrid/>
              <w:spacing w:before="0" w:after="0" w:line="360" w:lineRule="auto"/>
              <w:ind w:right="0" w:firstLine="480" w:firstLineChars="200"/>
              <w:rPr>
                <w:sz w:val="24"/>
                <w:szCs w:val="24"/>
              </w:rPr>
            </w:pPr>
            <w:r>
              <w:rPr>
                <w:sz w:val="24"/>
                <w:szCs w:val="24"/>
              </w:rPr>
              <w:t>本项目</w:t>
            </w:r>
            <w:r>
              <w:rPr>
                <w:rFonts w:hint="eastAsia"/>
                <w:sz w:val="24"/>
                <w:szCs w:val="24"/>
              </w:rPr>
              <w:t>热风炉</w:t>
            </w:r>
            <w:r>
              <w:rPr>
                <w:sz w:val="24"/>
                <w:szCs w:val="24"/>
              </w:rPr>
              <w:t>采用</w:t>
            </w:r>
            <w:r>
              <w:rPr>
                <w:rFonts w:hint="eastAsia"/>
                <w:sz w:val="24"/>
                <w:szCs w:val="24"/>
              </w:rPr>
              <w:t>生物质燃料</w:t>
            </w:r>
            <w:r>
              <w:rPr>
                <w:sz w:val="24"/>
                <w:szCs w:val="24"/>
              </w:rPr>
              <w:t>，配套采用“</w:t>
            </w:r>
            <w:r>
              <w:rPr>
                <w:rFonts w:hint="eastAsia"/>
                <w:sz w:val="24"/>
                <w:szCs w:val="24"/>
              </w:rPr>
              <w:t>低氮燃烧技术</w:t>
            </w:r>
            <w:r>
              <w:rPr>
                <w:sz w:val="24"/>
                <w:szCs w:val="24"/>
              </w:rPr>
              <w:t>+</w:t>
            </w:r>
            <w:r>
              <w:rPr>
                <w:rFonts w:hint="eastAsia"/>
                <w:sz w:val="24"/>
                <w:szCs w:val="24"/>
              </w:rPr>
              <w:t>旋风除尘+布袋除尘+15m高排气筒</w:t>
            </w:r>
            <w:r>
              <w:rPr>
                <w:sz w:val="24"/>
                <w:szCs w:val="24"/>
              </w:rPr>
              <w:t>”，从源头上减少污染物的产生。综合前述分析，在严格执行环评提出的各项治理措施的前提下，各项污染物可实现达标排放，对周边大气环境影响可以接受。</w:t>
            </w:r>
          </w:p>
          <w:p>
            <w:pPr>
              <w:spacing w:line="360" w:lineRule="auto"/>
              <w:rPr>
                <w:bCs/>
                <w:color w:val="000000"/>
                <w:spacing w:val="-10"/>
                <w:szCs w:val="21"/>
              </w:rPr>
            </w:pPr>
          </w:p>
          <w:p>
            <w:pPr>
              <w:spacing w:line="360" w:lineRule="auto"/>
              <w:rPr>
                <w:bCs/>
                <w:color w:val="000000"/>
                <w:spacing w:val="-10"/>
                <w:szCs w:val="21"/>
              </w:rPr>
            </w:pPr>
          </w:p>
          <w:p>
            <w:pPr>
              <w:spacing w:line="360" w:lineRule="auto"/>
              <w:rPr>
                <w:bCs/>
                <w:color w:val="000000"/>
                <w:spacing w:val="-10"/>
                <w:szCs w:val="21"/>
              </w:rPr>
            </w:pPr>
          </w:p>
          <w:p>
            <w:pPr>
              <w:spacing w:line="360" w:lineRule="auto"/>
              <w:rPr>
                <w:bCs/>
                <w:color w:val="000000"/>
                <w:spacing w:val="-10"/>
                <w:szCs w:val="21"/>
              </w:rPr>
            </w:pPr>
          </w:p>
          <w:p>
            <w:pPr>
              <w:spacing w:line="360" w:lineRule="auto"/>
              <w:rPr>
                <w:bCs/>
                <w:color w:val="000000"/>
                <w:spacing w:val="-10"/>
                <w:szCs w:val="21"/>
              </w:rPr>
            </w:pPr>
          </w:p>
          <w:p>
            <w:pPr>
              <w:spacing w:line="360" w:lineRule="auto"/>
              <w:rPr>
                <w:rFonts w:hint="eastAsia"/>
                <w:bCs/>
                <w:color w:val="000000"/>
                <w:spacing w:val="-10"/>
                <w:szCs w:val="21"/>
              </w:rPr>
            </w:pPr>
          </w:p>
          <w:p>
            <w:pPr>
              <w:spacing w:line="360" w:lineRule="auto"/>
              <w:rPr>
                <w:rFonts w:hint="eastAsia"/>
                <w:bCs/>
                <w:color w:val="000000"/>
                <w:spacing w:val="-10"/>
                <w:szCs w:val="21"/>
              </w:rPr>
            </w:pPr>
          </w:p>
          <w:p>
            <w:pPr>
              <w:spacing w:line="360" w:lineRule="auto"/>
              <w:rPr>
                <w:rFonts w:hint="eastAsia"/>
                <w:bCs/>
                <w:color w:val="000000"/>
                <w:spacing w:val="-10"/>
                <w:szCs w:val="21"/>
              </w:rPr>
            </w:pPr>
          </w:p>
          <w:p>
            <w:pPr>
              <w:spacing w:line="360" w:lineRule="auto"/>
              <w:rPr>
                <w:rFonts w:hint="eastAsia"/>
                <w:bCs/>
                <w:color w:val="000000"/>
                <w:spacing w:val="-10"/>
                <w:szCs w:val="21"/>
              </w:rPr>
            </w:pPr>
          </w:p>
          <w:p>
            <w:pPr>
              <w:spacing w:line="360" w:lineRule="auto"/>
              <w:rPr>
                <w:bCs/>
                <w:color w:val="000000"/>
                <w:spacing w:val="-10"/>
                <w:szCs w:val="21"/>
              </w:rPr>
            </w:pPr>
          </w:p>
          <w:p>
            <w:pPr>
              <w:spacing w:line="360" w:lineRule="auto"/>
              <w:rPr>
                <w:bCs/>
                <w:color w:val="000000"/>
                <w:spacing w:val="-10"/>
                <w:szCs w:val="21"/>
              </w:rPr>
            </w:pPr>
          </w:p>
        </w:tc>
      </w:tr>
    </w:tbl>
    <w:p>
      <w:pPr>
        <w:adjustRightInd w:val="0"/>
        <w:snapToGrid w:val="0"/>
        <w:spacing w:line="360" w:lineRule="auto"/>
        <w:rPr>
          <w:b/>
          <w:kern w:val="0"/>
          <w:sz w:val="28"/>
          <w:szCs w:val="28"/>
        </w:rPr>
      </w:pPr>
    </w:p>
    <w:p>
      <w:pPr>
        <w:rPr>
          <w:sz w:val="28"/>
          <w:szCs w:val="28"/>
        </w:rPr>
        <w:sectPr>
          <w:pgSz w:w="11907" w:h="16840"/>
          <w:pgMar w:top="1701" w:right="1531" w:bottom="2127" w:left="1531" w:header="851" w:footer="851" w:gutter="0"/>
          <w:pgNumType w:fmt="numberInDash"/>
          <w:cols w:space="720" w:num="1"/>
          <w:docGrid w:linePitch="312" w:charSpace="0"/>
        </w:sectPr>
      </w:pPr>
    </w:p>
    <w:p>
      <w:pPr>
        <w:rPr>
          <w:sz w:val="28"/>
          <w:szCs w:val="28"/>
        </w:rPr>
      </w:pPr>
    </w:p>
    <w:p>
      <w:pPr>
        <w:rPr>
          <w:sz w:val="28"/>
          <w:szCs w:val="28"/>
        </w:rPr>
      </w:pPr>
    </w:p>
    <w:tbl>
      <w:tblPr>
        <w:tblStyle w:val="20"/>
        <w:tblW w:w="1417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4" w:space="0"/>
        </w:tblBorders>
        <w:tblLayout w:type="fixed"/>
        <w:tblCellMar>
          <w:top w:w="0" w:type="dxa"/>
          <w:left w:w="108" w:type="dxa"/>
          <w:bottom w:w="0" w:type="dxa"/>
          <w:right w:w="108" w:type="dxa"/>
        </w:tblCellMar>
      </w:tblPr>
      <w:tblGrid>
        <w:gridCol w:w="516"/>
        <w:gridCol w:w="13657"/>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516" w:type="dxa"/>
          </w:tcPr>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r>
              <w:rPr>
                <w:color w:val="000000"/>
              </w:rPr>
              <w:t>运营</w:t>
            </w:r>
          </w:p>
          <w:p>
            <w:pPr>
              <w:adjustRightInd w:val="0"/>
              <w:snapToGrid w:val="0"/>
              <w:jc w:val="center"/>
              <w:rPr>
                <w:color w:val="000000"/>
              </w:rPr>
            </w:pPr>
            <w:r>
              <w:rPr>
                <w:color w:val="000000"/>
              </w:rPr>
              <w:t>期环</w:t>
            </w:r>
          </w:p>
          <w:p>
            <w:pPr>
              <w:adjustRightInd w:val="0"/>
              <w:snapToGrid w:val="0"/>
              <w:jc w:val="center"/>
              <w:rPr>
                <w:color w:val="000000"/>
              </w:rPr>
            </w:pPr>
            <w:r>
              <w:rPr>
                <w:color w:val="000000"/>
              </w:rPr>
              <w:t>境影</w:t>
            </w:r>
          </w:p>
          <w:p>
            <w:pPr>
              <w:adjustRightInd w:val="0"/>
              <w:snapToGrid w:val="0"/>
              <w:jc w:val="center"/>
              <w:rPr>
                <w:color w:val="000000"/>
              </w:rPr>
            </w:pPr>
            <w:r>
              <w:rPr>
                <w:color w:val="000000"/>
              </w:rPr>
              <w:t>响和</w:t>
            </w:r>
          </w:p>
          <w:p>
            <w:pPr>
              <w:adjustRightInd w:val="0"/>
              <w:snapToGrid w:val="0"/>
              <w:jc w:val="center"/>
              <w:rPr>
                <w:color w:val="000000"/>
              </w:rPr>
            </w:pPr>
            <w:r>
              <w:rPr>
                <w:color w:val="000000"/>
              </w:rPr>
              <w:t>保护</w:t>
            </w:r>
          </w:p>
          <w:p>
            <w:pPr>
              <w:adjustRightInd w:val="0"/>
              <w:snapToGrid w:val="0"/>
              <w:jc w:val="center"/>
              <w:rPr>
                <w:color w:val="000000"/>
              </w:rPr>
            </w:pPr>
            <w:r>
              <w:rPr>
                <w:color w:val="000000"/>
              </w:rPr>
              <w:t>措施</w:t>
            </w: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adjustRightInd w:val="0"/>
              <w:snapToGrid w:val="0"/>
              <w:jc w:val="center"/>
              <w:rPr>
                <w:color w:val="000000"/>
              </w:rPr>
            </w:pPr>
          </w:p>
          <w:p>
            <w:pPr>
              <w:pStyle w:val="32"/>
            </w:pPr>
          </w:p>
        </w:tc>
        <w:tc>
          <w:tcPr>
            <w:tcW w:w="13657" w:type="dxa"/>
          </w:tcPr>
          <w:p>
            <w:pPr>
              <w:jc w:val="center"/>
              <w:rPr>
                <w:b/>
                <w:bCs/>
                <w:color w:val="000000"/>
                <w:sz w:val="24"/>
              </w:rPr>
            </w:pPr>
            <w:r>
              <w:rPr>
                <w:b/>
                <w:bCs/>
                <w:color w:val="000000"/>
                <w:sz w:val="24"/>
              </w:rPr>
              <w:t>表4</w:t>
            </w:r>
            <w:r>
              <w:rPr>
                <w:rFonts w:hint="eastAsia"/>
                <w:b/>
                <w:bCs/>
                <w:color w:val="000000"/>
                <w:sz w:val="24"/>
              </w:rPr>
              <w:t>-2</w:t>
            </w:r>
            <w:r>
              <w:rPr>
                <w:b/>
                <w:bCs/>
                <w:color w:val="000000"/>
                <w:sz w:val="24"/>
              </w:rPr>
              <w:t xml:space="preserve"> </w:t>
            </w:r>
            <w:r>
              <w:rPr>
                <w:rFonts w:hint="eastAsia"/>
                <w:b/>
                <w:bCs/>
                <w:color w:val="000000"/>
                <w:sz w:val="24"/>
              </w:rPr>
              <w:t xml:space="preserve"> </w:t>
            </w:r>
            <w:r>
              <w:rPr>
                <w:b/>
                <w:bCs/>
                <w:color w:val="000000"/>
                <w:sz w:val="24"/>
              </w:rPr>
              <w:t>项目废气产排情况一览表</w:t>
            </w:r>
          </w:p>
          <w:tbl>
            <w:tblPr>
              <w:tblStyle w:val="20"/>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98"/>
              <w:gridCol w:w="896"/>
              <w:gridCol w:w="1318"/>
              <w:gridCol w:w="901"/>
              <w:gridCol w:w="3501"/>
              <w:gridCol w:w="1158"/>
              <w:gridCol w:w="1212"/>
              <w:gridCol w:w="2077"/>
              <w:gridCol w:w="97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20" w:type="pct"/>
                  <w:vAlign w:val="center"/>
                </w:tcPr>
                <w:p>
                  <w:pPr>
                    <w:jc w:val="center"/>
                    <w:rPr>
                      <w:color w:val="000000"/>
                      <w:szCs w:val="21"/>
                    </w:rPr>
                  </w:pPr>
                  <w:r>
                    <w:rPr>
                      <w:color w:val="000000"/>
                      <w:szCs w:val="21"/>
                    </w:rPr>
                    <w:t>产污环节</w:t>
                  </w:r>
                </w:p>
              </w:tc>
              <w:tc>
                <w:tcPr>
                  <w:tcW w:w="333" w:type="pct"/>
                  <w:tcBorders>
                    <w:bottom w:val="single" w:color="auto" w:sz="4" w:space="0"/>
                  </w:tcBorders>
                  <w:vAlign w:val="center"/>
                </w:tcPr>
                <w:p>
                  <w:pPr>
                    <w:jc w:val="center"/>
                    <w:rPr>
                      <w:color w:val="000000"/>
                      <w:szCs w:val="21"/>
                    </w:rPr>
                  </w:pPr>
                  <w:r>
                    <w:rPr>
                      <w:color w:val="000000"/>
                      <w:szCs w:val="21"/>
                    </w:rPr>
                    <w:t>污染物种类</w:t>
                  </w:r>
                </w:p>
              </w:tc>
              <w:tc>
                <w:tcPr>
                  <w:tcW w:w="490" w:type="pct"/>
                  <w:tcBorders>
                    <w:bottom w:val="single" w:color="auto" w:sz="4" w:space="0"/>
                  </w:tcBorders>
                  <w:vAlign w:val="center"/>
                </w:tcPr>
                <w:p>
                  <w:pPr>
                    <w:jc w:val="center"/>
                    <w:rPr>
                      <w:color w:val="000000"/>
                      <w:szCs w:val="21"/>
                    </w:rPr>
                  </w:pPr>
                  <w:r>
                    <w:rPr>
                      <w:color w:val="000000"/>
                      <w:szCs w:val="21"/>
                    </w:rPr>
                    <w:t>污染物产生量</w:t>
                  </w:r>
                  <w:r>
                    <w:rPr>
                      <w:rFonts w:hint="eastAsia"/>
                      <w:color w:val="000000"/>
                    </w:rPr>
                    <w:t>及浓度</w:t>
                  </w:r>
                </w:p>
              </w:tc>
              <w:tc>
                <w:tcPr>
                  <w:tcW w:w="335" w:type="pct"/>
                  <w:vAlign w:val="center"/>
                </w:tcPr>
                <w:p>
                  <w:pPr>
                    <w:jc w:val="center"/>
                    <w:rPr>
                      <w:color w:val="000000"/>
                      <w:szCs w:val="21"/>
                    </w:rPr>
                  </w:pPr>
                  <w:r>
                    <w:rPr>
                      <w:color w:val="000000"/>
                      <w:szCs w:val="21"/>
                    </w:rPr>
                    <w:t>排放形式</w:t>
                  </w:r>
                </w:p>
              </w:tc>
              <w:tc>
                <w:tcPr>
                  <w:tcW w:w="1303" w:type="pct"/>
                  <w:vAlign w:val="center"/>
                </w:tcPr>
                <w:p>
                  <w:pPr>
                    <w:jc w:val="center"/>
                    <w:rPr>
                      <w:color w:val="000000"/>
                      <w:szCs w:val="21"/>
                    </w:rPr>
                  </w:pPr>
                  <w:r>
                    <w:rPr>
                      <w:color w:val="000000"/>
                      <w:szCs w:val="21"/>
                    </w:rPr>
                    <w:t>治理设施</w:t>
                  </w:r>
                </w:p>
              </w:tc>
              <w:tc>
                <w:tcPr>
                  <w:tcW w:w="431" w:type="pct"/>
                  <w:tcBorders>
                    <w:bottom w:val="single" w:color="auto" w:sz="4" w:space="0"/>
                  </w:tcBorders>
                  <w:vAlign w:val="center"/>
                </w:tcPr>
                <w:p>
                  <w:pPr>
                    <w:jc w:val="center"/>
                    <w:rPr>
                      <w:color w:val="000000"/>
                      <w:szCs w:val="21"/>
                    </w:rPr>
                  </w:pPr>
                  <w:r>
                    <w:rPr>
                      <w:color w:val="000000"/>
                      <w:szCs w:val="21"/>
                    </w:rPr>
                    <w:t>污染物排放浓度</w:t>
                  </w:r>
                </w:p>
              </w:tc>
              <w:tc>
                <w:tcPr>
                  <w:tcW w:w="451" w:type="pct"/>
                  <w:tcBorders>
                    <w:bottom w:val="single" w:color="auto" w:sz="4" w:space="0"/>
                  </w:tcBorders>
                  <w:vAlign w:val="center"/>
                </w:tcPr>
                <w:p>
                  <w:pPr>
                    <w:jc w:val="center"/>
                    <w:rPr>
                      <w:color w:val="000000"/>
                      <w:szCs w:val="21"/>
                    </w:rPr>
                  </w:pPr>
                  <w:r>
                    <w:rPr>
                      <w:color w:val="000000"/>
                      <w:szCs w:val="21"/>
                    </w:rPr>
                    <w:t>污染物排放量</w:t>
                  </w:r>
                </w:p>
              </w:tc>
              <w:tc>
                <w:tcPr>
                  <w:tcW w:w="773" w:type="pct"/>
                  <w:vAlign w:val="center"/>
                </w:tcPr>
                <w:p>
                  <w:pPr>
                    <w:jc w:val="center"/>
                    <w:rPr>
                      <w:color w:val="000000"/>
                      <w:szCs w:val="21"/>
                    </w:rPr>
                  </w:pPr>
                  <w:r>
                    <w:rPr>
                      <w:color w:val="000000"/>
                      <w:szCs w:val="21"/>
                    </w:rPr>
                    <w:t>排放标准</w:t>
                  </w:r>
                </w:p>
              </w:tc>
              <w:tc>
                <w:tcPr>
                  <w:tcW w:w="363" w:type="pct"/>
                  <w:vAlign w:val="center"/>
                </w:tcPr>
                <w:p>
                  <w:pPr>
                    <w:jc w:val="center"/>
                    <w:rPr>
                      <w:color w:val="000000"/>
                      <w:szCs w:val="21"/>
                    </w:rPr>
                  </w:pPr>
                  <w:r>
                    <w:rPr>
                      <w:rFonts w:hint="eastAsia"/>
                      <w:color w:val="000000"/>
                      <w:szCs w:val="21"/>
                    </w:rPr>
                    <w:t>是否为可行性技术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20" w:type="pct"/>
                  <w:vMerge w:val="restart"/>
                  <w:vAlign w:val="center"/>
                </w:tcPr>
                <w:p>
                  <w:pPr>
                    <w:adjustRightInd w:val="0"/>
                    <w:snapToGrid w:val="0"/>
                    <w:jc w:val="center"/>
                    <w:rPr>
                      <w:color w:val="000000"/>
                      <w:szCs w:val="21"/>
                    </w:rPr>
                  </w:pPr>
                  <w:r>
                    <w:rPr>
                      <w:rFonts w:hint="eastAsia"/>
                      <w:color w:val="000000"/>
                      <w:szCs w:val="21"/>
                    </w:rPr>
                    <w:t>1#热风炉</w:t>
                  </w:r>
                </w:p>
              </w:tc>
              <w:tc>
                <w:tcPr>
                  <w:tcW w:w="333" w:type="pct"/>
                  <w:tcBorders>
                    <w:top w:val="single" w:color="auto" w:sz="4" w:space="0"/>
                    <w:bottom w:val="single" w:color="auto" w:sz="4" w:space="0"/>
                  </w:tcBorders>
                  <w:vAlign w:val="center"/>
                </w:tcPr>
                <w:p>
                  <w:pPr>
                    <w:spacing w:line="360" w:lineRule="exact"/>
                    <w:jc w:val="center"/>
                    <w:rPr>
                      <w:szCs w:val="21"/>
                    </w:rPr>
                  </w:pPr>
                  <w:r>
                    <w:rPr>
                      <w:szCs w:val="21"/>
                    </w:rPr>
                    <w:t>颗粒物</w:t>
                  </w:r>
                </w:p>
              </w:tc>
              <w:tc>
                <w:tcPr>
                  <w:tcW w:w="490" w:type="pct"/>
                  <w:tcBorders>
                    <w:top w:val="single" w:color="auto" w:sz="4" w:space="0"/>
                    <w:bottom w:val="single" w:color="auto" w:sz="4" w:space="0"/>
                  </w:tcBorders>
                  <w:vAlign w:val="center"/>
                </w:tcPr>
                <w:p>
                  <w:pPr>
                    <w:pStyle w:val="32"/>
                    <w:jc w:val="center"/>
                    <w:rPr>
                      <w:rFonts w:ascii="Times New Roman" w:cs="Times New Roman"/>
                      <w:sz w:val="21"/>
                      <w:szCs w:val="21"/>
                    </w:rPr>
                  </w:pPr>
                  <w:r>
                    <w:rPr>
                      <w:rFonts w:hint="eastAsia" w:ascii="Times New Roman" w:cs="Times New Roman"/>
                      <w:sz w:val="21"/>
                      <w:szCs w:val="21"/>
                    </w:rPr>
                    <w:t>1t/a</w:t>
                  </w:r>
                </w:p>
                <w:p>
                  <w:pPr>
                    <w:spacing w:line="360" w:lineRule="exact"/>
                    <w:jc w:val="center"/>
                    <w:rPr>
                      <w:szCs w:val="21"/>
                    </w:rPr>
                  </w:pPr>
                  <w:r>
                    <w:rPr>
                      <w:rFonts w:hint="eastAsia"/>
                      <w:szCs w:val="21"/>
                    </w:rPr>
                    <w:t>66.7mg/m</w:t>
                  </w:r>
                  <w:r>
                    <w:rPr>
                      <w:rFonts w:hint="eastAsia"/>
                      <w:szCs w:val="21"/>
                      <w:vertAlign w:val="superscript"/>
                    </w:rPr>
                    <w:t>3</w:t>
                  </w:r>
                </w:p>
              </w:tc>
              <w:tc>
                <w:tcPr>
                  <w:tcW w:w="335" w:type="pct"/>
                  <w:vMerge w:val="restart"/>
                  <w:vAlign w:val="center"/>
                </w:tcPr>
                <w:p>
                  <w:pPr>
                    <w:jc w:val="center"/>
                    <w:rPr>
                      <w:color w:val="000000"/>
                      <w:szCs w:val="21"/>
                    </w:rPr>
                  </w:pPr>
                  <w:r>
                    <w:rPr>
                      <w:rFonts w:hint="eastAsia"/>
                      <w:color w:val="000000"/>
                      <w:szCs w:val="21"/>
                    </w:rPr>
                    <w:t>有组织</w:t>
                  </w:r>
                </w:p>
              </w:tc>
              <w:tc>
                <w:tcPr>
                  <w:tcW w:w="1303" w:type="pct"/>
                  <w:vMerge w:val="restart"/>
                  <w:vAlign w:val="center"/>
                </w:tcPr>
                <w:p>
                  <w:pPr>
                    <w:autoSpaceDE w:val="0"/>
                    <w:adjustRightInd w:val="0"/>
                    <w:snapToGrid w:val="0"/>
                    <w:jc w:val="center"/>
                    <w:rPr>
                      <w:color w:val="000000"/>
                    </w:rPr>
                  </w:pPr>
                  <w:r>
                    <w:rPr>
                      <w:rFonts w:hint="eastAsia"/>
                      <w:color w:val="000000"/>
                      <w:szCs w:val="21"/>
                    </w:rPr>
                    <w:t>低氮燃烧+旋风除尘+布袋除尘+15m高排气筒排放</w:t>
                  </w:r>
                </w:p>
              </w:tc>
              <w:tc>
                <w:tcPr>
                  <w:tcW w:w="43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10</w:t>
                  </w:r>
                  <w:r>
                    <w:rPr>
                      <w:color w:val="000000"/>
                      <w:szCs w:val="21"/>
                    </w:rPr>
                    <w:t>mg/m</w:t>
                  </w:r>
                  <w:r>
                    <w:rPr>
                      <w:color w:val="000000"/>
                      <w:szCs w:val="21"/>
                      <w:vertAlign w:val="superscript"/>
                    </w:rPr>
                    <w:t>3</w:t>
                  </w:r>
                </w:p>
              </w:tc>
              <w:tc>
                <w:tcPr>
                  <w:tcW w:w="45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0.15</w:t>
                  </w:r>
                  <w:r>
                    <w:rPr>
                      <w:color w:val="000000"/>
                      <w:szCs w:val="21"/>
                    </w:rPr>
                    <w:t>t/a</w:t>
                  </w:r>
                </w:p>
              </w:tc>
              <w:tc>
                <w:tcPr>
                  <w:tcW w:w="773" w:type="pct"/>
                  <w:vMerge w:val="restart"/>
                  <w:vAlign w:val="center"/>
                </w:tcPr>
                <w:p>
                  <w:pPr>
                    <w:jc w:val="center"/>
                    <w:rPr>
                      <w:color w:val="000000"/>
                      <w:szCs w:val="21"/>
                    </w:rPr>
                  </w:pPr>
                  <w:r>
                    <w:rPr>
                      <w:rFonts w:hint="eastAsia"/>
                      <w:color w:val="000000"/>
                      <w:szCs w:val="21"/>
                    </w:rPr>
                    <w:t>《</w:t>
                  </w:r>
                  <w:r>
                    <w:rPr>
                      <w:color w:val="000000"/>
                      <w:szCs w:val="21"/>
                    </w:rPr>
                    <w:t>运城市人民政府办公室关于印发运城市工业炉窑污染治理行动方案的通知》（运政办发电〔2019〕9号）</w:t>
                  </w:r>
                </w:p>
              </w:tc>
              <w:tc>
                <w:tcPr>
                  <w:tcW w:w="363" w:type="pct"/>
                  <w:vMerge w:val="restart"/>
                  <w:vAlign w:val="center"/>
                </w:tcPr>
                <w:p>
                  <w:pPr>
                    <w:jc w:val="center"/>
                    <w:rPr>
                      <w:color w:val="000000"/>
                      <w:szCs w:val="21"/>
                    </w:rPr>
                  </w:pPr>
                  <w:r>
                    <w:rPr>
                      <w:rFonts w:hint="eastAsia"/>
                      <w:color w:val="000000"/>
                      <w:szCs w:val="21"/>
                    </w:rPr>
                    <w:t>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520" w:type="pct"/>
                  <w:vMerge w:val="continue"/>
                  <w:vAlign w:val="center"/>
                </w:tcPr>
                <w:p>
                  <w:pPr>
                    <w:adjustRightInd w:val="0"/>
                    <w:snapToGrid w:val="0"/>
                    <w:jc w:val="center"/>
                    <w:rPr>
                      <w:color w:val="000000"/>
                      <w:szCs w:val="21"/>
                    </w:rPr>
                  </w:pPr>
                </w:p>
              </w:tc>
              <w:tc>
                <w:tcPr>
                  <w:tcW w:w="333" w:type="pct"/>
                  <w:tcBorders>
                    <w:top w:val="single" w:color="auto" w:sz="4" w:space="0"/>
                    <w:bottom w:val="single" w:color="auto" w:sz="4" w:space="0"/>
                  </w:tcBorders>
                  <w:vAlign w:val="center"/>
                </w:tcPr>
                <w:p>
                  <w:pPr>
                    <w:pStyle w:val="86"/>
                    <w:wordWrap w:val="0"/>
                    <w:rPr>
                      <w:b w:val="0"/>
                      <w:snapToGrid w:val="0"/>
                    </w:rPr>
                  </w:pPr>
                  <w:r>
                    <w:rPr>
                      <w:b w:val="0"/>
                      <w:snapToGrid w:val="0"/>
                    </w:rPr>
                    <w:t>SO</w:t>
                  </w:r>
                  <w:r>
                    <w:rPr>
                      <w:b w:val="0"/>
                      <w:snapToGrid w:val="0"/>
                      <w:vertAlign w:val="subscript"/>
                    </w:rPr>
                    <w:t>2</w:t>
                  </w:r>
                </w:p>
              </w:tc>
              <w:tc>
                <w:tcPr>
                  <w:tcW w:w="490" w:type="pct"/>
                  <w:tcBorders>
                    <w:top w:val="single" w:color="auto" w:sz="4" w:space="0"/>
                    <w:bottom w:val="single" w:color="auto" w:sz="4" w:space="0"/>
                  </w:tcBorders>
                  <w:vAlign w:val="center"/>
                </w:tcPr>
                <w:p>
                  <w:pPr>
                    <w:pStyle w:val="32"/>
                    <w:jc w:val="center"/>
                    <w:rPr>
                      <w:rFonts w:ascii="Times New Roman" w:cs="Times New Roman"/>
                      <w:sz w:val="21"/>
                      <w:szCs w:val="21"/>
                    </w:rPr>
                  </w:pPr>
                  <w:r>
                    <w:rPr>
                      <w:rFonts w:hint="eastAsia" w:ascii="Times New Roman" w:cs="Times New Roman"/>
                      <w:sz w:val="21"/>
                      <w:szCs w:val="21"/>
                    </w:rPr>
                    <w:t>0.68t/a</w:t>
                  </w:r>
                </w:p>
                <w:p>
                  <w:pPr>
                    <w:spacing w:line="360" w:lineRule="exact"/>
                    <w:jc w:val="center"/>
                    <w:rPr>
                      <w:szCs w:val="21"/>
                    </w:rPr>
                  </w:pPr>
                  <w:r>
                    <w:rPr>
                      <w:rFonts w:hint="eastAsia" w:hAnsi="Calibri"/>
                      <w:color w:val="000000"/>
                      <w:szCs w:val="21"/>
                    </w:rPr>
                    <w:t>45.3mg</w:t>
                  </w:r>
                  <w:r>
                    <w:rPr>
                      <w:rFonts w:hint="eastAsia"/>
                      <w:szCs w:val="21"/>
                    </w:rPr>
                    <w:t>/m</w:t>
                  </w:r>
                  <w:r>
                    <w:rPr>
                      <w:rFonts w:hint="eastAsia"/>
                      <w:szCs w:val="21"/>
                      <w:vertAlign w:val="superscript"/>
                    </w:rPr>
                    <w:t>3</w:t>
                  </w:r>
                </w:p>
              </w:tc>
              <w:tc>
                <w:tcPr>
                  <w:tcW w:w="335" w:type="pct"/>
                  <w:vMerge w:val="continue"/>
                  <w:vAlign w:val="center"/>
                </w:tcPr>
                <w:p>
                  <w:pPr>
                    <w:jc w:val="center"/>
                    <w:rPr>
                      <w:color w:val="000000"/>
                      <w:szCs w:val="21"/>
                    </w:rPr>
                  </w:pPr>
                </w:p>
              </w:tc>
              <w:tc>
                <w:tcPr>
                  <w:tcW w:w="1303" w:type="pct"/>
                  <w:vMerge w:val="continue"/>
                  <w:vAlign w:val="center"/>
                </w:tcPr>
                <w:p>
                  <w:pPr>
                    <w:autoSpaceDE w:val="0"/>
                    <w:adjustRightInd w:val="0"/>
                    <w:snapToGrid w:val="0"/>
                    <w:jc w:val="center"/>
                    <w:rPr>
                      <w:color w:val="000000"/>
                      <w:szCs w:val="21"/>
                    </w:rPr>
                  </w:pPr>
                </w:p>
              </w:tc>
              <w:tc>
                <w:tcPr>
                  <w:tcW w:w="43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45.3</w:t>
                  </w:r>
                  <w:r>
                    <w:rPr>
                      <w:color w:val="000000"/>
                      <w:szCs w:val="21"/>
                    </w:rPr>
                    <w:t>mg/m</w:t>
                  </w:r>
                  <w:r>
                    <w:rPr>
                      <w:color w:val="000000"/>
                      <w:szCs w:val="21"/>
                      <w:vertAlign w:val="superscript"/>
                    </w:rPr>
                    <w:t>3</w:t>
                  </w:r>
                </w:p>
              </w:tc>
              <w:tc>
                <w:tcPr>
                  <w:tcW w:w="45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0.68</w:t>
                  </w:r>
                  <w:r>
                    <w:rPr>
                      <w:color w:val="000000"/>
                      <w:szCs w:val="21"/>
                    </w:rPr>
                    <w:t>t/a</w:t>
                  </w:r>
                </w:p>
              </w:tc>
              <w:tc>
                <w:tcPr>
                  <w:tcW w:w="773" w:type="pct"/>
                  <w:vMerge w:val="continue"/>
                  <w:vAlign w:val="center"/>
                </w:tcPr>
                <w:p>
                  <w:pPr>
                    <w:jc w:val="center"/>
                    <w:rPr>
                      <w:color w:val="000000"/>
                      <w:szCs w:val="21"/>
                    </w:rPr>
                  </w:pPr>
                </w:p>
              </w:tc>
              <w:tc>
                <w:tcPr>
                  <w:tcW w:w="363" w:type="pct"/>
                  <w:vMerge w:val="continue"/>
                  <w:vAlign w:val="center"/>
                </w:tcPr>
                <w:p>
                  <w:pPr>
                    <w:jc w:val="center"/>
                    <w:rPr>
                      <w:color w:val="00000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520" w:type="pct"/>
                  <w:vMerge w:val="continue"/>
                  <w:vAlign w:val="center"/>
                </w:tcPr>
                <w:p>
                  <w:pPr>
                    <w:adjustRightInd w:val="0"/>
                    <w:snapToGrid w:val="0"/>
                    <w:jc w:val="center"/>
                    <w:rPr>
                      <w:color w:val="000000"/>
                      <w:szCs w:val="21"/>
                    </w:rPr>
                  </w:pPr>
                </w:p>
              </w:tc>
              <w:tc>
                <w:tcPr>
                  <w:tcW w:w="333" w:type="pct"/>
                  <w:tcBorders>
                    <w:top w:val="single" w:color="auto" w:sz="4" w:space="0"/>
                    <w:bottom w:val="single" w:color="auto" w:sz="4" w:space="0"/>
                  </w:tcBorders>
                  <w:vAlign w:val="center"/>
                </w:tcPr>
                <w:p>
                  <w:pPr>
                    <w:pStyle w:val="86"/>
                    <w:wordWrap w:val="0"/>
                    <w:rPr>
                      <w:b w:val="0"/>
                      <w:snapToGrid w:val="0"/>
                    </w:rPr>
                  </w:pPr>
                  <w:r>
                    <w:rPr>
                      <w:b w:val="0"/>
                      <w:snapToGrid w:val="0"/>
                    </w:rPr>
                    <w:t>NOx</w:t>
                  </w:r>
                </w:p>
              </w:tc>
              <w:tc>
                <w:tcPr>
                  <w:tcW w:w="490" w:type="pct"/>
                  <w:tcBorders>
                    <w:top w:val="single" w:color="auto" w:sz="4" w:space="0"/>
                    <w:bottom w:val="single" w:color="auto" w:sz="4" w:space="0"/>
                  </w:tcBorders>
                  <w:vAlign w:val="center"/>
                </w:tcPr>
                <w:p>
                  <w:pPr>
                    <w:pStyle w:val="32"/>
                    <w:jc w:val="center"/>
                    <w:rPr>
                      <w:rFonts w:ascii="Times New Roman" w:cs="Times New Roman"/>
                      <w:sz w:val="21"/>
                      <w:szCs w:val="21"/>
                    </w:rPr>
                  </w:pPr>
                  <w:r>
                    <w:rPr>
                      <w:rFonts w:hint="eastAsia" w:ascii="Times New Roman" w:cs="Times New Roman"/>
                      <w:sz w:val="21"/>
                      <w:szCs w:val="21"/>
                    </w:rPr>
                    <w:t>2.04t/a</w:t>
                  </w:r>
                </w:p>
                <w:p>
                  <w:pPr>
                    <w:spacing w:line="360" w:lineRule="exact"/>
                    <w:jc w:val="center"/>
                    <w:rPr>
                      <w:szCs w:val="21"/>
                    </w:rPr>
                  </w:pPr>
                  <w:r>
                    <w:rPr>
                      <w:rFonts w:hint="eastAsia" w:hAnsi="Calibri"/>
                      <w:color w:val="000000"/>
                      <w:szCs w:val="21"/>
                    </w:rPr>
                    <w:t>136mg</w:t>
                  </w:r>
                  <w:r>
                    <w:rPr>
                      <w:rFonts w:hint="eastAsia"/>
                      <w:szCs w:val="21"/>
                    </w:rPr>
                    <w:t>/m</w:t>
                  </w:r>
                  <w:r>
                    <w:rPr>
                      <w:rFonts w:hint="eastAsia"/>
                      <w:szCs w:val="21"/>
                      <w:vertAlign w:val="superscript"/>
                    </w:rPr>
                    <w:t>3</w:t>
                  </w:r>
                </w:p>
              </w:tc>
              <w:tc>
                <w:tcPr>
                  <w:tcW w:w="335" w:type="pct"/>
                  <w:vMerge w:val="continue"/>
                  <w:vAlign w:val="center"/>
                </w:tcPr>
                <w:p>
                  <w:pPr>
                    <w:jc w:val="center"/>
                    <w:rPr>
                      <w:color w:val="000000"/>
                      <w:szCs w:val="21"/>
                    </w:rPr>
                  </w:pPr>
                </w:p>
              </w:tc>
              <w:tc>
                <w:tcPr>
                  <w:tcW w:w="1303" w:type="pct"/>
                  <w:vMerge w:val="continue"/>
                  <w:vAlign w:val="center"/>
                </w:tcPr>
                <w:p>
                  <w:pPr>
                    <w:autoSpaceDE w:val="0"/>
                    <w:adjustRightInd w:val="0"/>
                    <w:snapToGrid w:val="0"/>
                    <w:jc w:val="center"/>
                    <w:rPr>
                      <w:color w:val="000000"/>
                      <w:szCs w:val="21"/>
                    </w:rPr>
                  </w:pPr>
                </w:p>
              </w:tc>
              <w:tc>
                <w:tcPr>
                  <w:tcW w:w="431" w:type="pct"/>
                  <w:tcBorders>
                    <w:top w:val="single" w:color="auto" w:sz="4" w:space="0"/>
                    <w:bottom w:val="single" w:color="auto" w:sz="4" w:space="0"/>
                  </w:tcBorders>
                  <w:vAlign w:val="center"/>
                </w:tcPr>
                <w:p>
                  <w:pPr>
                    <w:pStyle w:val="97"/>
                    <w:autoSpaceDE w:val="0"/>
                    <w:rPr>
                      <w:color w:val="000000"/>
                      <w:szCs w:val="21"/>
                    </w:rPr>
                  </w:pPr>
                  <w:r>
                    <w:rPr>
                      <w:rFonts w:hint="eastAsia"/>
                      <w:color w:val="000000"/>
                      <w:szCs w:val="21"/>
                    </w:rPr>
                    <w:t>95.2</w:t>
                  </w:r>
                  <w:r>
                    <w:rPr>
                      <w:color w:val="000000"/>
                      <w:szCs w:val="21"/>
                    </w:rPr>
                    <w:t>mg/m</w:t>
                  </w:r>
                  <w:r>
                    <w:rPr>
                      <w:color w:val="000000"/>
                      <w:szCs w:val="21"/>
                      <w:vertAlign w:val="superscript"/>
                    </w:rPr>
                    <w:t>3</w:t>
                  </w:r>
                </w:p>
              </w:tc>
              <w:tc>
                <w:tcPr>
                  <w:tcW w:w="451" w:type="pct"/>
                  <w:tcBorders>
                    <w:top w:val="single" w:color="auto" w:sz="4" w:space="0"/>
                    <w:bottom w:val="single" w:color="auto" w:sz="4" w:space="0"/>
                  </w:tcBorders>
                  <w:vAlign w:val="center"/>
                </w:tcPr>
                <w:p>
                  <w:pPr>
                    <w:pStyle w:val="97"/>
                    <w:autoSpaceDE w:val="0"/>
                    <w:rPr>
                      <w:color w:val="000000"/>
                      <w:szCs w:val="21"/>
                    </w:rPr>
                  </w:pPr>
                  <w:r>
                    <w:rPr>
                      <w:rFonts w:hint="eastAsia"/>
                      <w:color w:val="000000"/>
                      <w:szCs w:val="21"/>
                    </w:rPr>
                    <w:t>1.428</w:t>
                  </w:r>
                  <w:r>
                    <w:rPr>
                      <w:color w:val="000000"/>
                      <w:szCs w:val="21"/>
                    </w:rPr>
                    <w:t>t/a</w:t>
                  </w:r>
                </w:p>
              </w:tc>
              <w:tc>
                <w:tcPr>
                  <w:tcW w:w="773" w:type="pct"/>
                  <w:vMerge w:val="continue"/>
                  <w:vAlign w:val="center"/>
                </w:tcPr>
                <w:p>
                  <w:pPr>
                    <w:jc w:val="center"/>
                    <w:rPr>
                      <w:color w:val="000000"/>
                      <w:szCs w:val="21"/>
                    </w:rPr>
                  </w:pPr>
                </w:p>
              </w:tc>
              <w:tc>
                <w:tcPr>
                  <w:tcW w:w="363" w:type="pct"/>
                  <w:vMerge w:val="continue"/>
                  <w:vAlign w:val="center"/>
                </w:tcPr>
                <w:p>
                  <w:pPr>
                    <w:jc w:val="center"/>
                    <w:rPr>
                      <w:color w:val="00000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20" w:type="pct"/>
                  <w:vMerge w:val="restart"/>
                  <w:vAlign w:val="center"/>
                </w:tcPr>
                <w:p>
                  <w:pPr>
                    <w:jc w:val="center"/>
                    <w:rPr>
                      <w:color w:val="000000"/>
                      <w:szCs w:val="21"/>
                    </w:rPr>
                  </w:pPr>
                  <w:r>
                    <w:rPr>
                      <w:rFonts w:hint="eastAsia"/>
                      <w:color w:val="000000"/>
                      <w:szCs w:val="21"/>
                    </w:rPr>
                    <w:t>2#热风炉</w:t>
                  </w:r>
                  <w:r>
                    <w:rPr>
                      <w:color w:val="000000"/>
                      <w:szCs w:val="21"/>
                    </w:rPr>
                    <w:t xml:space="preserve"> </w:t>
                  </w:r>
                </w:p>
              </w:tc>
              <w:tc>
                <w:tcPr>
                  <w:tcW w:w="333" w:type="pct"/>
                  <w:tcBorders>
                    <w:top w:val="single" w:color="auto" w:sz="4" w:space="0"/>
                  </w:tcBorders>
                  <w:vAlign w:val="center"/>
                </w:tcPr>
                <w:p>
                  <w:pPr>
                    <w:spacing w:line="360" w:lineRule="exact"/>
                    <w:jc w:val="center"/>
                    <w:rPr>
                      <w:szCs w:val="21"/>
                    </w:rPr>
                  </w:pPr>
                  <w:r>
                    <w:rPr>
                      <w:szCs w:val="21"/>
                    </w:rPr>
                    <w:t>颗粒物</w:t>
                  </w:r>
                </w:p>
              </w:tc>
              <w:tc>
                <w:tcPr>
                  <w:tcW w:w="490" w:type="pct"/>
                  <w:tcBorders>
                    <w:top w:val="single" w:color="auto" w:sz="4" w:space="0"/>
                  </w:tcBorders>
                  <w:vAlign w:val="center"/>
                </w:tcPr>
                <w:p>
                  <w:pPr>
                    <w:pStyle w:val="32"/>
                    <w:jc w:val="center"/>
                    <w:rPr>
                      <w:rFonts w:ascii="Times New Roman" w:cs="Times New Roman"/>
                      <w:sz w:val="21"/>
                      <w:szCs w:val="21"/>
                    </w:rPr>
                  </w:pPr>
                  <w:r>
                    <w:rPr>
                      <w:rFonts w:hint="eastAsia" w:ascii="Times New Roman" w:cs="Times New Roman"/>
                      <w:sz w:val="21"/>
                      <w:szCs w:val="21"/>
                    </w:rPr>
                    <w:t>1t/a</w:t>
                  </w:r>
                </w:p>
                <w:p>
                  <w:pPr>
                    <w:spacing w:line="360" w:lineRule="exact"/>
                    <w:jc w:val="center"/>
                    <w:rPr>
                      <w:szCs w:val="21"/>
                    </w:rPr>
                  </w:pPr>
                  <w:r>
                    <w:rPr>
                      <w:rFonts w:hint="eastAsia"/>
                      <w:szCs w:val="21"/>
                    </w:rPr>
                    <w:t>66.7mg/m</w:t>
                  </w:r>
                  <w:r>
                    <w:rPr>
                      <w:rFonts w:hint="eastAsia"/>
                      <w:szCs w:val="21"/>
                      <w:vertAlign w:val="superscript"/>
                    </w:rPr>
                    <w:t>3</w:t>
                  </w:r>
                </w:p>
              </w:tc>
              <w:tc>
                <w:tcPr>
                  <w:tcW w:w="335" w:type="pct"/>
                  <w:vMerge w:val="restart"/>
                  <w:vAlign w:val="center"/>
                </w:tcPr>
                <w:p>
                  <w:pPr>
                    <w:jc w:val="center"/>
                    <w:rPr>
                      <w:color w:val="000000"/>
                      <w:szCs w:val="21"/>
                    </w:rPr>
                  </w:pPr>
                  <w:r>
                    <w:rPr>
                      <w:rFonts w:hint="eastAsia"/>
                      <w:color w:val="000000"/>
                      <w:szCs w:val="21"/>
                    </w:rPr>
                    <w:t>有组织</w:t>
                  </w:r>
                </w:p>
              </w:tc>
              <w:tc>
                <w:tcPr>
                  <w:tcW w:w="1303" w:type="pct"/>
                  <w:vMerge w:val="restart"/>
                  <w:vAlign w:val="center"/>
                </w:tcPr>
                <w:p>
                  <w:pPr>
                    <w:autoSpaceDE w:val="0"/>
                    <w:adjustRightInd w:val="0"/>
                    <w:snapToGrid w:val="0"/>
                    <w:jc w:val="center"/>
                    <w:rPr>
                      <w:color w:val="000000"/>
                    </w:rPr>
                  </w:pPr>
                  <w:r>
                    <w:rPr>
                      <w:rFonts w:hint="eastAsia"/>
                      <w:color w:val="000000"/>
                      <w:szCs w:val="21"/>
                    </w:rPr>
                    <w:t>低氮燃烧+旋风除尘+布袋除尘+15m高排气筒排放</w:t>
                  </w:r>
                </w:p>
              </w:tc>
              <w:tc>
                <w:tcPr>
                  <w:tcW w:w="43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10</w:t>
                  </w:r>
                  <w:r>
                    <w:rPr>
                      <w:color w:val="000000"/>
                      <w:szCs w:val="21"/>
                    </w:rPr>
                    <w:t>mg/m</w:t>
                  </w:r>
                  <w:r>
                    <w:rPr>
                      <w:color w:val="000000"/>
                      <w:szCs w:val="21"/>
                      <w:vertAlign w:val="superscript"/>
                    </w:rPr>
                    <w:t>3</w:t>
                  </w:r>
                </w:p>
              </w:tc>
              <w:tc>
                <w:tcPr>
                  <w:tcW w:w="45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0.15</w:t>
                  </w:r>
                  <w:r>
                    <w:rPr>
                      <w:color w:val="000000"/>
                      <w:szCs w:val="21"/>
                    </w:rPr>
                    <w:t>t/a</w:t>
                  </w:r>
                </w:p>
              </w:tc>
              <w:tc>
                <w:tcPr>
                  <w:tcW w:w="773" w:type="pct"/>
                  <w:vMerge w:val="continue"/>
                  <w:vAlign w:val="center"/>
                </w:tcPr>
                <w:p>
                  <w:pPr>
                    <w:jc w:val="center"/>
                    <w:rPr>
                      <w:color w:val="000000"/>
                      <w:szCs w:val="21"/>
                    </w:rPr>
                  </w:pPr>
                </w:p>
              </w:tc>
              <w:tc>
                <w:tcPr>
                  <w:tcW w:w="363" w:type="pct"/>
                  <w:vMerge w:val="continue"/>
                  <w:vAlign w:val="center"/>
                </w:tcPr>
                <w:p>
                  <w:pPr>
                    <w:jc w:val="center"/>
                    <w:rPr>
                      <w:color w:val="00000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20" w:type="pct"/>
                  <w:vMerge w:val="continue"/>
                  <w:vAlign w:val="center"/>
                </w:tcPr>
                <w:p>
                  <w:pPr>
                    <w:jc w:val="center"/>
                    <w:rPr>
                      <w:color w:val="000000"/>
                      <w:szCs w:val="21"/>
                    </w:rPr>
                  </w:pPr>
                </w:p>
              </w:tc>
              <w:tc>
                <w:tcPr>
                  <w:tcW w:w="333" w:type="pct"/>
                  <w:vAlign w:val="center"/>
                </w:tcPr>
                <w:p>
                  <w:pPr>
                    <w:pStyle w:val="86"/>
                    <w:wordWrap w:val="0"/>
                    <w:rPr>
                      <w:b w:val="0"/>
                      <w:snapToGrid w:val="0"/>
                    </w:rPr>
                  </w:pPr>
                  <w:r>
                    <w:rPr>
                      <w:b w:val="0"/>
                      <w:snapToGrid w:val="0"/>
                    </w:rPr>
                    <w:t>SO</w:t>
                  </w:r>
                  <w:r>
                    <w:rPr>
                      <w:b w:val="0"/>
                      <w:snapToGrid w:val="0"/>
                      <w:vertAlign w:val="subscript"/>
                    </w:rPr>
                    <w:t>2</w:t>
                  </w:r>
                </w:p>
              </w:tc>
              <w:tc>
                <w:tcPr>
                  <w:tcW w:w="490" w:type="pct"/>
                  <w:vAlign w:val="center"/>
                </w:tcPr>
                <w:p>
                  <w:pPr>
                    <w:pStyle w:val="32"/>
                    <w:jc w:val="center"/>
                    <w:rPr>
                      <w:rFonts w:ascii="Times New Roman" w:cs="Times New Roman"/>
                      <w:sz w:val="21"/>
                      <w:szCs w:val="21"/>
                    </w:rPr>
                  </w:pPr>
                  <w:r>
                    <w:rPr>
                      <w:rFonts w:hint="eastAsia" w:ascii="Times New Roman" w:cs="Times New Roman"/>
                      <w:sz w:val="21"/>
                      <w:szCs w:val="21"/>
                    </w:rPr>
                    <w:t>0.68t/a</w:t>
                  </w:r>
                </w:p>
                <w:p>
                  <w:pPr>
                    <w:spacing w:line="360" w:lineRule="exact"/>
                    <w:jc w:val="center"/>
                    <w:rPr>
                      <w:szCs w:val="21"/>
                    </w:rPr>
                  </w:pPr>
                  <w:r>
                    <w:rPr>
                      <w:rFonts w:hint="eastAsia" w:hAnsi="Calibri"/>
                      <w:color w:val="000000"/>
                      <w:szCs w:val="21"/>
                    </w:rPr>
                    <w:t>45.3mg</w:t>
                  </w:r>
                  <w:r>
                    <w:rPr>
                      <w:rFonts w:hint="eastAsia"/>
                      <w:szCs w:val="21"/>
                    </w:rPr>
                    <w:t>/m</w:t>
                  </w:r>
                  <w:r>
                    <w:rPr>
                      <w:rFonts w:hint="eastAsia"/>
                      <w:szCs w:val="21"/>
                      <w:vertAlign w:val="superscript"/>
                    </w:rPr>
                    <w:t>3</w:t>
                  </w:r>
                </w:p>
              </w:tc>
              <w:tc>
                <w:tcPr>
                  <w:tcW w:w="335" w:type="pct"/>
                  <w:vMerge w:val="continue"/>
                  <w:vAlign w:val="center"/>
                </w:tcPr>
                <w:p>
                  <w:pPr>
                    <w:jc w:val="center"/>
                    <w:rPr>
                      <w:color w:val="000000"/>
                      <w:szCs w:val="21"/>
                    </w:rPr>
                  </w:pPr>
                </w:p>
              </w:tc>
              <w:tc>
                <w:tcPr>
                  <w:tcW w:w="1303" w:type="pct"/>
                  <w:vMerge w:val="continue"/>
                  <w:vAlign w:val="center"/>
                </w:tcPr>
                <w:p>
                  <w:pPr>
                    <w:autoSpaceDE w:val="0"/>
                    <w:adjustRightInd w:val="0"/>
                    <w:snapToGrid w:val="0"/>
                    <w:jc w:val="center"/>
                    <w:rPr>
                      <w:color w:val="000000"/>
                      <w:szCs w:val="21"/>
                    </w:rPr>
                  </w:pPr>
                </w:p>
              </w:tc>
              <w:tc>
                <w:tcPr>
                  <w:tcW w:w="43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45.3</w:t>
                  </w:r>
                  <w:r>
                    <w:rPr>
                      <w:color w:val="000000"/>
                      <w:szCs w:val="21"/>
                    </w:rPr>
                    <w:t>mg/m</w:t>
                  </w:r>
                  <w:r>
                    <w:rPr>
                      <w:color w:val="000000"/>
                      <w:szCs w:val="21"/>
                      <w:vertAlign w:val="superscript"/>
                    </w:rPr>
                    <w:t>3</w:t>
                  </w:r>
                </w:p>
              </w:tc>
              <w:tc>
                <w:tcPr>
                  <w:tcW w:w="451" w:type="pct"/>
                  <w:tcBorders>
                    <w:top w:val="single" w:color="auto" w:sz="4" w:space="0"/>
                    <w:bottom w:val="single" w:color="auto" w:sz="4"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0.68</w:t>
                  </w:r>
                  <w:r>
                    <w:rPr>
                      <w:color w:val="000000"/>
                      <w:szCs w:val="21"/>
                    </w:rPr>
                    <w:t>t/a</w:t>
                  </w:r>
                </w:p>
              </w:tc>
              <w:tc>
                <w:tcPr>
                  <w:tcW w:w="773" w:type="pct"/>
                  <w:vMerge w:val="continue"/>
                  <w:vAlign w:val="center"/>
                </w:tcPr>
                <w:p>
                  <w:pPr>
                    <w:jc w:val="center"/>
                    <w:rPr>
                      <w:color w:val="000000"/>
                      <w:szCs w:val="21"/>
                    </w:rPr>
                  </w:pPr>
                </w:p>
              </w:tc>
              <w:tc>
                <w:tcPr>
                  <w:tcW w:w="363" w:type="pct"/>
                  <w:vMerge w:val="continue"/>
                  <w:vAlign w:val="center"/>
                </w:tcPr>
                <w:p>
                  <w:pPr>
                    <w:jc w:val="center"/>
                    <w:rPr>
                      <w:color w:val="00000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20" w:type="pct"/>
                  <w:vMerge w:val="continue"/>
                  <w:vAlign w:val="center"/>
                </w:tcPr>
                <w:p>
                  <w:pPr>
                    <w:jc w:val="center"/>
                    <w:rPr>
                      <w:color w:val="000000"/>
                      <w:szCs w:val="21"/>
                    </w:rPr>
                  </w:pPr>
                </w:p>
              </w:tc>
              <w:tc>
                <w:tcPr>
                  <w:tcW w:w="333" w:type="pct"/>
                  <w:vAlign w:val="center"/>
                </w:tcPr>
                <w:p>
                  <w:pPr>
                    <w:pStyle w:val="86"/>
                    <w:wordWrap w:val="0"/>
                    <w:rPr>
                      <w:b w:val="0"/>
                      <w:snapToGrid w:val="0"/>
                    </w:rPr>
                  </w:pPr>
                  <w:r>
                    <w:rPr>
                      <w:b w:val="0"/>
                      <w:snapToGrid w:val="0"/>
                    </w:rPr>
                    <w:t>NOx</w:t>
                  </w:r>
                </w:p>
              </w:tc>
              <w:tc>
                <w:tcPr>
                  <w:tcW w:w="490" w:type="pct"/>
                  <w:vAlign w:val="center"/>
                </w:tcPr>
                <w:p>
                  <w:pPr>
                    <w:pStyle w:val="32"/>
                    <w:jc w:val="center"/>
                    <w:rPr>
                      <w:rFonts w:ascii="Times New Roman" w:cs="Times New Roman"/>
                      <w:sz w:val="21"/>
                      <w:szCs w:val="21"/>
                    </w:rPr>
                  </w:pPr>
                  <w:r>
                    <w:rPr>
                      <w:rFonts w:hint="eastAsia" w:ascii="Times New Roman" w:cs="Times New Roman"/>
                      <w:sz w:val="21"/>
                      <w:szCs w:val="21"/>
                    </w:rPr>
                    <w:t>2.04t/a</w:t>
                  </w:r>
                </w:p>
                <w:p>
                  <w:pPr>
                    <w:spacing w:line="360" w:lineRule="exact"/>
                    <w:jc w:val="center"/>
                    <w:rPr>
                      <w:szCs w:val="21"/>
                    </w:rPr>
                  </w:pPr>
                  <w:r>
                    <w:rPr>
                      <w:rFonts w:hint="eastAsia" w:hAnsi="Calibri"/>
                      <w:color w:val="000000"/>
                      <w:szCs w:val="21"/>
                    </w:rPr>
                    <w:t>136mg</w:t>
                  </w:r>
                  <w:r>
                    <w:rPr>
                      <w:rFonts w:hint="eastAsia"/>
                      <w:szCs w:val="21"/>
                    </w:rPr>
                    <w:t>/m</w:t>
                  </w:r>
                  <w:r>
                    <w:rPr>
                      <w:rFonts w:hint="eastAsia"/>
                      <w:szCs w:val="21"/>
                      <w:vertAlign w:val="superscript"/>
                    </w:rPr>
                    <w:t>3</w:t>
                  </w:r>
                </w:p>
              </w:tc>
              <w:tc>
                <w:tcPr>
                  <w:tcW w:w="335" w:type="pct"/>
                  <w:vMerge w:val="continue"/>
                  <w:vAlign w:val="center"/>
                </w:tcPr>
                <w:p>
                  <w:pPr>
                    <w:jc w:val="center"/>
                    <w:rPr>
                      <w:color w:val="000000"/>
                      <w:szCs w:val="21"/>
                    </w:rPr>
                  </w:pPr>
                </w:p>
              </w:tc>
              <w:tc>
                <w:tcPr>
                  <w:tcW w:w="1303" w:type="pct"/>
                  <w:vMerge w:val="continue"/>
                  <w:vAlign w:val="center"/>
                </w:tcPr>
                <w:p>
                  <w:pPr>
                    <w:autoSpaceDE w:val="0"/>
                    <w:adjustRightInd w:val="0"/>
                    <w:snapToGrid w:val="0"/>
                    <w:jc w:val="center"/>
                    <w:rPr>
                      <w:color w:val="000000"/>
                      <w:szCs w:val="21"/>
                    </w:rPr>
                  </w:pPr>
                </w:p>
              </w:tc>
              <w:tc>
                <w:tcPr>
                  <w:tcW w:w="431" w:type="pct"/>
                  <w:tcBorders>
                    <w:top w:val="single" w:color="auto" w:sz="4" w:space="0"/>
                    <w:bottom w:val="single" w:color="auto" w:sz="12" w:space="0"/>
                  </w:tcBorders>
                  <w:vAlign w:val="center"/>
                </w:tcPr>
                <w:p>
                  <w:pPr>
                    <w:pStyle w:val="97"/>
                    <w:autoSpaceDE w:val="0"/>
                    <w:rPr>
                      <w:color w:val="000000"/>
                      <w:szCs w:val="21"/>
                    </w:rPr>
                  </w:pPr>
                  <w:r>
                    <w:rPr>
                      <w:rFonts w:hint="eastAsia"/>
                      <w:color w:val="000000"/>
                      <w:szCs w:val="21"/>
                    </w:rPr>
                    <w:t>95.2</w:t>
                  </w:r>
                  <w:r>
                    <w:rPr>
                      <w:color w:val="000000"/>
                      <w:szCs w:val="21"/>
                    </w:rPr>
                    <w:t>mg/m</w:t>
                  </w:r>
                  <w:r>
                    <w:rPr>
                      <w:color w:val="000000"/>
                      <w:szCs w:val="21"/>
                      <w:vertAlign w:val="superscript"/>
                    </w:rPr>
                    <w:t>3</w:t>
                  </w:r>
                </w:p>
              </w:tc>
              <w:tc>
                <w:tcPr>
                  <w:tcW w:w="451" w:type="pct"/>
                  <w:tcBorders>
                    <w:top w:val="single" w:color="auto" w:sz="4" w:space="0"/>
                    <w:bottom w:val="single" w:color="auto" w:sz="12" w:space="0"/>
                  </w:tcBorders>
                  <w:vAlign w:val="center"/>
                </w:tcPr>
                <w:p>
                  <w:pPr>
                    <w:pStyle w:val="97"/>
                    <w:autoSpaceDE w:val="0"/>
                    <w:spacing w:before="0" w:beforeAutospacing="0" w:after="0" w:afterAutospacing="0" w:line="240" w:lineRule="auto"/>
                    <w:rPr>
                      <w:color w:val="000000"/>
                      <w:szCs w:val="21"/>
                    </w:rPr>
                  </w:pPr>
                  <w:r>
                    <w:rPr>
                      <w:rFonts w:hint="eastAsia"/>
                      <w:color w:val="000000"/>
                      <w:szCs w:val="21"/>
                    </w:rPr>
                    <w:t>1.428t/a</w:t>
                  </w:r>
                </w:p>
              </w:tc>
              <w:tc>
                <w:tcPr>
                  <w:tcW w:w="773" w:type="pct"/>
                  <w:vMerge w:val="continue"/>
                  <w:vAlign w:val="center"/>
                </w:tcPr>
                <w:p>
                  <w:pPr>
                    <w:jc w:val="center"/>
                    <w:rPr>
                      <w:color w:val="000000"/>
                      <w:szCs w:val="21"/>
                    </w:rPr>
                  </w:pPr>
                </w:p>
              </w:tc>
              <w:tc>
                <w:tcPr>
                  <w:tcW w:w="363" w:type="pct"/>
                  <w:vMerge w:val="continue"/>
                  <w:vAlign w:val="center"/>
                </w:tcPr>
                <w:p>
                  <w:pPr>
                    <w:jc w:val="center"/>
                    <w:rPr>
                      <w:color w:val="000000"/>
                      <w:szCs w:val="21"/>
                    </w:rPr>
                  </w:pPr>
                </w:p>
              </w:tc>
            </w:tr>
          </w:tbl>
          <w:p>
            <w:pPr>
              <w:jc w:val="center"/>
              <w:rPr>
                <w:b/>
                <w:bCs/>
                <w:color w:val="000000"/>
                <w:sz w:val="24"/>
              </w:rPr>
            </w:pPr>
            <w:r>
              <w:rPr>
                <w:b/>
                <w:bCs/>
                <w:color w:val="000000"/>
                <w:sz w:val="24"/>
              </w:rPr>
              <w:t>表4-</w:t>
            </w:r>
            <w:r>
              <w:rPr>
                <w:rFonts w:hint="eastAsia"/>
                <w:b/>
                <w:bCs/>
                <w:color w:val="000000"/>
                <w:sz w:val="24"/>
              </w:rPr>
              <w:t xml:space="preserve">3  </w:t>
            </w:r>
            <w:r>
              <w:rPr>
                <w:b/>
                <w:bCs/>
                <w:color w:val="000000"/>
                <w:sz w:val="24"/>
              </w:rPr>
              <w:t>项目</w:t>
            </w:r>
            <w:r>
              <w:rPr>
                <w:rFonts w:hint="eastAsia"/>
                <w:b/>
                <w:bCs/>
                <w:color w:val="000000"/>
                <w:sz w:val="24"/>
              </w:rPr>
              <w:t>排放口基本情况及监测要求</w:t>
            </w:r>
            <w:r>
              <w:rPr>
                <w:b/>
                <w:bCs/>
                <w:color w:val="000000"/>
                <w:sz w:val="24"/>
              </w:rPr>
              <w:t>一览表</w:t>
            </w:r>
          </w:p>
          <w:tbl>
            <w:tblPr>
              <w:tblStyle w:val="20"/>
              <w:tblW w:w="1343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798"/>
              <w:gridCol w:w="1440"/>
              <w:gridCol w:w="1455"/>
              <w:gridCol w:w="1560"/>
              <w:gridCol w:w="2145"/>
              <w:gridCol w:w="1550"/>
              <w:gridCol w:w="23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48" w:type="dxa"/>
                  <w:vMerge w:val="restart"/>
                  <w:vAlign w:val="center"/>
                </w:tcPr>
                <w:p>
                  <w:pPr>
                    <w:jc w:val="center"/>
                    <w:rPr>
                      <w:color w:val="000000"/>
                      <w:szCs w:val="21"/>
                    </w:rPr>
                  </w:pPr>
                  <w:r>
                    <w:rPr>
                      <w:color w:val="000000"/>
                      <w:szCs w:val="21"/>
                    </w:rPr>
                    <w:t>产污环节</w:t>
                  </w:r>
                </w:p>
              </w:tc>
              <w:tc>
                <w:tcPr>
                  <w:tcW w:w="1798" w:type="dxa"/>
                  <w:vMerge w:val="restart"/>
                  <w:vAlign w:val="center"/>
                </w:tcPr>
                <w:p>
                  <w:pPr>
                    <w:jc w:val="center"/>
                    <w:rPr>
                      <w:color w:val="000000"/>
                      <w:szCs w:val="21"/>
                    </w:rPr>
                  </w:pPr>
                  <w:r>
                    <w:rPr>
                      <w:color w:val="000000"/>
                      <w:szCs w:val="21"/>
                    </w:rPr>
                    <w:t>污染物种类</w:t>
                  </w:r>
                </w:p>
              </w:tc>
              <w:tc>
                <w:tcPr>
                  <w:tcW w:w="8150" w:type="dxa"/>
                  <w:gridSpan w:val="5"/>
                  <w:vAlign w:val="center"/>
                </w:tcPr>
                <w:p>
                  <w:pPr>
                    <w:jc w:val="center"/>
                    <w:rPr>
                      <w:color w:val="000000"/>
                      <w:szCs w:val="21"/>
                    </w:rPr>
                  </w:pPr>
                  <w:r>
                    <w:rPr>
                      <w:color w:val="000000"/>
                      <w:szCs w:val="21"/>
                    </w:rPr>
                    <w:t>排放口基本情况</w:t>
                  </w:r>
                </w:p>
              </w:tc>
              <w:tc>
                <w:tcPr>
                  <w:tcW w:w="2343" w:type="dxa"/>
                  <w:vMerge w:val="restart"/>
                  <w:vAlign w:val="center"/>
                </w:tcPr>
                <w:p>
                  <w:pPr>
                    <w:jc w:val="center"/>
                    <w:rPr>
                      <w:color w:val="000000"/>
                      <w:szCs w:val="21"/>
                    </w:rPr>
                  </w:pPr>
                  <w:r>
                    <w:rPr>
                      <w:color w:val="000000"/>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148" w:type="dxa"/>
                  <w:vMerge w:val="continue"/>
                  <w:vAlign w:val="center"/>
                </w:tcPr>
                <w:p>
                  <w:pPr>
                    <w:jc w:val="center"/>
                    <w:rPr>
                      <w:color w:val="000000"/>
                      <w:szCs w:val="21"/>
                    </w:rPr>
                  </w:pPr>
                </w:p>
              </w:tc>
              <w:tc>
                <w:tcPr>
                  <w:tcW w:w="1798" w:type="dxa"/>
                  <w:vMerge w:val="continue"/>
                  <w:vAlign w:val="center"/>
                </w:tcPr>
                <w:p>
                  <w:pPr>
                    <w:jc w:val="center"/>
                    <w:rPr>
                      <w:color w:val="000000"/>
                      <w:szCs w:val="21"/>
                    </w:rPr>
                  </w:pPr>
                </w:p>
              </w:tc>
              <w:tc>
                <w:tcPr>
                  <w:tcW w:w="1440" w:type="dxa"/>
                  <w:vAlign w:val="center"/>
                </w:tcPr>
                <w:p>
                  <w:pPr>
                    <w:jc w:val="center"/>
                    <w:rPr>
                      <w:color w:val="000000"/>
                      <w:szCs w:val="21"/>
                    </w:rPr>
                  </w:pPr>
                  <w:r>
                    <w:rPr>
                      <w:color w:val="000000"/>
                      <w:szCs w:val="21"/>
                    </w:rPr>
                    <w:t>排气筒编号</w:t>
                  </w:r>
                </w:p>
              </w:tc>
              <w:tc>
                <w:tcPr>
                  <w:tcW w:w="1455" w:type="dxa"/>
                  <w:vAlign w:val="center"/>
                </w:tcPr>
                <w:p>
                  <w:pPr>
                    <w:jc w:val="center"/>
                    <w:rPr>
                      <w:color w:val="000000"/>
                      <w:szCs w:val="21"/>
                    </w:rPr>
                  </w:pPr>
                  <w:r>
                    <w:rPr>
                      <w:color w:val="000000"/>
                      <w:szCs w:val="21"/>
                    </w:rPr>
                    <w:t>排气筒高度</w:t>
                  </w:r>
                </w:p>
              </w:tc>
              <w:tc>
                <w:tcPr>
                  <w:tcW w:w="1560" w:type="dxa"/>
                  <w:vAlign w:val="center"/>
                </w:tcPr>
                <w:p>
                  <w:pPr>
                    <w:jc w:val="center"/>
                    <w:rPr>
                      <w:color w:val="000000"/>
                      <w:szCs w:val="21"/>
                    </w:rPr>
                  </w:pPr>
                  <w:r>
                    <w:rPr>
                      <w:color w:val="000000"/>
                      <w:szCs w:val="21"/>
                    </w:rPr>
                    <w:t>排气筒内径</w:t>
                  </w:r>
                </w:p>
              </w:tc>
              <w:tc>
                <w:tcPr>
                  <w:tcW w:w="2145" w:type="dxa"/>
                  <w:vAlign w:val="center"/>
                </w:tcPr>
                <w:p>
                  <w:pPr>
                    <w:jc w:val="center"/>
                    <w:rPr>
                      <w:color w:val="000000"/>
                      <w:szCs w:val="21"/>
                    </w:rPr>
                  </w:pPr>
                  <w:r>
                    <w:rPr>
                      <w:rFonts w:hint="eastAsia"/>
                      <w:color w:val="000000"/>
                      <w:szCs w:val="21"/>
                    </w:rPr>
                    <w:t>流速</w:t>
                  </w:r>
                </w:p>
                <w:p>
                  <w:pPr>
                    <w:jc w:val="center"/>
                    <w:rPr>
                      <w:color w:val="000000"/>
                      <w:szCs w:val="21"/>
                    </w:rPr>
                  </w:pPr>
                  <w:r>
                    <w:rPr>
                      <w:color w:val="000000"/>
                      <w:szCs w:val="21"/>
                    </w:rPr>
                    <w:t>温度</w:t>
                  </w:r>
                </w:p>
              </w:tc>
              <w:tc>
                <w:tcPr>
                  <w:tcW w:w="1550" w:type="dxa"/>
                  <w:vAlign w:val="center"/>
                </w:tcPr>
                <w:p>
                  <w:pPr>
                    <w:jc w:val="center"/>
                    <w:rPr>
                      <w:color w:val="000000"/>
                      <w:szCs w:val="21"/>
                    </w:rPr>
                  </w:pPr>
                  <w:r>
                    <w:rPr>
                      <w:color w:val="000000"/>
                      <w:szCs w:val="21"/>
                    </w:rPr>
                    <w:t>坐标</w:t>
                  </w:r>
                </w:p>
              </w:tc>
              <w:tc>
                <w:tcPr>
                  <w:tcW w:w="2343" w:type="dxa"/>
                  <w:vMerge w:val="continue"/>
                  <w:vAlign w:val="center"/>
                </w:tcPr>
                <w:p>
                  <w:pPr>
                    <w:jc w:val="center"/>
                    <w:rPr>
                      <w:color w:val="00000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48" w:type="dxa"/>
                  <w:vAlign w:val="center"/>
                </w:tcPr>
                <w:p>
                  <w:pPr>
                    <w:adjustRightInd w:val="0"/>
                    <w:snapToGrid w:val="0"/>
                    <w:jc w:val="center"/>
                    <w:rPr>
                      <w:color w:val="000000"/>
                      <w:szCs w:val="21"/>
                    </w:rPr>
                  </w:pPr>
                  <w:r>
                    <w:rPr>
                      <w:rFonts w:hint="eastAsia"/>
                      <w:color w:val="000000"/>
                      <w:szCs w:val="21"/>
                    </w:rPr>
                    <w:t>1#烘干炉</w:t>
                  </w:r>
                </w:p>
              </w:tc>
              <w:tc>
                <w:tcPr>
                  <w:tcW w:w="1798" w:type="dxa"/>
                  <w:vAlign w:val="center"/>
                </w:tcPr>
                <w:p>
                  <w:pPr>
                    <w:jc w:val="center"/>
                    <w:rPr>
                      <w:color w:val="000000"/>
                      <w:szCs w:val="21"/>
                    </w:rPr>
                  </w:pPr>
                  <w:r>
                    <w:rPr>
                      <w:rFonts w:hint="eastAsia"/>
                      <w:color w:val="000000"/>
                      <w:szCs w:val="21"/>
                    </w:rPr>
                    <w:t>颗粒</w:t>
                  </w:r>
                  <w:r>
                    <w:rPr>
                      <w:color w:val="000000"/>
                      <w:szCs w:val="21"/>
                    </w:rPr>
                    <w:t>物、</w:t>
                  </w:r>
                  <w:r>
                    <w:rPr>
                      <w:snapToGrid w:val="0"/>
                    </w:rPr>
                    <w:t>SO</w:t>
                  </w:r>
                  <w:r>
                    <w:rPr>
                      <w:snapToGrid w:val="0"/>
                      <w:vertAlign w:val="subscript"/>
                    </w:rPr>
                    <w:t>2</w:t>
                  </w:r>
                  <w:r>
                    <w:rPr>
                      <w:color w:val="000000"/>
                      <w:szCs w:val="21"/>
                    </w:rPr>
                    <w:t>、</w:t>
                  </w:r>
                  <w:r>
                    <w:rPr>
                      <w:snapToGrid w:val="0"/>
                    </w:rPr>
                    <w:t>NOx</w:t>
                  </w:r>
                </w:p>
              </w:tc>
              <w:tc>
                <w:tcPr>
                  <w:tcW w:w="1440" w:type="dxa"/>
                  <w:vAlign w:val="center"/>
                </w:tcPr>
                <w:p>
                  <w:pPr>
                    <w:jc w:val="center"/>
                    <w:rPr>
                      <w:color w:val="000000"/>
                      <w:szCs w:val="21"/>
                    </w:rPr>
                  </w:pPr>
                  <w:r>
                    <w:rPr>
                      <w:rFonts w:hint="eastAsia"/>
                      <w:color w:val="000000"/>
                      <w:szCs w:val="21"/>
                    </w:rPr>
                    <w:t>DA001</w:t>
                  </w:r>
                </w:p>
              </w:tc>
              <w:tc>
                <w:tcPr>
                  <w:tcW w:w="1455" w:type="dxa"/>
                  <w:vAlign w:val="center"/>
                </w:tcPr>
                <w:p>
                  <w:pPr>
                    <w:jc w:val="center"/>
                    <w:rPr>
                      <w:color w:val="000000"/>
                      <w:szCs w:val="21"/>
                    </w:rPr>
                  </w:pPr>
                  <w:r>
                    <w:rPr>
                      <w:rFonts w:hint="eastAsia"/>
                      <w:color w:val="000000"/>
                      <w:szCs w:val="21"/>
                    </w:rPr>
                    <w:t>15m</w:t>
                  </w:r>
                </w:p>
              </w:tc>
              <w:tc>
                <w:tcPr>
                  <w:tcW w:w="1560" w:type="dxa"/>
                  <w:vAlign w:val="center"/>
                </w:tcPr>
                <w:p>
                  <w:pPr>
                    <w:jc w:val="center"/>
                    <w:rPr>
                      <w:color w:val="000000"/>
                      <w:szCs w:val="21"/>
                    </w:rPr>
                  </w:pPr>
                  <w:r>
                    <w:rPr>
                      <w:rFonts w:hint="eastAsia"/>
                      <w:color w:val="000000"/>
                      <w:szCs w:val="21"/>
                    </w:rPr>
                    <w:t>0.6m</w:t>
                  </w:r>
                </w:p>
              </w:tc>
              <w:tc>
                <w:tcPr>
                  <w:tcW w:w="2145" w:type="dxa"/>
                  <w:vAlign w:val="center"/>
                </w:tcPr>
                <w:p>
                  <w:pPr>
                    <w:jc w:val="center"/>
                    <w:rPr>
                      <w:color w:val="000000"/>
                      <w:szCs w:val="21"/>
                    </w:rPr>
                  </w:pPr>
                  <w:r>
                    <w:rPr>
                      <w:rFonts w:hint="eastAsia"/>
                      <w:color w:val="000000"/>
                      <w:szCs w:val="21"/>
                    </w:rPr>
                    <w:t>80℃</w:t>
                  </w:r>
                </w:p>
              </w:tc>
              <w:tc>
                <w:tcPr>
                  <w:tcW w:w="1550" w:type="dxa"/>
                  <w:vAlign w:val="center"/>
                </w:tcPr>
                <w:p>
                  <w:pPr>
                    <w:jc w:val="center"/>
                    <w:rPr>
                      <w:color w:val="000000"/>
                      <w:szCs w:val="21"/>
                    </w:rPr>
                  </w:pPr>
                  <w:r>
                    <w:rPr>
                      <w:color w:val="000000"/>
                      <w:szCs w:val="21"/>
                    </w:rPr>
                    <w:t>110°25′29.273″</w:t>
                  </w:r>
                </w:p>
                <w:p>
                  <w:pPr>
                    <w:jc w:val="center"/>
                    <w:rPr>
                      <w:color w:val="000000"/>
                      <w:szCs w:val="21"/>
                    </w:rPr>
                  </w:pPr>
                  <w:r>
                    <w:rPr>
                      <w:color w:val="000000"/>
                      <w:szCs w:val="21"/>
                    </w:rPr>
                    <w:t>34°50′11.821″</w:t>
                  </w:r>
                </w:p>
              </w:tc>
              <w:tc>
                <w:tcPr>
                  <w:tcW w:w="2343" w:type="dxa"/>
                  <w:vAlign w:val="center"/>
                </w:tcPr>
                <w:p>
                  <w:pPr>
                    <w:jc w:val="center"/>
                    <w:rPr>
                      <w:color w:val="000000"/>
                      <w:szCs w:val="21"/>
                    </w:rPr>
                  </w:pPr>
                  <w:r>
                    <w:rPr>
                      <w:rFonts w:hint="eastAsia"/>
                      <w:color w:val="000000"/>
                      <w:szCs w:val="21"/>
                    </w:rPr>
                    <w:t>每年监测一次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48" w:type="dxa"/>
                  <w:vAlign w:val="center"/>
                </w:tcPr>
                <w:p>
                  <w:pPr>
                    <w:adjustRightInd w:val="0"/>
                    <w:snapToGrid w:val="0"/>
                    <w:jc w:val="center"/>
                    <w:rPr>
                      <w:color w:val="000000"/>
                      <w:szCs w:val="21"/>
                    </w:rPr>
                  </w:pPr>
                  <w:r>
                    <w:rPr>
                      <w:rFonts w:hint="eastAsia"/>
                      <w:color w:val="000000"/>
                      <w:szCs w:val="21"/>
                    </w:rPr>
                    <w:t>2#烘干炉</w:t>
                  </w:r>
                </w:p>
              </w:tc>
              <w:tc>
                <w:tcPr>
                  <w:tcW w:w="1798" w:type="dxa"/>
                  <w:vAlign w:val="center"/>
                </w:tcPr>
                <w:p>
                  <w:pPr>
                    <w:pStyle w:val="11"/>
                    <w:jc w:val="center"/>
                    <w:rPr>
                      <w:rFonts w:ascii="Times New Roman" w:hAnsi="Times New Roman"/>
                      <w:color w:val="000000"/>
                      <w:szCs w:val="21"/>
                    </w:rPr>
                  </w:pPr>
                  <w:r>
                    <w:rPr>
                      <w:rFonts w:hint="eastAsia"/>
                      <w:color w:val="000000"/>
                      <w:szCs w:val="21"/>
                    </w:rPr>
                    <w:t>颗粒</w:t>
                  </w:r>
                  <w:r>
                    <w:rPr>
                      <w:rFonts w:ascii="Times New Roman"/>
                      <w:color w:val="000000"/>
                      <w:szCs w:val="21"/>
                    </w:rPr>
                    <w:t>物、</w:t>
                  </w:r>
                  <w:r>
                    <w:rPr>
                      <w:rFonts w:ascii="Times New Roman" w:hAnsi="Times New Roman"/>
                      <w:snapToGrid w:val="0"/>
                    </w:rPr>
                    <w:t>SO</w:t>
                  </w:r>
                  <w:r>
                    <w:rPr>
                      <w:rFonts w:ascii="Times New Roman" w:hAnsi="Times New Roman"/>
                      <w:snapToGrid w:val="0"/>
                      <w:vertAlign w:val="subscript"/>
                    </w:rPr>
                    <w:t>2</w:t>
                  </w:r>
                  <w:r>
                    <w:rPr>
                      <w:rFonts w:ascii="Times New Roman"/>
                      <w:color w:val="000000"/>
                      <w:szCs w:val="21"/>
                    </w:rPr>
                    <w:t>、</w:t>
                  </w:r>
                  <w:r>
                    <w:rPr>
                      <w:rFonts w:ascii="Times New Roman" w:hAnsi="Times New Roman"/>
                      <w:snapToGrid w:val="0"/>
                    </w:rPr>
                    <w:t>NOx</w:t>
                  </w:r>
                </w:p>
              </w:tc>
              <w:tc>
                <w:tcPr>
                  <w:tcW w:w="1440" w:type="dxa"/>
                  <w:vAlign w:val="center"/>
                </w:tcPr>
                <w:p>
                  <w:pPr>
                    <w:jc w:val="center"/>
                    <w:rPr>
                      <w:color w:val="000000"/>
                      <w:szCs w:val="21"/>
                    </w:rPr>
                  </w:pPr>
                  <w:r>
                    <w:rPr>
                      <w:rFonts w:hint="eastAsia"/>
                      <w:color w:val="000000"/>
                      <w:szCs w:val="21"/>
                    </w:rPr>
                    <w:t>DA002</w:t>
                  </w:r>
                </w:p>
              </w:tc>
              <w:tc>
                <w:tcPr>
                  <w:tcW w:w="1455" w:type="dxa"/>
                  <w:vAlign w:val="center"/>
                </w:tcPr>
                <w:p>
                  <w:pPr>
                    <w:jc w:val="center"/>
                    <w:rPr>
                      <w:color w:val="000000"/>
                      <w:szCs w:val="21"/>
                    </w:rPr>
                  </w:pPr>
                  <w:r>
                    <w:rPr>
                      <w:rFonts w:hint="eastAsia"/>
                      <w:color w:val="000000"/>
                      <w:szCs w:val="21"/>
                    </w:rPr>
                    <w:t>15m</w:t>
                  </w:r>
                </w:p>
              </w:tc>
              <w:tc>
                <w:tcPr>
                  <w:tcW w:w="1560" w:type="dxa"/>
                  <w:vAlign w:val="center"/>
                </w:tcPr>
                <w:p>
                  <w:pPr>
                    <w:jc w:val="center"/>
                    <w:rPr>
                      <w:color w:val="000000"/>
                      <w:szCs w:val="21"/>
                    </w:rPr>
                  </w:pPr>
                  <w:r>
                    <w:rPr>
                      <w:rFonts w:hint="eastAsia"/>
                      <w:color w:val="000000"/>
                      <w:szCs w:val="21"/>
                    </w:rPr>
                    <w:t>0.6m</w:t>
                  </w:r>
                </w:p>
              </w:tc>
              <w:tc>
                <w:tcPr>
                  <w:tcW w:w="2145" w:type="dxa"/>
                  <w:vAlign w:val="center"/>
                </w:tcPr>
                <w:p>
                  <w:pPr>
                    <w:jc w:val="center"/>
                    <w:rPr>
                      <w:color w:val="000000"/>
                      <w:szCs w:val="21"/>
                    </w:rPr>
                  </w:pPr>
                  <w:r>
                    <w:rPr>
                      <w:rFonts w:hint="eastAsia"/>
                      <w:color w:val="000000"/>
                      <w:szCs w:val="21"/>
                    </w:rPr>
                    <w:t>80℃</w:t>
                  </w:r>
                </w:p>
              </w:tc>
              <w:tc>
                <w:tcPr>
                  <w:tcW w:w="1550" w:type="dxa"/>
                  <w:vAlign w:val="center"/>
                </w:tcPr>
                <w:p>
                  <w:pPr>
                    <w:jc w:val="center"/>
                    <w:rPr>
                      <w:color w:val="000000"/>
                      <w:szCs w:val="21"/>
                    </w:rPr>
                  </w:pPr>
                  <w:r>
                    <w:rPr>
                      <w:color w:val="000000"/>
                      <w:szCs w:val="21"/>
                    </w:rPr>
                    <w:t>110°25′27.979″</w:t>
                  </w:r>
                </w:p>
                <w:p>
                  <w:pPr>
                    <w:jc w:val="center"/>
                    <w:rPr>
                      <w:color w:val="000000"/>
                      <w:szCs w:val="21"/>
                    </w:rPr>
                  </w:pPr>
                  <w:r>
                    <w:rPr>
                      <w:color w:val="000000"/>
                      <w:szCs w:val="21"/>
                    </w:rPr>
                    <w:t>34°50′11.744″</w:t>
                  </w:r>
                </w:p>
              </w:tc>
              <w:tc>
                <w:tcPr>
                  <w:tcW w:w="2343" w:type="dxa"/>
                  <w:vAlign w:val="center"/>
                </w:tcPr>
                <w:p>
                  <w:pPr>
                    <w:jc w:val="center"/>
                    <w:rPr>
                      <w:color w:val="000000"/>
                      <w:szCs w:val="21"/>
                    </w:rPr>
                  </w:pPr>
                  <w:r>
                    <w:rPr>
                      <w:rFonts w:hint="eastAsia"/>
                      <w:color w:val="000000"/>
                      <w:szCs w:val="21"/>
                    </w:rPr>
                    <w:t>每年监测一次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48" w:type="dxa"/>
                  <w:vAlign w:val="center"/>
                </w:tcPr>
                <w:p>
                  <w:pPr>
                    <w:jc w:val="center"/>
                    <w:rPr>
                      <w:color w:val="000000"/>
                      <w:szCs w:val="21"/>
                    </w:rPr>
                  </w:pPr>
                  <w:r>
                    <w:rPr>
                      <w:rFonts w:hint="eastAsia"/>
                      <w:color w:val="000000"/>
                      <w:szCs w:val="21"/>
                    </w:rPr>
                    <w:t>无组织</w:t>
                  </w:r>
                </w:p>
              </w:tc>
              <w:tc>
                <w:tcPr>
                  <w:tcW w:w="1798" w:type="dxa"/>
                  <w:vAlign w:val="center"/>
                </w:tcPr>
                <w:p>
                  <w:pPr>
                    <w:pStyle w:val="11"/>
                    <w:jc w:val="center"/>
                    <w:rPr>
                      <w:rFonts w:ascii="Times New Roman" w:hAnsi="Times New Roman"/>
                      <w:color w:val="000000"/>
                      <w:szCs w:val="21"/>
                    </w:rPr>
                  </w:pPr>
                  <w:r>
                    <w:rPr>
                      <w:rFonts w:hint="eastAsia" w:ascii="Times New Roman" w:hAnsi="Times New Roman"/>
                      <w:color w:val="000000"/>
                      <w:szCs w:val="21"/>
                    </w:rPr>
                    <w:t>颗粒物</w:t>
                  </w:r>
                </w:p>
              </w:tc>
              <w:tc>
                <w:tcPr>
                  <w:tcW w:w="1440" w:type="dxa"/>
                  <w:vAlign w:val="center"/>
                </w:tcPr>
                <w:p>
                  <w:pPr>
                    <w:jc w:val="center"/>
                    <w:rPr>
                      <w:color w:val="000000"/>
                      <w:szCs w:val="21"/>
                    </w:rPr>
                  </w:pPr>
                  <w:r>
                    <w:rPr>
                      <w:rFonts w:hint="eastAsia"/>
                      <w:color w:val="000000"/>
                      <w:szCs w:val="21"/>
                    </w:rPr>
                    <w:t>/</w:t>
                  </w:r>
                </w:p>
              </w:tc>
              <w:tc>
                <w:tcPr>
                  <w:tcW w:w="1455" w:type="dxa"/>
                  <w:vAlign w:val="center"/>
                </w:tcPr>
                <w:p>
                  <w:pPr>
                    <w:jc w:val="center"/>
                    <w:rPr>
                      <w:color w:val="000000"/>
                      <w:szCs w:val="21"/>
                    </w:rPr>
                  </w:pPr>
                  <w:r>
                    <w:rPr>
                      <w:rFonts w:hint="eastAsia"/>
                      <w:color w:val="000000"/>
                      <w:szCs w:val="21"/>
                    </w:rPr>
                    <w:t>/</w:t>
                  </w:r>
                </w:p>
              </w:tc>
              <w:tc>
                <w:tcPr>
                  <w:tcW w:w="1560" w:type="dxa"/>
                  <w:vAlign w:val="center"/>
                </w:tcPr>
                <w:p>
                  <w:pPr>
                    <w:jc w:val="center"/>
                    <w:rPr>
                      <w:color w:val="000000"/>
                      <w:szCs w:val="21"/>
                    </w:rPr>
                  </w:pPr>
                  <w:r>
                    <w:rPr>
                      <w:rFonts w:hint="eastAsia"/>
                      <w:color w:val="000000"/>
                      <w:szCs w:val="21"/>
                    </w:rPr>
                    <w:t>/</w:t>
                  </w:r>
                </w:p>
              </w:tc>
              <w:tc>
                <w:tcPr>
                  <w:tcW w:w="2145" w:type="dxa"/>
                  <w:vAlign w:val="center"/>
                </w:tcPr>
                <w:p>
                  <w:pPr>
                    <w:jc w:val="center"/>
                    <w:rPr>
                      <w:color w:val="000000"/>
                      <w:szCs w:val="21"/>
                    </w:rPr>
                  </w:pPr>
                  <w:r>
                    <w:rPr>
                      <w:rFonts w:hint="eastAsia"/>
                      <w:color w:val="000000"/>
                      <w:szCs w:val="21"/>
                    </w:rPr>
                    <w:t>/</w:t>
                  </w:r>
                </w:p>
              </w:tc>
              <w:tc>
                <w:tcPr>
                  <w:tcW w:w="1550" w:type="dxa"/>
                  <w:vAlign w:val="center"/>
                </w:tcPr>
                <w:p>
                  <w:pPr>
                    <w:jc w:val="center"/>
                    <w:rPr>
                      <w:color w:val="000000"/>
                      <w:szCs w:val="21"/>
                    </w:rPr>
                  </w:pPr>
                  <w:r>
                    <w:rPr>
                      <w:rFonts w:hint="eastAsia"/>
                      <w:color w:val="000000"/>
                      <w:szCs w:val="21"/>
                    </w:rPr>
                    <w:t>/</w:t>
                  </w:r>
                </w:p>
              </w:tc>
              <w:tc>
                <w:tcPr>
                  <w:tcW w:w="2343" w:type="dxa"/>
                  <w:vAlign w:val="center"/>
                </w:tcPr>
                <w:p>
                  <w:pPr>
                    <w:jc w:val="center"/>
                    <w:rPr>
                      <w:color w:val="000000"/>
                      <w:szCs w:val="21"/>
                    </w:rPr>
                  </w:pPr>
                  <w:r>
                    <w:rPr>
                      <w:rFonts w:hint="eastAsia"/>
                      <w:color w:val="000000"/>
                      <w:szCs w:val="21"/>
                    </w:rPr>
                    <w:t>每半年监测一次</w:t>
                  </w:r>
                </w:p>
              </w:tc>
            </w:tr>
          </w:tbl>
          <w:p>
            <w:pPr>
              <w:widowControl/>
              <w:spacing w:before="100" w:beforeAutospacing="1" w:after="100" w:afterAutospacing="1"/>
              <w:outlineLvl w:val="0"/>
              <w:rPr>
                <w:rFonts w:ascii="黑体" w:hAnsi="黑体" w:eastAsia="黑体"/>
                <w:snapToGrid w:val="0"/>
                <w:color w:val="000000"/>
                <w:kern w:val="0"/>
                <w:sz w:val="20"/>
                <w:szCs w:val="20"/>
              </w:rPr>
            </w:pPr>
          </w:p>
        </w:tc>
      </w:tr>
    </w:tbl>
    <w:p>
      <w:pPr>
        <w:rPr>
          <w:sz w:val="28"/>
          <w:szCs w:val="28"/>
        </w:rPr>
        <w:sectPr>
          <w:pgSz w:w="16840" w:h="11907" w:orient="landscape"/>
          <w:pgMar w:top="1531" w:right="2127" w:bottom="1531" w:left="1701" w:header="851" w:footer="851" w:gutter="0"/>
          <w:pgNumType w:fmt="numberInDash"/>
          <w:cols w:space="720" w:num="1"/>
          <w:docGrid w:linePitch="312" w:charSpace="0"/>
        </w:sectPr>
      </w:pPr>
    </w:p>
    <w:tbl>
      <w:tblPr>
        <w:tblStyle w:val="20"/>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83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46" w:type="dxa"/>
            <w:tcMar>
              <w:left w:w="28" w:type="dxa"/>
              <w:right w:w="28" w:type="dxa"/>
            </w:tcMar>
          </w:tcPr>
          <w:p>
            <w:pPr>
              <w:adjustRightInd w:val="0"/>
              <w:snapToGrid w:val="0"/>
              <w:rPr>
                <w:color w:val="000000"/>
              </w:rPr>
            </w:pPr>
          </w:p>
          <w:p>
            <w:pPr>
              <w:adjustRightInd w:val="0"/>
              <w:snapToGrid w:val="0"/>
              <w:rPr>
                <w:color w:val="000000"/>
              </w:rPr>
            </w:pPr>
          </w:p>
          <w:p>
            <w:pPr>
              <w:adjustRightInd w:val="0"/>
              <w:snapToGrid w:val="0"/>
              <w:rPr>
                <w:color w:val="000000"/>
              </w:rPr>
            </w:pPr>
          </w:p>
          <w:p>
            <w:pPr>
              <w:adjustRightInd w:val="0"/>
              <w:snapToGrid w:val="0"/>
              <w:rPr>
                <w:color w:val="000000"/>
              </w:rPr>
            </w:pPr>
          </w:p>
          <w:p>
            <w:pPr>
              <w:pStyle w:val="11"/>
              <w:rPr>
                <w:color w:val="000000"/>
              </w:rPr>
            </w:pPr>
          </w:p>
          <w:p>
            <w:pPr>
              <w:adjustRightInd w:val="0"/>
              <w:snapToGrid w:val="0"/>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adjustRightInd w:val="0"/>
              <w:snapToGrid w:val="0"/>
              <w:rPr>
                <w:color w:val="000000"/>
              </w:rPr>
            </w:pPr>
          </w:p>
          <w:p>
            <w:pPr>
              <w:adjustRightInd w:val="0"/>
              <w:snapToGrid w:val="0"/>
              <w:jc w:val="center"/>
              <w:rPr>
                <w:color w:val="000000"/>
              </w:rPr>
            </w:pPr>
            <w:r>
              <w:rPr>
                <w:color w:val="000000"/>
              </w:rPr>
              <w:t>运营</w:t>
            </w:r>
          </w:p>
          <w:p>
            <w:pPr>
              <w:adjustRightInd w:val="0"/>
              <w:snapToGrid w:val="0"/>
              <w:jc w:val="center"/>
              <w:rPr>
                <w:color w:val="000000"/>
              </w:rPr>
            </w:pPr>
            <w:r>
              <w:rPr>
                <w:color w:val="000000"/>
              </w:rPr>
              <w:t>期环</w:t>
            </w:r>
          </w:p>
          <w:p>
            <w:pPr>
              <w:adjustRightInd w:val="0"/>
              <w:snapToGrid w:val="0"/>
              <w:jc w:val="center"/>
              <w:rPr>
                <w:color w:val="000000"/>
              </w:rPr>
            </w:pPr>
            <w:r>
              <w:rPr>
                <w:color w:val="000000"/>
              </w:rPr>
              <w:t>境影</w:t>
            </w:r>
          </w:p>
          <w:p>
            <w:pPr>
              <w:adjustRightInd w:val="0"/>
              <w:snapToGrid w:val="0"/>
              <w:jc w:val="center"/>
              <w:rPr>
                <w:color w:val="000000"/>
              </w:rPr>
            </w:pPr>
            <w:r>
              <w:rPr>
                <w:color w:val="000000"/>
              </w:rPr>
              <w:t>响和</w:t>
            </w:r>
          </w:p>
          <w:p>
            <w:pPr>
              <w:adjustRightInd w:val="0"/>
              <w:snapToGrid w:val="0"/>
              <w:jc w:val="center"/>
              <w:rPr>
                <w:color w:val="000000"/>
              </w:rPr>
            </w:pPr>
            <w:r>
              <w:rPr>
                <w:color w:val="000000"/>
              </w:rPr>
              <w:t>保护</w:t>
            </w:r>
          </w:p>
          <w:p>
            <w:pPr>
              <w:adjustRightInd w:val="0"/>
              <w:snapToGrid w:val="0"/>
              <w:jc w:val="center"/>
              <w:rPr>
                <w:color w:val="000000"/>
              </w:rPr>
            </w:pPr>
            <w:r>
              <w:rPr>
                <w:color w:val="000000"/>
              </w:rPr>
              <w:t>措施</w:t>
            </w: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Pr>
              <w:pStyle w:val="11"/>
              <w:rPr>
                <w:color w:val="000000"/>
              </w:rPr>
            </w:pPr>
          </w:p>
          <w:p>
            <w:pPr>
              <w:rPr>
                <w:color w:val="000000"/>
              </w:rPr>
            </w:pPr>
          </w:p>
          <w:p>
            <w:pPr>
              <w:pStyle w:val="32"/>
            </w:pPr>
          </w:p>
          <w:p/>
          <w:p/>
        </w:tc>
        <w:tc>
          <w:tcPr>
            <w:tcW w:w="8162" w:type="dxa"/>
          </w:tcPr>
          <w:p>
            <w:pPr>
              <w:spacing w:line="360" w:lineRule="auto"/>
              <w:rPr>
                <w:b/>
                <w:bCs/>
                <w:kern w:val="0"/>
                <w:sz w:val="24"/>
              </w:rPr>
            </w:pPr>
            <w:r>
              <w:rPr>
                <w:rFonts w:hint="eastAsia"/>
                <w:b/>
                <w:bCs/>
                <w:kern w:val="0"/>
                <w:sz w:val="24"/>
              </w:rPr>
              <w:t>2、</w:t>
            </w:r>
            <w:r>
              <w:rPr>
                <w:b/>
                <w:bCs/>
                <w:kern w:val="0"/>
                <w:sz w:val="24"/>
              </w:rPr>
              <w:t>水环境影响分析</w:t>
            </w:r>
            <w:r>
              <w:rPr>
                <w:rFonts w:hint="eastAsia"/>
                <w:b/>
                <w:bCs/>
                <w:kern w:val="0"/>
                <w:sz w:val="24"/>
              </w:rPr>
              <w:t>和保护措施</w:t>
            </w:r>
          </w:p>
          <w:p>
            <w:pPr>
              <w:pStyle w:val="62"/>
              <w:adjustRightInd/>
              <w:ind w:firstLine="480"/>
              <w:rPr>
                <w:bCs w:val="0"/>
                <w:spacing w:val="0"/>
                <w:kern w:val="0"/>
                <w:szCs w:val="24"/>
              </w:rPr>
            </w:pPr>
            <w:r>
              <w:rPr>
                <w:bCs w:val="0"/>
                <w:spacing w:val="0"/>
                <w:kern w:val="0"/>
                <w:szCs w:val="24"/>
              </w:rPr>
              <w:t>（1）生活用水</w:t>
            </w:r>
          </w:p>
          <w:p>
            <w:pPr>
              <w:pStyle w:val="60"/>
              <w:spacing w:line="360" w:lineRule="auto"/>
              <w:ind w:firstLine="480" w:firstLineChars="200"/>
              <w:rPr>
                <w:rFonts w:ascii="Times New Roman" w:hAnsi="Times New Roman" w:cs="Times New Roman"/>
                <w:sz w:val="24"/>
              </w:rPr>
            </w:pPr>
            <w:r>
              <w:rPr>
                <w:rFonts w:ascii="Times New Roman" w:cs="Times New Roman"/>
                <w:bCs/>
                <w:kern w:val="0"/>
                <w:sz w:val="24"/>
              </w:rPr>
              <w:t>本工程劳动定员</w:t>
            </w:r>
            <w:r>
              <w:rPr>
                <w:rFonts w:ascii="Times New Roman" w:hAnsi="Times New Roman" w:cs="Times New Roman"/>
                <w:bCs/>
                <w:kern w:val="0"/>
                <w:sz w:val="24"/>
              </w:rPr>
              <w:t>16</w:t>
            </w:r>
            <w:r>
              <w:rPr>
                <w:rFonts w:ascii="Times New Roman" w:cs="Times New Roman"/>
                <w:bCs/>
                <w:kern w:val="0"/>
                <w:sz w:val="24"/>
              </w:rPr>
              <w:t>人，均不在厂内食宿，职工生活污水产生系数为用水量的</w:t>
            </w:r>
            <w:r>
              <w:rPr>
                <w:rFonts w:ascii="Times New Roman" w:hAnsi="Times New Roman" w:cs="Times New Roman"/>
                <w:bCs/>
                <w:kern w:val="0"/>
                <w:sz w:val="24"/>
              </w:rPr>
              <w:t>80%</w:t>
            </w:r>
            <w:r>
              <w:rPr>
                <w:rFonts w:ascii="Times New Roman" w:cs="Times New Roman"/>
                <w:bCs/>
                <w:kern w:val="0"/>
                <w:sz w:val="24"/>
              </w:rPr>
              <w:t>，则生活污水产生量为</w:t>
            </w:r>
            <w:r>
              <w:rPr>
                <w:rFonts w:ascii="Times New Roman" w:hAnsi="Times New Roman" w:cs="Times New Roman"/>
                <w:bCs/>
                <w:kern w:val="0"/>
                <w:sz w:val="24"/>
              </w:rPr>
              <w:t>345.6m³/a</w:t>
            </w:r>
            <w:r>
              <w:rPr>
                <w:rFonts w:ascii="Times New Roman" w:cs="Times New Roman"/>
                <w:bCs/>
                <w:kern w:val="0"/>
                <w:sz w:val="24"/>
              </w:rPr>
              <w:t>（</w:t>
            </w:r>
            <w:r>
              <w:rPr>
                <w:rFonts w:ascii="Times New Roman" w:hAnsi="Times New Roman" w:cs="Times New Roman"/>
                <w:bCs/>
                <w:kern w:val="0"/>
                <w:sz w:val="24"/>
              </w:rPr>
              <w:t>1.152m³/d</w:t>
            </w:r>
            <w:r>
              <w:rPr>
                <w:rFonts w:ascii="Times New Roman" w:cs="Times New Roman"/>
                <w:bCs/>
                <w:kern w:val="0"/>
                <w:sz w:val="24"/>
              </w:rPr>
              <w:t>），生活污水排入</w:t>
            </w:r>
            <w:r>
              <w:rPr>
                <w:rFonts w:ascii="Times New Roman" w:cs="Times New Roman"/>
                <w:sz w:val="24"/>
              </w:rPr>
              <w:t>北京汇源集团万荣有限公司污水处理厂，处理后排入管网。</w:t>
            </w:r>
          </w:p>
          <w:p>
            <w:pPr>
              <w:pStyle w:val="13"/>
              <w:spacing w:after="0" w:line="360" w:lineRule="auto"/>
              <w:ind w:left="0" w:leftChars="0"/>
              <w:rPr>
                <w:color w:val="000000"/>
                <w:sz w:val="24"/>
              </w:rPr>
            </w:pPr>
            <w:r>
              <w:rPr>
                <w:rFonts w:hint="eastAsia"/>
                <w:b/>
                <w:color w:val="000000"/>
                <w:sz w:val="24"/>
              </w:rPr>
              <w:t>3</w:t>
            </w:r>
            <w:r>
              <w:rPr>
                <w:b/>
                <w:color w:val="000000"/>
                <w:sz w:val="24"/>
              </w:rPr>
              <w:t>、噪声环境影响分析</w:t>
            </w:r>
          </w:p>
          <w:p>
            <w:pPr>
              <w:widowControl/>
              <w:spacing w:line="360" w:lineRule="auto"/>
              <w:rPr>
                <w:b/>
                <w:bCs/>
                <w:color w:val="000000"/>
                <w:sz w:val="24"/>
                <w:u w:color="000000"/>
              </w:rPr>
            </w:pPr>
            <w:r>
              <w:rPr>
                <w:rFonts w:hint="eastAsia"/>
                <w:b/>
                <w:bCs/>
                <w:color w:val="000000"/>
                <w:sz w:val="24"/>
                <w:u w:color="000000"/>
              </w:rPr>
              <w:t>3.1</w:t>
            </w:r>
            <w:r>
              <w:rPr>
                <w:b/>
                <w:bCs/>
                <w:color w:val="000000"/>
                <w:sz w:val="24"/>
              </w:rPr>
              <w:t>运营期噪声源</w:t>
            </w:r>
          </w:p>
          <w:p>
            <w:pPr>
              <w:widowControl/>
              <w:spacing w:line="360" w:lineRule="auto"/>
              <w:rPr>
                <w:color w:val="000000"/>
                <w:sz w:val="24"/>
              </w:rPr>
            </w:pPr>
            <w:r>
              <w:rPr>
                <w:color w:val="000000"/>
                <w:spacing w:val="10"/>
                <w:sz w:val="24"/>
              </w:rPr>
              <w:t>生产运营过程中的主要噪声源有</w:t>
            </w:r>
            <w:r>
              <w:rPr>
                <w:rFonts w:hint="eastAsia"/>
                <w:color w:val="000000"/>
                <w:spacing w:val="10"/>
                <w:sz w:val="24"/>
              </w:rPr>
              <w:t>搅拌机、振动筛、风机</w:t>
            </w:r>
            <w:r>
              <w:rPr>
                <w:color w:val="000000"/>
                <w:sz w:val="24"/>
              </w:rPr>
              <w:t>等，产生的噪声为机械性噪声和空气动力性噪声，频谱特征大部分以中低频为主，声级约</w:t>
            </w:r>
            <w:r>
              <w:rPr>
                <w:rFonts w:hint="eastAsia"/>
                <w:color w:val="000000"/>
                <w:sz w:val="24"/>
              </w:rPr>
              <w:t>80</w:t>
            </w:r>
            <w:r>
              <w:rPr>
                <w:color w:val="000000"/>
                <w:sz w:val="24"/>
              </w:rPr>
              <w:t>dB（A）</w:t>
            </w:r>
            <w:r>
              <w:rPr>
                <w:color w:val="000000"/>
                <w:spacing w:val="10"/>
                <w:sz w:val="24"/>
              </w:rPr>
              <w:t>。具体见表</w:t>
            </w:r>
            <w:r>
              <w:rPr>
                <w:rFonts w:hint="eastAsia"/>
                <w:color w:val="000000"/>
                <w:spacing w:val="10"/>
                <w:sz w:val="24"/>
              </w:rPr>
              <w:t>4-4、4-5</w:t>
            </w:r>
            <w:r>
              <w:rPr>
                <w:rFonts w:hint="eastAsia"/>
                <w:color w:val="000000"/>
                <w:sz w:val="24"/>
              </w:rPr>
              <w:t>。</w:t>
            </w:r>
          </w:p>
          <w:p>
            <w:pPr>
              <w:widowControl/>
              <w:spacing w:line="360" w:lineRule="auto"/>
              <w:ind w:firstLine="480" w:firstLineChars="200"/>
              <w:rPr>
                <w:color w:val="000000"/>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tabs>
                <w:tab w:val="left" w:pos="1110"/>
              </w:tabs>
              <w:rPr>
                <w:sz w:val="24"/>
              </w:rPr>
            </w:pPr>
          </w:p>
        </w:tc>
      </w:tr>
    </w:tbl>
    <w:p>
      <w:pPr>
        <w:pStyle w:val="17"/>
        <w:outlineLvl w:val="0"/>
        <w:rPr>
          <w:rFonts w:ascii="Times New Roman" w:hAnsi="Times New Roman" w:eastAsia="黑体"/>
          <w:snapToGrid w:val="0"/>
          <w:sz w:val="30"/>
          <w:szCs w:val="30"/>
        </w:rPr>
        <w:sectPr>
          <w:pgSz w:w="11906" w:h="16838"/>
          <w:pgMar w:top="1701" w:right="1531" w:bottom="1701" w:left="1531" w:header="851" w:footer="851" w:gutter="0"/>
          <w:pgNumType w:fmt="numberInDash"/>
          <w:cols w:space="720" w:num="1"/>
          <w:docGrid w:linePitch="312" w:charSpace="0"/>
        </w:sectPr>
      </w:pPr>
    </w:p>
    <w:tbl>
      <w:tblPr>
        <w:tblStyle w:val="21"/>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2" w:space="0"/>
        </w:tblBorders>
        <w:tblLayout w:type="autofit"/>
        <w:tblCellMar>
          <w:top w:w="0" w:type="dxa"/>
          <w:left w:w="108" w:type="dxa"/>
          <w:bottom w:w="0" w:type="dxa"/>
          <w:right w:w="108" w:type="dxa"/>
        </w:tblCellMar>
      </w:tblPr>
      <w:tblGrid>
        <w:gridCol w:w="387"/>
        <w:gridCol w:w="1326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2" w:space="0"/>
          </w:tblBorders>
          <w:tblCellMar>
            <w:top w:w="0" w:type="dxa"/>
            <w:left w:w="108" w:type="dxa"/>
            <w:bottom w:w="0" w:type="dxa"/>
            <w:right w:w="108" w:type="dxa"/>
          </w:tblCellMar>
        </w:tblPrEx>
        <w:trPr>
          <w:trHeight w:val="8175" w:hRule="atLeast"/>
        </w:trPr>
        <w:tc>
          <w:tcPr>
            <w:tcW w:w="381" w:type="dxa"/>
            <w:tcBorders>
              <w:bottom w:val="single" w:color="auto" w:sz="4" w:space="0"/>
              <w:tl2br w:val="nil"/>
              <w:tr2bl w:val="nil"/>
            </w:tcBorders>
          </w:tcPr>
          <w:p>
            <w:pPr>
              <w:adjustRightInd w:val="0"/>
              <w:snapToGrid w:val="0"/>
              <w:jc w:val="center"/>
              <w:rPr>
                <w:color w:val="000000"/>
                <w:kern w:val="0"/>
                <w:sz w:val="20"/>
              </w:rPr>
            </w:pPr>
          </w:p>
          <w:p>
            <w:pPr>
              <w:adjustRightInd w:val="0"/>
              <w:snapToGrid w:val="0"/>
              <w:jc w:val="center"/>
              <w:rPr>
                <w:color w:val="000000"/>
                <w:kern w:val="0"/>
                <w:sz w:val="20"/>
              </w:rPr>
            </w:pPr>
          </w:p>
          <w:p>
            <w:pPr>
              <w:adjustRightInd w:val="0"/>
              <w:snapToGrid w:val="0"/>
              <w:jc w:val="center"/>
              <w:rPr>
                <w:color w:val="000000"/>
                <w:kern w:val="0"/>
                <w:sz w:val="20"/>
              </w:rPr>
            </w:pPr>
          </w:p>
          <w:p>
            <w:pPr>
              <w:adjustRightInd w:val="0"/>
              <w:snapToGrid w:val="0"/>
              <w:jc w:val="center"/>
              <w:rPr>
                <w:color w:val="000000"/>
                <w:kern w:val="0"/>
                <w:sz w:val="20"/>
              </w:rPr>
            </w:pPr>
          </w:p>
          <w:p>
            <w:pPr>
              <w:adjustRightInd w:val="0"/>
              <w:snapToGrid w:val="0"/>
              <w:jc w:val="center"/>
              <w:rPr>
                <w:color w:val="000000"/>
                <w:kern w:val="0"/>
                <w:sz w:val="20"/>
              </w:rPr>
            </w:pPr>
          </w:p>
          <w:p>
            <w:pPr>
              <w:adjustRightInd w:val="0"/>
              <w:snapToGrid w:val="0"/>
              <w:jc w:val="center"/>
              <w:rPr>
                <w:color w:val="000000"/>
                <w:kern w:val="0"/>
                <w:sz w:val="20"/>
              </w:rPr>
            </w:pPr>
          </w:p>
          <w:p>
            <w:pPr>
              <w:adjustRightInd w:val="0"/>
              <w:snapToGrid w:val="0"/>
              <w:jc w:val="center"/>
              <w:rPr>
                <w:color w:val="000000"/>
                <w:kern w:val="0"/>
                <w:sz w:val="20"/>
              </w:rPr>
            </w:pPr>
          </w:p>
          <w:p>
            <w:pPr>
              <w:pStyle w:val="32"/>
              <w:rPr>
                <w:kern w:val="0"/>
              </w:rPr>
            </w:pPr>
          </w:p>
          <w:p>
            <w:pPr>
              <w:adjustRightInd w:val="0"/>
              <w:snapToGrid w:val="0"/>
              <w:jc w:val="center"/>
              <w:rPr>
                <w:b/>
                <w:bCs/>
                <w:color w:val="000000"/>
                <w:kern w:val="0"/>
                <w:sz w:val="24"/>
              </w:rPr>
            </w:pPr>
            <w:r>
              <w:rPr>
                <w:color w:val="000000"/>
                <w:kern w:val="0"/>
                <w:sz w:val="20"/>
              </w:rPr>
              <w:t>运营期环境影响和保护措施</w:t>
            </w:r>
          </w:p>
        </w:tc>
        <w:tc>
          <w:tcPr>
            <w:tcW w:w="13271" w:type="dxa"/>
            <w:tcBorders>
              <w:bottom w:val="single" w:color="auto" w:sz="4" w:space="0"/>
              <w:tl2br w:val="nil"/>
              <w:tr2bl w:val="nil"/>
            </w:tcBorders>
          </w:tcPr>
          <w:p>
            <w:pPr>
              <w:autoSpaceDE w:val="0"/>
              <w:autoSpaceDN w:val="0"/>
              <w:spacing w:line="360" w:lineRule="auto"/>
              <w:jc w:val="center"/>
              <w:rPr>
                <w:color w:val="000000"/>
                <w:kern w:val="0"/>
                <w:sz w:val="20"/>
              </w:rPr>
            </w:pPr>
            <w:r>
              <w:rPr>
                <w:b/>
                <w:bCs/>
                <w:color w:val="000000"/>
                <w:kern w:val="0"/>
                <w:sz w:val="24"/>
              </w:rPr>
              <w:t>表4-</w:t>
            </w:r>
            <w:r>
              <w:rPr>
                <w:rFonts w:hint="eastAsia"/>
                <w:b/>
                <w:bCs/>
                <w:color w:val="000000"/>
                <w:kern w:val="0"/>
                <w:sz w:val="24"/>
              </w:rPr>
              <w:t>4</w:t>
            </w:r>
            <w:r>
              <w:rPr>
                <w:b/>
                <w:bCs/>
                <w:color w:val="000000"/>
                <w:kern w:val="0"/>
                <w:sz w:val="24"/>
              </w:rPr>
              <w:t xml:space="preserve">  </w:t>
            </w:r>
            <w:r>
              <w:rPr>
                <w:rFonts w:hint="eastAsia"/>
                <w:b/>
                <w:bCs/>
                <w:color w:val="000000"/>
                <w:kern w:val="0"/>
                <w:sz w:val="24"/>
              </w:rPr>
              <w:t>噪声源强调查清单（室内声源）</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Layout w:type="autofit"/>
              <w:tblCellMar>
                <w:top w:w="0" w:type="dxa"/>
                <w:left w:w="108" w:type="dxa"/>
                <w:bottom w:w="0" w:type="dxa"/>
                <w:right w:w="108" w:type="dxa"/>
              </w:tblCellMar>
            </w:tblPr>
            <w:tblGrid>
              <w:gridCol w:w="562"/>
              <w:gridCol w:w="1080"/>
              <w:gridCol w:w="907"/>
              <w:gridCol w:w="907"/>
              <w:gridCol w:w="1253"/>
              <w:gridCol w:w="583"/>
              <w:gridCol w:w="553"/>
              <w:gridCol w:w="376"/>
              <w:gridCol w:w="1608"/>
              <w:gridCol w:w="907"/>
              <w:gridCol w:w="2147"/>
              <w:gridCol w:w="734"/>
              <w:gridCol w:w="1432"/>
            </w:tblGrid>
            <w:tr>
              <w:tblPrEx>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CellMar>
                  <w:top w:w="0" w:type="dxa"/>
                  <w:left w:w="108" w:type="dxa"/>
                  <w:bottom w:w="0" w:type="dxa"/>
                  <w:right w:w="108" w:type="dxa"/>
                </w:tblCellMar>
              </w:tblPrEx>
              <w:trPr>
                <w:trHeight w:val="454" w:hRule="atLeast"/>
                <w:jc w:val="center"/>
              </w:trPr>
              <w:tc>
                <w:tcPr>
                  <w:tcW w:w="207" w:type="pct"/>
                  <w:vMerge w:val="restart"/>
                  <w:noWrap/>
                  <w:vAlign w:val="center"/>
                </w:tcPr>
                <w:p>
                  <w:pPr>
                    <w:widowControl/>
                    <w:jc w:val="center"/>
                    <w:textAlignment w:val="center"/>
                    <w:rPr>
                      <w:color w:val="000000"/>
                    </w:rPr>
                  </w:pPr>
                  <w:r>
                    <w:rPr>
                      <w:color w:val="000000"/>
                      <w:kern w:val="0"/>
                    </w:rPr>
                    <w:t>序号</w:t>
                  </w:r>
                </w:p>
              </w:tc>
              <w:tc>
                <w:tcPr>
                  <w:tcW w:w="310" w:type="pct"/>
                  <w:vMerge w:val="restart"/>
                  <w:noWrap/>
                  <w:vAlign w:val="center"/>
                </w:tcPr>
                <w:p>
                  <w:pPr>
                    <w:widowControl/>
                    <w:jc w:val="center"/>
                    <w:textAlignment w:val="center"/>
                    <w:rPr>
                      <w:color w:val="000000"/>
                    </w:rPr>
                  </w:pPr>
                  <w:r>
                    <w:rPr>
                      <w:color w:val="000000"/>
                      <w:kern w:val="0"/>
                    </w:rPr>
                    <w:t>建筑物名称</w:t>
                  </w:r>
                </w:p>
              </w:tc>
              <w:tc>
                <w:tcPr>
                  <w:tcW w:w="518" w:type="pct"/>
                  <w:vMerge w:val="restart"/>
                  <w:noWrap/>
                  <w:vAlign w:val="center"/>
                </w:tcPr>
                <w:p>
                  <w:pPr>
                    <w:widowControl/>
                    <w:jc w:val="center"/>
                    <w:textAlignment w:val="center"/>
                    <w:rPr>
                      <w:color w:val="000000"/>
                    </w:rPr>
                  </w:pPr>
                  <w:r>
                    <w:rPr>
                      <w:color w:val="000000"/>
                      <w:kern w:val="0"/>
                    </w:rPr>
                    <w:t>声源名称</w:t>
                  </w:r>
                </w:p>
              </w:tc>
              <w:tc>
                <w:tcPr>
                  <w:tcW w:w="285" w:type="pct"/>
                  <w:vMerge w:val="restart"/>
                  <w:noWrap/>
                  <w:vAlign w:val="center"/>
                </w:tcPr>
                <w:p>
                  <w:pPr>
                    <w:widowControl/>
                    <w:jc w:val="center"/>
                    <w:textAlignment w:val="center"/>
                    <w:rPr>
                      <w:color w:val="000000"/>
                    </w:rPr>
                  </w:pPr>
                  <w:r>
                    <w:rPr>
                      <w:color w:val="000000"/>
                      <w:kern w:val="0"/>
                    </w:rPr>
                    <w:t>声功率级</w:t>
                  </w:r>
                </w:p>
              </w:tc>
              <w:tc>
                <w:tcPr>
                  <w:tcW w:w="615" w:type="pct"/>
                  <w:vMerge w:val="restart"/>
                  <w:noWrap/>
                  <w:vAlign w:val="center"/>
                </w:tcPr>
                <w:p>
                  <w:pPr>
                    <w:widowControl/>
                    <w:jc w:val="center"/>
                    <w:textAlignment w:val="center"/>
                    <w:rPr>
                      <w:color w:val="000000"/>
                    </w:rPr>
                  </w:pPr>
                  <w:r>
                    <w:rPr>
                      <w:color w:val="000000"/>
                      <w:kern w:val="0"/>
                    </w:rPr>
                    <w:t>声源控制措施</w:t>
                  </w:r>
                </w:p>
              </w:tc>
              <w:tc>
                <w:tcPr>
                  <w:tcW w:w="995" w:type="pct"/>
                  <w:gridSpan w:val="3"/>
                  <w:noWrap/>
                  <w:vAlign w:val="center"/>
                </w:tcPr>
                <w:p>
                  <w:pPr>
                    <w:widowControl/>
                    <w:jc w:val="center"/>
                    <w:textAlignment w:val="center"/>
                    <w:rPr>
                      <w:color w:val="000000"/>
                    </w:rPr>
                  </w:pPr>
                  <w:r>
                    <w:rPr>
                      <w:color w:val="000000"/>
                      <w:kern w:val="0"/>
                    </w:rPr>
                    <w:t>相对空间位置/m</w:t>
                  </w:r>
                </w:p>
              </w:tc>
              <w:tc>
                <w:tcPr>
                  <w:tcW w:w="460" w:type="pct"/>
                  <w:vMerge w:val="restart"/>
                  <w:noWrap/>
                  <w:vAlign w:val="center"/>
                </w:tcPr>
                <w:p>
                  <w:pPr>
                    <w:widowControl/>
                    <w:jc w:val="center"/>
                    <w:textAlignment w:val="center"/>
                    <w:rPr>
                      <w:color w:val="000000"/>
                    </w:rPr>
                  </w:pPr>
                  <w:r>
                    <w:rPr>
                      <w:color w:val="000000"/>
                      <w:kern w:val="0"/>
                    </w:rPr>
                    <w:t>距室内边界距离/m</w:t>
                  </w:r>
                </w:p>
              </w:tc>
              <w:tc>
                <w:tcPr>
                  <w:tcW w:w="315" w:type="pct"/>
                  <w:vMerge w:val="restart"/>
                  <w:noWrap/>
                  <w:vAlign w:val="center"/>
                </w:tcPr>
                <w:p>
                  <w:pPr>
                    <w:widowControl/>
                    <w:jc w:val="center"/>
                    <w:textAlignment w:val="center"/>
                    <w:rPr>
                      <w:color w:val="000000"/>
                    </w:rPr>
                  </w:pPr>
                  <w:r>
                    <w:rPr>
                      <w:color w:val="000000"/>
                      <w:kern w:val="0"/>
                    </w:rPr>
                    <w:t>运行时段</w:t>
                  </w:r>
                </w:p>
              </w:tc>
              <w:tc>
                <w:tcPr>
                  <w:tcW w:w="575" w:type="pct"/>
                  <w:vMerge w:val="restart"/>
                  <w:noWrap/>
                  <w:vAlign w:val="center"/>
                </w:tcPr>
                <w:p>
                  <w:pPr>
                    <w:widowControl/>
                    <w:jc w:val="center"/>
                    <w:textAlignment w:val="center"/>
                    <w:rPr>
                      <w:color w:val="000000"/>
                    </w:rPr>
                  </w:pPr>
                  <w:r>
                    <w:rPr>
                      <w:color w:val="000000"/>
                      <w:kern w:val="0"/>
                    </w:rPr>
                    <w:t>建筑物插入损失/dB（A）</w:t>
                  </w:r>
                </w:p>
              </w:tc>
              <w:tc>
                <w:tcPr>
                  <w:tcW w:w="720" w:type="pct"/>
                  <w:gridSpan w:val="2"/>
                  <w:noWrap/>
                  <w:vAlign w:val="center"/>
                </w:tcPr>
                <w:p>
                  <w:pPr>
                    <w:widowControl/>
                    <w:jc w:val="center"/>
                    <w:textAlignment w:val="center"/>
                    <w:rPr>
                      <w:color w:val="000000"/>
                    </w:rPr>
                  </w:pPr>
                  <w:r>
                    <w:rPr>
                      <w:color w:val="000000"/>
                      <w:kern w:val="0"/>
                    </w:rPr>
                    <w:t>建筑物外噪声</w:t>
                  </w:r>
                </w:p>
              </w:tc>
            </w:tr>
            <w:tr>
              <w:tblPrEx>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CellMar>
                  <w:top w:w="0" w:type="dxa"/>
                  <w:left w:w="108" w:type="dxa"/>
                  <w:bottom w:w="0" w:type="dxa"/>
                  <w:right w:w="108" w:type="dxa"/>
                </w:tblCellMar>
              </w:tblPrEx>
              <w:trPr>
                <w:trHeight w:val="302" w:hRule="atLeast"/>
                <w:jc w:val="center"/>
              </w:trPr>
              <w:tc>
                <w:tcPr>
                  <w:tcW w:w="207" w:type="pct"/>
                  <w:vMerge w:val="continue"/>
                  <w:tcBorders>
                    <w:bottom w:val="single" w:color="auto" w:sz="2" w:space="0"/>
                  </w:tcBorders>
                  <w:noWrap/>
                  <w:vAlign w:val="center"/>
                </w:tcPr>
                <w:p>
                  <w:pPr>
                    <w:jc w:val="center"/>
                    <w:rPr>
                      <w:color w:val="000000"/>
                    </w:rPr>
                  </w:pPr>
                </w:p>
              </w:tc>
              <w:tc>
                <w:tcPr>
                  <w:tcW w:w="310" w:type="pct"/>
                  <w:vMerge w:val="continue"/>
                  <w:tcBorders>
                    <w:bottom w:val="single" w:color="auto" w:sz="2" w:space="0"/>
                  </w:tcBorders>
                  <w:noWrap/>
                  <w:vAlign w:val="center"/>
                </w:tcPr>
                <w:p>
                  <w:pPr>
                    <w:jc w:val="center"/>
                    <w:rPr>
                      <w:color w:val="000000"/>
                    </w:rPr>
                  </w:pPr>
                </w:p>
              </w:tc>
              <w:tc>
                <w:tcPr>
                  <w:tcW w:w="518" w:type="pct"/>
                  <w:vMerge w:val="continue"/>
                  <w:tcBorders>
                    <w:bottom w:val="single" w:color="auto" w:sz="2" w:space="0"/>
                  </w:tcBorders>
                  <w:noWrap/>
                  <w:vAlign w:val="center"/>
                </w:tcPr>
                <w:p>
                  <w:pPr>
                    <w:jc w:val="center"/>
                    <w:rPr>
                      <w:color w:val="000000"/>
                    </w:rPr>
                  </w:pPr>
                </w:p>
              </w:tc>
              <w:tc>
                <w:tcPr>
                  <w:tcW w:w="285" w:type="pct"/>
                  <w:vMerge w:val="continue"/>
                  <w:tcBorders>
                    <w:bottom w:val="single" w:color="auto" w:sz="2" w:space="0"/>
                  </w:tcBorders>
                  <w:noWrap/>
                  <w:vAlign w:val="center"/>
                </w:tcPr>
                <w:p>
                  <w:pPr>
                    <w:jc w:val="center"/>
                    <w:rPr>
                      <w:color w:val="000000"/>
                    </w:rPr>
                  </w:pPr>
                </w:p>
              </w:tc>
              <w:tc>
                <w:tcPr>
                  <w:tcW w:w="615" w:type="pct"/>
                  <w:vMerge w:val="continue"/>
                  <w:tcBorders>
                    <w:bottom w:val="single" w:color="auto" w:sz="2" w:space="0"/>
                  </w:tcBorders>
                  <w:noWrap/>
                  <w:vAlign w:val="center"/>
                </w:tcPr>
                <w:p>
                  <w:pPr>
                    <w:jc w:val="center"/>
                    <w:rPr>
                      <w:color w:val="000000"/>
                    </w:rPr>
                  </w:pPr>
                </w:p>
              </w:tc>
              <w:tc>
                <w:tcPr>
                  <w:tcW w:w="388" w:type="pct"/>
                  <w:tcBorders>
                    <w:bottom w:val="single" w:color="auto" w:sz="2" w:space="0"/>
                  </w:tcBorders>
                  <w:noWrap/>
                  <w:vAlign w:val="center"/>
                </w:tcPr>
                <w:p>
                  <w:pPr>
                    <w:widowControl/>
                    <w:jc w:val="center"/>
                    <w:textAlignment w:val="center"/>
                    <w:rPr>
                      <w:color w:val="000000"/>
                    </w:rPr>
                  </w:pPr>
                  <w:r>
                    <w:rPr>
                      <w:color w:val="000000"/>
                      <w:kern w:val="0"/>
                    </w:rPr>
                    <w:t>x</w:t>
                  </w:r>
                </w:p>
              </w:tc>
              <w:tc>
                <w:tcPr>
                  <w:tcW w:w="366" w:type="pct"/>
                  <w:tcBorders>
                    <w:bottom w:val="single" w:color="auto" w:sz="2" w:space="0"/>
                  </w:tcBorders>
                  <w:noWrap/>
                  <w:vAlign w:val="center"/>
                </w:tcPr>
                <w:p>
                  <w:pPr>
                    <w:widowControl/>
                    <w:jc w:val="center"/>
                    <w:textAlignment w:val="center"/>
                    <w:rPr>
                      <w:color w:val="000000"/>
                    </w:rPr>
                  </w:pPr>
                  <w:r>
                    <w:rPr>
                      <w:color w:val="000000"/>
                      <w:kern w:val="0"/>
                    </w:rPr>
                    <w:t>y</w:t>
                  </w:r>
                </w:p>
              </w:tc>
              <w:tc>
                <w:tcPr>
                  <w:tcW w:w="241" w:type="pct"/>
                  <w:tcBorders>
                    <w:bottom w:val="single" w:color="auto" w:sz="2" w:space="0"/>
                  </w:tcBorders>
                  <w:noWrap/>
                  <w:vAlign w:val="center"/>
                </w:tcPr>
                <w:p>
                  <w:pPr>
                    <w:widowControl/>
                    <w:jc w:val="center"/>
                    <w:textAlignment w:val="center"/>
                    <w:rPr>
                      <w:color w:val="000000"/>
                    </w:rPr>
                  </w:pPr>
                  <w:r>
                    <w:rPr>
                      <w:color w:val="000000"/>
                      <w:kern w:val="0"/>
                    </w:rPr>
                    <w:t>z</w:t>
                  </w:r>
                </w:p>
              </w:tc>
              <w:tc>
                <w:tcPr>
                  <w:tcW w:w="460" w:type="pct"/>
                  <w:vMerge w:val="continue"/>
                  <w:tcBorders>
                    <w:bottom w:val="single" w:color="auto" w:sz="2" w:space="0"/>
                  </w:tcBorders>
                  <w:noWrap/>
                  <w:vAlign w:val="center"/>
                </w:tcPr>
                <w:p>
                  <w:pPr>
                    <w:jc w:val="center"/>
                    <w:rPr>
                      <w:color w:val="000000"/>
                    </w:rPr>
                  </w:pPr>
                </w:p>
              </w:tc>
              <w:tc>
                <w:tcPr>
                  <w:tcW w:w="315" w:type="pct"/>
                  <w:vMerge w:val="continue"/>
                  <w:tcBorders>
                    <w:bottom w:val="single" w:color="auto" w:sz="2" w:space="0"/>
                  </w:tcBorders>
                  <w:noWrap/>
                  <w:vAlign w:val="center"/>
                </w:tcPr>
                <w:p>
                  <w:pPr>
                    <w:jc w:val="center"/>
                    <w:rPr>
                      <w:color w:val="000000"/>
                    </w:rPr>
                  </w:pPr>
                </w:p>
              </w:tc>
              <w:tc>
                <w:tcPr>
                  <w:tcW w:w="575" w:type="pct"/>
                  <w:vMerge w:val="continue"/>
                  <w:tcBorders>
                    <w:bottom w:val="single" w:color="auto" w:sz="2" w:space="0"/>
                  </w:tcBorders>
                  <w:noWrap/>
                  <w:vAlign w:val="center"/>
                </w:tcPr>
                <w:p>
                  <w:pPr>
                    <w:jc w:val="center"/>
                    <w:rPr>
                      <w:color w:val="000000"/>
                    </w:rPr>
                  </w:pPr>
                </w:p>
              </w:tc>
              <w:tc>
                <w:tcPr>
                  <w:tcW w:w="315" w:type="pct"/>
                  <w:noWrap/>
                  <w:vAlign w:val="center"/>
                </w:tcPr>
                <w:p>
                  <w:pPr>
                    <w:widowControl/>
                    <w:jc w:val="center"/>
                    <w:textAlignment w:val="center"/>
                    <w:rPr>
                      <w:color w:val="000000"/>
                    </w:rPr>
                  </w:pPr>
                  <w:r>
                    <w:rPr>
                      <w:color w:val="000000"/>
                      <w:kern w:val="0"/>
                    </w:rPr>
                    <w:t>声压级</w:t>
                  </w:r>
                </w:p>
              </w:tc>
              <w:tc>
                <w:tcPr>
                  <w:tcW w:w="405" w:type="pct"/>
                  <w:noWrap/>
                  <w:vAlign w:val="center"/>
                </w:tcPr>
                <w:p>
                  <w:pPr>
                    <w:widowControl/>
                    <w:jc w:val="center"/>
                    <w:textAlignment w:val="center"/>
                    <w:rPr>
                      <w:color w:val="000000"/>
                    </w:rPr>
                  </w:pPr>
                  <w:r>
                    <w:rPr>
                      <w:color w:val="000000"/>
                      <w:kern w:val="0"/>
                    </w:rPr>
                    <w:t>建筑物外距离m</w:t>
                  </w:r>
                </w:p>
              </w:tc>
            </w:tr>
            <w:tr>
              <w:tblPrEx>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CellMar>
                  <w:top w:w="0" w:type="dxa"/>
                  <w:left w:w="108" w:type="dxa"/>
                  <w:bottom w:w="0" w:type="dxa"/>
                  <w:right w:w="108" w:type="dxa"/>
                </w:tblCellMar>
              </w:tblPrEx>
              <w:trPr>
                <w:trHeight w:val="454" w:hRule="atLeast"/>
                <w:jc w:val="center"/>
              </w:trPr>
              <w:tc>
                <w:tcPr>
                  <w:tcW w:w="207" w:type="pct"/>
                  <w:vMerge w:val="restart"/>
                  <w:tcBorders>
                    <w:top w:val="single" w:color="auto" w:sz="2" w:space="0"/>
                    <w:bottom w:val="single" w:color="000000" w:sz="4" w:space="0"/>
                  </w:tcBorders>
                  <w:vAlign w:val="center"/>
                </w:tcPr>
                <w:p>
                  <w:pPr>
                    <w:jc w:val="center"/>
                    <w:rPr>
                      <w:color w:val="000000"/>
                    </w:rPr>
                  </w:pPr>
                  <w:r>
                    <w:rPr>
                      <w:color w:val="000000"/>
                      <w:kern w:val="0"/>
                    </w:rPr>
                    <w:t>1</w:t>
                  </w:r>
                </w:p>
              </w:tc>
              <w:tc>
                <w:tcPr>
                  <w:tcW w:w="310" w:type="pct"/>
                  <w:vMerge w:val="restart"/>
                  <w:tcBorders>
                    <w:top w:val="single" w:color="auto" w:sz="2" w:space="0"/>
                    <w:bottom w:val="single" w:color="000000" w:sz="4" w:space="0"/>
                  </w:tcBorders>
                  <w:vAlign w:val="center"/>
                </w:tcPr>
                <w:p>
                  <w:pPr>
                    <w:jc w:val="center"/>
                    <w:rPr>
                      <w:color w:val="000000"/>
                    </w:rPr>
                  </w:pPr>
                  <w:r>
                    <w:rPr>
                      <w:color w:val="000000"/>
                    </w:rPr>
                    <w:t>生产车间</w:t>
                  </w:r>
                </w:p>
              </w:tc>
              <w:tc>
                <w:tcPr>
                  <w:tcW w:w="518" w:type="pct"/>
                  <w:tcBorders>
                    <w:top w:val="single" w:color="auto" w:sz="2" w:space="0"/>
                    <w:bottom w:val="single" w:color="000000" w:sz="4" w:space="0"/>
                  </w:tcBorders>
                  <w:vAlign w:val="center"/>
                </w:tcPr>
                <w:p>
                  <w:pPr>
                    <w:pStyle w:val="6"/>
                    <w:ind w:firstLine="0"/>
                    <w:jc w:val="center"/>
                    <w:rPr>
                      <w:color w:val="000000"/>
                    </w:rPr>
                  </w:pPr>
                  <w:r>
                    <w:rPr>
                      <w:rFonts w:hint="eastAsia"/>
                      <w:color w:val="000000"/>
                    </w:rPr>
                    <w:t>破碎机</w:t>
                  </w:r>
                </w:p>
              </w:tc>
              <w:tc>
                <w:tcPr>
                  <w:tcW w:w="285" w:type="pct"/>
                  <w:tcBorders>
                    <w:top w:val="single" w:color="auto" w:sz="2" w:space="0"/>
                    <w:bottom w:val="single" w:color="000000" w:sz="4" w:space="0"/>
                  </w:tcBorders>
                  <w:vAlign w:val="center"/>
                </w:tcPr>
                <w:p>
                  <w:pPr>
                    <w:jc w:val="center"/>
                  </w:pPr>
                  <w:r>
                    <w:rPr>
                      <w:rFonts w:hint="eastAsia"/>
                      <w:color w:val="000000"/>
                      <w:szCs w:val="21"/>
                    </w:rPr>
                    <w:t>80</w:t>
                  </w:r>
                </w:p>
              </w:tc>
              <w:tc>
                <w:tcPr>
                  <w:tcW w:w="615" w:type="pct"/>
                  <w:tcBorders>
                    <w:top w:val="single" w:color="auto" w:sz="2" w:space="0"/>
                    <w:bottom w:val="single" w:color="000000" w:sz="4" w:space="0"/>
                  </w:tcBorders>
                  <w:vAlign w:val="center"/>
                </w:tcPr>
                <w:p>
                  <w:pPr>
                    <w:widowControl/>
                    <w:jc w:val="center"/>
                    <w:textAlignment w:val="center"/>
                    <w:rPr>
                      <w:color w:val="000000"/>
                    </w:rPr>
                  </w:pPr>
                  <w:r>
                    <w:rPr>
                      <w:color w:val="000000"/>
                      <w:kern w:val="0"/>
                    </w:rPr>
                    <w:t>减振、隔声</w:t>
                  </w:r>
                </w:p>
              </w:tc>
              <w:tc>
                <w:tcPr>
                  <w:tcW w:w="388" w:type="pct"/>
                  <w:tcBorders>
                    <w:top w:val="single" w:color="auto" w:sz="2" w:space="0"/>
                    <w:bottom w:val="single" w:color="000000" w:sz="4" w:space="0"/>
                  </w:tcBorders>
                  <w:noWrap/>
                  <w:vAlign w:val="center"/>
                </w:tcPr>
                <w:p>
                  <w:pPr>
                    <w:widowControl/>
                    <w:jc w:val="center"/>
                    <w:textAlignment w:val="center"/>
                    <w:rPr>
                      <w:color w:val="000000"/>
                    </w:rPr>
                  </w:pPr>
                  <w:r>
                    <w:rPr>
                      <w:rFonts w:hint="eastAsia"/>
                      <w:color w:val="000000"/>
                    </w:rPr>
                    <w:t>20</w:t>
                  </w:r>
                </w:p>
              </w:tc>
              <w:tc>
                <w:tcPr>
                  <w:tcW w:w="366" w:type="pct"/>
                  <w:tcBorders>
                    <w:top w:val="single" w:color="auto" w:sz="2" w:space="0"/>
                    <w:bottom w:val="single" w:color="000000" w:sz="4" w:space="0"/>
                  </w:tcBorders>
                  <w:noWrap/>
                  <w:vAlign w:val="center"/>
                </w:tcPr>
                <w:p>
                  <w:pPr>
                    <w:widowControl/>
                    <w:jc w:val="center"/>
                    <w:textAlignment w:val="center"/>
                    <w:rPr>
                      <w:color w:val="000000"/>
                    </w:rPr>
                  </w:pPr>
                  <w:r>
                    <w:rPr>
                      <w:rFonts w:hint="eastAsia"/>
                      <w:color w:val="000000"/>
                    </w:rPr>
                    <w:t>10</w:t>
                  </w:r>
                </w:p>
              </w:tc>
              <w:tc>
                <w:tcPr>
                  <w:tcW w:w="241" w:type="pct"/>
                  <w:tcBorders>
                    <w:top w:val="single" w:color="auto" w:sz="2" w:space="0"/>
                    <w:bottom w:val="single" w:color="000000" w:sz="4" w:space="0"/>
                  </w:tcBorders>
                  <w:noWrap/>
                  <w:vAlign w:val="center"/>
                </w:tcPr>
                <w:p>
                  <w:pPr>
                    <w:jc w:val="center"/>
                  </w:pPr>
                  <w:r>
                    <w:rPr>
                      <w:rFonts w:hint="eastAsia"/>
                      <w:color w:val="000000"/>
                    </w:rPr>
                    <w:t>1</w:t>
                  </w:r>
                </w:p>
              </w:tc>
              <w:tc>
                <w:tcPr>
                  <w:tcW w:w="460" w:type="pct"/>
                  <w:tcBorders>
                    <w:top w:val="single" w:color="auto" w:sz="2" w:space="0"/>
                    <w:bottom w:val="single" w:color="000000" w:sz="4" w:space="0"/>
                  </w:tcBorders>
                  <w:noWrap/>
                  <w:vAlign w:val="center"/>
                </w:tcPr>
                <w:p>
                  <w:pPr>
                    <w:widowControl/>
                    <w:jc w:val="center"/>
                    <w:textAlignment w:val="center"/>
                    <w:rPr>
                      <w:color w:val="000000"/>
                    </w:rPr>
                  </w:pPr>
                  <w:r>
                    <w:rPr>
                      <w:rFonts w:hint="eastAsia"/>
                      <w:color w:val="000000"/>
                    </w:rPr>
                    <w:t>10</w:t>
                  </w:r>
                </w:p>
              </w:tc>
              <w:tc>
                <w:tcPr>
                  <w:tcW w:w="315" w:type="pct"/>
                  <w:tcBorders>
                    <w:top w:val="single" w:color="auto" w:sz="2" w:space="0"/>
                    <w:bottom w:val="single" w:color="000000" w:sz="4" w:space="0"/>
                  </w:tcBorders>
                  <w:noWrap/>
                  <w:vAlign w:val="center"/>
                </w:tcPr>
                <w:p>
                  <w:pPr>
                    <w:widowControl/>
                    <w:jc w:val="center"/>
                    <w:textAlignment w:val="center"/>
                    <w:rPr>
                      <w:color w:val="000000"/>
                    </w:rPr>
                  </w:pPr>
                  <w:r>
                    <w:rPr>
                      <w:color w:val="000000"/>
                      <w:kern w:val="0"/>
                    </w:rPr>
                    <w:t>昼间</w:t>
                  </w:r>
                </w:p>
              </w:tc>
              <w:tc>
                <w:tcPr>
                  <w:tcW w:w="575" w:type="pct"/>
                  <w:tcBorders>
                    <w:top w:val="single" w:color="auto" w:sz="2" w:space="0"/>
                    <w:bottom w:val="single" w:color="000000" w:sz="4" w:space="0"/>
                  </w:tcBorders>
                  <w:noWrap/>
                  <w:vAlign w:val="center"/>
                </w:tcPr>
                <w:p>
                  <w:pPr>
                    <w:widowControl/>
                    <w:jc w:val="center"/>
                    <w:textAlignment w:val="center"/>
                    <w:rPr>
                      <w:color w:val="000000"/>
                    </w:rPr>
                  </w:pPr>
                  <w:r>
                    <w:rPr>
                      <w:rFonts w:hint="eastAsia"/>
                      <w:color w:val="000000"/>
                    </w:rPr>
                    <w:t>15</w:t>
                  </w:r>
                </w:p>
              </w:tc>
              <w:tc>
                <w:tcPr>
                  <w:tcW w:w="315" w:type="pct"/>
                  <w:noWrap/>
                  <w:vAlign w:val="center"/>
                </w:tcPr>
                <w:p>
                  <w:pPr>
                    <w:jc w:val="center"/>
                  </w:pPr>
                  <w:r>
                    <w:rPr>
                      <w:rFonts w:hint="eastAsia"/>
                      <w:color w:val="000000"/>
                    </w:rPr>
                    <w:t>65</w:t>
                  </w:r>
                </w:p>
              </w:tc>
              <w:tc>
                <w:tcPr>
                  <w:tcW w:w="405" w:type="pct"/>
                  <w:noWrap/>
                  <w:vAlign w:val="center"/>
                </w:tcPr>
                <w:p>
                  <w:pPr>
                    <w:widowControl/>
                    <w:jc w:val="center"/>
                    <w:textAlignment w:val="center"/>
                    <w:rPr>
                      <w:color w:val="000000"/>
                    </w:rPr>
                  </w:pPr>
                  <w:r>
                    <w:rPr>
                      <w:rFonts w:hint="eastAsia"/>
                      <w:color w:val="000000"/>
                      <w:kern w:val="0"/>
                    </w:rPr>
                    <w:t>1</w:t>
                  </w:r>
                </w:p>
              </w:tc>
            </w:tr>
            <w:tr>
              <w:tblPrEx>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CellMar>
                  <w:top w:w="0" w:type="dxa"/>
                  <w:left w:w="108" w:type="dxa"/>
                  <w:bottom w:w="0" w:type="dxa"/>
                  <w:right w:w="108" w:type="dxa"/>
                </w:tblCellMar>
              </w:tblPrEx>
              <w:trPr>
                <w:trHeight w:val="454" w:hRule="atLeast"/>
                <w:jc w:val="center"/>
              </w:trPr>
              <w:tc>
                <w:tcPr>
                  <w:tcW w:w="207" w:type="pct"/>
                  <w:vMerge w:val="continue"/>
                  <w:tcBorders>
                    <w:top w:val="single" w:color="000000" w:sz="4" w:space="0"/>
                    <w:bottom w:val="single" w:color="000000" w:sz="4" w:space="0"/>
                  </w:tcBorders>
                  <w:vAlign w:val="center"/>
                </w:tcPr>
                <w:p>
                  <w:pPr>
                    <w:jc w:val="center"/>
                    <w:rPr>
                      <w:color w:val="000000"/>
                    </w:rPr>
                  </w:pPr>
                </w:p>
              </w:tc>
              <w:tc>
                <w:tcPr>
                  <w:tcW w:w="310" w:type="pct"/>
                  <w:vMerge w:val="continue"/>
                  <w:tcBorders>
                    <w:top w:val="single" w:color="000000" w:sz="4" w:space="0"/>
                    <w:bottom w:val="single" w:color="000000" w:sz="4" w:space="0"/>
                  </w:tcBorders>
                  <w:vAlign w:val="center"/>
                </w:tcPr>
                <w:p>
                  <w:pPr>
                    <w:jc w:val="center"/>
                    <w:rPr>
                      <w:color w:val="000000"/>
                    </w:rPr>
                  </w:pPr>
                </w:p>
              </w:tc>
              <w:tc>
                <w:tcPr>
                  <w:tcW w:w="518" w:type="pct"/>
                  <w:tcBorders>
                    <w:top w:val="single" w:color="000000" w:sz="4" w:space="0"/>
                    <w:bottom w:val="single" w:color="000000" w:sz="4" w:space="0"/>
                  </w:tcBorders>
                  <w:vAlign w:val="center"/>
                </w:tcPr>
                <w:p>
                  <w:pPr>
                    <w:pStyle w:val="6"/>
                    <w:ind w:firstLine="0"/>
                    <w:jc w:val="center"/>
                    <w:rPr>
                      <w:color w:val="000000"/>
                    </w:rPr>
                  </w:pPr>
                  <w:r>
                    <w:rPr>
                      <w:rFonts w:hint="eastAsia"/>
                      <w:color w:val="000000"/>
                    </w:rPr>
                    <w:t>滚筒干燥机</w:t>
                  </w:r>
                </w:p>
              </w:tc>
              <w:tc>
                <w:tcPr>
                  <w:tcW w:w="285" w:type="pct"/>
                  <w:tcBorders>
                    <w:top w:val="single" w:color="000000" w:sz="4" w:space="0"/>
                    <w:bottom w:val="single" w:color="000000" w:sz="4" w:space="0"/>
                  </w:tcBorders>
                  <w:vAlign w:val="center"/>
                </w:tcPr>
                <w:p>
                  <w:pPr>
                    <w:jc w:val="center"/>
                  </w:pPr>
                  <w:r>
                    <w:rPr>
                      <w:rFonts w:hint="eastAsia"/>
                      <w:color w:val="000000"/>
                      <w:szCs w:val="21"/>
                    </w:rPr>
                    <w:t>80</w:t>
                  </w:r>
                </w:p>
              </w:tc>
              <w:tc>
                <w:tcPr>
                  <w:tcW w:w="615" w:type="pct"/>
                  <w:tcBorders>
                    <w:top w:val="single" w:color="000000" w:sz="4" w:space="0"/>
                    <w:bottom w:val="single" w:color="000000" w:sz="4" w:space="0"/>
                  </w:tcBorders>
                  <w:vAlign w:val="center"/>
                </w:tcPr>
                <w:p>
                  <w:pPr>
                    <w:widowControl/>
                    <w:jc w:val="center"/>
                    <w:textAlignment w:val="center"/>
                    <w:rPr>
                      <w:color w:val="000000"/>
                    </w:rPr>
                  </w:pPr>
                  <w:r>
                    <w:rPr>
                      <w:color w:val="000000"/>
                      <w:kern w:val="0"/>
                    </w:rPr>
                    <w:t>减振、隔声</w:t>
                  </w:r>
                </w:p>
              </w:tc>
              <w:tc>
                <w:tcPr>
                  <w:tcW w:w="388" w:type="pct"/>
                  <w:tcBorders>
                    <w:top w:val="single" w:color="000000" w:sz="4" w:space="0"/>
                    <w:bottom w:val="single" w:color="000000" w:sz="4" w:space="0"/>
                  </w:tcBorders>
                  <w:noWrap/>
                  <w:vAlign w:val="center"/>
                </w:tcPr>
                <w:p>
                  <w:pPr>
                    <w:widowControl/>
                    <w:jc w:val="center"/>
                    <w:textAlignment w:val="center"/>
                    <w:rPr>
                      <w:color w:val="000000"/>
                    </w:rPr>
                  </w:pPr>
                  <w:r>
                    <w:rPr>
                      <w:rFonts w:hint="eastAsia"/>
                      <w:color w:val="000000"/>
                    </w:rPr>
                    <w:t>15</w:t>
                  </w:r>
                </w:p>
              </w:tc>
              <w:tc>
                <w:tcPr>
                  <w:tcW w:w="366" w:type="pct"/>
                  <w:tcBorders>
                    <w:top w:val="single" w:color="000000" w:sz="4" w:space="0"/>
                    <w:bottom w:val="single" w:color="000000" w:sz="4" w:space="0"/>
                  </w:tcBorders>
                  <w:noWrap/>
                  <w:vAlign w:val="center"/>
                </w:tcPr>
                <w:p>
                  <w:pPr>
                    <w:jc w:val="center"/>
                  </w:pPr>
                  <w:r>
                    <w:rPr>
                      <w:rFonts w:hint="eastAsia"/>
                      <w:color w:val="000000"/>
                    </w:rPr>
                    <w:t>10</w:t>
                  </w:r>
                </w:p>
              </w:tc>
              <w:tc>
                <w:tcPr>
                  <w:tcW w:w="241" w:type="pct"/>
                  <w:tcBorders>
                    <w:top w:val="single" w:color="000000" w:sz="4" w:space="0"/>
                    <w:bottom w:val="single" w:color="000000" w:sz="4" w:space="0"/>
                  </w:tcBorders>
                  <w:noWrap/>
                  <w:vAlign w:val="center"/>
                </w:tcPr>
                <w:p>
                  <w:pPr>
                    <w:jc w:val="center"/>
                  </w:pPr>
                  <w:r>
                    <w:rPr>
                      <w:rFonts w:hint="eastAsia"/>
                      <w:color w:val="000000"/>
                    </w:rPr>
                    <w:t>1</w:t>
                  </w:r>
                </w:p>
              </w:tc>
              <w:tc>
                <w:tcPr>
                  <w:tcW w:w="460" w:type="pct"/>
                  <w:tcBorders>
                    <w:top w:val="single" w:color="000000" w:sz="4" w:space="0"/>
                    <w:bottom w:val="single" w:color="000000" w:sz="4" w:space="0"/>
                  </w:tcBorders>
                  <w:noWrap/>
                  <w:vAlign w:val="center"/>
                </w:tcPr>
                <w:p>
                  <w:pPr>
                    <w:widowControl/>
                    <w:jc w:val="center"/>
                    <w:textAlignment w:val="center"/>
                    <w:rPr>
                      <w:color w:val="000000"/>
                    </w:rPr>
                  </w:pPr>
                  <w:r>
                    <w:rPr>
                      <w:rFonts w:hint="eastAsia"/>
                      <w:color w:val="000000"/>
                    </w:rPr>
                    <w:t>15</w:t>
                  </w:r>
                </w:p>
              </w:tc>
              <w:tc>
                <w:tcPr>
                  <w:tcW w:w="315" w:type="pct"/>
                  <w:tcBorders>
                    <w:top w:val="single" w:color="000000" w:sz="4" w:space="0"/>
                    <w:bottom w:val="single" w:color="000000" w:sz="4" w:space="0"/>
                  </w:tcBorders>
                  <w:noWrap/>
                  <w:vAlign w:val="center"/>
                </w:tcPr>
                <w:p>
                  <w:pPr>
                    <w:widowControl/>
                    <w:jc w:val="center"/>
                    <w:textAlignment w:val="center"/>
                    <w:rPr>
                      <w:color w:val="000000"/>
                    </w:rPr>
                  </w:pPr>
                  <w:r>
                    <w:rPr>
                      <w:color w:val="000000"/>
                      <w:kern w:val="0"/>
                    </w:rPr>
                    <w:t>昼间</w:t>
                  </w:r>
                </w:p>
              </w:tc>
              <w:tc>
                <w:tcPr>
                  <w:tcW w:w="575" w:type="pct"/>
                  <w:tcBorders>
                    <w:top w:val="single" w:color="000000" w:sz="4" w:space="0"/>
                    <w:bottom w:val="single" w:color="000000" w:sz="4" w:space="0"/>
                  </w:tcBorders>
                  <w:noWrap/>
                  <w:vAlign w:val="center"/>
                </w:tcPr>
                <w:p>
                  <w:pPr>
                    <w:widowControl/>
                    <w:jc w:val="center"/>
                    <w:textAlignment w:val="center"/>
                    <w:rPr>
                      <w:color w:val="000000"/>
                    </w:rPr>
                  </w:pPr>
                  <w:r>
                    <w:rPr>
                      <w:rFonts w:hint="eastAsia"/>
                      <w:color w:val="000000"/>
                    </w:rPr>
                    <w:t>15</w:t>
                  </w:r>
                </w:p>
              </w:tc>
              <w:tc>
                <w:tcPr>
                  <w:tcW w:w="315" w:type="pct"/>
                  <w:noWrap/>
                  <w:vAlign w:val="center"/>
                </w:tcPr>
                <w:p>
                  <w:pPr>
                    <w:jc w:val="center"/>
                  </w:pPr>
                  <w:r>
                    <w:rPr>
                      <w:rFonts w:hint="eastAsia"/>
                      <w:color w:val="000000"/>
                    </w:rPr>
                    <w:t>65</w:t>
                  </w:r>
                </w:p>
              </w:tc>
              <w:tc>
                <w:tcPr>
                  <w:tcW w:w="405" w:type="pct"/>
                  <w:noWrap/>
                  <w:vAlign w:val="center"/>
                </w:tcPr>
                <w:p>
                  <w:pPr>
                    <w:widowControl/>
                    <w:jc w:val="center"/>
                    <w:textAlignment w:val="center"/>
                    <w:rPr>
                      <w:color w:val="000000"/>
                    </w:rPr>
                  </w:pPr>
                  <w:r>
                    <w:rPr>
                      <w:rFonts w:hint="eastAsia"/>
                      <w:color w:val="000000"/>
                    </w:rPr>
                    <w:t>1</w:t>
                  </w:r>
                </w:p>
              </w:tc>
            </w:tr>
            <w:tr>
              <w:tblPrEx>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CellMar>
                  <w:top w:w="0" w:type="dxa"/>
                  <w:left w:w="108" w:type="dxa"/>
                  <w:bottom w:w="0" w:type="dxa"/>
                  <w:right w:w="108" w:type="dxa"/>
                </w:tblCellMar>
              </w:tblPrEx>
              <w:trPr>
                <w:trHeight w:val="454" w:hRule="atLeast"/>
                <w:jc w:val="center"/>
              </w:trPr>
              <w:tc>
                <w:tcPr>
                  <w:tcW w:w="207" w:type="pct"/>
                  <w:vMerge w:val="restart"/>
                  <w:tcBorders>
                    <w:top w:val="single" w:color="000000" w:sz="4" w:space="0"/>
                    <w:bottom w:val="single" w:color="auto" w:sz="2" w:space="0"/>
                  </w:tcBorders>
                  <w:noWrap/>
                  <w:vAlign w:val="center"/>
                </w:tcPr>
                <w:p>
                  <w:pPr>
                    <w:jc w:val="center"/>
                    <w:rPr>
                      <w:color w:val="000000"/>
                    </w:rPr>
                  </w:pPr>
                  <w:r>
                    <w:rPr>
                      <w:rFonts w:hint="eastAsia"/>
                      <w:color w:val="000000"/>
                    </w:rPr>
                    <w:t>2</w:t>
                  </w:r>
                </w:p>
              </w:tc>
              <w:tc>
                <w:tcPr>
                  <w:tcW w:w="310" w:type="pct"/>
                  <w:vMerge w:val="restart"/>
                  <w:tcBorders>
                    <w:top w:val="single" w:color="000000" w:sz="4" w:space="0"/>
                    <w:bottom w:val="single" w:color="auto" w:sz="2" w:space="0"/>
                  </w:tcBorders>
                  <w:noWrap/>
                  <w:vAlign w:val="center"/>
                </w:tcPr>
                <w:p>
                  <w:pPr>
                    <w:jc w:val="center"/>
                    <w:rPr>
                      <w:color w:val="000000"/>
                    </w:rPr>
                  </w:pPr>
                  <w:r>
                    <w:rPr>
                      <w:rFonts w:hint="eastAsia"/>
                      <w:color w:val="000000"/>
                    </w:rPr>
                    <w:t>生产车间</w:t>
                  </w:r>
                </w:p>
              </w:tc>
              <w:tc>
                <w:tcPr>
                  <w:tcW w:w="518" w:type="pct"/>
                  <w:tcBorders>
                    <w:top w:val="single" w:color="000000" w:sz="4" w:space="0"/>
                    <w:bottom w:val="single" w:color="auto" w:sz="2" w:space="0"/>
                  </w:tcBorders>
                  <w:vAlign w:val="center"/>
                </w:tcPr>
                <w:p>
                  <w:pPr>
                    <w:pStyle w:val="6"/>
                    <w:ind w:firstLine="0"/>
                    <w:jc w:val="center"/>
                    <w:rPr>
                      <w:color w:val="000000"/>
                    </w:rPr>
                  </w:pPr>
                  <w:r>
                    <w:rPr>
                      <w:rFonts w:hint="eastAsia"/>
                      <w:color w:val="000000"/>
                    </w:rPr>
                    <w:t>破碎机</w:t>
                  </w:r>
                </w:p>
              </w:tc>
              <w:tc>
                <w:tcPr>
                  <w:tcW w:w="285" w:type="pct"/>
                  <w:tcBorders>
                    <w:top w:val="single" w:color="000000" w:sz="4" w:space="0"/>
                    <w:bottom w:val="single" w:color="auto" w:sz="2" w:space="0"/>
                  </w:tcBorders>
                  <w:vAlign w:val="center"/>
                </w:tcPr>
                <w:p>
                  <w:pPr>
                    <w:pStyle w:val="6"/>
                    <w:ind w:firstLine="0"/>
                    <w:jc w:val="center"/>
                    <w:rPr>
                      <w:color w:val="000000"/>
                    </w:rPr>
                  </w:pPr>
                  <w:r>
                    <w:rPr>
                      <w:rFonts w:hint="eastAsia"/>
                      <w:color w:val="000000"/>
                    </w:rPr>
                    <w:t>80</w:t>
                  </w:r>
                </w:p>
              </w:tc>
              <w:tc>
                <w:tcPr>
                  <w:tcW w:w="615" w:type="pct"/>
                  <w:tcBorders>
                    <w:top w:val="single" w:color="000000" w:sz="4" w:space="0"/>
                    <w:bottom w:val="single" w:color="auto" w:sz="2" w:space="0"/>
                  </w:tcBorders>
                  <w:vAlign w:val="center"/>
                </w:tcPr>
                <w:p>
                  <w:pPr>
                    <w:widowControl/>
                    <w:jc w:val="center"/>
                    <w:textAlignment w:val="center"/>
                    <w:rPr>
                      <w:color w:val="000000"/>
                    </w:rPr>
                  </w:pPr>
                  <w:r>
                    <w:rPr>
                      <w:color w:val="000000"/>
                      <w:kern w:val="0"/>
                    </w:rPr>
                    <w:t>减振、隔声</w:t>
                  </w:r>
                </w:p>
              </w:tc>
              <w:tc>
                <w:tcPr>
                  <w:tcW w:w="388" w:type="pct"/>
                  <w:tcBorders>
                    <w:top w:val="single" w:color="000000" w:sz="4" w:space="0"/>
                    <w:bottom w:val="single" w:color="auto" w:sz="2" w:space="0"/>
                  </w:tcBorders>
                  <w:noWrap/>
                  <w:vAlign w:val="center"/>
                </w:tcPr>
                <w:p>
                  <w:pPr>
                    <w:widowControl/>
                    <w:jc w:val="center"/>
                    <w:textAlignment w:val="center"/>
                    <w:rPr>
                      <w:color w:val="000000"/>
                    </w:rPr>
                  </w:pPr>
                  <w:r>
                    <w:rPr>
                      <w:rFonts w:hint="eastAsia"/>
                      <w:color w:val="000000"/>
                    </w:rPr>
                    <w:t>20</w:t>
                  </w:r>
                </w:p>
              </w:tc>
              <w:tc>
                <w:tcPr>
                  <w:tcW w:w="366" w:type="pct"/>
                  <w:tcBorders>
                    <w:top w:val="single" w:color="000000" w:sz="4" w:space="0"/>
                    <w:bottom w:val="single" w:color="auto" w:sz="2" w:space="0"/>
                  </w:tcBorders>
                  <w:noWrap/>
                  <w:vAlign w:val="center"/>
                </w:tcPr>
                <w:p>
                  <w:pPr>
                    <w:widowControl/>
                    <w:jc w:val="center"/>
                    <w:textAlignment w:val="center"/>
                    <w:rPr>
                      <w:color w:val="000000"/>
                    </w:rPr>
                  </w:pPr>
                  <w:r>
                    <w:rPr>
                      <w:rFonts w:hint="eastAsia"/>
                      <w:color w:val="000000"/>
                    </w:rPr>
                    <w:t>50</w:t>
                  </w:r>
                </w:p>
              </w:tc>
              <w:tc>
                <w:tcPr>
                  <w:tcW w:w="241" w:type="pct"/>
                  <w:tcBorders>
                    <w:top w:val="single" w:color="000000" w:sz="4" w:space="0"/>
                    <w:bottom w:val="single" w:color="auto" w:sz="2" w:space="0"/>
                  </w:tcBorders>
                  <w:noWrap/>
                  <w:vAlign w:val="center"/>
                </w:tcPr>
                <w:p>
                  <w:pPr>
                    <w:widowControl/>
                    <w:jc w:val="center"/>
                    <w:textAlignment w:val="center"/>
                    <w:rPr>
                      <w:color w:val="000000"/>
                    </w:rPr>
                  </w:pPr>
                  <w:r>
                    <w:rPr>
                      <w:rFonts w:hint="eastAsia"/>
                      <w:color w:val="000000"/>
                    </w:rPr>
                    <w:t>1</w:t>
                  </w:r>
                </w:p>
              </w:tc>
              <w:tc>
                <w:tcPr>
                  <w:tcW w:w="460" w:type="pct"/>
                  <w:tcBorders>
                    <w:top w:val="single" w:color="000000" w:sz="4" w:space="0"/>
                    <w:bottom w:val="single" w:color="auto" w:sz="2" w:space="0"/>
                  </w:tcBorders>
                  <w:noWrap/>
                  <w:vAlign w:val="center"/>
                </w:tcPr>
                <w:p>
                  <w:pPr>
                    <w:widowControl/>
                    <w:jc w:val="center"/>
                    <w:textAlignment w:val="center"/>
                    <w:rPr>
                      <w:color w:val="000000"/>
                    </w:rPr>
                  </w:pPr>
                  <w:r>
                    <w:rPr>
                      <w:rFonts w:hint="eastAsia"/>
                      <w:color w:val="000000"/>
                    </w:rPr>
                    <w:t>10</w:t>
                  </w:r>
                </w:p>
              </w:tc>
              <w:tc>
                <w:tcPr>
                  <w:tcW w:w="315" w:type="pct"/>
                  <w:tcBorders>
                    <w:top w:val="single" w:color="000000" w:sz="4" w:space="0"/>
                    <w:bottom w:val="single" w:color="auto" w:sz="2" w:space="0"/>
                  </w:tcBorders>
                  <w:noWrap/>
                  <w:vAlign w:val="center"/>
                </w:tcPr>
                <w:p>
                  <w:pPr>
                    <w:widowControl/>
                    <w:jc w:val="center"/>
                    <w:textAlignment w:val="center"/>
                    <w:rPr>
                      <w:color w:val="000000"/>
                      <w:kern w:val="0"/>
                    </w:rPr>
                  </w:pPr>
                  <w:r>
                    <w:rPr>
                      <w:color w:val="000000"/>
                      <w:kern w:val="0"/>
                    </w:rPr>
                    <w:t>昼间</w:t>
                  </w:r>
                </w:p>
              </w:tc>
              <w:tc>
                <w:tcPr>
                  <w:tcW w:w="575" w:type="pct"/>
                  <w:tcBorders>
                    <w:top w:val="single" w:color="000000" w:sz="4" w:space="0"/>
                    <w:bottom w:val="single" w:color="auto" w:sz="2" w:space="0"/>
                  </w:tcBorders>
                  <w:noWrap/>
                  <w:vAlign w:val="center"/>
                </w:tcPr>
                <w:p>
                  <w:pPr>
                    <w:widowControl/>
                    <w:jc w:val="center"/>
                    <w:textAlignment w:val="center"/>
                    <w:rPr>
                      <w:color w:val="000000"/>
                    </w:rPr>
                  </w:pPr>
                  <w:r>
                    <w:rPr>
                      <w:rFonts w:hint="eastAsia"/>
                      <w:color w:val="000000"/>
                    </w:rPr>
                    <w:t>15</w:t>
                  </w:r>
                </w:p>
              </w:tc>
              <w:tc>
                <w:tcPr>
                  <w:tcW w:w="315" w:type="pct"/>
                  <w:noWrap/>
                  <w:vAlign w:val="center"/>
                </w:tcPr>
                <w:p>
                  <w:pPr>
                    <w:widowControl/>
                    <w:jc w:val="center"/>
                    <w:textAlignment w:val="center"/>
                    <w:rPr>
                      <w:color w:val="000000"/>
                    </w:rPr>
                  </w:pPr>
                  <w:r>
                    <w:rPr>
                      <w:rFonts w:hint="eastAsia"/>
                      <w:color w:val="000000"/>
                    </w:rPr>
                    <w:t>65</w:t>
                  </w:r>
                </w:p>
              </w:tc>
              <w:tc>
                <w:tcPr>
                  <w:tcW w:w="405" w:type="pct"/>
                  <w:noWrap/>
                  <w:vAlign w:val="center"/>
                </w:tcPr>
                <w:p>
                  <w:pPr>
                    <w:jc w:val="center"/>
                  </w:pPr>
                  <w:r>
                    <w:rPr>
                      <w:rFonts w:hint="eastAsia"/>
                      <w:color w:val="000000"/>
                    </w:rPr>
                    <w:t>1</w:t>
                  </w:r>
                </w:p>
              </w:tc>
            </w:tr>
            <w:tr>
              <w:tblPrEx>
                <w:tblBorders>
                  <w:top w:val="single" w:color="auto" w:sz="12" w:space="0"/>
                  <w:left w:val="none" w:color="auto" w:sz="0" w:space="0"/>
                  <w:bottom w:val="single" w:color="auto" w:sz="12" w:space="0"/>
                  <w:right w:val="none" w:color="auto" w:sz="0" w:space="0"/>
                  <w:insideH w:val="single" w:color="auto" w:sz="2" w:space="0"/>
                  <w:insideV w:val="single" w:color="000000" w:sz="4" w:space="0"/>
                </w:tblBorders>
                <w:tblCellMar>
                  <w:top w:w="0" w:type="dxa"/>
                  <w:left w:w="108" w:type="dxa"/>
                  <w:bottom w:w="0" w:type="dxa"/>
                  <w:right w:w="108" w:type="dxa"/>
                </w:tblCellMar>
              </w:tblPrEx>
              <w:trPr>
                <w:trHeight w:val="454" w:hRule="atLeast"/>
                <w:jc w:val="center"/>
              </w:trPr>
              <w:tc>
                <w:tcPr>
                  <w:tcW w:w="207" w:type="pct"/>
                  <w:vMerge w:val="continue"/>
                  <w:tcBorders>
                    <w:top w:val="single" w:color="auto" w:sz="2" w:space="0"/>
                  </w:tcBorders>
                  <w:noWrap/>
                  <w:vAlign w:val="center"/>
                </w:tcPr>
                <w:p>
                  <w:pPr>
                    <w:jc w:val="center"/>
                    <w:rPr>
                      <w:color w:val="000000"/>
                    </w:rPr>
                  </w:pPr>
                </w:p>
              </w:tc>
              <w:tc>
                <w:tcPr>
                  <w:tcW w:w="310" w:type="pct"/>
                  <w:vMerge w:val="continue"/>
                  <w:tcBorders>
                    <w:top w:val="single" w:color="auto" w:sz="2" w:space="0"/>
                  </w:tcBorders>
                  <w:noWrap/>
                  <w:vAlign w:val="center"/>
                </w:tcPr>
                <w:p>
                  <w:pPr>
                    <w:jc w:val="center"/>
                    <w:rPr>
                      <w:color w:val="000000"/>
                    </w:rPr>
                  </w:pPr>
                </w:p>
              </w:tc>
              <w:tc>
                <w:tcPr>
                  <w:tcW w:w="518" w:type="pct"/>
                  <w:tcBorders>
                    <w:top w:val="single" w:color="auto" w:sz="2" w:space="0"/>
                  </w:tcBorders>
                  <w:vAlign w:val="center"/>
                </w:tcPr>
                <w:p>
                  <w:pPr>
                    <w:pStyle w:val="6"/>
                    <w:ind w:firstLine="0"/>
                    <w:jc w:val="center"/>
                    <w:rPr>
                      <w:color w:val="000000"/>
                    </w:rPr>
                  </w:pPr>
                  <w:r>
                    <w:rPr>
                      <w:rFonts w:hint="eastAsia"/>
                      <w:color w:val="000000"/>
                    </w:rPr>
                    <w:t>滚筒干燥机</w:t>
                  </w:r>
                </w:p>
              </w:tc>
              <w:tc>
                <w:tcPr>
                  <w:tcW w:w="285" w:type="pct"/>
                  <w:tcBorders>
                    <w:top w:val="single" w:color="auto" w:sz="2" w:space="0"/>
                  </w:tcBorders>
                  <w:vAlign w:val="center"/>
                </w:tcPr>
                <w:p>
                  <w:pPr>
                    <w:pStyle w:val="6"/>
                    <w:ind w:firstLine="0"/>
                    <w:jc w:val="center"/>
                    <w:rPr>
                      <w:color w:val="000000"/>
                    </w:rPr>
                  </w:pPr>
                  <w:r>
                    <w:rPr>
                      <w:rFonts w:hint="eastAsia"/>
                      <w:color w:val="000000"/>
                    </w:rPr>
                    <w:t>80</w:t>
                  </w:r>
                </w:p>
              </w:tc>
              <w:tc>
                <w:tcPr>
                  <w:tcW w:w="615" w:type="pct"/>
                  <w:tcBorders>
                    <w:top w:val="single" w:color="auto" w:sz="2" w:space="0"/>
                  </w:tcBorders>
                  <w:vAlign w:val="center"/>
                </w:tcPr>
                <w:p>
                  <w:pPr>
                    <w:widowControl/>
                    <w:jc w:val="center"/>
                    <w:textAlignment w:val="center"/>
                    <w:rPr>
                      <w:color w:val="000000"/>
                    </w:rPr>
                  </w:pPr>
                  <w:r>
                    <w:rPr>
                      <w:color w:val="000000"/>
                      <w:kern w:val="0"/>
                    </w:rPr>
                    <w:t>减振、隔声</w:t>
                  </w:r>
                </w:p>
              </w:tc>
              <w:tc>
                <w:tcPr>
                  <w:tcW w:w="388" w:type="pct"/>
                  <w:tcBorders>
                    <w:top w:val="single" w:color="auto" w:sz="2" w:space="0"/>
                  </w:tcBorders>
                  <w:noWrap/>
                  <w:vAlign w:val="center"/>
                </w:tcPr>
                <w:p>
                  <w:pPr>
                    <w:widowControl/>
                    <w:jc w:val="center"/>
                    <w:textAlignment w:val="center"/>
                    <w:rPr>
                      <w:color w:val="000000"/>
                    </w:rPr>
                  </w:pPr>
                  <w:r>
                    <w:rPr>
                      <w:rFonts w:hint="eastAsia"/>
                      <w:color w:val="000000"/>
                    </w:rPr>
                    <w:t>15</w:t>
                  </w:r>
                </w:p>
              </w:tc>
              <w:tc>
                <w:tcPr>
                  <w:tcW w:w="366" w:type="pct"/>
                  <w:tcBorders>
                    <w:top w:val="single" w:color="auto" w:sz="2" w:space="0"/>
                  </w:tcBorders>
                  <w:noWrap/>
                  <w:vAlign w:val="center"/>
                </w:tcPr>
                <w:p>
                  <w:pPr>
                    <w:widowControl/>
                    <w:jc w:val="center"/>
                    <w:textAlignment w:val="center"/>
                    <w:rPr>
                      <w:color w:val="000000"/>
                    </w:rPr>
                  </w:pPr>
                  <w:r>
                    <w:rPr>
                      <w:rFonts w:hint="eastAsia"/>
                      <w:color w:val="000000"/>
                    </w:rPr>
                    <w:t>50</w:t>
                  </w:r>
                </w:p>
              </w:tc>
              <w:tc>
                <w:tcPr>
                  <w:tcW w:w="241" w:type="pct"/>
                  <w:tcBorders>
                    <w:top w:val="single" w:color="auto" w:sz="2" w:space="0"/>
                  </w:tcBorders>
                  <w:noWrap/>
                  <w:vAlign w:val="center"/>
                </w:tcPr>
                <w:p>
                  <w:pPr>
                    <w:widowControl/>
                    <w:jc w:val="center"/>
                    <w:textAlignment w:val="center"/>
                    <w:rPr>
                      <w:color w:val="000000"/>
                    </w:rPr>
                  </w:pPr>
                  <w:r>
                    <w:rPr>
                      <w:rFonts w:hint="eastAsia"/>
                      <w:color w:val="000000"/>
                    </w:rPr>
                    <w:t>1</w:t>
                  </w:r>
                </w:p>
              </w:tc>
              <w:tc>
                <w:tcPr>
                  <w:tcW w:w="460" w:type="pct"/>
                  <w:tcBorders>
                    <w:top w:val="single" w:color="auto" w:sz="2" w:space="0"/>
                  </w:tcBorders>
                  <w:noWrap/>
                  <w:vAlign w:val="center"/>
                </w:tcPr>
                <w:p>
                  <w:pPr>
                    <w:widowControl/>
                    <w:jc w:val="center"/>
                    <w:textAlignment w:val="center"/>
                    <w:rPr>
                      <w:color w:val="000000"/>
                    </w:rPr>
                  </w:pPr>
                  <w:r>
                    <w:rPr>
                      <w:rFonts w:hint="eastAsia"/>
                      <w:color w:val="000000"/>
                    </w:rPr>
                    <w:t>10</w:t>
                  </w:r>
                </w:p>
              </w:tc>
              <w:tc>
                <w:tcPr>
                  <w:tcW w:w="315" w:type="pct"/>
                  <w:tcBorders>
                    <w:top w:val="single" w:color="auto" w:sz="2" w:space="0"/>
                  </w:tcBorders>
                  <w:noWrap/>
                  <w:vAlign w:val="center"/>
                </w:tcPr>
                <w:p>
                  <w:pPr>
                    <w:widowControl/>
                    <w:jc w:val="center"/>
                    <w:textAlignment w:val="center"/>
                    <w:rPr>
                      <w:color w:val="000000"/>
                      <w:kern w:val="0"/>
                    </w:rPr>
                  </w:pPr>
                  <w:r>
                    <w:rPr>
                      <w:color w:val="000000"/>
                      <w:kern w:val="0"/>
                    </w:rPr>
                    <w:t>昼间</w:t>
                  </w:r>
                </w:p>
              </w:tc>
              <w:tc>
                <w:tcPr>
                  <w:tcW w:w="575" w:type="pct"/>
                  <w:tcBorders>
                    <w:top w:val="single" w:color="auto" w:sz="2" w:space="0"/>
                  </w:tcBorders>
                  <w:noWrap/>
                  <w:vAlign w:val="center"/>
                </w:tcPr>
                <w:p>
                  <w:pPr>
                    <w:widowControl/>
                    <w:jc w:val="center"/>
                    <w:textAlignment w:val="center"/>
                    <w:rPr>
                      <w:color w:val="000000"/>
                    </w:rPr>
                  </w:pPr>
                  <w:r>
                    <w:rPr>
                      <w:rFonts w:hint="eastAsia"/>
                      <w:color w:val="000000"/>
                    </w:rPr>
                    <w:t>15</w:t>
                  </w:r>
                </w:p>
              </w:tc>
              <w:tc>
                <w:tcPr>
                  <w:tcW w:w="315" w:type="pct"/>
                  <w:noWrap/>
                  <w:vAlign w:val="center"/>
                </w:tcPr>
                <w:p>
                  <w:pPr>
                    <w:widowControl/>
                    <w:jc w:val="center"/>
                    <w:textAlignment w:val="center"/>
                    <w:rPr>
                      <w:color w:val="000000"/>
                    </w:rPr>
                  </w:pPr>
                  <w:r>
                    <w:rPr>
                      <w:rFonts w:hint="eastAsia"/>
                      <w:color w:val="000000"/>
                    </w:rPr>
                    <w:t>65</w:t>
                  </w:r>
                </w:p>
              </w:tc>
              <w:tc>
                <w:tcPr>
                  <w:tcW w:w="405" w:type="pct"/>
                  <w:noWrap/>
                  <w:vAlign w:val="center"/>
                </w:tcPr>
                <w:p>
                  <w:pPr>
                    <w:jc w:val="center"/>
                  </w:pPr>
                  <w:r>
                    <w:rPr>
                      <w:rFonts w:hint="eastAsia"/>
                      <w:color w:val="000000"/>
                    </w:rPr>
                    <w:t>1</w:t>
                  </w:r>
                </w:p>
              </w:tc>
            </w:tr>
          </w:tbl>
          <w:p>
            <w:pPr>
              <w:autoSpaceDE w:val="0"/>
              <w:autoSpaceDN w:val="0"/>
              <w:spacing w:line="360" w:lineRule="auto"/>
              <w:jc w:val="center"/>
              <w:rPr>
                <w:b/>
                <w:bCs/>
                <w:color w:val="000000"/>
                <w:kern w:val="0"/>
                <w:sz w:val="24"/>
              </w:rPr>
            </w:pPr>
            <w:r>
              <w:rPr>
                <w:rFonts w:hint="eastAsia"/>
                <w:b/>
                <w:bCs/>
                <w:color w:val="000000"/>
                <w:kern w:val="0"/>
                <w:sz w:val="24"/>
              </w:rPr>
              <w:t>表4-5  噪声源强调查清单（室外）         单位：dB（A）</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2813"/>
              <w:gridCol w:w="1224"/>
              <w:gridCol w:w="1294"/>
              <w:gridCol w:w="793"/>
              <w:gridCol w:w="1198"/>
              <w:gridCol w:w="2028"/>
              <w:gridCol w:w="2117"/>
              <w:gridCol w:w="9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49" w:type="pct"/>
                  <w:vMerge w:val="restart"/>
                  <w:vAlign w:val="center"/>
                </w:tcPr>
                <w:p>
                  <w:pPr>
                    <w:widowControl/>
                    <w:jc w:val="center"/>
                    <w:rPr>
                      <w:sz w:val="18"/>
                      <w:szCs w:val="18"/>
                    </w:rPr>
                  </w:pPr>
                  <w:r>
                    <w:rPr>
                      <w:sz w:val="18"/>
                      <w:szCs w:val="18"/>
                    </w:rPr>
                    <w:t>序号</w:t>
                  </w:r>
                </w:p>
              </w:tc>
              <w:tc>
                <w:tcPr>
                  <w:tcW w:w="1078" w:type="pct"/>
                  <w:vMerge w:val="restart"/>
                  <w:vAlign w:val="center"/>
                </w:tcPr>
                <w:p>
                  <w:pPr>
                    <w:widowControl/>
                    <w:jc w:val="center"/>
                    <w:rPr>
                      <w:sz w:val="18"/>
                      <w:szCs w:val="18"/>
                    </w:rPr>
                  </w:pPr>
                  <w:r>
                    <w:rPr>
                      <w:sz w:val="18"/>
                      <w:szCs w:val="18"/>
                    </w:rPr>
                    <w:t>声源名称</w:t>
                  </w:r>
                </w:p>
              </w:tc>
              <w:tc>
                <w:tcPr>
                  <w:tcW w:w="469" w:type="pct"/>
                  <w:vMerge w:val="restart"/>
                  <w:vAlign w:val="center"/>
                </w:tcPr>
                <w:p>
                  <w:pPr>
                    <w:widowControl/>
                    <w:jc w:val="center"/>
                    <w:rPr>
                      <w:sz w:val="18"/>
                      <w:szCs w:val="18"/>
                    </w:rPr>
                  </w:pPr>
                  <w:r>
                    <w:rPr>
                      <w:sz w:val="18"/>
                      <w:szCs w:val="18"/>
                    </w:rPr>
                    <w:t>型号</w:t>
                  </w:r>
                </w:p>
              </w:tc>
              <w:tc>
                <w:tcPr>
                  <w:tcW w:w="1259" w:type="pct"/>
                  <w:gridSpan w:val="3"/>
                  <w:vAlign w:val="center"/>
                </w:tcPr>
                <w:p>
                  <w:pPr>
                    <w:widowControl/>
                    <w:jc w:val="center"/>
                    <w:rPr>
                      <w:sz w:val="18"/>
                      <w:szCs w:val="18"/>
                    </w:rPr>
                  </w:pPr>
                  <w:r>
                    <w:rPr>
                      <w:sz w:val="18"/>
                      <w:szCs w:val="18"/>
                    </w:rPr>
                    <w:t>空间相对位置</w:t>
                  </w:r>
                </w:p>
              </w:tc>
              <w:tc>
                <w:tcPr>
                  <w:tcW w:w="777" w:type="pct"/>
                  <w:vAlign w:val="center"/>
                </w:tcPr>
                <w:p>
                  <w:pPr>
                    <w:widowControl/>
                    <w:jc w:val="center"/>
                    <w:rPr>
                      <w:sz w:val="18"/>
                      <w:szCs w:val="18"/>
                    </w:rPr>
                  </w:pPr>
                  <w:r>
                    <w:rPr>
                      <w:sz w:val="18"/>
                      <w:szCs w:val="18"/>
                    </w:rPr>
                    <w:t>声源源强</w:t>
                  </w:r>
                </w:p>
              </w:tc>
              <w:tc>
                <w:tcPr>
                  <w:tcW w:w="811" w:type="pct"/>
                  <w:vMerge w:val="restart"/>
                  <w:vAlign w:val="center"/>
                </w:tcPr>
                <w:p>
                  <w:pPr>
                    <w:widowControl/>
                    <w:jc w:val="center"/>
                    <w:rPr>
                      <w:sz w:val="18"/>
                      <w:szCs w:val="18"/>
                    </w:rPr>
                  </w:pPr>
                  <w:r>
                    <w:rPr>
                      <w:sz w:val="18"/>
                      <w:szCs w:val="18"/>
                    </w:rPr>
                    <w:t>声源控制措施</w:t>
                  </w:r>
                </w:p>
              </w:tc>
              <w:tc>
                <w:tcPr>
                  <w:tcW w:w="357" w:type="pct"/>
                  <w:vMerge w:val="restart"/>
                  <w:vAlign w:val="center"/>
                </w:tcPr>
                <w:p>
                  <w:pPr>
                    <w:widowControl/>
                    <w:jc w:val="center"/>
                    <w:rPr>
                      <w:sz w:val="18"/>
                      <w:szCs w:val="18"/>
                    </w:rPr>
                  </w:pPr>
                  <w:r>
                    <w:rPr>
                      <w:sz w:val="18"/>
                      <w:szCs w:val="18"/>
                    </w:rPr>
                    <w:t>运行时段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49" w:type="pct"/>
                  <w:vMerge w:val="continue"/>
                  <w:vAlign w:val="center"/>
                </w:tcPr>
                <w:p>
                  <w:pPr>
                    <w:widowControl/>
                    <w:jc w:val="center"/>
                    <w:rPr>
                      <w:sz w:val="18"/>
                      <w:szCs w:val="18"/>
                    </w:rPr>
                  </w:pPr>
                </w:p>
              </w:tc>
              <w:tc>
                <w:tcPr>
                  <w:tcW w:w="1078" w:type="pct"/>
                  <w:vMerge w:val="continue"/>
                  <w:vAlign w:val="center"/>
                </w:tcPr>
                <w:p>
                  <w:pPr>
                    <w:widowControl/>
                    <w:jc w:val="center"/>
                    <w:rPr>
                      <w:sz w:val="18"/>
                      <w:szCs w:val="18"/>
                    </w:rPr>
                  </w:pPr>
                </w:p>
              </w:tc>
              <w:tc>
                <w:tcPr>
                  <w:tcW w:w="469" w:type="pct"/>
                  <w:vMerge w:val="continue"/>
                  <w:vAlign w:val="center"/>
                </w:tcPr>
                <w:p>
                  <w:pPr>
                    <w:widowControl/>
                    <w:jc w:val="center"/>
                    <w:rPr>
                      <w:sz w:val="18"/>
                      <w:szCs w:val="18"/>
                    </w:rPr>
                  </w:pPr>
                </w:p>
              </w:tc>
              <w:tc>
                <w:tcPr>
                  <w:tcW w:w="496" w:type="pct"/>
                  <w:vAlign w:val="center"/>
                </w:tcPr>
                <w:p>
                  <w:pPr>
                    <w:widowControl/>
                    <w:jc w:val="center"/>
                    <w:rPr>
                      <w:sz w:val="18"/>
                      <w:szCs w:val="18"/>
                    </w:rPr>
                  </w:pPr>
                  <w:r>
                    <w:rPr>
                      <w:sz w:val="18"/>
                      <w:szCs w:val="18"/>
                    </w:rPr>
                    <w:t>X</w:t>
                  </w:r>
                </w:p>
              </w:tc>
              <w:tc>
                <w:tcPr>
                  <w:tcW w:w="304" w:type="pct"/>
                  <w:vAlign w:val="center"/>
                </w:tcPr>
                <w:p>
                  <w:pPr>
                    <w:widowControl/>
                    <w:jc w:val="center"/>
                    <w:rPr>
                      <w:sz w:val="18"/>
                      <w:szCs w:val="18"/>
                    </w:rPr>
                  </w:pPr>
                  <w:r>
                    <w:rPr>
                      <w:sz w:val="18"/>
                      <w:szCs w:val="18"/>
                    </w:rPr>
                    <w:t>Y</w:t>
                  </w:r>
                </w:p>
              </w:tc>
              <w:tc>
                <w:tcPr>
                  <w:tcW w:w="459" w:type="pct"/>
                  <w:vAlign w:val="center"/>
                </w:tcPr>
                <w:p>
                  <w:pPr>
                    <w:widowControl/>
                    <w:jc w:val="center"/>
                    <w:rPr>
                      <w:sz w:val="18"/>
                      <w:szCs w:val="18"/>
                    </w:rPr>
                  </w:pPr>
                  <w:r>
                    <w:rPr>
                      <w:sz w:val="18"/>
                      <w:szCs w:val="18"/>
                    </w:rPr>
                    <w:t>Z</w:t>
                  </w:r>
                </w:p>
              </w:tc>
              <w:tc>
                <w:tcPr>
                  <w:tcW w:w="777" w:type="pct"/>
                  <w:vAlign w:val="center"/>
                </w:tcPr>
                <w:p>
                  <w:pPr>
                    <w:widowControl/>
                    <w:jc w:val="center"/>
                    <w:rPr>
                      <w:sz w:val="18"/>
                      <w:szCs w:val="18"/>
                    </w:rPr>
                  </w:pPr>
                  <w:r>
                    <w:rPr>
                      <w:sz w:val="18"/>
                      <w:szCs w:val="18"/>
                    </w:rPr>
                    <w:t>声压级/距声源距离dB(A)/m</w:t>
                  </w:r>
                </w:p>
              </w:tc>
              <w:tc>
                <w:tcPr>
                  <w:tcW w:w="811" w:type="pct"/>
                  <w:vMerge w:val="continue"/>
                  <w:vAlign w:val="center"/>
                </w:tcPr>
                <w:p>
                  <w:pPr>
                    <w:widowControl/>
                    <w:jc w:val="center"/>
                    <w:rPr>
                      <w:sz w:val="18"/>
                      <w:szCs w:val="18"/>
                    </w:rPr>
                  </w:pPr>
                </w:p>
              </w:tc>
              <w:tc>
                <w:tcPr>
                  <w:tcW w:w="357" w:type="pct"/>
                  <w:vMerge w:val="continue"/>
                  <w:vAlign w:val="center"/>
                </w:tcPr>
                <w:p>
                  <w:pPr>
                    <w:widowControl/>
                    <w:jc w:val="center"/>
                    <w:rPr>
                      <w:sz w:val="18"/>
                      <w:szCs w:val="18"/>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49" w:type="pct"/>
                  <w:vAlign w:val="center"/>
                </w:tcPr>
                <w:p>
                  <w:pPr>
                    <w:widowControl/>
                    <w:jc w:val="center"/>
                    <w:rPr>
                      <w:sz w:val="18"/>
                      <w:szCs w:val="18"/>
                    </w:rPr>
                  </w:pPr>
                  <w:r>
                    <w:rPr>
                      <w:sz w:val="18"/>
                      <w:szCs w:val="18"/>
                    </w:rPr>
                    <w:t>1</w:t>
                  </w:r>
                </w:p>
              </w:tc>
              <w:tc>
                <w:tcPr>
                  <w:tcW w:w="1078" w:type="pct"/>
                  <w:vAlign w:val="center"/>
                </w:tcPr>
                <w:p>
                  <w:pPr>
                    <w:widowControl/>
                    <w:jc w:val="center"/>
                    <w:rPr>
                      <w:sz w:val="18"/>
                      <w:szCs w:val="18"/>
                    </w:rPr>
                  </w:pPr>
                  <w:r>
                    <w:rPr>
                      <w:rFonts w:hint="eastAsia"/>
                      <w:sz w:val="18"/>
                      <w:szCs w:val="18"/>
                    </w:rPr>
                    <w:t>废气处理装置风机</w:t>
                  </w:r>
                </w:p>
              </w:tc>
              <w:tc>
                <w:tcPr>
                  <w:tcW w:w="469" w:type="pct"/>
                  <w:vAlign w:val="center"/>
                </w:tcPr>
                <w:p>
                  <w:pPr>
                    <w:widowControl/>
                    <w:jc w:val="center"/>
                    <w:rPr>
                      <w:sz w:val="18"/>
                      <w:szCs w:val="18"/>
                    </w:rPr>
                  </w:pPr>
                  <w:r>
                    <w:rPr>
                      <w:bCs/>
                      <w:sz w:val="18"/>
                      <w:szCs w:val="18"/>
                    </w:rPr>
                    <w:t>/</w:t>
                  </w:r>
                </w:p>
              </w:tc>
              <w:tc>
                <w:tcPr>
                  <w:tcW w:w="496" w:type="pct"/>
                  <w:vAlign w:val="center"/>
                </w:tcPr>
                <w:p>
                  <w:pPr>
                    <w:widowControl/>
                    <w:jc w:val="center"/>
                    <w:textAlignment w:val="center"/>
                    <w:rPr>
                      <w:color w:val="000000"/>
                    </w:rPr>
                  </w:pPr>
                  <w:r>
                    <w:rPr>
                      <w:rFonts w:hint="eastAsia"/>
                      <w:color w:val="000000"/>
                    </w:rPr>
                    <w:t>30</w:t>
                  </w:r>
                </w:p>
              </w:tc>
              <w:tc>
                <w:tcPr>
                  <w:tcW w:w="304" w:type="pct"/>
                  <w:vAlign w:val="center"/>
                </w:tcPr>
                <w:p>
                  <w:pPr>
                    <w:widowControl/>
                    <w:jc w:val="center"/>
                    <w:textAlignment w:val="center"/>
                    <w:rPr>
                      <w:color w:val="000000"/>
                    </w:rPr>
                  </w:pPr>
                  <w:r>
                    <w:rPr>
                      <w:rFonts w:hint="eastAsia"/>
                      <w:color w:val="000000"/>
                    </w:rPr>
                    <w:t>10</w:t>
                  </w:r>
                </w:p>
              </w:tc>
              <w:tc>
                <w:tcPr>
                  <w:tcW w:w="459" w:type="pct"/>
                  <w:vAlign w:val="center"/>
                </w:tcPr>
                <w:p>
                  <w:pPr>
                    <w:widowControl/>
                    <w:jc w:val="center"/>
                    <w:textAlignment w:val="center"/>
                    <w:rPr>
                      <w:color w:val="000000"/>
                    </w:rPr>
                  </w:pPr>
                  <w:r>
                    <w:rPr>
                      <w:rFonts w:hint="eastAsia"/>
                      <w:color w:val="000000"/>
                    </w:rPr>
                    <w:t>1</w:t>
                  </w:r>
                </w:p>
              </w:tc>
              <w:tc>
                <w:tcPr>
                  <w:tcW w:w="777" w:type="pct"/>
                  <w:vAlign w:val="center"/>
                </w:tcPr>
                <w:p>
                  <w:pPr>
                    <w:widowControl/>
                    <w:jc w:val="center"/>
                    <w:rPr>
                      <w:sz w:val="18"/>
                      <w:szCs w:val="18"/>
                    </w:rPr>
                  </w:pPr>
                  <w:r>
                    <w:rPr>
                      <w:rFonts w:hint="eastAsia"/>
                      <w:sz w:val="18"/>
                      <w:szCs w:val="18"/>
                    </w:rPr>
                    <w:t>8</w:t>
                  </w:r>
                  <w:r>
                    <w:rPr>
                      <w:sz w:val="18"/>
                      <w:szCs w:val="18"/>
                    </w:rPr>
                    <w:t>0/1</w:t>
                  </w:r>
                </w:p>
              </w:tc>
              <w:tc>
                <w:tcPr>
                  <w:tcW w:w="811" w:type="pct"/>
                  <w:vAlign w:val="center"/>
                </w:tcPr>
                <w:p>
                  <w:pPr>
                    <w:widowControl/>
                    <w:jc w:val="center"/>
                    <w:rPr>
                      <w:sz w:val="18"/>
                      <w:szCs w:val="18"/>
                    </w:rPr>
                  </w:pPr>
                  <w:r>
                    <w:rPr>
                      <w:sz w:val="18"/>
                      <w:szCs w:val="18"/>
                    </w:rPr>
                    <w:t>采用低噪声设备，基础减震</w:t>
                  </w:r>
                </w:p>
              </w:tc>
              <w:tc>
                <w:tcPr>
                  <w:tcW w:w="357" w:type="pct"/>
                  <w:vAlign w:val="center"/>
                </w:tcPr>
                <w:p>
                  <w:pPr>
                    <w:widowControl/>
                    <w:jc w:val="center"/>
                    <w:rPr>
                      <w:sz w:val="18"/>
                      <w:szCs w:val="18"/>
                    </w:rPr>
                  </w:pPr>
                  <w:r>
                    <w:rPr>
                      <w:color w:val="000000"/>
                      <w:kern w:val="0"/>
                    </w:rPr>
                    <w:t>昼间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49" w:type="pct"/>
                  <w:vAlign w:val="center"/>
                </w:tcPr>
                <w:p>
                  <w:pPr>
                    <w:widowControl/>
                    <w:jc w:val="center"/>
                    <w:rPr>
                      <w:sz w:val="18"/>
                      <w:szCs w:val="18"/>
                    </w:rPr>
                  </w:pPr>
                  <w:r>
                    <w:rPr>
                      <w:rFonts w:hint="eastAsia"/>
                      <w:sz w:val="18"/>
                      <w:szCs w:val="18"/>
                    </w:rPr>
                    <w:t>2</w:t>
                  </w:r>
                </w:p>
              </w:tc>
              <w:tc>
                <w:tcPr>
                  <w:tcW w:w="1078" w:type="pct"/>
                  <w:vAlign w:val="center"/>
                </w:tcPr>
                <w:p>
                  <w:pPr>
                    <w:widowControl/>
                    <w:jc w:val="center"/>
                    <w:rPr>
                      <w:sz w:val="18"/>
                      <w:szCs w:val="18"/>
                    </w:rPr>
                  </w:pPr>
                  <w:r>
                    <w:rPr>
                      <w:rFonts w:hint="eastAsia"/>
                      <w:sz w:val="18"/>
                      <w:szCs w:val="18"/>
                    </w:rPr>
                    <w:t>废气处理装置风机</w:t>
                  </w:r>
                </w:p>
              </w:tc>
              <w:tc>
                <w:tcPr>
                  <w:tcW w:w="469" w:type="pct"/>
                  <w:vAlign w:val="center"/>
                </w:tcPr>
                <w:p>
                  <w:pPr>
                    <w:widowControl/>
                    <w:jc w:val="center"/>
                    <w:rPr>
                      <w:bCs/>
                      <w:sz w:val="18"/>
                      <w:szCs w:val="18"/>
                    </w:rPr>
                  </w:pPr>
                  <w:r>
                    <w:rPr>
                      <w:rFonts w:hint="eastAsia"/>
                      <w:bCs/>
                      <w:sz w:val="18"/>
                      <w:szCs w:val="18"/>
                    </w:rPr>
                    <w:t>/</w:t>
                  </w:r>
                </w:p>
              </w:tc>
              <w:tc>
                <w:tcPr>
                  <w:tcW w:w="496" w:type="pct"/>
                  <w:vAlign w:val="center"/>
                </w:tcPr>
                <w:p>
                  <w:pPr>
                    <w:widowControl/>
                    <w:jc w:val="center"/>
                    <w:textAlignment w:val="center"/>
                    <w:rPr>
                      <w:color w:val="000000"/>
                    </w:rPr>
                  </w:pPr>
                  <w:r>
                    <w:rPr>
                      <w:rFonts w:hint="eastAsia"/>
                      <w:color w:val="000000"/>
                    </w:rPr>
                    <w:t>30</w:t>
                  </w:r>
                </w:p>
              </w:tc>
              <w:tc>
                <w:tcPr>
                  <w:tcW w:w="304" w:type="pct"/>
                  <w:vAlign w:val="center"/>
                </w:tcPr>
                <w:p>
                  <w:pPr>
                    <w:widowControl/>
                    <w:jc w:val="center"/>
                    <w:textAlignment w:val="center"/>
                    <w:rPr>
                      <w:color w:val="000000"/>
                    </w:rPr>
                  </w:pPr>
                  <w:r>
                    <w:rPr>
                      <w:rFonts w:hint="eastAsia"/>
                      <w:color w:val="000000"/>
                    </w:rPr>
                    <w:t>20</w:t>
                  </w:r>
                </w:p>
              </w:tc>
              <w:tc>
                <w:tcPr>
                  <w:tcW w:w="459" w:type="pct"/>
                  <w:vAlign w:val="center"/>
                </w:tcPr>
                <w:p>
                  <w:pPr>
                    <w:widowControl/>
                    <w:jc w:val="center"/>
                    <w:textAlignment w:val="center"/>
                    <w:rPr>
                      <w:color w:val="000000"/>
                    </w:rPr>
                  </w:pPr>
                  <w:r>
                    <w:rPr>
                      <w:rFonts w:hint="eastAsia"/>
                      <w:color w:val="000000"/>
                    </w:rPr>
                    <w:t>1</w:t>
                  </w:r>
                </w:p>
              </w:tc>
              <w:tc>
                <w:tcPr>
                  <w:tcW w:w="777" w:type="pct"/>
                  <w:vAlign w:val="center"/>
                </w:tcPr>
                <w:p>
                  <w:pPr>
                    <w:widowControl/>
                    <w:jc w:val="center"/>
                    <w:rPr>
                      <w:sz w:val="18"/>
                      <w:szCs w:val="18"/>
                    </w:rPr>
                  </w:pPr>
                  <w:r>
                    <w:rPr>
                      <w:rFonts w:hint="eastAsia"/>
                      <w:sz w:val="18"/>
                      <w:szCs w:val="18"/>
                    </w:rPr>
                    <w:t>80</w:t>
                  </w:r>
                  <w:r>
                    <w:rPr>
                      <w:sz w:val="18"/>
                      <w:szCs w:val="18"/>
                    </w:rPr>
                    <w:t>/1</w:t>
                  </w:r>
                </w:p>
              </w:tc>
              <w:tc>
                <w:tcPr>
                  <w:tcW w:w="811" w:type="pct"/>
                  <w:vAlign w:val="center"/>
                </w:tcPr>
                <w:p>
                  <w:pPr>
                    <w:widowControl/>
                    <w:jc w:val="center"/>
                    <w:rPr>
                      <w:sz w:val="18"/>
                      <w:szCs w:val="18"/>
                    </w:rPr>
                  </w:pPr>
                  <w:r>
                    <w:rPr>
                      <w:sz w:val="18"/>
                      <w:szCs w:val="18"/>
                    </w:rPr>
                    <w:t>采用低噪声设备，基础减震</w:t>
                  </w:r>
                </w:p>
              </w:tc>
              <w:tc>
                <w:tcPr>
                  <w:tcW w:w="357" w:type="pct"/>
                  <w:vAlign w:val="center"/>
                </w:tcPr>
                <w:p>
                  <w:pPr>
                    <w:widowControl/>
                    <w:jc w:val="center"/>
                    <w:rPr>
                      <w:sz w:val="18"/>
                      <w:szCs w:val="18"/>
                    </w:rPr>
                  </w:pPr>
                  <w:r>
                    <w:rPr>
                      <w:color w:val="000000"/>
                      <w:kern w:val="0"/>
                    </w:rPr>
                    <w:t>昼间</w:t>
                  </w:r>
                </w:p>
              </w:tc>
            </w:tr>
          </w:tbl>
          <w:p>
            <w:pPr>
              <w:autoSpaceDE w:val="0"/>
              <w:autoSpaceDN w:val="0"/>
              <w:spacing w:line="360" w:lineRule="auto"/>
              <w:rPr>
                <w:b/>
                <w:bCs/>
                <w:color w:val="000000"/>
                <w:kern w:val="0"/>
                <w:sz w:val="24"/>
              </w:rPr>
            </w:pPr>
          </w:p>
        </w:tc>
      </w:tr>
    </w:tbl>
    <w:p>
      <w:pPr>
        <w:pStyle w:val="17"/>
        <w:outlineLvl w:val="0"/>
        <w:rPr>
          <w:rFonts w:ascii="Times New Roman" w:hAnsi="Times New Roman" w:eastAsia="黑体"/>
          <w:snapToGrid w:val="0"/>
          <w:sz w:val="30"/>
          <w:szCs w:val="30"/>
        </w:rPr>
        <w:sectPr>
          <w:pgSz w:w="16838" w:h="11906" w:orient="landscape"/>
          <w:pgMar w:top="1531" w:right="1701" w:bottom="1531" w:left="1701" w:header="851" w:footer="851" w:gutter="0"/>
          <w:pgNumType w:fmt="numberInDash"/>
          <w:cols w:space="720" w:num="1"/>
          <w:docGrid w:linePitch="312" w:charSpace="0"/>
        </w:sectPr>
      </w:pPr>
    </w:p>
    <w:tbl>
      <w:tblPr>
        <w:tblStyle w:val="20"/>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83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44" w:hRule="atLeast"/>
          <w:jc w:val="center"/>
        </w:trPr>
        <w:tc>
          <w:tcPr>
            <w:tcW w:w="760" w:type="dxa"/>
            <w:tcMar>
              <w:left w:w="28" w:type="dxa"/>
              <w:right w:w="28" w:type="dxa"/>
            </w:tcMar>
            <w:vAlign w:val="center"/>
          </w:tcPr>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运营</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期环</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境保</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护措</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施</w:t>
            </w: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施工</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期环</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境保</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护措</w:t>
            </w:r>
          </w:p>
          <w:p>
            <w:pPr>
              <w:pStyle w:val="17"/>
              <w:adjustRightInd w:val="0"/>
              <w:snapToGrid w:val="0"/>
              <w:spacing w:before="0" w:beforeAutospacing="0" w:after="0" w:afterAutospacing="0"/>
              <w:jc w:val="center"/>
              <w:rPr>
                <w:rFonts w:cs="宋体"/>
                <w:color w:val="000000"/>
                <w:kern w:val="2"/>
                <w:sz w:val="21"/>
                <w:szCs w:val="21"/>
              </w:rPr>
            </w:pPr>
            <w:r>
              <w:rPr>
                <w:rFonts w:hint="eastAsia" w:cs="宋体"/>
                <w:color w:val="000000"/>
                <w:kern w:val="2"/>
                <w:sz w:val="21"/>
                <w:szCs w:val="21"/>
              </w:rPr>
              <w:t>施</w:t>
            </w: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p>
            <w:pPr>
              <w:pStyle w:val="17"/>
              <w:adjustRightInd w:val="0"/>
              <w:snapToGrid w:val="0"/>
              <w:spacing w:before="0" w:beforeAutospacing="0" w:after="0" w:afterAutospacing="0"/>
              <w:jc w:val="center"/>
              <w:rPr>
                <w:rFonts w:cs="宋体"/>
                <w:color w:val="000000"/>
                <w:kern w:val="2"/>
                <w:sz w:val="21"/>
                <w:szCs w:val="21"/>
              </w:rPr>
            </w:pPr>
          </w:p>
        </w:tc>
        <w:tc>
          <w:tcPr>
            <w:tcW w:w="8311" w:type="dxa"/>
            <w:vAlign w:val="center"/>
          </w:tcPr>
          <w:p>
            <w:pPr>
              <w:widowControl/>
              <w:spacing w:line="360" w:lineRule="auto"/>
              <w:rPr>
                <w:b/>
                <w:bCs/>
                <w:color w:val="000000"/>
                <w:sz w:val="24"/>
              </w:rPr>
            </w:pPr>
            <w:r>
              <w:rPr>
                <w:rFonts w:hint="eastAsia"/>
                <w:b/>
                <w:bCs/>
                <w:color w:val="000000"/>
                <w:sz w:val="24"/>
              </w:rPr>
              <w:t>3</w:t>
            </w:r>
            <w:r>
              <w:rPr>
                <w:b/>
                <w:bCs/>
                <w:color w:val="000000"/>
                <w:sz w:val="24"/>
              </w:rPr>
              <w:t>.</w:t>
            </w:r>
            <w:r>
              <w:rPr>
                <w:rFonts w:hint="eastAsia"/>
                <w:b/>
                <w:bCs/>
                <w:color w:val="000000"/>
                <w:sz w:val="24"/>
              </w:rPr>
              <w:t>2</w:t>
            </w:r>
            <w:r>
              <w:rPr>
                <w:b/>
                <w:bCs/>
                <w:color w:val="000000"/>
                <w:sz w:val="24"/>
              </w:rPr>
              <w:t>噪声预测</w:t>
            </w:r>
          </w:p>
          <w:p>
            <w:pPr>
              <w:widowControl/>
              <w:spacing w:line="360" w:lineRule="auto"/>
              <w:rPr>
                <w:b/>
                <w:bCs/>
                <w:color w:val="000000"/>
                <w:sz w:val="24"/>
              </w:rPr>
            </w:pPr>
            <w:r>
              <w:rPr>
                <w:rFonts w:hint="eastAsia"/>
                <w:b/>
                <w:bCs/>
                <w:color w:val="000000"/>
                <w:sz w:val="24"/>
              </w:rPr>
              <w:t>3.2.1</w:t>
            </w:r>
            <w:r>
              <w:rPr>
                <w:b/>
                <w:bCs/>
                <w:color w:val="000000"/>
                <w:sz w:val="24"/>
              </w:rPr>
              <w:t>噪声衰减预测模式</w:t>
            </w:r>
          </w:p>
          <w:p>
            <w:pPr>
              <w:spacing w:line="360" w:lineRule="auto"/>
              <w:ind w:firstLine="480" w:firstLineChars="200"/>
              <w:rPr>
                <w:color w:val="000000"/>
                <w:kern w:val="0"/>
                <w:sz w:val="24"/>
              </w:rPr>
            </w:pPr>
            <w:r>
              <w:rPr>
                <w:color w:val="000000"/>
                <w:kern w:val="0"/>
                <w:sz w:val="24"/>
              </w:rPr>
              <w:t>根据《环境影响评价技术导则 声环境》（HJ2.4-20</w:t>
            </w:r>
            <w:r>
              <w:rPr>
                <w:rFonts w:hint="eastAsia"/>
                <w:color w:val="000000"/>
                <w:kern w:val="0"/>
                <w:sz w:val="24"/>
              </w:rPr>
              <w:t>21</w:t>
            </w:r>
            <w:r>
              <w:rPr>
                <w:color w:val="000000"/>
                <w:kern w:val="0"/>
                <w:sz w:val="24"/>
              </w:rPr>
              <w:t>）</w:t>
            </w:r>
            <w:r>
              <w:rPr>
                <w:rFonts w:hint="eastAsia"/>
                <w:color w:val="000000"/>
                <w:kern w:val="0"/>
                <w:sz w:val="24"/>
              </w:rPr>
              <w:t>预测模式</w:t>
            </w:r>
            <w:r>
              <w:rPr>
                <w:color w:val="000000"/>
                <w:kern w:val="0"/>
                <w:sz w:val="24"/>
              </w:rPr>
              <w:t>：</w:t>
            </w:r>
          </w:p>
          <w:p>
            <w:pPr>
              <w:pStyle w:val="32"/>
              <w:spacing w:line="360" w:lineRule="auto"/>
              <w:ind w:firstLine="480" w:firstLineChars="200"/>
              <w:rPr>
                <w:rFonts w:ascii="Times New Roman" w:cs="Times New Roman"/>
              </w:rPr>
            </w:pPr>
            <w:r>
              <w:rPr>
                <w:rFonts w:hint="eastAsia" w:ascii="Times New Roman" w:cs="Times New Roman"/>
              </w:rPr>
              <w:t>（1）</w:t>
            </w:r>
            <w:r>
              <w:rPr>
                <w:rFonts w:ascii="Times New Roman" w:cs="Times New Roman"/>
              </w:rPr>
              <w:t>室内声源等效室外声源声功率级计算方法</w:t>
            </w:r>
          </w:p>
          <w:p>
            <w:pPr>
              <w:pStyle w:val="32"/>
              <w:spacing w:line="360" w:lineRule="auto"/>
              <w:ind w:firstLine="480" w:firstLineChars="200"/>
              <w:rPr>
                <w:rFonts w:ascii="Times New Roman" w:cs="Times New Roman"/>
              </w:rPr>
            </w:pPr>
            <w:r>
              <w:rPr>
                <w:rFonts w:hint="eastAsia" w:ascii="Times New Roman" w:cs="Times New Roman"/>
              </w:rPr>
              <w:t>1）</w:t>
            </w:r>
            <w:r>
              <w:rPr>
                <w:rFonts w:ascii="Times New Roman" w:cs="Times New Roman"/>
              </w:rPr>
              <w:t>如下图所示，声源位于室内，室内声源可采用等效室外声源声功率级法进行计算。设靠近开口处（或窗户）室内、室外某倍频带的声压级分别为L</w:t>
            </w:r>
            <w:r>
              <w:rPr>
                <w:rFonts w:ascii="Times New Roman" w:cs="Times New Roman"/>
                <w:vertAlign w:val="subscript"/>
              </w:rPr>
              <w:t>p1</w:t>
            </w:r>
            <w:r>
              <w:rPr>
                <w:rFonts w:ascii="Times New Roman" w:cs="Times New Roman"/>
              </w:rPr>
              <w:t>和L</w:t>
            </w:r>
            <w:r>
              <w:rPr>
                <w:rFonts w:ascii="Times New Roman" w:cs="Times New Roman"/>
                <w:vertAlign w:val="subscript"/>
              </w:rPr>
              <w:t>p2</w:t>
            </w:r>
            <w:r>
              <w:rPr>
                <w:rFonts w:ascii="Times New Roman" w:cs="Times New Roman"/>
              </w:rPr>
              <w:t>。</w:t>
            </w:r>
          </w:p>
          <w:p>
            <w:pPr>
              <w:spacing w:line="360" w:lineRule="auto"/>
              <w:ind w:firstLine="472" w:firstLineChars="200"/>
              <w:jc w:val="center"/>
              <w:rPr>
                <w:rFonts w:ascii="宋体" w:hAnsi="宋体" w:cs="宋体"/>
                <w:color w:val="000000"/>
                <w:spacing w:val="-2"/>
                <w:sz w:val="24"/>
              </w:rPr>
            </w:pPr>
            <w:r>
              <w:rPr>
                <w:rFonts w:hint="eastAsia" w:ascii="宋体" w:hAnsi="宋体" w:cs="宋体"/>
                <w:color w:val="000000"/>
                <w:spacing w:val="-2"/>
                <w:position w:val="-10"/>
                <w:sz w:val="24"/>
              </w:rPr>
              <w:object>
                <v:shape id="_x0000_i1025" o:spt="75" type="#_x0000_t75" style="height:14.25pt;width:100.5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r>
              <w:rPr>
                <w:rFonts w:hint="eastAsia" w:ascii="宋体" w:hAnsi="宋体" w:cs="宋体"/>
                <w:color w:val="000000"/>
                <w:spacing w:val="-2"/>
                <w:sz w:val="24"/>
              </w:rPr>
              <w:t xml:space="preserve">   </w:t>
            </w:r>
            <w:r>
              <w:rPr>
                <w:color w:val="000000"/>
                <w:spacing w:val="-2"/>
                <w:sz w:val="24"/>
              </w:rPr>
              <w:t xml:space="preserve">  （B.4）</w:t>
            </w:r>
          </w:p>
          <w:p>
            <w:pPr>
              <w:spacing w:line="360" w:lineRule="auto"/>
              <w:ind w:firstLine="472" w:firstLineChars="200"/>
              <w:rPr>
                <w:rFonts w:ascii="宋体" w:hAnsi="宋体" w:cs="宋体"/>
                <w:color w:val="000000"/>
                <w:sz w:val="24"/>
              </w:rPr>
            </w:pPr>
            <w:r>
              <w:rPr>
                <w:rFonts w:ascii="宋体" w:hAnsi="宋体" w:cs="宋体"/>
                <w:color w:val="000000"/>
                <w:spacing w:val="-2"/>
                <w:sz w:val="24"/>
              </w:rPr>
              <w:t>式中：</w:t>
            </w:r>
            <w:r>
              <w:rPr>
                <w:rFonts w:eastAsia="Times New Roman"/>
                <w:i/>
                <w:iCs/>
                <w:color w:val="000000"/>
                <w:spacing w:val="-1"/>
                <w:sz w:val="24"/>
              </w:rPr>
              <w:t>L</w:t>
            </w:r>
            <w:r>
              <w:rPr>
                <w:rFonts w:eastAsia="Times New Roman"/>
                <w:i/>
                <w:iCs/>
                <w:color w:val="000000"/>
                <w:spacing w:val="-1"/>
                <w:position w:val="-2"/>
                <w:sz w:val="24"/>
                <w:vertAlign w:val="subscript"/>
              </w:rPr>
              <w:t>p</w:t>
            </w:r>
            <w:r>
              <w:rPr>
                <w:rFonts w:eastAsia="Times New Roman"/>
                <w:color w:val="000000"/>
                <w:spacing w:val="-2"/>
                <w:position w:val="-2"/>
                <w:sz w:val="24"/>
                <w:vertAlign w:val="subscript"/>
              </w:rPr>
              <w:t>1</w:t>
            </w:r>
            <w:r>
              <w:rPr>
                <w:rFonts w:eastAsia="Times New Roman"/>
                <w:color w:val="000000"/>
                <w:spacing w:val="-2"/>
                <w:sz w:val="24"/>
              </w:rPr>
              <w:t>——</w:t>
            </w:r>
            <w:r>
              <w:rPr>
                <w:rFonts w:ascii="宋体" w:hAnsi="宋体" w:cs="宋体"/>
                <w:color w:val="000000"/>
                <w:spacing w:val="-2"/>
                <w:sz w:val="24"/>
              </w:rPr>
              <w:t>靠近开口处</w:t>
            </w:r>
            <w:r>
              <w:rPr>
                <w:rFonts w:ascii="宋体" w:hAnsi="宋体" w:cs="宋体"/>
                <w:color w:val="000000"/>
                <w:spacing w:val="-1"/>
                <w:sz w:val="24"/>
              </w:rPr>
              <w:t>(或窗户) 室内某倍频带的声压级或</w:t>
            </w:r>
            <w:r>
              <w:rPr>
                <w:rFonts w:eastAsia="Times New Roman"/>
                <w:color w:val="000000"/>
                <w:spacing w:val="-1"/>
                <w:sz w:val="24"/>
              </w:rPr>
              <w:t>A</w:t>
            </w:r>
            <w:r>
              <w:rPr>
                <w:rFonts w:ascii="宋体" w:hAnsi="宋体" w:cs="宋体"/>
                <w:color w:val="000000"/>
                <w:spacing w:val="-1"/>
                <w:sz w:val="24"/>
              </w:rPr>
              <w:t>声级，</w:t>
            </w:r>
            <w:r>
              <w:rPr>
                <w:rFonts w:eastAsia="Times New Roman"/>
                <w:color w:val="000000"/>
                <w:spacing w:val="-1"/>
                <w:sz w:val="24"/>
              </w:rPr>
              <w:t>dB</w:t>
            </w:r>
            <w:r>
              <w:rPr>
                <w:rFonts w:ascii="宋体" w:hAnsi="宋体" w:cs="宋体"/>
                <w:color w:val="000000"/>
                <w:spacing w:val="-1"/>
                <w:sz w:val="24"/>
              </w:rPr>
              <w:t>；</w:t>
            </w:r>
          </w:p>
          <w:p>
            <w:pPr>
              <w:spacing w:line="360" w:lineRule="auto"/>
              <w:ind w:firstLine="1200" w:firstLineChars="500"/>
              <w:rPr>
                <w:rFonts w:ascii="宋体" w:hAnsi="宋体" w:cs="宋体"/>
                <w:color w:val="000000"/>
                <w:sz w:val="24"/>
              </w:rPr>
            </w:pPr>
            <w:r>
              <w:rPr>
                <w:rFonts w:eastAsia="Times New Roman"/>
                <w:i/>
                <w:iCs/>
                <w:color w:val="000000"/>
                <w:sz w:val="24"/>
              </w:rPr>
              <w:t>L</w:t>
            </w:r>
            <w:r>
              <w:rPr>
                <w:rFonts w:eastAsia="Times New Roman"/>
                <w:i/>
                <w:iCs/>
                <w:color w:val="000000"/>
                <w:position w:val="-2"/>
                <w:sz w:val="24"/>
                <w:vertAlign w:val="subscript"/>
              </w:rPr>
              <w:t>p</w:t>
            </w:r>
            <w:r>
              <w:rPr>
                <w:rFonts w:eastAsia="Times New Roman"/>
                <w:color w:val="000000"/>
                <w:spacing w:val="4"/>
                <w:position w:val="-2"/>
                <w:sz w:val="24"/>
                <w:vertAlign w:val="subscript"/>
              </w:rPr>
              <w:t>2</w:t>
            </w:r>
            <w:r>
              <w:rPr>
                <w:rFonts w:eastAsia="Times New Roman"/>
                <w:color w:val="000000"/>
                <w:spacing w:val="4"/>
                <w:sz w:val="24"/>
              </w:rPr>
              <w:t>——</w:t>
            </w:r>
            <w:r>
              <w:rPr>
                <w:rFonts w:ascii="宋体" w:hAnsi="宋体" w:cs="宋体"/>
                <w:color w:val="000000"/>
                <w:spacing w:val="4"/>
                <w:sz w:val="24"/>
              </w:rPr>
              <w:t>靠近</w:t>
            </w:r>
            <w:r>
              <w:rPr>
                <w:rFonts w:ascii="宋体" w:hAnsi="宋体" w:cs="宋体"/>
                <w:color w:val="000000"/>
                <w:spacing w:val="3"/>
                <w:sz w:val="24"/>
              </w:rPr>
              <w:t>开</w:t>
            </w:r>
            <w:r>
              <w:rPr>
                <w:rFonts w:ascii="宋体" w:hAnsi="宋体" w:cs="宋体"/>
                <w:color w:val="000000"/>
                <w:spacing w:val="2"/>
                <w:sz w:val="24"/>
              </w:rPr>
              <w:t>口处(或窗户)室外某倍频带的声压级或</w:t>
            </w:r>
            <w:r>
              <w:rPr>
                <w:rFonts w:eastAsia="Times New Roman"/>
                <w:color w:val="000000"/>
                <w:sz w:val="24"/>
              </w:rPr>
              <w:t>A</w:t>
            </w:r>
            <w:r>
              <w:rPr>
                <w:rFonts w:ascii="宋体" w:hAnsi="宋体" w:cs="宋体"/>
                <w:color w:val="000000"/>
                <w:spacing w:val="2"/>
                <w:sz w:val="24"/>
              </w:rPr>
              <w:t>声级，</w:t>
            </w:r>
            <w:r>
              <w:rPr>
                <w:rFonts w:eastAsia="Times New Roman"/>
                <w:color w:val="000000"/>
                <w:sz w:val="24"/>
              </w:rPr>
              <w:t>dB</w:t>
            </w:r>
            <w:r>
              <w:rPr>
                <w:rFonts w:ascii="宋体" w:hAnsi="宋体" w:cs="宋体"/>
                <w:color w:val="000000"/>
                <w:spacing w:val="2"/>
                <w:sz w:val="24"/>
              </w:rPr>
              <w:t>；</w:t>
            </w:r>
          </w:p>
          <w:p>
            <w:pPr>
              <w:spacing w:line="360" w:lineRule="auto"/>
              <w:ind w:firstLine="1200" w:firstLineChars="500"/>
              <w:rPr>
                <w:rFonts w:ascii="Arial"/>
                <w:color w:val="000000"/>
              </w:rPr>
            </w:pPr>
            <w:r>
              <w:rPr>
                <w:rFonts w:eastAsia="Times New Roman"/>
                <w:i/>
                <w:iCs/>
                <w:color w:val="000000"/>
                <w:sz w:val="24"/>
              </w:rPr>
              <w:t>TL</w:t>
            </w:r>
            <w:r>
              <w:rPr>
                <w:rFonts w:eastAsia="Times New Roman"/>
                <w:color w:val="000000"/>
                <w:spacing w:val="-1"/>
                <w:sz w:val="24"/>
              </w:rPr>
              <w:t>——</w:t>
            </w:r>
            <w:r>
              <w:rPr>
                <w:rFonts w:ascii="宋体" w:hAnsi="宋体" w:cs="宋体"/>
                <w:color w:val="000000"/>
                <w:spacing w:val="-1"/>
                <w:sz w:val="24"/>
              </w:rPr>
              <w:t>隔墙(或窗户)倍频带</w:t>
            </w:r>
            <w:r>
              <w:rPr>
                <w:rFonts w:ascii="宋体" w:hAnsi="宋体" w:cs="宋体"/>
                <w:color w:val="000000"/>
                <w:sz w:val="24"/>
              </w:rPr>
              <w:t>或</w:t>
            </w:r>
            <w:r>
              <w:rPr>
                <w:rFonts w:eastAsia="Times New Roman"/>
                <w:color w:val="000000"/>
                <w:sz w:val="24"/>
              </w:rPr>
              <w:t>A</w:t>
            </w:r>
            <w:r>
              <w:rPr>
                <w:rFonts w:ascii="宋体" w:hAnsi="宋体" w:cs="宋体"/>
                <w:color w:val="000000"/>
                <w:sz w:val="24"/>
              </w:rPr>
              <w:t>声级的隔声量，</w:t>
            </w:r>
            <w:r>
              <w:rPr>
                <w:rFonts w:eastAsia="Times New Roman"/>
                <w:color w:val="000000"/>
                <w:sz w:val="24"/>
              </w:rPr>
              <w:t>dB</w:t>
            </w:r>
            <w:r>
              <w:rPr>
                <w:rFonts w:ascii="宋体" w:hAnsi="宋体" w:cs="宋体"/>
                <w:color w:val="000000"/>
                <w:sz w:val="24"/>
              </w:rPr>
              <w:t>。</w:t>
            </w:r>
          </w:p>
          <w:p>
            <w:pPr>
              <w:spacing w:line="260" w:lineRule="auto"/>
              <w:jc w:val="center"/>
              <w:rPr>
                <w:rFonts w:ascii="Arial"/>
                <w:color w:val="000000"/>
              </w:rPr>
            </w:pPr>
            <w:r>
              <w:rPr>
                <w:color w:val="000000"/>
              </w:rPr>
              <w:drawing>
                <wp:inline distT="0" distB="0" distL="0" distR="0">
                  <wp:extent cx="4457700" cy="1924050"/>
                  <wp:effectExtent l="19050" t="0" r="0" b="0"/>
                  <wp:docPr id="1"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2"/>
                          <pic:cNvPicPr>
                            <a:picLocks noChangeAspect="1" noChangeArrowheads="1"/>
                          </pic:cNvPicPr>
                        </pic:nvPicPr>
                        <pic:blipFill>
                          <a:blip r:embed="rId13"/>
                          <a:srcRect l="10918" t="3232" r="8545" b="7893"/>
                          <a:stretch>
                            <a:fillRect/>
                          </a:stretch>
                        </pic:blipFill>
                        <pic:spPr>
                          <a:xfrm>
                            <a:off x="0" y="0"/>
                            <a:ext cx="4457700" cy="1924050"/>
                          </a:xfrm>
                          <a:prstGeom prst="rect">
                            <a:avLst/>
                          </a:prstGeom>
                          <a:noFill/>
                          <a:ln w="9525" cmpd="sng">
                            <a:noFill/>
                            <a:miter lim="800000"/>
                            <a:headEnd/>
                            <a:tailEnd/>
                          </a:ln>
                        </pic:spPr>
                      </pic:pic>
                    </a:graphicData>
                  </a:graphic>
                </wp:inline>
              </w:drawing>
            </w:r>
          </w:p>
          <w:p>
            <w:pPr>
              <w:spacing w:line="360" w:lineRule="auto"/>
              <w:jc w:val="center"/>
              <w:rPr>
                <w:b/>
                <w:bCs/>
                <w:color w:val="000000"/>
                <w:spacing w:val="-3"/>
                <w:sz w:val="24"/>
              </w:rPr>
            </w:pPr>
            <w:r>
              <w:rPr>
                <w:b/>
                <w:bCs/>
                <w:color w:val="000000"/>
                <w:spacing w:val="-6"/>
                <w:sz w:val="24"/>
              </w:rPr>
              <w:t>图</w:t>
            </w:r>
            <w:r>
              <w:rPr>
                <w:rFonts w:hint="eastAsia"/>
                <w:b/>
                <w:bCs/>
                <w:color w:val="000000"/>
                <w:spacing w:val="-6"/>
                <w:sz w:val="24"/>
              </w:rPr>
              <w:t>4-3</w:t>
            </w:r>
            <w:r>
              <w:rPr>
                <w:b/>
                <w:bCs/>
                <w:color w:val="000000"/>
                <w:spacing w:val="-3"/>
                <w:sz w:val="24"/>
              </w:rPr>
              <w:t xml:space="preserve">  室内声源等效为室外声源图例</w:t>
            </w:r>
          </w:p>
          <w:p>
            <w:pPr>
              <w:pStyle w:val="32"/>
              <w:spacing w:line="360" w:lineRule="auto"/>
              <w:ind w:firstLine="480" w:firstLineChars="200"/>
              <w:rPr>
                <w:rFonts w:ascii="Times New Roman" w:cs="Times New Roman"/>
              </w:rPr>
            </w:pPr>
            <w:r>
              <w:rPr>
                <w:rFonts w:ascii="Times New Roman" w:cs="Times New Roman"/>
              </w:rPr>
              <w:t>然后按式（B.5）将室外声源的声压级和透过面积换算成等效的室外声源，计算出中心位置位于透声面积（S）处的等效声源的倍频带声功率级。</w:t>
            </w:r>
          </w:p>
          <w:p>
            <w:pPr>
              <w:pStyle w:val="32"/>
              <w:spacing w:line="360" w:lineRule="auto"/>
              <w:ind w:firstLine="480" w:firstLineChars="200"/>
              <w:jc w:val="center"/>
              <w:rPr>
                <w:rFonts w:ascii="Times New Roman" w:cs="Times New Roman"/>
              </w:rPr>
            </w:pPr>
            <w:r>
              <w:rPr>
                <w:rFonts w:ascii="Times New Roman" w:cs="Times New Roman"/>
                <w:position w:val="-14"/>
              </w:rPr>
              <w:object>
                <v:shape id="_x0000_i1026" o:spt="75" type="#_x0000_t75" style="height:21.75pt;width:100.5pt;" o:ole="t" filled="f" o:preferrelative="t" stroked="f" coordsize="21600,21600">
                  <v:path/>
                  <v:fill on="f" focussize="0,0"/>
                  <v:stroke on="f" joinstyle="miter"/>
                  <v:imagedata r:id="rId15" o:title=""/>
                  <o:lock v:ext="edit" aspectratio="t"/>
                  <w10:wrap type="none"/>
                  <w10:anchorlock/>
                </v:shape>
                <o:OLEObject Type="Embed" ProgID="Equation.3" ShapeID="_x0000_i1026" DrawAspect="Content" ObjectID="_1468075726" r:id="rId14">
                  <o:LockedField>false</o:LockedField>
                </o:OLEObject>
              </w:object>
            </w:r>
            <w:r>
              <w:rPr>
                <w:rFonts w:hint="eastAsia" w:ascii="Times New Roman" w:cs="Times New Roman"/>
              </w:rPr>
              <w:t xml:space="preserve">       </w:t>
            </w:r>
            <w:r>
              <w:rPr>
                <w:rFonts w:ascii="Times New Roman" w:cs="Times New Roman"/>
              </w:rPr>
              <w:t>（B.5）</w:t>
            </w:r>
          </w:p>
          <w:p>
            <w:pPr>
              <w:pStyle w:val="32"/>
              <w:spacing w:line="360" w:lineRule="auto"/>
              <w:ind w:firstLine="480" w:firstLineChars="200"/>
              <w:rPr>
                <w:rFonts w:ascii="Times New Roman" w:cs="Times New Roman"/>
              </w:rPr>
            </w:pPr>
            <w:r>
              <w:rPr>
                <w:rFonts w:ascii="Times New Roman" w:cs="Times New Roman"/>
              </w:rPr>
              <w:t>式中：</w:t>
            </w:r>
          </w:p>
          <w:p>
            <w:pPr>
              <w:pStyle w:val="32"/>
              <w:spacing w:line="360" w:lineRule="auto"/>
              <w:ind w:firstLine="480" w:firstLineChars="200"/>
              <w:rPr>
                <w:rFonts w:ascii="Times New Roman" w:cs="Times New Roman"/>
              </w:rPr>
            </w:pPr>
            <w:r>
              <w:rPr>
                <w:rFonts w:ascii="Times New Roman" w:cs="Times New Roman"/>
              </w:rPr>
              <w:t>L</w:t>
            </w:r>
            <w:r>
              <w:rPr>
                <w:rFonts w:ascii="Times New Roman" w:cs="Times New Roman"/>
                <w:vertAlign w:val="subscript"/>
              </w:rPr>
              <w:t>w</w:t>
            </w:r>
            <w:r>
              <w:rPr>
                <w:rFonts w:ascii="Times New Roman" w:cs="Times New Roman"/>
              </w:rPr>
              <w:t>——中心位置位于透声面积（S）处的等效声源的倍频带声功率级，dB；</w:t>
            </w:r>
          </w:p>
          <w:p>
            <w:pPr>
              <w:pStyle w:val="32"/>
              <w:spacing w:line="360" w:lineRule="auto"/>
              <w:ind w:firstLine="480" w:firstLineChars="200"/>
              <w:rPr>
                <w:rFonts w:ascii="Times New Roman" w:cs="Times New Roman"/>
              </w:rPr>
            </w:pPr>
            <w:r>
              <w:rPr>
                <w:rFonts w:ascii="Times New Roman" w:cs="Times New Roman"/>
              </w:rPr>
              <w:t>L</w:t>
            </w:r>
            <w:r>
              <w:rPr>
                <w:rFonts w:ascii="Times New Roman" w:cs="Times New Roman"/>
                <w:vertAlign w:val="subscript"/>
              </w:rPr>
              <w:t>p2</w:t>
            </w:r>
            <w:r>
              <w:rPr>
                <w:rFonts w:ascii="Times New Roman" w:cs="Times New Roman"/>
              </w:rPr>
              <w:t>(T)——靠近围护结构处室外声源的声压级，dB；</w:t>
            </w:r>
          </w:p>
          <w:p>
            <w:pPr>
              <w:pStyle w:val="32"/>
              <w:spacing w:line="360" w:lineRule="auto"/>
              <w:ind w:firstLine="480" w:firstLineChars="200"/>
              <w:rPr>
                <w:rFonts w:ascii="Times New Roman" w:cs="Times New Roman"/>
              </w:rPr>
            </w:pPr>
            <w:r>
              <w:rPr>
                <w:rFonts w:ascii="Times New Roman" w:cs="Times New Roman"/>
              </w:rPr>
              <w:t>S——透声面积，m</w:t>
            </w:r>
            <w:r>
              <w:rPr>
                <w:rFonts w:ascii="Times New Roman" w:cs="Times New Roman"/>
                <w:vertAlign w:val="superscript"/>
              </w:rPr>
              <w:t>2</w:t>
            </w:r>
            <w:r>
              <w:rPr>
                <w:rFonts w:ascii="Times New Roman" w:cs="Times New Roman"/>
              </w:rPr>
              <w:t>。</w:t>
            </w:r>
          </w:p>
          <w:p>
            <w:pPr>
              <w:pStyle w:val="32"/>
              <w:spacing w:line="360" w:lineRule="auto"/>
              <w:ind w:firstLine="480" w:firstLineChars="200"/>
              <w:rPr>
                <w:rFonts w:ascii="Times New Roman" w:cs="Times New Roman"/>
              </w:rPr>
            </w:pPr>
            <w:r>
              <w:rPr>
                <w:rFonts w:ascii="Times New Roman" w:cs="Times New Roman"/>
              </w:rPr>
              <w:t>然后按室外声源预测方法计算预测点处的A声级。</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（2）噪声贡献值计算</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设第i个室外声源在预测点产生的A声级为L</w:t>
            </w:r>
            <w:r>
              <w:rPr>
                <w:rFonts w:ascii="Times New Roman" w:hAnsi="Times New Roman"/>
                <w:color w:val="000000"/>
                <w:sz w:val="24"/>
                <w:vertAlign w:val="subscript"/>
              </w:rPr>
              <w:t>Ai</w:t>
            </w:r>
            <w:r>
              <w:rPr>
                <w:rFonts w:ascii="Times New Roman" w:hAnsi="Times New Roman"/>
                <w:color w:val="000000"/>
                <w:sz w:val="24"/>
              </w:rPr>
              <w:t>，在T时间内该声源工作时间为t</w:t>
            </w:r>
            <w:r>
              <w:rPr>
                <w:rFonts w:ascii="Times New Roman" w:hAnsi="Times New Roman"/>
                <w:color w:val="000000"/>
                <w:sz w:val="24"/>
                <w:vertAlign w:val="subscript"/>
              </w:rPr>
              <w:t>i</w:t>
            </w:r>
            <w:r>
              <w:rPr>
                <w:rFonts w:ascii="Times New Roman" w:hAnsi="Times New Roman"/>
                <w:color w:val="000000"/>
                <w:sz w:val="24"/>
              </w:rPr>
              <w:t>；第j个等效室外声源在预测点产生的A声级为L</w:t>
            </w:r>
            <w:r>
              <w:rPr>
                <w:rFonts w:ascii="Times New Roman" w:hAnsi="Times New Roman"/>
                <w:color w:val="000000"/>
                <w:sz w:val="24"/>
                <w:vertAlign w:val="subscript"/>
              </w:rPr>
              <w:t>Aj</w:t>
            </w:r>
            <w:r>
              <w:rPr>
                <w:rFonts w:ascii="Times New Roman" w:hAnsi="Times New Roman"/>
                <w:color w:val="000000"/>
                <w:sz w:val="24"/>
              </w:rPr>
              <w:t>，在T时间内该声源工作时间为t</w:t>
            </w:r>
            <w:r>
              <w:rPr>
                <w:rFonts w:ascii="Times New Roman" w:hAnsi="Times New Roman"/>
                <w:color w:val="000000"/>
                <w:sz w:val="24"/>
                <w:vertAlign w:val="subscript"/>
              </w:rPr>
              <w:t>j</w:t>
            </w:r>
            <w:r>
              <w:rPr>
                <w:rFonts w:ascii="Times New Roman" w:hAnsi="Times New Roman"/>
                <w:color w:val="000000"/>
                <w:sz w:val="24"/>
              </w:rPr>
              <w:t>，则拟建工程声源对预测点产生的贡献值（L</w:t>
            </w:r>
            <w:r>
              <w:rPr>
                <w:rFonts w:ascii="Times New Roman" w:hAnsi="Times New Roman"/>
                <w:color w:val="000000"/>
                <w:sz w:val="24"/>
                <w:vertAlign w:val="subscript"/>
              </w:rPr>
              <w:t>eqg</w:t>
            </w:r>
            <w:r>
              <w:rPr>
                <w:rFonts w:ascii="Times New Roman" w:hAnsi="Times New Roman"/>
                <w:color w:val="000000"/>
                <w:sz w:val="24"/>
              </w:rPr>
              <w:t>）为：</w:t>
            </w:r>
          </w:p>
          <w:p>
            <w:pPr>
              <w:pStyle w:val="11"/>
              <w:spacing w:line="360" w:lineRule="auto"/>
              <w:ind w:firstLine="480" w:firstLineChars="200"/>
              <w:rPr>
                <w:rFonts w:ascii="Times New Roman" w:hAnsi="Times New Roman"/>
                <w:color w:val="000000"/>
                <w:sz w:val="24"/>
              </w:rPr>
            </w:pPr>
            <w:r>
              <w:rPr>
                <w:rFonts w:ascii="Times New Roman" w:hAnsi="Times New Roman"/>
                <w:color w:val="000000"/>
                <w:position w:val="-34"/>
                <w:sz w:val="24"/>
              </w:rPr>
              <w:object>
                <v:shape id="_x0000_i1027" o:spt="75" type="#_x0000_t75" style="height:43.5pt;width:201.75pt;" o:ole="t" filled="f" o:preferrelative="t" stroked="f" coordsize="21600,21600">
                  <v:path/>
                  <v:fill on="f" focussize="0,0"/>
                  <v:stroke on="f" joinstyle="miter"/>
                  <v:imagedata r:id="rId17" o:title=""/>
                  <o:lock v:ext="edit" aspectratio="t"/>
                  <w10:wrap type="none"/>
                  <w10:anchorlock/>
                </v:shape>
                <o:OLEObject Type="Embed" ProgID="Equation.3" ShapeID="_x0000_i1027" DrawAspect="Content" ObjectID="_1468075727" r:id="rId16">
                  <o:LockedField>false</o:LockedField>
                </o:OLEObject>
              </w:object>
            </w:r>
            <w:r>
              <w:rPr>
                <w:rFonts w:ascii="Times New Roman" w:hAnsi="Times New Roman"/>
                <w:color w:val="000000"/>
                <w:sz w:val="24"/>
              </w:rPr>
              <w:t xml:space="preserve">       （B.6）</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式中：</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L</w:t>
            </w:r>
            <w:r>
              <w:rPr>
                <w:rFonts w:ascii="Times New Roman" w:hAnsi="Times New Roman"/>
                <w:color w:val="000000"/>
                <w:sz w:val="24"/>
                <w:vertAlign w:val="subscript"/>
              </w:rPr>
              <w:t>eqg</w:t>
            </w:r>
            <w:r>
              <w:rPr>
                <w:rFonts w:ascii="Times New Roman" w:hAnsi="Times New Roman"/>
                <w:color w:val="000000"/>
                <w:sz w:val="24"/>
              </w:rPr>
              <w:t>—建设项目声源在预测点产生的噪声贡献值，dB；</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t</w:t>
            </w:r>
            <w:r>
              <w:rPr>
                <w:rFonts w:ascii="Times New Roman" w:hAnsi="Times New Roman"/>
                <w:color w:val="000000"/>
                <w:sz w:val="24"/>
                <w:vertAlign w:val="subscript"/>
              </w:rPr>
              <w:t>j</w:t>
            </w:r>
            <w:r>
              <w:rPr>
                <w:rFonts w:ascii="Times New Roman" w:hAnsi="Times New Roman"/>
                <w:color w:val="000000"/>
                <w:sz w:val="24"/>
              </w:rPr>
              <w:t>—在T时间内j声源工作时间，s；</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t</w:t>
            </w:r>
            <w:r>
              <w:rPr>
                <w:rFonts w:ascii="Times New Roman" w:hAnsi="Times New Roman"/>
                <w:color w:val="000000"/>
                <w:sz w:val="24"/>
                <w:vertAlign w:val="subscript"/>
              </w:rPr>
              <w:t>i</w:t>
            </w:r>
            <w:r>
              <w:rPr>
                <w:rFonts w:ascii="Times New Roman" w:hAnsi="Times New Roman"/>
                <w:color w:val="000000"/>
                <w:sz w:val="24"/>
              </w:rPr>
              <w:t>—在T时间内 i 声源工作时间，s；</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T—用于计算等效声级的时间，s；</w:t>
            </w:r>
          </w:p>
          <w:p>
            <w:pPr>
              <w:pStyle w:val="11"/>
              <w:spacing w:line="360" w:lineRule="auto"/>
              <w:ind w:firstLine="480" w:firstLineChars="200"/>
              <w:jc w:val="left"/>
              <w:rPr>
                <w:rFonts w:ascii="Times New Roman" w:hAnsi="Times New Roman"/>
                <w:color w:val="000000"/>
                <w:sz w:val="24"/>
              </w:rPr>
            </w:pPr>
            <w:r>
              <w:rPr>
                <w:rFonts w:ascii="Times New Roman" w:hAnsi="Times New Roman"/>
                <w:color w:val="000000"/>
                <w:sz w:val="24"/>
              </w:rPr>
              <w:t>N—室外声源个数；</w:t>
            </w:r>
          </w:p>
          <w:p>
            <w:pPr>
              <w:tabs>
                <w:tab w:val="left" w:pos="0"/>
              </w:tabs>
              <w:spacing w:line="360" w:lineRule="auto"/>
              <w:ind w:firstLine="496"/>
              <w:rPr>
                <w:bCs/>
                <w:color w:val="000000"/>
                <w:sz w:val="24"/>
              </w:rPr>
            </w:pPr>
            <w:r>
              <w:rPr>
                <w:color w:val="000000"/>
                <w:sz w:val="24"/>
              </w:rPr>
              <w:t>M—等效室外声源个数。</w:t>
            </w:r>
          </w:p>
          <w:p>
            <w:pPr>
              <w:widowControl/>
              <w:spacing w:line="360" w:lineRule="auto"/>
              <w:rPr>
                <w:b/>
                <w:color w:val="000000"/>
                <w:sz w:val="24"/>
              </w:rPr>
            </w:pPr>
            <w:r>
              <w:rPr>
                <w:rFonts w:hint="eastAsia"/>
                <w:b/>
                <w:color w:val="000000"/>
                <w:sz w:val="24"/>
              </w:rPr>
              <w:t>3.2.2</w:t>
            </w:r>
            <w:r>
              <w:rPr>
                <w:b/>
                <w:color w:val="000000"/>
                <w:sz w:val="24"/>
              </w:rPr>
              <w:t>噪声预测结果及评价</w:t>
            </w:r>
          </w:p>
          <w:p>
            <w:pPr>
              <w:widowControl/>
              <w:spacing w:line="360" w:lineRule="auto"/>
              <w:ind w:firstLine="480" w:firstLineChars="200"/>
              <w:rPr>
                <w:bCs/>
                <w:color w:val="000000"/>
                <w:sz w:val="24"/>
              </w:rPr>
            </w:pPr>
            <w:r>
              <w:rPr>
                <w:bCs/>
                <w:color w:val="000000"/>
                <w:sz w:val="24"/>
              </w:rPr>
              <w:t>采用上述模式进行计算得出各个高噪设备对场界的声压级，可得出噪声预测结果，噪声预测结果列于表4-</w:t>
            </w:r>
            <w:r>
              <w:rPr>
                <w:rFonts w:hint="eastAsia"/>
                <w:bCs/>
                <w:color w:val="000000"/>
                <w:sz w:val="24"/>
              </w:rPr>
              <w:t>6</w:t>
            </w:r>
            <w:r>
              <w:rPr>
                <w:bCs/>
                <w:color w:val="000000"/>
                <w:sz w:val="24"/>
              </w:rPr>
              <w:t>。</w:t>
            </w:r>
          </w:p>
          <w:p>
            <w:pPr>
              <w:widowControl/>
              <w:spacing w:line="360" w:lineRule="auto"/>
              <w:jc w:val="center"/>
              <w:rPr>
                <w:b/>
                <w:bCs/>
                <w:color w:val="000000"/>
                <w:sz w:val="24"/>
              </w:rPr>
            </w:pPr>
            <w:r>
              <w:rPr>
                <w:b/>
                <w:bCs/>
                <w:color w:val="000000"/>
                <w:sz w:val="24"/>
              </w:rPr>
              <w:t>表4-</w:t>
            </w:r>
            <w:r>
              <w:rPr>
                <w:rFonts w:hint="eastAsia"/>
                <w:b/>
                <w:bCs/>
                <w:color w:val="000000"/>
                <w:sz w:val="24"/>
              </w:rPr>
              <w:t xml:space="preserve">6 </w:t>
            </w:r>
            <w:r>
              <w:rPr>
                <w:b/>
                <w:bCs/>
                <w:color w:val="000000"/>
                <w:sz w:val="24"/>
              </w:rPr>
              <w:t xml:space="preserve"> 项目噪声预测结果</w:t>
            </w:r>
          </w:p>
          <w:tbl>
            <w:tblPr>
              <w:tblStyle w:val="20"/>
              <w:tblW w:w="4940"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3899"/>
              <w:gridCol w:w="1963"/>
              <w:gridCol w:w="2136"/>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37" w:type="pct"/>
                  <w:vMerge w:val="restart"/>
                  <w:vAlign w:val="center"/>
                </w:tcPr>
                <w:p>
                  <w:pPr>
                    <w:widowControl/>
                    <w:jc w:val="center"/>
                    <w:rPr>
                      <w:bCs/>
                      <w:color w:val="000000"/>
                      <w:szCs w:val="21"/>
                    </w:rPr>
                  </w:pPr>
                  <w:r>
                    <w:rPr>
                      <w:bCs/>
                      <w:color w:val="000000"/>
                      <w:szCs w:val="21"/>
                    </w:rPr>
                    <w:t>预测点位</w:t>
                  </w:r>
                </w:p>
              </w:tc>
              <w:tc>
                <w:tcPr>
                  <w:tcW w:w="2562" w:type="pct"/>
                  <w:gridSpan w:val="2"/>
                  <w:vAlign w:val="center"/>
                </w:tcPr>
                <w:p>
                  <w:pPr>
                    <w:jc w:val="center"/>
                    <w:rPr>
                      <w:color w:val="000000"/>
                      <w:szCs w:val="21"/>
                    </w:rPr>
                  </w:pPr>
                  <w:r>
                    <w:rPr>
                      <w:color w:val="000000"/>
                      <w:szCs w:val="21"/>
                    </w:rPr>
                    <w:t>昼间dB(A)</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37" w:type="pct"/>
                  <w:vMerge w:val="continue"/>
                  <w:vAlign w:val="center"/>
                </w:tcPr>
                <w:p>
                  <w:pPr>
                    <w:widowControl/>
                    <w:jc w:val="center"/>
                    <w:rPr>
                      <w:bCs/>
                      <w:color w:val="000000"/>
                      <w:szCs w:val="21"/>
                    </w:rPr>
                  </w:pPr>
                </w:p>
              </w:tc>
              <w:tc>
                <w:tcPr>
                  <w:tcW w:w="1227" w:type="pct"/>
                  <w:vAlign w:val="center"/>
                </w:tcPr>
                <w:p>
                  <w:pPr>
                    <w:jc w:val="center"/>
                    <w:rPr>
                      <w:bCs/>
                      <w:color w:val="000000"/>
                      <w:szCs w:val="21"/>
                    </w:rPr>
                  </w:pPr>
                  <w:r>
                    <w:rPr>
                      <w:bCs/>
                      <w:color w:val="000000"/>
                      <w:szCs w:val="21"/>
                    </w:rPr>
                    <w:t>贡献值</w:t>
                  </w:r>
                </w:p>
              </w:tc>
              <w:tc>
                <w:tcPr>
                  <w:tcW w:w="1334" w:type="pct"/>
                  <w:vAlign w:val="center"/>
                </w:tcPr>
                <w:p>
                  <w:pPr>
                    <w:jc w:val="center"/>
                    <w:rPr>
                      <w:bCs/>
                      <w:color w:val="000000"/>
                      <w:szCs w:val="21"/>
                    </w:rPr>
                  </w:pPr>
                  <w:r>
                    <w:rPr>
                      <w:rFonts w:hint="eastAsia"/>
                      <w:bCs/>
                      <w:color w:val="000000"/>
                      <w:szCs w:val="21"/>
                    </w:rPr>
                    <w:t>标准值</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37" w:type="pct"/>
                  <w:vAlign w:val="center"/>
                </w:tcPr>
                <w:p>
                  <w:pPr>
                    <w:jc w:val="center"/>
                    <w:rPr>
                      <w:bCs/>
                      <w:color w:val="000000"/>
                      <w:szCs w:val="21"/>
                    </w:rPr>
                  </w:pPr>
                  <w:r>
                    <w:rPr>
                      <w:bCs/>
                      <w:color w:val="000000"/>
                      <w:szCs w:val="21"/>
                    </w:rPr>
                    <w:t>场界北侧</w:t>
                  </w:r>
                </w:p>
              </w:tc>
              <w:tc>
                <w:tcPr>
                  <w:tcW w:w="1227" w:type="pct"/>
                  <w:vAlign w:val="center"/>
                </w:tcPr>
                <w:p>
                  <w:pPr>
                    <w:jc w:val="center"/>
                    <w:rPr>
                      <w:bCs/>
                      <w:color w:val="000000"/>
                      <w:szCs w:val="21"/>
                    </w:rPr>
                  </w:pPr>
                  <w:r>
                    <w:rPr>
                      <w:rFonts w:hint="eastAsia"/>
                      <w:bCs/>
                      <w:color w:val="000000"/>
                      <w:szCs w:val="21"/>
                    </w:rPr>
                    <w:t>52.3</w:t>
                  </w:r>
                </w:p>
              </w:tc>
              <w:tc>
                <w:tcPr>
                  <w:tcW w:w="1334" w:type="pct"/>
                  <w:vAlign w:val="center"/>
                </w:tcPr>
                <w:p>
                  <w:pPr>
                    <w:jc w:val="center"/>
                    <w:rPr>
                      <w:bCs/>
                      <w:color w:val="000000"/>
                      <w:szCs w:val="21"/>
                    </w:rPr>
                  </w:pPr>
                  <w:r>
                    <w:rPr>
                      <w:rFonts w:hint="eastAsia"/>
                      <w:bCs/>
                      <w:color w:val="000000"/>
                      <w:szCs w:val="21"/>
                    </w:rPr>
                    <w:t>60</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37" w:type="pct"/>
                  <w:vAlign w:val="center"/>
                </w:tcPr>
                <w:p>
                  <w:pPr>
                    <w:jc w:val="center"/>
                    <w:rPr>
                      <w:bCs/>
                      <w:color w:val="000000"/>
                      <w:szCs w:val="21"/>
                    </w:rPr>
                  </w:pPr>
                  <w:r>
                    <w:rPr>
                      <w:bCs/>
                      <w:color w:val="000000"/>
                      <w:szCs w:val="21"/>
                    </w:rPr>
                    <w:t>场界南侧</w:t>
                  </w:r>
                </w:p>
              </w:tc>
              <w:tc>
                <w:tcPr>
                  <w:tcW w:w="1227" w:type="pct"/>
                  <w:vAlign w:val="center"/>
                </w:tcPr>
                <w:p>
                  <w:pPr>
                    <w:jc w:val="center"/>
                    <w:rPr>
                      <w:bCs/>
                      <w:color w:val="000000"/>
                      <w:szCs w:val="21"/>
                    </w:rPr>
                  </w:pPr>
                  <w:r>
                    <w:rPr>
                      <w:rFonts w:hint="eastAsia"/>
                      <w:bCs/>
                      <w:color w:val="000000"/>
                      <w:szCs w:val="21"/>
                    </w:rPr>
                    <w:t>45.6</w:t>
                  </w:r>
                </w:p>
              </w:tc>
              <w:tc>
                <w:tcPr>
                  <w:tcW w:w="1334" w:type="pct"/>
                  <w:vAlign w:val="center"/>
                </w:tcPr>
                <w:p>
                  <w:pPr>
                    <w:jc w:val="center"/>
                    <w:rPr>
                      <w:bCs/>
                      <w:color w:val="000000"/>
                      <w:szCs w:val="21"/>
                    </w:rPr>
                  </w:pPr>
                  <w:r>
                    <w:rPr>
                      <w:rFonts w:hint="eastAsia"/>
                      <w:bCs/>
                      <w:color w:val="000000"/>
                      <w:szCs w:val="21"/>
                    </w:rPr>
                    <w:t>60</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37" w:type="pct"/>
                  <w:vAlign w:val="center"/>
                </w:tcPr>
                <w:p>
                  <w:pPr>
                    <w:jc w:val="center"/>
                    <w:rPr>
                      <w:bCs/>
                      <w:color w:val="000000"/>
                      <w:szCs w:val="21"/>
                    </w:rPr>
                  </w:pPr>
                  <w:r>
                    <w:rPr>
                      <w:bCs/>
                      <w:color w:val="000000"/>
                      <w:szCs w:val="21"/>
                    </w:rPr>
                    <w:t>场界西侧</w:t>
                  </w:r>
                </w:p>
              </w:tc>
              <w:tc>
                <w:tcPr>
                  <w:tcW w:w="1227" w:type="pct"/>
                  <w:vAlign w:val="center"/>
                </w:tcPr>
                <w:p>
                  <w:pPr>
                    <w:jc w:val="center"/>
                    <w:rPr>
                      <w:bCs/>
                      <w:color w:val="000000"/>
                      <w:szCs w:val="21"/>
                    </w:rPr>
                  </w:pPr>
                  <w:r>
                    <w:rPr>
                      <w:rFonts w:hint="eastAsia"/>
                      <w:bCs/>
                      <w:color w:val="000000"/>
                      <w:szCs w:val="21"/>
                    </w:rPr>
                    <w:t>51.1</w:t>
                  </w:r>
                </w:p>
              </w:tc>
              <w:tc>
                <w:tcPr>
                  <w:tcW w:w="1334" w:type="pct"/>
                  <w:vAlign w:val="center"/>
                </w:tcPr>
                <w:p>
                  <w:pPr>
                    <w:jc w:val="center"/>
                    <w:rPr>
                      <w:bCs/>
                      <w:color w:val="000000"/>
                      <w:szCs w:val="21"/>
                    </w:rPr>
                  </w:pPr>
                  <w:r>
                    <w:rPr>
                      <w:rFonts w:hint="eastAsia"/>
                      <w:bCs/>
                      <w:color w:val="000000"/>
                      <w:szCs w:val="21"/>
                    </w:rPr>
                    <w:t>60</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37" w:type="pct"/>
                  <w:vAlign w:val="center"/>
                </w:tcPr>
                <w:p>
                  <w:pPr>
                    <w:jc w:val="center"/>
                    <w:rPr>
                      <w:bCs/>
                      <w:color w:val="000000"/>
                      <w:szCs w:val="21"/>
                    </w:rPr>
                  </w:pPr>
                  <w:r>
                    <w:rPr>
                      <w:bCs/>
                      <w:color w:val="000000"/>
                      <w:szCs w:val="21"/>
                    </w:rPr>
                    <w:t>场界东侧</w:t>
                  </w:r>
                </w:p>
              </w:tc>
              <w:tc>
                <w:tcPr>
                  <w:tcW w:w="1227" w:type="pct"/>
                  <w:vAlign w:val="center"/>
                </w:tcPr>
                <w:p>
                  <w:pPr>
                    <w:jc w:val="center"/>
                    <w:rPr>
                      <w:bCs/>
                      <w:color w:val="000000"/>
                      <w:szCs w:val="21"/>
                    </w:rPr>
                  </w:pPr>
                  <w:r>
                    <w:rPr>
                      <w:rFonts w:hint="eastAsia"/>
                      <w:bCs/>
                      <w:color w:val="000000"/>
                      <w:szCs w:val="21"/>
                    </w:rPr>
                    <w:t>47.3</w:t>
                  </w:r>
                </w:p>
              </w:tc>
              <w:tc>
                <w:tcPr>
                  <w:tcW w:w="1334" w:type="pct"/>
                  <w:vAlign w:val="center"/>
                </w:tcPr>
                <w:p>
                  <w:pPr>
                    <w:jc w:val="center"/>
                    <w:rPr>
                      <w:bCs/>
                      <w:color w:val="000000"/>
                      <w:szCs w:val="21"/>
                    </w:rPr>
                  </w:pPr>
                  <w:r>
                    <w:rPr>
                      <w:rFonts w:hint="eastAsia"/>
                      <w:bCs/>
                      <w:color w:val="000000"/>
                      <w:szCs w:val="21"/>
                    </w:rPr>
                    <w:t>60</w:t>
                  </w:r>
                </w:p>
              </w:tc>
            </w:tr>
          </w:tbl>
          <w:p>
            <w:pPr>
              <w:widowControl/>
              <w:spacing w:line="360" w:lineRule="auto"/>
              <w:ind w:firstLine="480" w:firstLineChars="200"/>
              <w:rPr>
                <w:color w:val="000000"/>
                <w:sz w:val="24"/>
              </w:rPr>
            </w:pPr>
            <w:r>
              <w:rPr>
                <w:color w:val="000000"/>
                <w:sz w:val="24"/>
              </w:rPr>
              <w:t>从表4-</w:t>
            </w:r>
            <w:r>
              <w:rPr>
                <w:rFonts w:hint="eastAsia"/>
                <w:color w:val="000000"/>
                <w:sz w:val="24"/>
              </w:rPr>
              <w:t>4</w:t>
            </w:r>
            <w:r>
              <w:rPr>
                <w:color w:val="000000"/>
                <w:sz w:val="24"/>
              </w:rPr>
              <w:t>中可以看出，</w:t>
            </w:r>
            <w:r>
              <w:rPr>
                <w:color w:val="000000"/>
                <w:sz w:val="24"/>
                <w:u w:color="000000"/>
              </w:rPr>
              <w:t>工程噪声源厂界</w:t>
            </w:r>
            <w:r>
              <w:rPr>
                <w:rFonts w:hint="eastAsia"/>
                <w:color w:val="000000"/>
                <w:sz w:val="24"/>
                <w:u w:color="000000"/>
              </w:rPr>
              <w:t>贡献</w:t>
            </w:r>
            <w:r>
              <w:rPr>
                <w:color w:val="000000"/>
                <w:sz w:val="24"/>
                <w:u w:color="000000"/>
              </w:rPr>
              <w:t>值</w:t>
            </w:r>
            <w:r>
              <w:rPr>
                <w:rFonts w:hint="eastAsia"/>
                <w:color w:val="000000"/>
                <w:sz w:val="24"/>
                <w:u w:color="000000"/>
              </w:rPr>
              <w:t>为45.6~52.3</w:t>
            </w:r>
            <w:r>
              <w:rPr>
                <w:color w:val="000000"/>
                <w:sz w:val="24"/>
              </w:rPr>
              <w:t>dB(A)，满足《工业企业厂界环境噪声排放标准》（GB12348-2008）</w:t>
            </w:r>
            <w:r>
              <w:rPr>
                <w:rFonts w:hint="eastAsia"/>
                <w:color w:val="000000"/>
                <w:sz w:val="24"/>
              </w:rPr>
              <w:t>2</w:t>
            </w:r>
            <w:r>
              <w:rPr>
                <w:color w:val="000000"/>
                <w:sz w:val="24"/>
              </w:rPr>
              <w:t>类标准。项目噪声对周围声环境影响很小。</w:t>
            </w:r>
          </w:p>
          <w:p>
            <w:pPr>
              <w:widowControl/>
              <w:spacing w:line="360" w:lineRule="auto"/>
              <w:rPr>
                <w:b/>
                <w:bCs/>
                <w:color w:val="000000"/>
                <w:sz w:val="24"/>
              </w:rPr>
            </w:pPr>
            <w:r>
              <w:rPr>
                <w:rFonts w:hint="eastAsia"/>
                <w:b/>
                <w:bCs/>
                <w:color w:val="000000"/>
                <w:sz w:val="24"/>
              </w:rPr>
              <w:t>3</w:t>
            </w:r>
            <w:r>
              <w:rPr>
                <w:b/>
                <w:bCs/>
                <w:color w:val="000000"/>
                <w:sz w:val="24"/>
              </w:rPr>
              <w:t>.</w:t>
            </w:r>
            <w:r>
              <w:rPr>
                <w:rFonts w:hint="eastAsia"/>
                <w:b/>
                <w:bCs/>
                <w:color w:val="000000"/>
                <w:sz w:val="24"/>
              </w:rPr>
              <w:t>3</w:t>
            </w:r>
            <w:r>
              <w:rPr>
                <w:b/>
                <w:bCs/>
                <w:color w:val="000000"/>
                <w:sz w:val="24"/>
              </w:rPr>
              <w:t>防治措施</w:t>
            </w:r>
          </w:p>
          <w:p>
            <w:pPr>
              <w:pStyle w:val="55"/>
              <w:spacing w:line="360" w:lineRule="auto"/>
              <w:ind w:firstLine="0" w:firstLineChars="0"/>
              <w:rPr>
                <w:b/>
                <w:bCs w:val="0"/>
                <w:color w:val="000000"/>
                <w:kern w:val="2"/>
                <w:szCs w:val="24"/>
                <w:u w:color="000000"/>
              </w:rPr>
            </w:pPr>
            <w:r>
              <w:rPr>
                <w:rFonts w:hint="eastAsia"/>
                <w:b/>
                <w:bCs w:val="0"/>
                <w:color w:val="000000"/>
                <w:kern w:val="2"/>
                <w:szCs w:val="24"/>
                <w:u w:color="000000"/>
              </w:rPr>
              <w:t>3.3.1</w:t>
            </w:r>
            <w:r>
              <w:rPr>
                <w:b/>
                <w:bCs w:val="0"/>
                <w:color w:val="000000"/>
                <w:kern w:val="2"/>
                <w:szCs w:val="24"/>
                <w:u w:color="000000"/>
              </w:rPr>
              <w:t>治理噪声源</w:t>
            </w:r>
          </w:p>
          <w:p>
            <w:pPr>
              <w:pStyle w:val="55"/>
              <w:spacing w:line="360" w:lineRule="auto"/>
              <w:rPr>
                <w:color w:val="000000"/>
                <w:kern w:val="2"/>
                <w:szCs w:val="24"/>
                <w:u w:color="000000"/>
              </w:rPr>
            </w:pPr>
            <w:r>
              <w:rPr>
                <w:color w:val="000000"/>
                <w:kern w:val="2"/>
                <w:szCs w:val="24"/>
              </w:rPr>
              <w:t>从声源设备上进行噪声控制，设计中尽量选取低噪声设备和工艺，对高噪声设备，订货时按设计要求对制造厂家提出噪声限值要求</w:t>
            </w:r>
            <w:r>
              <w:rPr>
                <w:color w:val="000000"/>
                <w:kern w:val="2"/>
                <w:szCs w:val="24"/>
                <w:u w:color="000000"/>
              </w:rPr>
              <w:t>。</w:t>
            </w:r>
          </w:p>
          <w:p>
            <w:pPr>
              <w:pStyle w:val="55"/>
              <w:spacing w:line="360" w:lineRule="auto"/>
              <w:ind w:firstLine="0" w:firstLineChars="0"/>
              <w:rPr>
                <w:b/>
                <w:bCs w:val="0"/>
                <w:color w:val="000000"/>
                <w:kern w:val="2"/>
                <w:szCs w:val="24"/>
                <w:u w:color="000000"/>
              </w:rPr>
            </w:pPr>
            <w:r>
              <w:rPr>
                <w:rFonts w:hint="eastAsia"/>
                <w:b/>
                <w:bCs w:val="0"/>
                <w:color w:val="000000"/>
                <w:kern w:val="2"/>
                <w:szCs w:val="24"/>
                <w:u w:color="000000"/>
              </w:rPr>
              <w:t>3.3.2</w:t>
            </w:r>
            <w:r>
              <w:rPr>
                <w:b/>
                <w:bCs w:val="0"/>
                <w:color w:val="000000"/>
                <w:kern w:val="2"/>
                <w:szCs w:val="24"/>
                <w:u w:color="000000"/>
              </w:rPr>
              <w:t>传播途径控制</w:t>
            </w:r>
          </w:p>
          <w:p>
            <w:pPr>
              <w:spacing w:line="360" w:lineRule="auto"/>
              <w:ind w:firstLine="480" w:firstLineChars="200"/>
              <w:rPr>
                <w:color w:val="000000"/>
                <w:sz w:val="24"/>
              </w:rPr>
            </w:pPr>
            <w:r>
              <w:rPr>
                <w:color w:val="000000"/>
                <w:sz w:val="24"/>
              </w:rPr>
              <w:t>（1）隔断噪声的传播途径，能置于室内的设备全部置于室内。</w:t>
            </w:r>
          </w:p>
          <w:p>
            <w:pPr>
              <w:pStyle w:val="55"/>
              <w:spacing w:line="360" w:lineRule="auto"/>
              <w:rPr>
                <w:color w:val="000000"/>
                <w:kern w:val="2"/>
                <w:szCs w:val="24"/>
                <w:u w:color="000000"/>
              </w:rPr>
            </w:pPr>
            <w:r>
              <w:rPr>
                <w:color w:val="000000"/>
                <w:kern w:val="2"/>
                <w:szCs w:val="24"/>
              </w:rPr>
              <w:t>（2）高噪声设备要求安装在基础减振底座，并将其紧固在减振混凝土机座上，机座四周要留有一定深度的消声槽，槽内填充玻璃纤维、矿棉等隔声材料，用微穿孔板制成的上盖封好</w:t>
            </w:r>
            <w:r>
              <w:rPr>
                <w:color w:val="000000"/>
                <w:kern w:val="2"/>
                <w:szCs w:val="24"/>
                <w:u w:color="000000"/>
              </w:rPr>
              <w:t>。</w:t>
            </w:r>
          </w:p>
          <w:p>
            <w:pPr>
              <w:pStyle w:val="55"/>
              <w:spacing w:line="360" w:lineRule="auto"/>
              <w:ind w:firstLine="0" w:firstLineChars="0"/>
              <w:rPr>
                <w:b/>
                <w:bCs w:val="0"/>
                <w:color w:val="000000"/>
                <w:kern w:val="2"/>
                <w:szCs w:val="24"/>
                <w:u w:color="000000"/>
              </w:rPr>
            </w:pPr>
            <w:r>
              <w:rPr>
                <w:rFonts w:hint="eastAsia"/>
                <w:b/>
                <w:bCs w:val="0"/>
                <w:color w:val="000000"/>
                <w:kern w:val="2"/>
                <w:szCs w:val="24"/>
                <w:u w:color="000000"/>
              </w:rPr>
              <w:t>3.3.3</w:t>
            </w:r>
            <w:r>
              <w:rPr>
                <w:b/>
                <w:bCs w:val="0"/>
                <w:color w:val="000000"/>
                <w:kern w:val="2"/>
                <w:szCs w:val="24"/>
                <w:u w:color="000000"/>
              </w:rPr>
              <w:t>强化生产管理</w:t>
            </w:r>
          </w:p>
          <w:p>
            <w:pPr>
              <w:pStyle w:val="55"/>
              <w:spacing w:line="360" w:lineRule="auto"/>
              <w:rPr>
                <w:color w:val="000000"/>
                <w:kern w:val="2"/>
                <w:szCs w:val="24"/>
                <w:u w:color="000000"/>
              </w:rPr>
            </w:pPr>
            <w:r>
              <w:rPr>
                <w:color w:val="000000"/>
                <w:kern w:val="2"/>
                <w:szCs w:val="24"/>
                <w:u w:color="000000"/>
              </w:rPr>
              <w:t>确保降噪设施的有效运行，并加强对生产设备的保养、检修与润滑，保证设备处于良好的运转状态。</w:t>
            </w:r>
          </w:p>
          <w:p>
            <w:pPr>
              <w:pStyle w:val="55"/>
              <w:spacing w:line="360" w:lineRule="auto"/>
              <w:rPr>
                <w:color w:val="000000"/>
                <w:szCs w:val="24"/>
                <w:u w:color="000000"/>
              </w:rPr>
            </w:pPr>
            <w:r>
              <w:rPr>
                <w:color w:val="000000"/>
                <w:kern w:val="2"/>
                <w:szCs w:val="24"/>
                <w:u w:color="000000"/>
              </w:rPr>
              <w:t>经过以上措施处理后，项目产生的噪声对环境影响较小</w:t>
            </w:r>
            <w:r>
              <w:rPr>
                <w:color w:val="000000"/>
                <w:szCs w:val="24"/>
                <w:u w:color="000000"/>
              </w:rPr>
              <w:t>。</w:t>
            </w:r>
          </w:p>
          <w:p>
            <w:pPr>
              <w:pStyle w:val="55"/>
              <w:spacing w:line="360" w:lineRule="auto"/>
              <w:ind w:firstLine="0" w:firstLineChars="0"/>
              <w:rPr>
                <w:b/>
                <w:bCs w:val="0"/>
                <w:color w:val="000000"/>
                <w:szCs w:val="24"/>
                <w:u w:color="000000"/>
              </w:rPr>
            </w:pPr>
            <w:r>
              <w:rPr>
                <w:rFonts w:hint="eastAsia"/>
                <w:b/>
                <w:bCs w:val="0"/>
                <w:color w:val="000000"/>
                <w:szCs w:val="24"/>
                <w:u w:color="000000"/>
              </w:rPr>
              <w:t>3</w:t>
            </w:r>
            <w:r>
              <w:rPr>
                <w:b/>
                <w:bCs w:val="0"/>
                <w:color w:val="000000"/>
                <w:szCs w:val="24"/>
                <w:u w:color="000000"/>
              </w:rPr>
              <w:t>.</w:t>
            </w:r>
            <w:r>
              <w:rPr>
                <w:rFonts w:hint="eastAsia"/>
                <w:b/>
                <w:bCs w:val="0"/>
                <w:color w:val="000000"/>
                <w:szCs w:val="24"/>
                <w:u w:color="000000"/>
              </w:rPr>
              <w:t>4</w:t>
            </w:r>
            <w:r>
              <w:rPr>
                <w:b/>
                <w:bCs w:val="0"/>
                <w:color w:val="000000"/>
                <w:szCs w:val="24"/>
                <w:u w:color="000000"/>
              </w:rPr>
              <w:t>噪声监测频率</w:t>
            </w:r>
          </w:p>
          <w:p>
            <w:pPr>
              <w:pStyle w:val="55"/>
              <w:spacing w:line="360" w:lineRule="auto"/>
              <w:ind w:firstLine="482"/>
              <w:jc w:val="center"/>
              <w:rPr>
                <w:b/>
                <w:bCs w:val="0"/>
                <w:color w:val="000000"/>
                <w:szCs w:val="24"/>
                <w:u w:color="000000"/>
              </w:rPr>
            </w:pPr>
            <w:r>
              <w:rPr>
                <w:b/>
                <w:bCs w:val="0"/>
                <w:color w:val="000000"/>
                <w:szCs w:val="24"/>
                <w:u w:color="000000"/>
              </w:rPr>
              <w:t>表4-</w:t>
            </w:r>
            <w:r>
              <w:rPr>
                <w:rFonts w:hint="eastAsia"/>
                <w:b/>
                <w:bCs w:val="0"/>
                <w:color w:val="000000"/>
                <w:szCs w:val="24"/>
                <w:u w:color="000000"/>
              </w:rPr>
              <w:t xml:space="preserve">7 </w:t>
            </w:r>
            <w:r>
              <w:rPr>
                <w:b/>
                <w:bCs w:val="0"/>
                <w:color w:val="000000"/>
                <w:szCs w:val="24"/>
                <w:u w:color="000000"/>
              </w:rPr>
              <w:t xml:space="preserve"> 项目噪声监测频率表</w:t>
            </w:r>
          </w:p>
          <w:tbl>
            <w:tblPr>
              <w:tblStyle w:val="20"/>
              <w:tblW w:w="7957" w:type="dxa"/>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666"/>
              <w:gridCol w:w="925"/>
              <w:gridCol w:w="1288"/>
              <w:gridCol w:w="967"/>
              <w:gridCol w:w="1320"/>
              <w:gridCol w:w="2791"/>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666" w:type="dxa"/>
                  <w:vAlign w:val="center"/>
                </w:tcPr>
                <w:p>
                  <w:pPr>
                    <w:jc w:val="center"/>
                    <w:rPr>
                      <w:color w:val="000000"/>
                      <w:szCs w:val="21"/>
                    </w:rPr>
                  </w:pPr>
                  <w:r>
                    <w:rPr>
                      <w:color w:val="000000"/>
                      <w:szCs w:val="21"/>
                    </w:rPr>
                    <w:t>类别</w:t>
                  </w:r>
                </w:p>
              </w:tc>
              <w:tc>
                <w:tcPr>
                  <w:tcW w:w="925" w:type="dxa"/>
                  <w:vAlign w:val="center"/>
                </w:tcPr>
                <w:p>
                  <w:pPr>
                    <w:jc w:val="center"/>
                    <w:rPr>
                      <w:color w:val="000000"/>
                      <w:szCs w:val="21"/>
                    </w:rPr>
                  </w:pPr>
                  <w:r>
                    <w:rPr>
                      <w:color w:val="000000"/>
                      <w:szCs w:val="21"/>
                    </w:rPr>
                    <w:t>排放源</w:t>
                  </w:r>
                </w:p>
              </w:tc>
              <w:tc>
                <w:tcPr>
                  <w:tcW w:w="1288" w:type="dxa"/>
                  <w:vAlign w:val="center"/>
                </w:tcPr>
                <w:p>
                  <w:pPr>
                    <w:jc w:val="center"/>
                    <w:rPr>
                      <w:color w:val="000000"/>
                      <w:szCs w:val="21"/>
                    </w:rPr>
                  </w:pPr>
                  <w:r>
                    <w:rPr>
                      <w:color w:val="000000"/>
                      <w:szCs w:val="21"/>
                    </w:rPr>
                    <w:t>监测点位</w:t>
                  </w:r>
                </w:p>
              </w:tc>
              <w:tc>
                <w:tcPr>
                  <w:tcW w:w="967" w:type="dxa"/>
                  <w:vAlign w:val="center"/>
                </w:tcPr>
                <w:p>
                  <w:pPr>
                    <w:jc w:val="center"/>
                    <w:rPr>
                      <w:color w:val="000000"/>
                      <w:szCs w:val="21"/>
                    </w:rPr>
                  </w:pPr>
                  <w:r>
                    <w:rPr>
                      <w:color w:val="000000"/>
                      <w:szCs w:val="21"/>
                    </w:rPr>
                    <w:t>监测项目</w:t>
                  </w:r>
                </w:p>
              </w:tc>
              <w:tc>
                <w:tcPr>
                  <w:tcW w:w="1320" w:type="dxa"/>
                  <w:vAlign w:val="center"/>
                </w:tcPr>
                <w:p>
                  <w:pPr>
                    <w:jc w:val="center"/>
                    <w:rPr>
                      <w:color w:val="000000"/>
                      <w:szCs w:val="21"/>
                    </w:rPr>
                  </w:pPr>
                  <w:r>
                    <w:rPr>
                      <w:color w:val="000000"/>
                      <w:szCs w:val="21"/>
                    </w:rPr>
                    <w:t>监测时间、频率</w:t>
                  </w:r>
                </w:p>
              </w:tc>
              <w:tc>
                <w:tcPr>
                  <w:tcW w:w="2791" w:type="dxa"/>
                  <w:vAlign w:val="center"/>
                </w:tcPr>
                <w:p>
                  <w:pPr>
                    <w:jc w:val="center"/>
                    <w:rPr>
                      <w:color w:val="000000"/>
                      <w:szCs w:val="21"/>
                    </w:rPr>
                  </w:pPr>
                  <w:r>
                    <w:rPr>
                      <w:color w:val="000000"/>
                      <w:szCs w:val="21"/>
                    </w:rPr>
                    <w:t>执行标准</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666" w:type="dxa"/>
                  <w:vAlign w:val="center"/>
                </w:tcPr>
                <w:p>
                  <w:pPr>
                    <w:jc w:val="center"/>
                    <w:rPr>
                      <w:color w:val="000000"/>
                      <w:szCs w:val="21"/>
                    </w:rPr>
                  </w:pPr>
                  <w:r>
                    <w:rPr>
                      <w:color w:val="000000"/>
                      <w:szCs w:val="21"/>
                    </w:rPr>
                    <w:t>噪声</w:t>
                  </w:r>
                </w:p>
              </w:tc>
              <w:tc>
                <w:tcPr>
                  <w:tcW w:w="925" w:type="dxa"/>
                  <w:vAlign w:val="center"/>
                </w:tcPr>
                <w:p>
                  <w:pPr>
                    <w:jc w:val="center"/>
                    <w:rPr>
                      <w:color w:val="000000"/>
                      <w:kern w:val="0"/>
                      <w:szCs w:val="21"/>
                      <w:u w:color="000000"/>
                    </w:rPr>
                  </w:pPr>
                  <w:r>
                    <w:rPr>
                      <w:color w:val="000000"/>
                      <w:kern w:val="0"/>
                      <w:szCs w:val="21"/>
                      <w:u w:color="000000"/>
                    </w:rPr>
                    <w:t>运行设备</w:t>
                  </w:r>
                </w:p>
              </w:tc>
              <w:tc>
                <w:tcPr>
                  <w:tcW w:w="1288" w:type="dxa"/>
                  <w:vAlign w:val="center"/>
                </w:tcPr>
                <w:p>
                  <w:pPr>
                    <w:jc w:val="center"/>
                    <w:rPr>
                      <w:color w:val="000000"/>
                      <w:kern w:val="0"/>
                      <w:szCs w:val="21"/>
                      <w:u w:color="000000"/>
                    </w:rPr>
                  </w:pPr>
                  <w:r>
                    <w:rPr>
                      <w:color w:val="000000"/>
                      <w:kern w:val="0"/>
                      <w:szCs w:val="21"/>
                      <w:u w:color="000000"/>
                    </w:rPr>
                    <w:t>厂区四周</w:t>
                  </w:r>
                </w:p>
              </w:tc>
              <w:tc>
                <w:tcPr>
                  <w:tcW w:w="967" w:type="dxa"/>
                  <w:vAlign w:val="center"/>
                </w:tcPr>
                <w:p>
                  <w:pPr>
                    <w:jc w:val="center"/>
                    <w:rPr>
                      <w:color w:val="000000"/>
                      <w:kern w:val="0"/>
                      <w:szCs w:val="21"/>
                      <w:u w:color="000000"/>
                    </w:rPr>
                  </w:pPr>
                  <w:r>
                    <w:rPr>
                      <w:color w:val="000000"/>
                      <w:kern w:val="0"/>
                      <w:szCs w:val="21"/>
                      <w:u w:color="000000"/>
                    </w:rPr>
                    <w:t>噪声</w:t>
                  </w:r>
                </w:p>
              </w:tc>
              <w:tc>
                <w:tcPr>
                  <w:tcW w:w="1320" w:type="dxa"/>
                  <w:vAlign w:val="center"/>
                </w:tcPr>
                <w:p>
                  <w:pPr>
                    <w:jc w:val="center"/>
                    <w:rPr>
                      <w:color w:val="000000"/>
                      <w:kern w:val="0"/>
                      <w:szCs w:val="21"/>
                      <w:u w:color="000000"/>
                    </w:rPr>
                  </w:pPr>
                  <w:r>
                    <w:rPr>
                      <w:color w:val="000000"/>
                      <w:szCs w:val="21"/>
                    </w:rPr>
                    <w:t>每季度监测1次</w:t>
                  </w:r>
                </w:p>
              </w:tc>
              <w:tc>
                <w:tcPr>
                  <w:tcW w:w="2791" w:type="dxa"/>
                  <w:vAlign w:val="center"/>
                </w:tcPr>
                <w:p>
                  <w:pPr>
                    <w:jc w:val="center"/>
                    <w:rPr>
                      <w:color w:val="000000"/>
                      <w:szCs w:val="21"/>
                    </w:rPr>
                  </w:pPr>
                  <w:r>
                    <w:rPr>
                      <w:bCs/>
                      <w:color w:val="000000"/>
                      <w:szCs w:val="21"/>
                    </w:rPr>
                    <w:t>《工业企业厂界环境噪声排放标准》（GB12348-2008）中</w:t>
                  </w:r>
                  <w:r>
                    <w:rPr>
                      <w:rFonts w:hint="eastAsia"/>
                      <w:bCs/>
                      <w:color w:val="000000"/>
                      <w:szCs w:val="21"/>
                    </w:rPr>
                    <w:t>2</w:t>
                  </w:r>
                  <w:r>
                    <w:rPr>
                      <w:bCs/>
                      <w:color w:val="000000"/>
                      <w:szCs w:val="21"/>
                    </w:rPr>
                    <w:t>类标准；</w:t>
                  </w:r>
                </w:p>
              </w:tc>
            </w:tr>
          </w:tbl>
          <w:p>
            <w:pPr>
              <w:pStyle w:val="32"/>
              <w:spacing w:line="360" w:lineRule="auto"/>
              <w:rPr>
                <w:rFonts w:ascii="Times New Roman" w:cs="Times New Roman"/>
                <w:b/>
              </w:rPr>
            </w:pPr>
            <w:r>
              <w:rPr>
                <w:rFonts w:hint="eastAsia" w:ascii="Times New Roman" w:cs="Times New Roman"/>
                <w:b/>
              </w:rPr>
              <w:t>4</w:t>
            </w:r>
            <w:r>
              <w:rPr>
                <w:rFonts w:ascii="Times New Roman" w:cs="Times New Roman"/>
                <w:b/>
              </w:rPr>
              <w:t>、固体废物环境影响分析</w:t>
            </w:r>
          </w:p>
          <w:p>
            <w:pPr>
              <w:spacing w:line="360" w:lineRule="auto"/>
              <w:ind w:firstLine="480" w:firstLineChars="200"/>
              <w:rPr>
                <w:color w:val="000000"/>
                <w:sz w:val="24"/>
              </w:rPr>
            </w:pPr>
            <w:r>
              <w:rPr>
                <w:color w:val="000000"/>
                <w:sz w:val="24"/>
              </w:rPr>
              <w:t>项目运营期固体废物主要为</w:t>
            </w:r>
            <w:r>
              <w:rPr>
                <w:rFonts w:hint="eastAsia"/>
                <w:color w:val="000000"/>
                <w:sz w:val="24"/>
              </w:rPr>
              <w:t>废边角料、除尘灰、废活性炭、生活垃圾</w:t>
            </w:r>
            <w:r>
              <w:rPr>
                <w:color w:val="000000"/>
                <w:sz w:val="24"/>
              </w:rPr>
              <w:t>。</w:t>
            </w:r>
          </w:p>
          <w:p>
            <w:pPr>
              <w:pStyle w:val="13"/>
              <w:spacing w:after="0" w:line="360" w:lineRule="auto"/>
              <w:ind w:left="0" w:leftChars="0"/>
              <w:jc w:val="left"/>
              <w:rPr>
                <w:b/>
                <w:bCs/>
                <w:color w:val="000000"/>
                <w:sz w:val="24"/>
                <w:szCs w:val="22"/>
              </w:rPr>
            </w:pPr>
            <w:r>
              <w:rPr>
                <w:rFonts w:hint="eastAsia"/>
                <w:b/>
                <w:bCs/>
                <w:color w:val="000000"/>
                <w:sz w:val="24"/>
                <w:szCs w:val="22"/>
              </w:rPr>
              <w:t>4.1</w:t>
            </w:r>
            <w:r>
              <w:rPr>
                <w:b/>
                <w:bCs/>
                <w:color w:val="000000"/>
                <w:sz w:val="24"/>
                <w:szCs w:val="22"/>
              </w:rPr>
              <w:t>固体废物来源及处置措施</w:t>
            </w:r>
          </w:p>
          <w:p>
            <w:pPr>
              <w:pStyle w:val="13"/>
              <w:spacing w:after="0" w:line="360" w:lineRule="auto"/>
              <w:ind w:left="0" w:leftChars="0"/>
              <w:textAlignment w:val="baseline"/>
              <w:rPr>
                <w:b/>
                <w:bCs/>
                <w:color w:val="000000"/>
                <w:sz w:val="24"/>
                <w:szCs w:val="22"/>
              </w:rPr>
            </w:pPr>
            <w:r>
              <w:rPr>
                <w:rFonts w:hint="eastAsia"/>
                <w:b/>
                <w:bCs/>
                <w:color w:val="000000"/>
                <w:sz w:val="24"/>
                <w:szCs w:val="22"/>
              </w:rPr>
              <w:t>4.1.1</w:t>
            </w:r>
            <w:r>
              <w:rPr>
                <w:b/>
                <w:bCs/>
                <w:color w:val="000000"/>
                <w:sz w:val="24"/>
                <w:szCs w:val="22"/>
              </w:rPr>
              <w:t>燃料燃烧灰烬</w:t>
            </w:r>
          </w:p>
          <w:p>
            <w:pPr>
              <w:pStyle w:val="90"/>
              <w:spacing w:line="360" w:lineRule="auto"/>
              <w:ind w:firstLine="480"/>
              <w:rPr>
                <w:rFonts w:ascii="Times New Roman" w:hAnsi="Times New Roman" w:cs="Times New Roman"/>
                <w:color w:val="000000"/>
                <w:kern w:val="2"/>
                <w:sz w:val="24"/>
                <w:szCs w:val="24"/>
              </w:rPr>
            </w:pPr>
            <w:r>
              <w:rPr>
                <w:rFonts w:ascii="Times New Roman" w:hAnsi="Times New Roman" w:cs="Times New Roman"/>
                <w:color w:val="000000"/>
                <w:kern w:val="2"/>
                <w:sz w:val="24"/>
                <w:szCs w:val="24"/>
              </w:rPr>
              <w:t>物质成型燃料燃烧后的灰烬主要成分为钾、镁、磷和钙等无机物，与秸秆、木材等燃烧后的草木灰性质成分类似，不具毒性和环境危害性，产生量约</w:t>
            </w:r>
            <w:r>
              <w:rPr>
                <w:rFonts w:hint="eastAsia" w:ascii="Times New Roman" w:hAnsi="Times New Roman" w:cs="Times New Roman"/>
                <w:color w:val="000000"/>
                <w:kern w:val="2"/>
                <w:sz w:val="24"/>
                <w:szCs w:val="24"/>
              </w:rPr>
              <w:t>50</w:t>
            </w:r>
            <w:r>
              <w:rPr>
                <w:rFonts w:ascii="Times New Roman" w:hAnsi="Times New Roman" w:cs="Times New Roman"/>
                <w:color w:val="000000"/>
                <w:kern w:val="2"/>
                <w:sz w:val="24"/>
                <w:szCs w:val="24"/>
              </w:rPr>
              <w:t xml:space="preserve"> t/a，收集后出售用作农肥。</w:t>
            </w:r>
          </w:p>
          <w:p>
            <w:pPr>
              <w:pStyle w:val="13"/>
              <w:spacing w:after="0" w:line="360" w:lineRule="auto"/>
              <w:ind w:left="0" w:leftChars="0"/>
              <w:rPr>
                <w:rStyle w:val="99"/>
                <w:b/>
                <w:bCs/>
                <w:color w:val="000000"/>
                <w:sz w:val="24"/>
              </w:rPr>
            </w:pPr>
            <w:r>
              <w:rPr>
                <w:rFonts w:hint="eastAsia"/>
                <w:b/>
                <w:bCs/>
                <w:color w:val="000000"/>
                <w:sz w:val="24"/>
              </w:rPr>
              <w:t>4.1.2</w:t>
            </w:r>
            <w:r>
              <w:rPr>
                <w:rStyle w:val="99"/>
                <w:rFonts w:hint="eastAsia"/>
                <w:b/>
                <w:bCs/>
                <w:color w:val="000000"/>
                <w:sz w:val="24"/>
              </w:rPr>
              <w:t>除尘灰</w:t>
            </w:r>
          </w:p>
          <w:p>
            <w:pPr>
              <w:pStyle w:val="13"/>
              <w:spacing w:after="0" w:line="360" w:lineRule="auto"/>
              <w:ind w:left="0" w:leftChars="0" w:firstLine="480" w:firstLineChars="200"/>
              <w:rPr>
                <w:bCs/>
                <w:color w:val="000000"/>
                <w:sz w:val="24"/>
              </w:rPr>
            </w:pPr>
            <w:r>
              <w:rPr>
                <w:rStyle w:val="99"/>
                <w:rFonts w:hint="eastAsia"/>
                <w:color w:val="000000"/>
                <w:sz w:val="24"/>
              </w:rPr>
              <w:t>除尘灰产生量为1.7</w:t>
            </w:r>
            <w:r>
              <w:rPr>
                <w:rStyle w:val="99"/>
                <w:color w:val="000000"/>
                <w:sz w:val="24"/>
              </w:rPr>
              <w:t>t/a</w:t>
            </w:r>
            <w:r>
              <w:rPr>
                <w:rStyle w:val="99"/>
                <w:rFonts w:hint="eastAsia"/>
                <w:color w:val="000000"/>
                <w:sz w:val="24"/>
              </w:rPr>
              <w:t>。收集后外售</w:t>
            </w:r>
            <w:r>
              <w:rPr>
                <w:rFonts w:hint="eastAsia"/>
                <w:bCs/>
                <w:color w:val="000000"/>
                <w:sz w:val="24"/>
              </w:rPr>
              <w:t>。</w:t>
            </w:r>
          </w:p>
          <w:p>
            <w:pPr>
              <w:pStyle w:val="13"/>
              <w:spacing w:after="0" w:line="360" w:lineRule="auto"/>
              <w:ind w:left="0" w:leftChars="0"/>
              <w:rPr>
                <w:rStyle w:val="99"/>
                <w:b/>
                <w:bCs/>
                <w:color w:val="000000"/>
                <w:sz w:val="24"/>
              </w:rPr>
            </w:pPr>
            <w:r>
              <w:rPr>
                <w:rStyle w:val="99"/>
                <w:rFonts w:hint="eastAsia"/>
                <w:b/>
                <w:bCs/>
                <w:color w:val="000000"/>
                <w:sz w:val="24"/>
              </w:rPr>
              <w:t>4.1.3废矿物油</w:t>
            </w:r>
            <w:r>
              <w:rPr>
                <w:rStyle w:val="99"/>
                <w:b/>
                <w:bCs/>
                <w:color w:val="000000"/>
                <w:sz w:val="24"/>
              </w:rPr>
              <w:t xml:space="preserve"> </w:t>
            </w:r>
          </w:p>
          <w:p>
            <w:pPr>
              <w:pStyle w:val="90"/>
              <w:ind w:firstLine="480"/>
              <w:rPr>
                <w:rStyle w:val="99"/>
                <w:color w:val="000000"/>
                <w:kern w:val="2"/>
                <w:sz w:val="24"/>
              </w:rPr>
            </w:pPr>
            <w:r>
              <w:rPr>
                <w:rStyle w:val="99"/>
                <w:color w:val="000000"/>
                <w:kern w:val="2"/>
                <w:sz w:val="24"/>
              </w:rPr>
              <w:t>本项目生产设备、机械设备维修会产生废矿物油，产生量约0.</w:t>
            </w:r>
            <w:r>
              <w:rPr>
                <w:rStyle w:val="99"/>
                <w:rFonts w:hint="eastAsia"/>
                <w:color w:val="000000"/>
                <w:kern w:val="2"/>
                <w:sz w:val="24"/>
              </w:rPr>
              <w:t>1</w:t>
            </w:r>
            <w:r>
              <w:rPr>
                <w:rStyle w:val="99"/>
                <w:color w:val="000000"/>
                <w:kern w:val="2"/>
                <w:sz w:val="24"/>
              </w:rPr>
              <w:t>t/a。</w:t>
            </w:r>
          </w:p>
          <w:p/>
          <w:p>
            <w:pPr>
              <w:pStyle w:val="13"/>
              <w:spacing w:after="0" w:line="360" w:lineRule="auto"/>
              <w:ind w:left="0" w:leftChars="0"/>
              <w:rPr>
                <w:rStyle w:val="99"/>
                <w:b/>
                <w:bCs/>
                <w:color w:val="000000"/>
                <w:sz w:val="24"/>
              </w:rPr>
            </w:pPr>
            <w:r>
              <w:rPr>
                <w:rStyle w:val="99"/>
                <w:rFonts w:hint="eastAsia"/>
                <w:b/>
                <w:bCs/>
                <w:color w:val="000000"/>
                <w:sz w:val="24"/>
              </w:rPr>
              <w:t>4.1.4</w:t>
            </w:r>
            <w:r>
              <w:rPr>
                <w:rStyle w:val="99"/>
                <w:b/>
                <w:bCs/>
                <w:color w:val="000000"/>
                <w:sz w:val="24"/>
              </w:rPr>
              <w:t>生活垃圾</w:t>
            </w:r>
          </w:p>
          <w:p>
            <w:pPr>
              <w:widowControl/>
              <w:spacing w:line="360" w:lineRule="auto"/>
              <w:ind w:firstLine="480" w:firstLineChars="200"/>
              <w:textAlignment w:val="baseline"/>
              <w:rPr>
                <w:color w:val="000000"/>
                <w:sz w:val="24"/>
              </w:rPr>
            </w:pPr>
            <w:r>
              <w:rPr>
                <w:rStyle w:val="99"/>
                <w:color w:val="000000"/>
                <w:sz w:val="24"/>
              </w:rPr>
              <w:t>项目生活垃圾产生系数按0.5</w:t>
            </w:r>
            <w:r>
              <w:rPr>
                <w:color w:val="000000"/>
                <w:sz w:val="24"/>
              </w:rPr>
              <w:t>kg/（d·人）计，劳动定员</w:t>
            </w:r>
            <w:r>
              <w:rPr>
                <w:rFonts w:hint="eastAsia"/>
                <w:color w:val="000000"/>
                <w:sz w:val="24"/>
              </w:rPr>
              <w:t>16</w:t>
            </w:r>
            <w:r>
              <w:rPr>
                <w:color w:val="000000"/>
                <w:sz w:val="24"/>
              </w:rPr>
              <w:t>人，年工作</w:t>
            </w:r>
            <w:r>
              <w:rPr>
                <w:rFonts w:hint="eastAsia"/>
                <w:color w:val="000000"/>
                <w:sz w:val="24"/>
              </w:rPr>
              <w:t>30</w:t>
            </w:r>
            <w:r>
              <w:rPr>
                <w:color w:val="000000"/>
                <w:sz w:val="24"/>
              </w:rPr>
              <w:t>0d，因此</w:t>
            </w:r>
            <w:r>
              <w:rPr>
                <w:bCs/>
                <w:color w:val="000000"/>
                <w:sz w:val="24"/>
              </w:rPr>
              <w:t>生活垃圾产生量为</w:t>
            </w:r>
            <w:r>
              <w:rPr>
                <w:rFonts w:hint="eastAsia"/>
                <w:bCs/>
                <w:color w:val="000000"/>
                <w:sz w:val="24"/>
              </w:rPr>
              <w:t>2.4</w:t>
            </w:r>
            <w:r>
              <w:rPr>
                <w:bCs/>
                <w:color w:val="000000"/>
                <w:sz w:val="24"/>
              </w:rPr>
              <w:t xml:space="preserve"> t/a</w:t>
            </w:r>
            <w:r>
              <w:rPr>
                <w:rFonts w:hint="eastAsia"/>
                <w:color w:val="000000"/>
                <w:sz w:val="24"/>
              </w:rPr>
              <w:t>，</w:t>
            </w:r>
            <w:r>
              <w:rPr>
                <w:color w:val="000000"/>
                <w:sz w:val="24"/>
              </w:rPr>
              <w:t>生活垃圾收集后交由环卫部门处置</w:t>
            </w:r>
            <w:r>
              <w:rPr>
                <w:rFonts w:hint="eastAsia"/>
                <w:color w:val="000000"/>
                <w:sz w:val="24"/>
              </w:rPr>
              <w:t>。</w:t>
            </w:r>
          </w:p>
          <w:p>
            <w:pPr>
              <w:spacing w:line="360" w:lineRule="auto"/>
              <w:jc w:val="center"/>
              <w:rPr>
                <w:rFonts w:hint="eastAsia"/>
                <w:b/>
                <w:color w:val="000000"/>
                <w:sz w:val="24"/>
              </w:rPr>
            </w:pPr>
          </w:p>
          <w:p>
            <w:pPr>
              <w:spacing w:line="360" w:lineRule="auto"/>
              <w:jc w:val="center"/>
              <w:rPr>
                <w:b/>
                <w:bCs/>
                <w:color w:val="000000"/>
                <w:sz w:val="28"/>
                <w:szCs w:val="28"/>
              </w:rPr>
            </w:pPr>
            <w:r>
              <w:rPr>
                <w:b/>
                <w:color w:val="000000"/>
                <w:sz w:val="24"/>
              </w:rPr>
              <w:t>表4-</w:t>
            </w:r>
            <w:r>
              <w:rPr>
                <w:rFonts w:hint="eastAsia"/>
                <w:b/>
                <w:color w:val="000000"/>
                <w:sz w:val="24"/>
              </w:rPr>
              <w:t>8</w:t>
            </w:r>
            <w:r>
              <w:rPr>
                <w:b/>
                <w:color w:val="000000"/>
                <w:sz w:val="24"/>
              </w:rPr>
              <w:t xml:space="preserve">  固体废物产排及治理措施表</w:t>
            </w:r>
          </w:p>
          <w:tbl>
            <w:tblPr>
              <w:tblStyle w:val="2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715"/>
              <w:gridCol w:w="781"/>
              <w:gridCol w:w="1414"/>
              <w:gridCol w:w="1095"/>
              <w:gridCol w:w="751"/>
              <w:gridCol w:w="908"/>
              <w:gridCol w:w="1493"/>
              <w:gridCol w:w="50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65" w:type="pct"/>
                  <w:vAlign w:val="center"/>
                </w:tcPr>
                <w:p>
                  <w:pPr>
                    <w:jc w:val="center"/>
                    <w:rPr>
                      <w:color w:val="000000"/>
                      <w:szCs w:val="21"/>
                    </w:rPr>
                  </w:pPr>
                  <w:r>
                    <w:rPr>
                      <w:color w:val="000000"/>
                      <w:szCs w:val="21"/>
                    </w:rPr>
                    <w:t>序号</w:t>
                  </w:r>
                </w:p>
              </w:tc>
              <w:tc>
                <w:tcPr>
                  <w:tcW w:w="442" w:type="pct"/>
                  <w:vAlign w:val="center"/>
                </w:tcPr>
                <w:p>
                  <w:pPr>
                    <w:jc w:val="center"/>
                    <w:rPr>
                      <w:color w:val="000000"/>
                      <w:szCs w:val="21"/>
                    </w:rPr>
                  </w:pPr>
                  <w:r>
                    <w:rPr>
                      <w:color w:val="000000"/>
                      <w:szCs w:val="21"/>
                    </w:rPr>
                    <w:t>固废名称</w:t>
                  </w:r>
                </w:p>
              </w:tc>
              <w:tc>
                <w:tcPr>
                  <w:tcW w:w="483" w:type="pct"/>
                  <w:vAlign w:val="center"/>
                </w:tcPr>
                <w:p>
                  <w:pPr>
                    <w:jc w:val="center"/>
                    <w:rPr>
                      <w:color w:val="000000"/>
                      <w:szCs w:val="21"/>
                    </w:rPr>
                  </w:pPr>
                  <w:r>
                    <w:rPr>
                      <w:color w:val="000000"/>
                      <w:szCs w:val="21"/>
                    </w:rPr>
                    <w:t>产生环节</w:t>
                  </w:r>
                </w:p>
              </w:tc>
              <w:tc>
                <w:tcPr>
                  <w:tcW w:w="874" w:type="pct"/>
                  <w:vAlign w:val="center"/>
                </w:tcPr>
                <w:p>
                  <w:pPr>
                    <w:jc w:val="center"/>
                    <w:rPr>
                      <w:color w:val="000000"/>
                      <w:szCs w:val="21"/>
                    </w:rPr>
                  </w:pPr>
                  <w:r>
                    <w:rPr>
                      <w:color w:val="000000"/>
                      <w:szCs w:val="21"/>
                    </w:rPr>
                    <w:t>固废性质</w:t>
                  </w:r>
                </w:p>
              </w:tc>
              <w:tc>
                <w:tcPr>
                  <w:tcW w:w="677" w:type="pct"/>
                  <w:vAlign w:val="center"/>
                </w:tcPr>
                <w:p>
                  <w:pPr>
                    <w:jc w:val="center"/>
                    <w:rPr>
                      <w:color w:val="000000"/>
                      <w:szCs w:val="21"/>
                    </w:rPr>
                  </w:pPr>
                  <w:r>
                    <w:rPr>
                      <w:color w:val="000000"/>
                      <w:szCs w:val="21"/>
                    </w:rPr>
                    <w:t>产量</w:t>
                  </w:r>
                </w:p>
              </w:tc>
              <w:tc>
                <w:tcPr>
                  <w:tcW w:w="464" w:type="pct"/>
                  <w:vAlign w:val="center"/>
                </w:tcPr>
                <w:p>
                  <w:pPr>
                    <w:jc w:val="center"/>
                    <w:rPr>
                      <w:color w:val="000000"/>
                      <w:szCs w:val="21"/>
                    </w:rPr>
                  </w:pPr>
                  <w:r>
                    <w:rPr>
                      <w:rFonts w:hint="eastAsia"/>
                      <w:color w:val="000000"/>
                      <w:szCs w:val="21"/>
                    </w:rPr>
                    <w:t>综合利用量</w:t>
                  </w:r>
                </w:p>
              </w:tc>
              <w:tc>
                <w:tcPr>
                  <w:tcW w:w="561" w:type="pct"/>
                  <w:vAlign w:val="center"/>
                </w:tcPr>
                <w:p>
                  <w:pPr>
                    <w:jc w:val="center"/>
                    <w:rPr>
                      <w:color w:val="000000"/>
                      <w:szCs w:val="21"/>
                    </w:rPr>
                  </w:pPr>
                  <w:r>
                    <w:rPr>
                      <w:rFonts w:hint="eastAsia"/>
                      <w:color w:val="000000"/>
                      <w:szCs w:val="21"/>
                    </w:rPr>
                    <w:t>最终处置量</w:t>
                  </w:r>
                </w:p>
              </w:tc>
              <w:tc>
                <w:tcPr>
                  <w:tcW w:w="923" w:type="pct"/>
                  <w:vAlign w:val="center"/>
                </w:tcPr>
                <w:p>
                  <w:pPr>
                    <w:jc w:val="center"/>
                    <w:rPr>
                      <w:color w:val="000000"/>
                      <w:szCs w:val="21"/>
                    </w:rPr>
                  </w:pPr>
                  <w:r>
                    <w:rPr>
                      <w:color w:val="000000"/>
                      <w:szCs w:val="21"/>
                    </w:rPr>
                    <w:t>处置方式</w:t>
                  </w:r>
                </w:p>
              </w:tc>
              <w:tc>
                <w:tcPr>
                  <w:tcW w:w="311" w:type="pct"/>
                  <w:vAlign w:val="center"/>
                </w:tcPr>
                <w:p>
                  <w:pPr>
                    <w:jc w:val="center"/>
                    <w:rPr>
                      <w:color w:val="000000"/>
                      <w:szCs w:val="21"/>
                    </w:rPr>
                  </w:pPr>
                  <w:r>
                    <w:rPr>
                      <w:color w:val="000000"/>
                      <w:szCs w:val="21"/>
                    </w:rPr>
                    <w:t>排放量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265" w:type="pct"/>
                  <w:vAlign w:val="center"/>
                </w:tcPr>
                <w:p>
                  <w:pPr>
                    <w:jc w:val="center"/>
                    <w:rPr>
                      <w:color w:val="000000"/>
                      <w:szCs w:val="21"/>
                    </w:rPr>
                  </w:pPr>
                  <w:r>
                    <w:rPr>
                      <w:color w:val="000000"/>
                      <w:szCs w:val="21"/>
                    </w:rPr>
                    <w:t>1</w:t>
                  </w:r>
                </w:p>
              </w:tc>
              <w:tc>
                <w:tcPr>
                  <w:tcW w:w="442" w:type="pct"/>
                  <w:vAlign w:val="center"/>
                </w:tcPr>
                <w:p>
                  <w:pPr>
                    <w:jc w:val="center"/>
                    <w:rPr>
                      <w:color w:val="000000"/>
                      <w:szCs w:val="21"/>
                    </w:rPr>
                  </w:pPr>
                  <w:r>
                    <w:rPr>
                      <w:color w:val="000000"/>
                      <w:szCs w:val="21"/>
                    </w:rPr>
                    <w:t>燃料燃烧灰烬</w:t>
                  </w:r>
                </w:p>
              </w:tc>
              <w:tc>
                <w:tcPr>
                  <w:tcW w:w="483" w:type="pct"/>
                  <w:vAlign w:val="center"/>
                </w:tcPr>
                <w:p>
                  <w:pPr>
                    <w:jc w:val="center"/>
                    <w:rPr>
                      <w:color w:val="000000"/>
                      <w:szCs w:val="21"/>
                    </w:rPr>
                  </w:pPr>
                  <w:r>
                    <w:rPr>
                      <w:rFonts w:hint="eastAsia"/>
                      <w:color w:val="000000"/>
                      <w:szCs w:val="21"/>
                    </w:rPr>
                    <w:t>热风炉</w:t>
                  </w:r>
                </w:p>
              </w:tc>
              <w:tc>
                <w:tcPr>
                  <w:tcW w:w="874" w:type="pct"/>
                  <w:vAlign w:val="center"/>
                </w:tcPr>
                <w:p>
                  <w:pPr>
                    <w:jc w:val="center"/>
                    <w:rPr>
                      <w:color w:val="000000"/>
                      <w:szCs w:val="21"/>
                    </w:rPr>
                  </w:pPr>
                  <w:r>
                    <w:rPr>
                      <w:color w:val="000000"/>
                      <w:szCs w:val="21"/>
                    </w:rPr>
                    <w:t>一般固废</w:t>
                  </w:r>
                </w:p>
              </w:tc>
              <w:tc>
                <w:tcPr>
                  <w:tcW w:w="677" w:type="pct"/>
                  <w:vAlign w:val="center"/>
                </w:tcPr>
                <w:p>
                  <w:pPr>
                    <w:widowControl/>
                    <w:jc w:val="center"/>
                    <w:textAlignment w:val="baseline"/>
                    <w:rPr>
                      <w:color w:val="000000"/>
                      <w:szCs w:val="21"/>
                    </w:rPr>
                  </w:pPr>
                  <w:r>
                    <w:rPr>
                      <w:rFonts w:hint="eastAsia"/>
                      <w:color w:val="000000"/>
                      <w:szCs w:val="21"/>
                    </w:rPr>
                    <w:t>50</w:t>
                  </w:r>
                  <w:r>
                    <w:rPr>
                      <w:color w:val="000000"/>
                      <w:szCs w:val="21"/>
                    </w:rPr>
                    <w:t>t/a</w:t>
                  </w:r>
                </w:p>
              </w:tc>
              <w:tc>
                <w:tcPr>
                  <w:tcW w:w="464" w:type="pct"/>
                  <w:vAlign w:val="center"/>
                </w:tcPr>
                <w:p>
                  <w:pPr>
                    <w:jc w:val="center"/>
                    <w:rPr>
                      <w:color w:val="000000"/>
                      <w:szCs w:val="21"/>
                    </w:rPr>
                  </w:pPr>
                  <w:r>
                    <w:rPr>
                      <w:rFonts w:hint="eastAsia"/>
                      <w:color w:val="000000"/>
                      <w:szCs w:val="21"/>
                    </w:rPr>
                    <w:t>50</w:t>
                  </w:r>
                  <w:r>
                    <w:rPr>
                      <w:color w:val="000000"/>
                      <w:szCs w:val="21"/>
                    </w:rPr>
                    <w:t>t/a</w:t>
                  </w:r>
                </w:p>
              </w:tc>
              <w:tc>
                <w:tcPr>
                  <w:tcW w:w="561" w:type="pct"/>
                  <w:vAlign w:val="center"/>
                </w:tcPr>
                <w:p>
                  <w:pPr>
                    <w:widowControl/>
                    <w:jc w:val="center"/>
                    <w:textAlignment w:val="baseline"/>
                    <w:rPr>
                      <w:color w:val="000000"/>
                      <w:szCs w:val="21"/>
                    </w:rPr>
                  </w:pPr>
                  <w:r>
                    <w:rPr>
                      <w:rFonts w:hint="eastAsia"/>
                      <w:color w:val="000000"/>
                      <w:szCs w:val="21"/>
                    </w:rPr>
                    <w:t>50</w:t>
                  </w:r>
                  <w:r>
                    <w:rPr>
                      <w:color w:val="000000"/>
                      <w:szCs w:val="21"/>
                    </w:rPr>
                    <w:t>t/a</w:t>
                  </w:r>
                </w:p>
              </w:tc>
              <w:tc>
                <w:tcPr>
                  <w:tcW w:w="923" w:type="pct"/>
                  <w:vAlign w:val="center"/>
                </w:tcPr>
                <w:p>
                  <w:pPr>
                    <w:jc w:val="center"/>
                    <w:rPr>
                      <w:color w:val="000000"/>
                      <w:szCs w:val="21"/>
                    </w:rPr>
                  </w:pPr>
                  <w:r>
                    <w:rPr>
                      <w:rFonts w:hint="eastAsia"/>
                      <w:color w:val="000000"/>
                      <w:szCs w:val="21"/>
                    </w:rPr>
                    <w:t>收集后外售</w:t>
                  </w:r>
                </w:p>
              </w:tc>
              <w:tc>
                <w:tcPr>
                  <w:tcW w:w="311" w:type="pct"/>
                  <w:vAlign w:val="center"/>
                </w:tcPr>
                <w:p>
                  <w:pPr>
                    <w:jc w:val="center"/>
                    <w:rPr>
                      <w:color w:val="000000"/>
                      <w:szCs w:val="21"/>
                    </w:rPr>
                  </w:pPr>
                  <w:r>
                    <w:rPr>
                      <w:color w:val="000000"/>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265" w:type="pct"/>
                  <w:vAlign w:val="center"/>
                </w:tcPr>
                <w:p>
                  <w:pPr>
                    <w:jc w:val="center"/>
                    <w:rPr>
                      <w:color w:val="000000"/>
                      <w:szCs w:val="21"/>
                    </w:rPr>
                  </w:pPr>
                  <w:r>
                    <w:rPr>
                      <w:rFonts w:hint="eastAsia"/>
                      <w:color w:val="000000"/>
                      <w:szCs w:val="21"/>
                    </w:rPr>
                    <w:t>2</w:t>
                  </w:r>
                </w:p>
              </w:tc>
              <w:tc>
                <w:tcPr>
                  <w:tcW w:w="442" w:type="pct"/>
                  <w:vAlign w:val="center"/>
                </w:tcPr>
                <w:p>
                  <w:pPr>
                    <w:jc w:val="center"/>
                    <w:rPr>
                      <w:color w:val="000000"/>
                      <w:szCs w:val="21"/>
                    </w:rPr>
                  </w:pPr>
                  <w:r>
                    <w:rPr>
                      <w:rFonts w:hint="eastAsia"/>
                      <w:color w:val="000000"/>
                      <w:szCs w:val="21"/>
                    </w:rPr>
                    <w:t>除尘灰</w:t>
                  </w:r>
                </w:p>
              </w:tc>
              <w:tc>
                <w:tcPr>
                  <w:tcW w:w="483" w:type="pct"/>
                  <w:vAlign w:val="center"/>
                </w:tcPr>
                <w:p>
                  <w:pPr>
                    <w:jc w:val="center"/>
                    <w:rPr>
                      <w:color w:val="000000"/>
                      <w:szCs w:val="21"/>
                    </w:rPr>
                  </w:pPr>
                  <w:r>
                    <w:rPr>
                      <w:rFonts w:hint="eastAsia"/>
                      <w:color w:val="000000"/>
                      <w:szCs w:val="21"/>
                    </w:rPr>
                    <w:t>除尘器</w:t>
                  </w:r>
                </w:p>
              </w:tc>
              <w:tc>
                <w:tcPr>
                  <w:tcW w:w="874" w:type="pct"/>
                  <w:vAlign w:val="center"/>
                </w:tcPr>
                <w:p>
                  <w:pPr>
                    <w:jc w:val="center"/>
                    <w:rPr>
                      <w:color w:val="000000"/>
                      <w:szCs w:val="21"/>
                    </w:rPr>
                  </w:pPr>
                  <w:r>
                    <w:rPr>
                      <w:rFonts w:hint="eastAsia"/>
                      <w:color w:val="000000"/>
                      <w:szCs w:val="21"/>
                    </w:rPr>
                    <w:t>一般固废</w:t>
                  </w:r>
                </w:p>
              </w:tc>
              <w:tc>
                <w:tcPr>
                  <w:tcW w:w="677" w:type="pct"/>
                  <w:vAlign w:val="center"/>
                </w:tcPr>
                <w:p>
                  <w:pPr>
                    <w:widowControl/>
                    <w:jc w:val="center"/>
                    <w:textAlignment w:val="baseline"/>
                    <w:rPr>
                      <w:color w:val="000000"/>
                      <w:szCs w:val="21"/>
                    </w:rPr>
                  </w:pPr>
                  <w:r>
                    <w:rPr>
                      <w:rFonts w:hint="eastAsia"/>
                      <w:color w:val="000000"/>
                      <w:szCs w:val="21"/>
                    </w:rPr>
                    <w:t>1.7t/a</w:t>
                  </w:r>
                </w:p>
              </w:tc>
              <w:tc>
                <w:tcPr>
                  <w:tcW w:w="464" w:type="pct"/>
                  <w:vAlign w:val="center"/>
                </w:tcPr>
                <w:p>
                  <w:pPr>
                    <w:jc w:val="center"/>
                    <w:rPr>
                      <w:color w:val="000000"/>
                      <w:szCs w:val="21"/>
                    </w:rPr>
                  </w:pPr>
                  <w:r>
                    <w:rPr>
                      <w:rFonts w:hint="eastAsia"/>
                      <w:color w:val="000000"/>
                      <w:szCs w:val="21"/>
                    </w:rPr>
                    <w:t>1.7t/a</w:t>
                  </w:r>
                </w:p>
              </w:tc>
              <w:tc>
                <w:tcPr>
                  <w:tcW w:w="561" w:type="pct"/>
                  <w:vAlign w:val="center"/>
                </w:tcPr>
                <w:p>
                  <w:pPr>
                    <w:widowControl/>
                    <w:jc w:val="center"/>
                    <w:textAlignment w:val="baseline"/>
                    <w:rPr>
                      <w:color w:val="000000"/>
                      <w:szCs w:val="21"/>
                    </w:rPr>
                  </w:pPr>
                  <w:r>
                    <w:rPr>
                      <w:rFonts w:hint="eastAsia"/>
                      <w:color w:val="000000"/>
                      <w:szCs w:val="21"/>
                    </w:rPr>
                    <w:t>1.7t/a</w:t>
                  </w:r>
                </w:p>
              </w:tc>
              <w:tc>
                <w:tcPr>
                  <w:tcW w:w="923" w:type="pct"/>
                  <w:vAlign w:val="center"/>
                </w:tcPr>
                <w:p>
                  <w:pPr>
                    <w:jc w:val="center"/>
                    <w:rPr>
                      <w:color w:val="000000"/>
                      <w:szCs w:val="21"/>
                    </w:rPr>
                  </w:pPr>
                  <w:r>
                    <w:rPr>
                      <w:rFonts w:hint="eastAsia"/>
                      <w:color w:val="000000"/>
                      <w:szCs w:val="21"/>
                    </w:rPr>
                    <w:t>收集后外售</w:t>
                  </w:r>
                </w:p>
              </w:tc>
              <w:tc>
                <w:tcPr>
                  <w:tcW w:w="311" w:type="pct"/>
                  <w:vAlign w:val="center"/>
                </w:tcPr>
                <w:p>
                  <w:pPr>
                    <w:jc w:val="center"/>
                    <w:rPr>
                      <w:color w:val="000000"/>
                      <w:szCs w:val="21"/>
                    </w:rPr>
                  </w:pPr>
                  <w:r>
                    <w:rPr>
                      <w:rFonts w:hint="eastAsia"/>
                      <w:color w:val="000000"/>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265" w:type="pct"/>
                  <w:vAlign w:val="center"/>
                </w:tcPr>
                <w:p>
                  <w:pPr>
                    <w:jc w:val="center"/>
                    <w:rPr>
                      <w:color w:val="000000"/>
                      <w:szCs w:val="21"/>
                    </w:rPr>
                  </w:pPr>
                  <w:r>
                    <w:rPr>
                      <w:rFonts w:hint="eastAsia"/>
                      <w:color w:val="000000"/>
                      <w:szCs w:val="21"/>
                    </w:rPr>
                    <w:t>3</w:t>
                  </w:r>
                </w:p>
              </w:tc>
              <w:tc>
                <w:tcPr>
                  <w:tcW w:w="442" w:type="pct"/>
                  <w:vAlign w:val="center"/>
                </w:tcPr>
                <w:p>
                  <w:pPr>
                    <w:pStyle w:val="94"/>
                    <w:rPr>
                      <w:rFonts w:ascii="Times New Roman" w:hAnsi="Times New Roman" w:cs="Times New Roman"/>
                    </w:rPr>
                  </w:pPr>
                  <w:r>
                    <w:rPr>
                      <w:rFonts w:ascii="Times New Roman" w:hAnsi="Times New Roman" w:cs="Times New Roman"/>
                    </w:rPr>
                    <w:t>设备维修</w:t>
                  </w:r>
                </w:p>
              </w:tc>
              <w:tc>
                <w:tcPr>
                  <w:tcW w:w="483" w:type="pct"/>
                  <w:vAlign w:val="center"/>
                </w:tcPr>
                <w:p>
                  <w:pPr>
                    <w:pStyle w:val="94"/>
                    <w:rPr>
                      <w:rFonts w:ascii="Times New Roman" w:hAnsi="Times New Roman" w:cs="Times New Roman"/>
                    </w:rPr>
                  </w:pPr>
                  <w:r>
                    <w:rPr>
                      <w:rFonts w:ascii="Times New Roman" w:hAnsi="Times New Roman" w:cs="Times New Roman"/>
                    </w:rPr>
                    <w:t>废矿物油</w:t>
                  </w:r>
                </w:p>
              </w:tc>
              <w:tc>
                <w:tcPr>
                  <w:tcW w:w="874" w:type="pct"/>
                  <w:vAlign w:val="center"/>
                </w:tcPr>
                <w:p>
                  <w:pPr>
                    <w:pStyle w:val="94"/>
                    <w:rPr>
                      <w:rFonts w:ascii="Times New Roman" w:hAnsi="Times New Roman" w:cs="Times New Roman"/>
                    </w:rPr>
                  </w:pPr>
                  <w:r>
                    <w:rPr>
                      <w:rFonts w:ascii="Times New Roman" w:hAnsi="Times New Roman" w:cs="Times New Roman"/>
                      <w:szCs w:val="18"/>
                    </w:rPr>
                    <w:t>危险废物 900-249-08</w:t>
                  </w:r>
                </w:p>
              </w:tc>
              <w:tc>
                <w:tcPr>
                  <w:tcW w:w="677" w:type="pct"/>
                  <w:vAlign w:val="center"/>
                </w:tcPr>
                <w:p>
                  <w:pPr>
                    <w:widowControl/>
                    <w:jc w:val="center"/>
                    <w:textAlignment w:val="baseline"/>
                    <w:rPr>
                      <w:color w:val="000000"/>
                      <w:szCs w:val="21"/>
                    </w:rPr>
                  </w:pPr>
                  <w:r>
                    <w:rPr>
                      <w:rFonts w:hint="eastAsia"/>
                      <w:color w:val="000000"/>
                      <w:szCs w:val="21"/>
                    </w:rPr>
                    <w:t>0.1</w:t>
                  </w:r>
                  <w:r>
                    <w:rPr>
                      <w:color w:val="000000"/>
                      <w:szCs w:val="21"/>
                    </w:rPr>
                    <w:t>t/a</w:t>
                  </w:r>
                </w:p>
              </w:tc>
              <w:tc>
                <w:tcPr>
                  <w:tcW w:w="464" w:type="pct"/>
                  <w:vAlign w:val="center"/>
                </w:tcPr>
                <w:p>
                  <w:pPr>
                    <w:jc w:val="center"/>
                    <w:rPr>
                      <w:color w:val="000000"/>
                      <w:szCs w:val="21"/>
                    </w:rPr>
                  </w:pPr>
                  <w:r>
                    <w:rPr>
                      <w:rFonts w:hint="eastAsia"/>
                      <w:color w:val="000000"/>
                      <w:szCs w:val="21"/>
                    </w:rPr>
                    <w:t>0</w:t>
                  </w:r>
                </w:p>
              </w:tc>
              <w:tc>
                <w:tcPr>
                  <w:tcW w:w="561" w:type="pct"/>
                  <w:vAlign w:val="center"/>
                </w:tcPr>
                <w:p>
                  <w:pPr>
                    <w:widowControl/>
                    <w:jc w:val="center"/>
                    <w:textAlignment w:val="baseline"/>
                    <w:rPr>
                      <w:color w:val="000000"/>
                      <w:szCs w:val="21"/>
                    </w:rPr>
                  </w:pPr>
                  <w:r>
                    <w:rPr>
                      <w:rFonts w:hint="eastAsia"/>
                      <w:color w:val="000000"/>
                      <w:szCs w:val="21"/>
                    </w:rPr>
                    <w:t>0.1</w:t>
                  </w:r>
                  <w:r>
                    <w:rPr>
                      <w:color w:val="000000"/>
                      <w:szCs w:val="21"/>
                    </w:rPr>
                    <w:t>t/a</w:t>
                  </w:r>
                </w:p>
              </w:tc>
              <w:tc>
                <w:tcPr>
                  <w:tcW w:w="923" w:type="pct"/>
                  <w:vAlign w:val="center"/>
                </w:tcPr>
                <w:p>
                  <w:pPr>
                    <w:jc w:val="center"/>
                    <w:rPr>
                      <w:color w:val="000000"/>
                      <w:szCs w:val="21"/>
                    </w:rPr>
                  </w:pPr>
                  <w:r>
                    <w:rPr>
                      <w:rFonts w:hint="eastAsia"/>
                      <w:color w:val="000000"/>
                      <w:szCs w:val="21"/>
                    </w:rPr>
                    <w:t>危废间暂存，定期交有资质单位处置</w:t>
                  </w:r>
                </w:p>
              </w:tc>
              <w:tc>
                <w:tcPr>
                  <w:tcW w:w="311" w:type="pct"/>
                  <w:vAlign w:val="center"/>
                </w:tcPr>
                <w:p>
                  <w:pPr>
                    <w:jc w:val="center"/>
                    <w:rPr>
                      <w:color w:val="000000"/>
                      <w:szCs w:val="21"/>
                    </w:rPr>
                  </w:pPr>
                  <w:r>
                    <w:rPr>
                      <w:color w:val="000000"/>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265" w:type="pct"/>
                  <w:vAlign w:val="center"/>
                </w:tcPr>
                <w:p>
                  <w:pPr>
                    <w:jc w:val="center"/>
                    <w:rPr>
                      <w:color w:val="000000"/>
                      <w:szCs w:val="21"/>
                    </w:rPr>
                  </w:pPr>
                  <w:r>
                    <w:rPr>
                      <w:rFonts w:hint="eastAsia"/>
                      <w:color w:val="000000"/>
                      <w:szCs w:val="21"/>
                    </w:rPr>
                    <w:t>4</w:t>
                  </w:r>
                </w:p>
              </w:tc>
              <w:tc>
                <w:tcPr>
                  <w:tcW w:w="442" w:type="pct"/>
                  <w:vAlign w:val="center"/>
                </w:tcPr>
                <w:p>
                  <w:pPr>
                    <w:jc w:val="center"/>
                    <w:rPr>
                      <w:color w:val="000000"/>
                      <w:szCs w:val="21"/>
                    </w:rPr>
                  </w:pPr>
                  <w:r>
                    <w:rPr>
                      <w:rFonts w:hint="eastAsia"/>
                      <w:color w:val="000000"/>
                      <w:szCs w:val="21"/>
                    </w:rPr>
                    <w:t>生活垃圾</w:t>
                  </w:r>
                </w:p>
              </w:tc>
              <w:tc>
                <w:tcPr>
                  <w:tcW w:w="483" w:type="pct"/>
                  <w:vAlign w:val="center"/>
                </w:tcPr>
                <w:p>
                  <w:pPr>
                    <w:pStyle w:val="6"/>
                    <w:ind w:firstLine="0"/>
                    <w:jc w:val="center"/>
                    <w:rPr>
                      <w:color w:val="000000"/>
                    </w:rPr>
                  </w:pPr>
                  <w:r>
                    <w:rPr>
                      <w:rFonts w:hint="eastAsia"/>
                      <w:color w:val="000000"/>
                    </w:rPr>
                    <w:t>职工生活</w:t>
                  </w:r>
                </w:p>
              </w:tc>
              <w:tc>
                <w:tcPr>
                  <w:tcW w:w="874" w:type="pct"/>
                  <w:vAlign w:val="center"/>
                </w:tcPr>
                <w:p>
                  <w:pPr>
                    <w:jc w:val="center"/>
                    <w:rPr>
                      <w:color w:val="000000"/>
                      <w:spacing w:val="4"/>
                      <w:szCs w:val="21"/>
                    </w:rPr>
                  </w:pPr>
                  <w:r>
                    <w:rPr>
                      <w:rFonts w:hint="eastAsia"/>
                      <w:color w:val="000000"/>
                      <w:spacing w:val="4"/>
                      <w:szCs w:val="21"/>
                    </w:rPr>
                    <w:t>/</w:t>
                  </w:r>
                </w:p>
              </w:tc>
              <w:tc>
                <w:tcPr>
                  <w:tcW w:w="677" w:type="pct"/>
                  <w:vAlign w:val="center"/>
                </w:tcPr>
                <w:p>
                  <w:pPr>
                    <w:widowControl/>
                    <w:jc w:val="center"/>
                    <w:textAlignment w:val="baseline"/>
                    <w:rPr>
                      <w:color w:val="000000"/>
                      <w:szCs w:val="21"/>
                    </w:rPr>
                  </w:pPr>
                  <w:r>
                    <w:rPr>
                      <w:rFonts w:hint="eastAsia"/>
                      <w:color w:val="000000"/>
                      <w:szCs w:val="21"/>
                    </w:rPr>
                    <w:t>1.5t/a</w:t>
                  </w:r>
                </w:p>
              </w:tc>
              <w:tc>
                <w:tcPr>
                  <w:tcW w:w="464" w:type="pct"/>
                  <w:vAlign w:val="center"/>
                </w:tcPr>
                <w:p>
                  <w:pPr>
                    <w:jc w:val="center"/>
                    <w:rPr>
                      <w:color w:val="000000"/>
                      <w:szCs w:val="21"/>
                    </w:rPr>
                  </w:pPr>
                  <w:r>
                    <w:rPr>
                      <w:rFonts w:hint="eastAsia"/>
                      <w:color w:val="000000"/>
                      <w:szCs w:val="21"/>
                    </w:rPr>
                    <w:t>0</w:t>
                  </w:r>
                </w:p>
              </w:tc>
              <w:tc>
                <w:tcPr>
                  <w:tcW w:w="0" w:type="auto"/>
                  <w:vAlign w:val="center"/>
                </w:tcPr>
                <w:p>
                  <w:pPr>
                    <w:widowControl/>
                    <w:jc w:val="center"/>
                    <w:textAlignment w:val="baseline"/>
                    <w:rPr>
                      <w:color w:val="000000"/>
                      <w:szCs w:val="21"/>
                    </w:rPr>
                  </w:pPr>
                  <w:r>
                    <w:rPr>
                      <w:rFonts w:hint="eastAsia"/>
                      <w:color w:val="000000"/>
                      <w:szCs w:val="21"/>
                    </w:rPr>
                    <w:t>1.5t/a</w:t>
                  </w:r>
                </w:p>
              </w:tc>
              <w:tc>
                <w:tcPr>
                  <w:tcW w:w="0" w:type="auto"/>
                  <w:vAlign w:val="center"/>
                </w:tcPr>
                <w:p>
                  <w:pPr>
                    <w:jc w:val="center"/>
                    <w:rPr>
                      <w:color w:val="000000"/>
                      <w:szCs w:val="21"/>
                    </w:rPr>
                  </w:pPr>
                  <w:r>
                    <w:rPr>
                      <w:color w:val="000000"/>
                      <w:szCs w:val="21"/>
                    </w:rPr>
                    <w:t>收集后交由环卫部门处置</w:t>
                  </w:r>
                </w:p>
              </w:tc>
              <w:tc>
                <w:tcPr>
                  <w:tcW w:w="0" w:type="auto"/>
                  <w:vAlign w:val="center"/>
                </w:tcPr>
                <w:p>
                  <w:pPr>
                    <w:jc w:val="center"/>
                    <w:rPr>
                      <w:color w:val="000000"/>
                      <w:szCs w:val="21"/>
                    </w:rPr>
                  </w:pPr>
                  <w:r>
                    <w:rPr>
                      <w:rFonts w:hint="eastAsia"/>
                      <w:color w:val="000000"/>
                      <w:szCs w:val="21"/>
                    </w:rPr>
                    <w:t>0</w:t>
                  </w:r>
                </w:p>
              </w:tc>
            </w:tr>
          </w:tbl>
          <w:p>
            <w:pPr>
              <w:widowControl/>
              <w:spacing w:line="360" w:lineRule="auto"/>
              <w:jc w:val="left"/>
              <w:textAlignment w:val="baseline"/>
              <w:rPr>
                <w:b/>
                <w:color w:val="000000"/>
                <w:sz w:val="24"/>
                <w:u w:color="000000"/>
              </w:rPr>
            </w:pPr>
            <w:r>
              <w:rPr>
                <w:rFonts w:hint="eastAsia"/>
                <w:b/>
                <w:color w:val="000000"/>
                <w:sz w:val="24"/>
                <w:u w:color="000000"/>
              </w:rPr>
              <w:t>4</w:t>
            </w:r>
            <w:r>
              <w:rPr>
                <w:b/>
                <w:color w:val="000000"/>
                <w:sz w:val="24"/>
                <w:u w:color="000000"/>
              </w:rPr>
              <w:t>.</w:t>
            </w:r>
            <w:r>
              <w:rPr>
                <w:rFonts w:hint="eastAsia"/>
                <w:b/>
                <w:color w:val="000000"/>
                <w:sz w:val="24"/>
                <w:u w:color="000000"/>
              </w:rPr>
              <w:t>2</w:t>
            </w:r>
            <w:r>
              <w:rPr>
                <w:b/>
                <w:color w:val="000000"/>
                <w:sz w:val="24"/>
                <w:u w:color="000000"/>
              </w:rPr>
              <w:t>固体废物暂存</w:t>
            </w:r>
          </w:p>
          <w:p>
            <w:pPr>
              <w:spacing w:line="360" w:lineRule="auto"/>
              <w:ind w:firstLine="480" w:firstLineChars="200"/>
              <w:rPr>
                <w:bCs/>
                <w:color w:val="000000"/>
                <w:sz w:val="24"/>
              </w:rPr>
            </w:pPr>
            <w:r>
              <w:rPr>
                <w:bCs/>
                <w:color w:val="000000"/>
                <w:sz w:val="24"/>
              </w:rPr>
              <w:t>由</w:t>
            </w:r>
            <w:r>
              <w:rPr>
                <w:rFonts w:hint="eastAsia"/>
                <w:bCs/>
                <w:color w:val="000000"/>
                <w:sz w:val="24"/>
              </w:rPr>
              <w:t>上表</w:t>
            </w:r>
            <w:r>
              <w:rPr>
                <w:bCs/>
                <w:color w:val="000000"/>
                <w:sz w:val="24"/>
              </w:rPr>
              <w:t>可以看出，正常生产情况下，本项目产生的固体废物主要包括一般工业固体废物、</w:t>
            </w:r>
            <w:r>
              <w:rPr>
                <w:color w:val="000000"/>
                <w:sz w:val="24"/>
              </w:rPr>
              <w:t>危险固废</w:t>
            </w:r>
            <w:r>
              <w:rPr>
                <w:bCs/>
                <w:color w:val="000000"/>
                <w:sz w:val="24"/>
              </w:rPr>
              <w:t>和生活垃圾。</w:t>
            </w:r>
          </w:p>
          <w:p>
            <w:pPr>
              <w:spacing w:line="360" w:lineRule="auto"/>
              <w:rPr>
                <w:b/>
                <w:bCs/>
                <w:color w:val="000000"/>
                <w:sz w:val="24"/>
              </w:rPr>
            </w:pPr>
            <w:r>
              <w:rPr>
                <w:rFonts w:hint="eastAsia"/>
                <w:b/>
                <w:bCs/>
                <w:color w:val="000000"/>
                <w:sz w:val="24"/>
              </w:rPr>
              <w:t>4.2.1</w:t>
            </w:r>
            <w:r>
              <w:rPr>
                <w:b/>
                <w:bCs/>
                <w:color w:val="000000"/>
                <w:sz w:val="24"/>
              </w:rPr>
              <w:t>一般工业固体废物暂存</w:t>
            </w:r>
          </w:p>
          <w:p>
            <w:pPr>
              <w:snapToGrid w:val="0"/>
              <w:spacing w:line="360" w:lineRule="auto"/>
              <w:ind w:firstLine="480" w:firstLineChars="200"/>
              <w:textAlignment w:val="baseline"/>
              <w:rPr>
                <w:color w:val="000000"/>
                <w:sz w:val="24"/>
              </w:rPr>
            </w:pPr>
            <w:r>
              <w:rPr>
                <w:color w:val="000000"/>
                <w:sz w:val="24"/>
              </w:rPr>
              <w:t>建设单位</w:t>
            </w:r>
            <w:r>
              <w:rPr>
                <w:rFonts w:hint="eastAsia"/>
                <w:color w:val="000000"/>
                <w:sz w:val="24"/>
              </w:rPr>
              <w:t>在生产车间北侧设置一座10m</w:t>
            </w:r>
            <w:r>
              <w:rPr>
                <w:rFonts w:hint="eastAsia"/>
                <w:color w:val="000000"/>
                <w:sz w:val="24"/>
                <w:vertAlign w:val="superscript"/>
              </w:rPr>
              <w:t>2</w:t>
            </w:r>
            <w:r>
              <w:rPr>
                <w:rFonts w:hint="eastAsia"/>
                <w:color w:val="000000"/>
                <w:sz w:val="24"/>
              </w:rPr>
              <w:t>的一般固废暂存间</w:t>
            </w:r>
            <w:r>
              <w:rPr>
                <w:color w:val="000000"/>
                <w:sz w:val="24"/>
              </w:rPr>
              <w:t>，按照《一般工业固体废物贮存和填埋污染控制标准》（GB18599-2020）的污染控制标准规范建设和维护使用，应做到防渗漏。</w:t>
            </w:r>
            <w:r>
              <w:rPr>
                <w:rFonts w:hint="eastAsia"/>
                <w:color w:val="000000"/>
                <w:sz w:val="24"/>
              </w:rPr>
              <w:t>本项目一般固废间主要存放燃料燃烧灰烬、除尘灰，固废间地面采用混凝土进行硬化，</w:t>
            </w:r>
            <w:r>
              <w:rPr>
                <w:color w:val="000000"/>
                <w:sz w:val="24"/>
              </w:rPr>
              <w:t>采用以上措施后，项目一般工业固体废物暂存间对环境影响很小。</w:t>
            </w:r>
          </w:p>
          <w:p>
            <w:pPr>
              <w:widowControl/>
              <w:snapToGrid w:val="0"/>
              <w:spacing w:line="360" w:lineRule="auto"/>
              <w:rPr>
                <w:b/>
                <w:bCs/>
                <w:color w:val="000000"/>
                <w:sz w:val="24"/>
              </w:rPr>
            </w:pPr>
            <w:r>
              <w:rPr>
                <w:rFonts w:hint="eastAsia"/>
                <w:b/>
                <w:bCs/>
                <w:color w:val="000000"/>
                <w:sz w:val="24"/>
              </w:rPr>
              <w:t>4.2.2</w:t>
            </w:r>
            <w:r>
              <w:rPr>
                <w:b/>
                <w:bCs/>
                <w:color w:val="000000"/>
                <w:sz w:val="24"/>
              </w:rPr>
              <w:t>危险固体废物环境影响分析</w:t>
            </w:r>
          </w:p>
          <w:p>
            <w:pPr>
              <w:spacing w:line="360" w:lineRule="auto"/>
              <w:ind w:firstLine="480" w:firstLineChars="200"/>
              <w:rPr>
                <w:color w:val="000000"/>
                <w:sz w:val="24"/>
              </w:rPr>
            </w:pPr>
            <w:r>
              <w:rPr>
                <w:rFonts w:hint="eastAsia"/>
                <w:color w:val="000000"/>
                <w:sz w:val="24"/>
              </w:rPr>
              <w:t>（1）</w:t>
            </w:r>
            <w:r>
              <w:rPr>
                <w:color w:val="000000"/>
                <w:sz w:val="24"/>
              </w:rPr>
              <w:t>危险废物产生情况</w:t>
            </w:r>
          </w:p>
          <w:p>
            <w:pPr>
              <w:spacing w:line="360" w:lineRule="auto"/>
              <w:ind w:firstLine="480" w:firstLineChars="200"/>
              <w:rPr>
                <w:color w:val="000000"/>
                <w:sz w:val="24"/>
              </w:rPr>
            </w:pPr>
            <w:r>
              <w:rPr>
                <w:color w:val="000000"/>
                <w:sz w:val="24"/>
              </w:rPr>
              <w:t>项目危险废物产生情况见表4-</w:t>
            </w:r>
            <w:r>
              <w:rPr>
                <w:rFonts w:hint="eastAsia"/>
                <w:color w:val="000000"/>
                <w:sz w:val="24"/>
              </w:rPr>
              <w:t>9</w:t>
            </w:r>
            <w:r>
              <w:rPr>
                <w:color w:val="000000"/>
                <w:sz w:val="24"/>
              </w:rPr>
              <w:t>。</w:t>
            </w:r>
          </w:p>
          <w:p>
            <w:pPr>
              <w:spacing w:line="360" w:lineRule="auto"/>
              <w:ind w:firstLine="482" w:firstLineChars="200"/>
              <w:jc w:val="center"/>
              <w:rPr>
                <w:bCs/>
                <w:color w:val="000000"/>
                <w:sz w:val="24"/>
              </w:rPr>
            </w:pPr>
            <w:r>
              <w:rPr>
                <w:b/>
                <w:color w:val="000000"/>
                <w:sz w:val="24"/>
              </w:rPr>
              <w:t>表4-</w:t>
            </w:r>
            <w:r>
              <w:rPr>
                <w:rFonts w:hint="eastAsia"/>
                <w:b/>
                <w:color w:val="000000"/>
                <w:sz w:val="24"/>
              </w:rPr>
              <w:t>9</w:t>
            </w:r>
            <w:r>
              <w:rPr>
                <w:b/>
                <w:color w:val="000000"/>
                <w:sz w:val="24"/>
              </w:rPr>
              <w:t xml:space="preserve">  项目危险废物产生情况一览表</w:t>
            </w:r>
          </w:p>
          <w:tbl>
            <w:tblPr>
              <w:tblStyle w:val="20"/>
              <w:tblW w:w="499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53"/>
              <w:gridCol w:w="796"/>
              <w:gridCol w:w="852"/>
              <w:gridCol w:w="1244"/>
              <w:gridCol w:w="988"/>
              <w:gridCol w:w="797"/>
              <w:gridCol w:w="398"/>
              <w:gridCol w:w="736"/>
              <w:gridCol w:w="511"/>
              <w:gridCol w:w="571"/>
              <w:gridCol w:w="84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18"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序号</w:t>
                  </w:r>
                </w:p>
              </w:tc>
              <w:tc>
                <w:tcPr>
                  <w:tcW w:w="492"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危物名称</w:t>
                  </w:r>
                </w:p>
              </w:tc>
              <w:tc>
                <w:tcPr>
                  <w:tcW w:w="527"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危险废</w:t>
                  </w:r>
                </w:p>
                <w:p>
                  <w:pPr>
                    <w:topLinePunct/>
                    <w:adjustRightInd w:val="0"/>
                    <w:snapToGrid w:val="0"/>
                    <w:ind w:left="-53" w:leftChars="-25" w:right="-53" w:rightChars="-25"/>
                    <w:jc w:val="center"/>
                    <w:rPr>
                      <w:color w:val="000000"/>
                      <w:spacing w:val="-6"/>
                      <w:szCs w:val="21"/>
                    </w:rPr>
                  </w:pPr>
                  <w:r>
                    <w:rPr>
                      <w:color w:val="000000"/>
                      <w:spacing w:val="-6"/>
                      <w:szCs w:val="21"/>
                    </w:rPr>
                    <w:t>物类别</w:t>
                  </w:r>
                </w:p>
              </w:tc>
              <w:tc>
                <w:tcPr>
                  <w:tcW w:w="769"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危险废</w:t>
                  </w:r>
                </w:p>
                <w:p>
                  <w:pPr>
                    <w:topLinePunct/>
                    <w:adjustRightInd w:val="0"/>
                    <w:snapToGrid w:val="0"/>
                    <w:ind w:left="-53" w:leftChars="-25" w:right="-53" w:rightChars="-25"/>
                    <w:jc w:val="center"/>
                    <w:rPr>
                      <w:color w:val="000000"/>
                      <w:spacing w:val="-6"/>
                      <w:szCs w:val="21"/>
                    </w:rPr>
                  </w:pPr>
                  <w:r>
                    <w:rPr>
                      <w:color w:val="000000"/>
                      <w:spacing w:val="-6"/>
                      <w:szCs w:val="21"/>
                    </w:rPr>
                    <w:t>物代码</w:t>
                  </w:r>
                </w:p>
              </w:tc>
              <w:tc>
                <w:tcPr>
                  <w:tcW w:w="611"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产生量</w:t>
                  </w:r>
                </w:p>
                <w:p>
                  <w:pPr>
                    <w:topLinePunct/>
                    <w:adjustRightInd w:val="0"/>
                    <w:snapToGrid w:val="0"/>
                    <w:ind w:left="-53" w:leftChars="-25" w:right="-53" w:rightChars="-25"/>
                    <w:jc w:val="center"/>
                    <w:rPr>
                      <w:color w:val="000000"/>
                      <w:spacing w:val="-6"/>
                      <w:szCs w:val="21"/>
                    </w:rPr>
                  </w:pPr>
                  <w:r>
                    <w:rPr>
                      <w:color w:val="000000"/>
                      <w:spacing w:val="-6"/>
                      <w:szCs w:val="21"/>
                    </w:rPr>
                    <w:t>（吨/年）</w:t>
                  </w:r>
                </w:p>
              </w:tc>
              <w:tc>
                <w:tcPr>
                  <w:tcW w:w="493"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产生工序及装置</w:t>
                  </w:r>
                </w:p>
              </w:tc>
              <w:tc>
                <w:tcPr>
                  <w:tcW w:w="246"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形态</w:t>
                  </w:r>
                </w:p>
              </w:tc>
              <w:tc>
                <w:tcPr>
                  <w:tcW w:w="455"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有害</w:t>
                  </w:r>
                </w:p>
                <w:p>
                  <w:pPr>
                    <w:topLinePunct/>
                    <w:adjustRightInd w:val="0"/>
                    <w:snapToGrid w:val="0"/>
                    <w:ind w:left="-53" w:leftChars="-25" w:right="-53" w:rightChars="-25"/>
                    <w:jc w:val="center"/>
                    <w:rPr>
                      <w:color w:val="000000"/>
                      <w:spacing w:val="-6"/>
                      <w:szCs w:val="21"/>
                    </w:rPr>
                  </w:pPr>
                  <w:r>
                    <w:rPr>
                      <w:color w:val="000000"/>
                      <w:spacing w:val="-6"/>
                      <w:szCs w:val="21"/>
                    </w:rPr>
                    <w:t>成分</w:t>
                  </w:r>
                </w:p>
              </w:tc>
              <w:tc>
                <w:tcPr>
                  <w:tcW w:w="316"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产废</w:t>
                  </w:r>
                </w:p>
                <w:p>
                  <w:pPr>
                    <w:topLinePunct/>
                    <w:adjustRightInd w:val="0"/>
                    <w:snapToGrid w:val="0"/>
                    <w:ind w:left="-53" w:leftChars="-25" w:right="-53" w:rightChars="-25"/>
                    <w:jc w:val="center"/>
                    <w:rPr>
                      <w:color w:val="000000"/>
                      <w:spacing w:val="-6"/>
                      <w:szCs w:val="21"/>
                    </w:rPr>
                  </w:pPr>
                  <w:r>
                    <w:rPr>
                      <w:color w:val="000000"/>
                      <w:spacing w:val="-6"/>
                      <w:szCs w:val="21"/>
                    </w:rPr>
                    <w:t>周期</w:t>
                  </w:r>
                </w:p>
              </w:tc>
              <w:tc>
                <w:tcPr>
                  <w:tcW w:w="353"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危险</w:t>
                  </w:r>
                </w:p>
                <w:p>
                  <w:pPr>
                    <w:topLinePunct/>
                    <w:adjustRightInd w:val="0"/>
                    <w:snapToGrid w:val="0"/>
                    <w:ind w:left="-53" w:leftChars="-25" w:right="-53" w:rightChars="-25"/>
                    <w:jc w:val="center"/>
                    <w:rPr>
                      <w:color w:val="000000"/>
                      <w:spacing w:val="-6"/>
                      <w:szCs w:val="21"/>
                    </w:rPr>
                  </w:pPr>
                  <w:r>
                    <w:rPr>
                      <w:color w:val="000000"/>
                      <w:spacing w:val="-6"/>
                      <w:szCs w:val="21"/>
                    </w:rPr>
                    <w:t>特性</w:t>
                  </w:r>
                </w:p>
              </w:tc>
              <w:tc>
                <w:tcPr>
                  <w:tcW w:w="521" w:type="pct"/>
                  <w:vAlign w:val="center"/>
                </w:tcPr>
                <w:p>
                  <w:pPr>
                    <w:topLinePunct/>
                    <w:adjustRightInd w:val="0"/>
                    <w:snapToGrid w:val="0"/>
                    <w:ind w:left="-53" w:leftChars="-25" w:right="-53" w:rightChars="-25"/>
                    <w:jc w:val="center"/>
                    <w:rPr>
                      <w:color w:val="000000"/>
                      <w:spacing w:val="-6"/>
                      <w:szCs w:val="21"/>
                    </w:rPr>
                  </w:pPr>
                  <w:r>
                    <w:rPr>
                      <w:color w:val="000000"/>
                      <w:spacing w:val="-6"/>
                      <w:szCs w:val="21"/>
                    </w:rPr>
                    <w:t>污染防治</w:t>
                  </w:r>
                </w:p>
                <w:p>
                  <w:pPr>
                    <w:topLinePunct/>
                    <w:adjustRightInd w:val="0"/>
                    <w:snapToGrid w:val="0"/>
                    <w:ind w:left="-53" w:leftChars="-25" w:right="-53" w:rightChars="-25"/>
                    <w:jc w:val="center"/>
                    <w:rPr>
                      <w:color w:val="000000"/>
                      <w:spacing w:val="-6"/>
                      <w:szCs w:val="21"/>
                    </w:rPr>
                  </w:pPr>
                  <w:r>
                    <w:rPr>
                      <w:color w:val="000000"/>
                      <w:spacing w:val="-6"/>
                      <w:szCs w:val="21"/>
                    </w:rPr>
                    <w:t>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18" w:type="pct"/>
                  <w:vAlign w:val="center"/>
                </w:tcPr>
                <w:p>
                  <w:pPr>
                    <w:topLinePunct/>
                    <w:adjustRightInd w:val="0"/>
                    <w:snapToGrid w:val="0"/>
                    <w:ind w:left="-53" w:leftChars="-25" w:right="-53" w:rightChars="-25"/>
                    <w:jc w:val="center"/>
                    <w:rPr>
                      <w:color w:val="000000"/>
                      <w:spacing w:val="-6"/>
                      <w:szCs w:val="21"/>
                    </w:rPr>
                  </w:pPr>
                  <w:r>
                    <w:rPr>
                      <w:rFonts w:hint="eastAsia"/>
                      <w:color w:val="000000"/>
                      <w:spacing w:val="-6"/>
                      <w:szCs w:val="21"/>
                    </w:rPr>
                    <w:t>4</w:t>
                  </w:r>
                </w:p>
              </w:tc>
              <w:tc>
                <w:tcPr>
                  <w:tcW w:w="492" w:type="pct"/>
                  <w:vAlign w:val="center"/>
                </w:tcPr>
                <w:p>
                  <w:pPr>
                    <w:pStyle w:val="94"/>
                    <w:rPr>
                      <w:rFonts w:ascii="Times New Roman" w:hAnsi="Times New Roman" w:cs="Times New Roman"/>
                    </w:rPr>
                  </w:pPr>
                  <w:r>
                    <w:rPr>
                      <w:rFonts w:ascii="Times New Roman" w:hAnsi="Times New Roman" w:cs="Times New Roman"/>
                    </w:rPr>
                    <w:t>废矿物油</w:t>
                  </w:r>
                </w:p>
              </w:tc>
              <w:tc>
                <w:tcPr>
                  <w:tcW w:w="527" w:type="pct"/>
                  <w:vAlign w:val="center"/>
                </w:tcPr>
                <w:p>
                  <w:pPr>
                    <w:pStyle w:val="94"/>
                    <w:rPr>
                      <w:rFonts w:ascii="Times New Roman" w:hAnsi="Times New Roman" w:cs="Times New Roman"/>
                    </w:rPr>
                  </w:pPr>
                  <w:r>
                    <w:rPr>
                      <w:rFonts w:ascii="Times New Roman" w:hAnsi="Times New Roman" w:cs="Times New Roman"/>
                      <w:szCs w:val="18"/>
                    </w:rPr>
                    <w:t>HW08</w:t>
                  </w:r>
                </w:p>
              </w:tc>
              <w:tc>
                <w:tcPr>
                  <w:tcW w:w="769" w:type="pct"/>
                  <w:vAlign w:val="center"/>
                </w:tcPr>
                <w:p>
                  <w:pPr>
                    <w:pStyle w:val="94"/>
                    <w:rPr>
                      <w:rFonts w:ascii="Times New Roman" w:hAnsi="Times New Roman" w:cs="Times New Roman"/>
                    </w:rPr>
                  </w:pPr>
                  <w:r>
                    <w:rPr>
                      <w:rFonts w:ascii="Times New Roman" w:hAnsi="Times New Roman" w:cs="Times New Roman"/>
                      <w:szCs w:val="18"/>
                    </w:rPr>
                    <w:t>900-249-08</w:t>
                  </w:r>
                  <w:r>
                    <w:rPr>
                      <w:rFonts w:ascii="Times New Roman" w:hAnsi="Times New Roman" w:cs="Times New Roman"/>
                    </w:rPr>
                    <w:t xml:space="preserve"> </w:t>
                  </w:r>
                </w:p>
              </w:tc>
              <w:tc>
                <w:tcPr>
                  <w:tcW w:w="611" w:type="pct"/>
                  <w:vAlign w:val="center"/>
                </w:tcPr>
                <w:p>
                  <w:pPr>
                    <w:widowControl/>
                    <w:jc w:val="center"/>
                    <w:textAlignment w:val="baseline"/>
                    <w:rPr>
                      <w:color w:val="000000"/>
                      <w:szCs w:val="21"/>
                    </w:rPr>
                  </w:pPr>
                  <w:r>
                    <w:rPr>
                      <w:rFonts w:hint="eastAsia"/>
                      <w:color w:val="000000"/>
                      <w:szCs w:val="21"/>
                    </w:rPr>
                    <w:t>0.1</w:t>
                  </w:r>
                  <w:r>
                    <w:rPr>
                      <w:color w:val="000000"/>
                      <w:szCs w:val="21"/>
                    </w:rPr>
                    <w:t>t/a</w:t>
                  </w:r>
                </w:p>
              </w:tc>
              <w:tc>
                <w:tcPr>
                  <w:tcW w:w="493" w:type="pct"/>
                  <w:vAlign w:val="center"/>
                </w:tcPr>
                <w:p>
                  <w:pPr>
                    <w:pStyle w:val="6"/>
                    <w:ind w:firstLine="0"/>
                    <w:jc w:val="center"/>
                    <w:rPr>
                      <w:color w:val="000000"/>
                    </w:rPr>
                  </w:pPr>
                  <w:r>
                    <w:rPr>
                      <w:rFonts w:hint="eastAsia"/>
                      <w:color w:val="000000"/>
                    </w:rPr>
                    <w:t>设备维修</w:t>
                  </w:r>
                </w:p>
              </w:tc>
              <w:tc>
                <w:tcPr>
                  <w:tcW w:w="246" w:type="pct"/>
                  <w:vAlign w:val="center"/>
                </w:tcPr>
                <w:p>
                  <w:pPr>
                    <w:topLinePunct/>
                    <w:adjustRightInd w:val="0"/>
                    <w:snapToGrid w:val="0"/>
                    <w:ind w:left="-53" w:leftChars="-25" w:right="-53" w:rightChars="-25"/>
                    <w:jc w:val="center"/>
                    <w:rPr>
                      <w:color w:val="000000"/>
                      <w:spacing w:val="-6"/>
                      <w:szCs w:val="21"/>
                    </w:rPr>
                  </w:pPr>
                  <w:r>
                    <w:rPr>
                      <w:rFonts w:hint="eastAsia"/>
                      <w:color w:val="000000"/>
                      <w:spacing w:val="-6"/>
                      <w:szCs w:val="21"/>
                    </w:rPr>
                    <w:t>液态</w:t>
                  </w:r>
                </w:p>
              </w:tc>
              <w:tc>
                <w:tcPr>
                  <w:tcW w:w="455" w:type="pct"/>
                  <w:vAlign w:val="center"/>
                </w:tcPr>
                <w:p>
                  <w:pPr>
                    <w:topLinePunct/>
                    <w:adjustRightInd w:val="0"/>
                    <w:snapToGrid w:val="0"/>
                    <w:ind w:left="-53" w:leftChars="-25" w:right="-53" w:rightChars="-25"/>
                    <w:jc w:val="center"/>
                    <w:rPr>
                      <w:color w:val="000000"/>
                      <w:spacing w:val="-6"/>
                      <w:szCs w:val="21"/>
                    </w:rPr>
                  </w:pPr>
                  <w:r>
                    <w:rPr>
                      <w:szCs w:val="21"/>
                    </w:rPr>
                    <w:t>油类</w:t>
                  </w:r>
                </w:p>
              </w:tc>
              <w:tc>
                <w:tcPr>
                  <w:tcW w:w="316" w:type="pct"/>
                  <w:vAlign w:val="center"/>
                </w:tcPr>
                <w:p>
                  <w:pPr>
                    <w:topLinePunct/>
                    <w:adjustRightInd w:val="0"/>
                    <w:snapToGrid w:val="0"/>
                    <w:ind w:left="-53" w:leftChars="-25" w:right="-53" w:rightChars="-25"/>
                    <w:jc w:val="center"/>
                    <w:rPr>
                      <w:color w:val="000000"/>
                      <w:spacing w:val="-6"/>
                      <w:szCs w:val="21"/>
                    </w:rPr>
                  </w:pPr>
                  <w:r>
                    <w:rPr>
                      <w:rFonts w:hint="eastAsia"/>
                      <w:color w:val="000000"/>
                      <w:spacing w:val="-6"/>
                      <w:szCs w:val="21"/>
                    </w:rPr>
                    <w:t>一月</w:t>
                  </w:r>
                </w:p>
              </w:tc>
              <w:tc>
                <w:tcPr>
                  <w:tcW w:w="353" w:type="pct"/>
                  <w:vAlign w:val="center"/>
                </w:tcPr>
                <w:p>
                  <w:pPr>
                    <w:topLinePunct/>
                    <w:adjustRightInd w:val="0"/>
                    <w:snapToGrid w:val="0"/>
                    <w:ind w:left="-53" w:leftChars="-25" w:right="-53" w:rightChars="-25"/>
                    <w:jc w:val="center"/>
                    <w:rPr>
                      <w:rFonts w:eastAsia="TimesNewRomanPSMT"/>
                      <w:color w:val="000000"/>
                      <w:spacing w:val="-6"/>
                      <w:szCs w:val="21"/>
                    </w:rPr>
                  </w:pPr>
                  <w:r>
                    <w:rPr>
                      <w:color w:val="000000"/>
                      <w:szCs w:val="21"/>
                    </w:rPr>
                    <w:t>T</w:t>
                  </w:r>
                  <w:r>
                    <w:rPr>
                      <w:rFonts w:hint="eastAsia"/>
                      <w:color w:val="000000"/>
                      <w:szCs w:val="21"/>
                    </w:rPr>
                    <w:t>/In</w:t>
                  </w:r>
                </w:p>
              </w:tc>
              <w:tc>
                <w:tcPr>
                  <w:tcW w:w="521" w:type="pct"/>
                  <w:vAlign w:val="center"/>
                </w:tcPr>
                <w:p>
                  <w:pPr>
                    <w:topLinePunct/>
                    <w:adjustRightInd w:val="0"/>
                    <w:snapToGrid w:val="0"/>
                    <w:ind w:left="-53" w:leftChars="-25" w:right="-53" w:rightChars="-25"/>
                    <w:jc w:val="center"/>
                    <w:rPr>
                      <w:color w:val="000000"/>
                      <w:spacing w:val="-6"/>
                      <w:szCs w:val="21"/>
                    </w:rPr>
                  </w:pPr>
                  <w:r>
                    <w:rPr>
                      <w:rFonts w:hint="eastAsia"/>
                      <w:color w:val="000000"/>
                      <w:spacing w:val="-6"/>
                      <w:szCs w:val="21"/>
                    </w:rPr>
                    <w:t>暂存在危废贮存间，交由有资质单位处理</w:t>
                  </w:r>
                </w:p>
              </w:tc>
            </w:tr>
          </w:tbl>
          <w:p>
            <w:pPr>
              <w:spacing w:line="500" w:lineRule="exact"/>
              <w:ind w:firstLine="480" w:firstLineChars="200"/>
              <w:rPr>
                <w:color w:val="000000"/>
                <w:sz w:val="24"/>
              </w:rPr>
            </w:pPr>
            <w:r>
              <w:rPr>
                <w:rFonts w:hint="eastAsia"/>
                <w:color w:val="000000"/>
                <w:sz w:val="24"/>
              </w:rPr>
              <w:t>（2）</w:t>
            </w:r>
            <w:r>
              <w:rPr>
                <w:color w:val="000000"/>
                <w:sz w:val="24"/>
              </w:rPr>
              <w:t>厂内暂存</w:t>
            </w:r>
          </w:p>
          <w:p>
            <w:pPr>
              <w:spacing w:line="500" w:lineRule="exact"/>
              <w:ind w:firstLine="480" w:firstLineChars="200"/>
              <w:rPr>
                <w:color w:val="000000"/>
                <w:sz w:val="24"/>
              </w:rPr>
            </w:pPr>
            <w:r>
              <w:rPr>
                <w:color w:val="000000"/>
                <w:sz w:val="24"/>
              </w:rPr>
              <w:t>由于本项目产生的危险废物需要在厂内临时堆放，</w:t>
            </w:r>
            <w:r>
              <w:rPr>
                <w:rFonts w:hint="eastAsia"/>
                <w:color w:val="000000"/>
                <w:sz w:val="24"/>
              </w:rPr>
              <w:t>在厂内建设</w:t>
            </w:r>
            <w:r>
              <w:rPr>
                <w:color w:val="000000"/>
                <w:sz w:val="24"/>
              </w:rPr>
              <w:t>一座</w:t>
            </w:r>
            <w:r>
              <w:rPr>
                <w:rFonts w:hint="eastAsia"/>
                <w:color w:val="000000"/>
                <w:sz w:val="24"/>
              </w:rPr>
              <w:t>1</w:t>
            </w:r>
            <w:r>
              <w:rPr>
                <w:color w:val="000000"/>
                <w:sz w:val="24"/>
              </w:rPr>
              <w:t>0m</w:t>
            </w:r>
            <w:r>
              <w:rPr>
                <w:color w:val="000000"/>
                <w:sz w:val="24"/>
                <w:vertAlign w:val="superscript"/>
              </w:rPr>
              <w:t>2</w:t>
            </w:r>
            <w:r>
              <w:rPr>
                <w:color w:val="000000"/>
                <w:sz w:val="24"/>
              </w:rPr>
              <w:t>危废贮存间。</w:t>
            </w:r>
          </w:p>
          <w:p>
            <w:pPr>
              <w:spacing w:line="500" w:lineRule="exact"/>
              <w:ind w:firstLine="482" w:firstLineChars="200"/>
              <w:jc w:val="center"/>
              <w:rPr>
                <w:color w:val="000000"/>
                <w:sz w:val="24"/>
              </w:rPr>
            </w:pPr>
            <w:r>
              <w:rPr>
                <w:b/>
                <w:bCs/>
                <w:color w:val="000000"/>
                <w:sz w:val="24"/>
              </w:rPr>
              <w:t>表4-</w:t>
            </w:r>
            <w:r>
              <w:rPr>
                <w:rFonts w:hint="eastAsia"/>
                <w:b/>
                <w:bCs/>
                <w:color w:val="000000"/>
                <w:sz w:val="24"/>
              </w:rPr>
              <w:t xml:space="preserve">10  </w:t>
            </w:r>
            <w:r>
              <w:rPr>
                <w:b/>
                <w:bCs/>
                <w:color w:val="000000"/>
                <w:sz w:val="24"/>
              </w:rPr>
              <w:t>本项目危险废物贮存场所（设施）基本情况表</w:t>
            </w:r>
          </w:p>
          <w:tbl>
            <w:tblPr>
              <w:tblStyle w:val="20"/>
              <w:tblW w:w="801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70"/>
              <w:gridCol w:w="761"/>
              <w:gridCol w:w="1110"/>
              <w:gridCol w:w="867"/>
              <w:gridCol w:w="1130"/>
              <w:gridCol w:w="622"/>
              <w:gridCol w:w="765"/>
              <w:gridCol w:w="876"/>
              <w:gridCol w:w="849"/>
              <w:gridCol w:w="5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0" w:type="dxa"/>
                  <w:vAlign w:val="center"/>
                </w:tcPr>
                <w:p>
                  <w:pPr>
                    <w:jc w:val="center"/>
                    <w:rPr>
                      <w:color w:val="000000"/>
                      <w:szCs w:val="21"/>
                    </w:rPr>
                  </w:pPr>
                  <w:r>
                    <w:rPr>
                      <w:color w:val="000000"/>
                      <w:szCs w:val="21"/>
                    </w:rPr>
                    <w:t>序号</w:t>
                  </w:r>
                </w:p>
              </w:tc>
              <w:tc>
                <w:tcPr>
                  <w:tcW w:w="761" w:type="dxa"/>
                  <w:vAlign w:val="center"/>
                </w:tcPr>
                <w:p>
                  <w:pPr>
                    <w:jc w:val="center"/>
                    <w:rPr>
                      <w:color w:val="000000"/>
                      <w:szCs w:val="21"/>
                    </w:rPr>
                  </w:pPr>
                  <w:r>
                    <w:rPr>
                      <w:color w:val="000000"/>
                      <w:szCs w:val="21"/>
                    </w:rPr>
                    <w:t>贮存场所名称</w:t>
                  </w:r>
                </w:p>
              </w:tc>
              <w:tc>
                <w:tcPr>
                  <w:tcW w:w="1110" w:type="dxa"/>
                  <w:vAlign w:val="center"/>
                </w:tcPr>
                <w:p>
                  <w:pPr>
                    <w:jc w:val="center"/>
                    <w:rPr>
                      <w:color w:val="000000"/>
                      <w:szCs w:val="21"/>
                    </w:rPr>
                  </w:pPr>
                  <w:r>
                    <w:rPr>
                      <w:color w:val="000000"/>
                      <w:szCs w:val="21"/>
                    </w:rPr>
                    <w:t>危险废物</w:t>
                  </w:r>
                </w:p>
                <w:p>
                  <w:pPr>
                    <w:jc w:val="center"/>
                    <w:rPr>
                      <w:color w:val="000000"/>
                      <w:szCs w:val="21"/>
                    </w:rPr>
                  </w:pPr>
                  <w:r>
                    <w:rPr>
                      <w:color w:val="000000"/>
                      <w:szCs w:val="21"/>
                    </w:rPr>
                    <w:t>名称</w:t>
                  </w:r>
                </w:p>
              </w:tc>
              <w:tc>
                <w:tcPr>
                  <w:tcW w:w="867" w:type="dxa"/>
                  <w:vAlign w:val="center"/>
                </w:tcPr>
                <w:p>
                  <w:pPr>
                    <w:jc w:val="center"/>
                    <w:rPr>
                      <w:color w:val="000000"/>
                      <w:szCs w:val="21"/>
                    </w:rPr>
                  </w:pPr>
                  <w:r>
                    <w:rPr>
                      <w:color w:val="000000"/>
                      <w:szCs w:val="21"/>
                    </w:rPr>
                    <w:t>危险废物类别</w:t>
                  </w:r>
                </w:p>
              </w:tc>
              <w:tc>
                <w:tcPr>
                  <w:tcW w:w="1130" w:type="dxa"/>
                  <w:vAlign w:val="center"/>
                </w:tcPr>
                <w:p>
                  <w:pPr>
                    <w:jc w:val="center"/>
                    <w:rPr>
                      <w:color w:val="000000"/>
                      <w:szCs w:val="21"/>
                    </w:rPr>
                  </w:pPr>
                  <w:r>
                    <w:rPr>
                      <w:color w:val="000000"/>
                      <w:szCs w:val="21"/>
                    </w:rPr>
                    <w:t>危险废物代码</w:t>
                  </w:r>
                </w:p>
              </w:tc>
              <w:tc>
                <w:tcPr>
                  <w:tcW w:w="622" w:type="dxa"/>
                  <w:vAlign w:val="center"/>
                </w:tcPr>
                <w:p>
                  <w:pPr>
                    <w:jc w:val="center"/>
                    <w:rPr>
                      <w:color w:val="000000"/>
                      <w:szCs w:val="21"/>
                    </w:rPr>
                  </w:pPr>
                  <w:r>
                    <w:rPr>
                      <w:color w:val="000000"/>
                      <w:szCs w:val="21"/>
                    </w:rPr>
                    <w:t>位置</w:t>
                  </w:r>
                </w:p>
              </w:tc>
              <w:tc>
                <w:tcPr>
                  <w:tcW w:w="765" w:type="dxa"/>
                  <w:vAlign w:val="center"/>
                </w:tcPr>
                <w:p>
                  <w:pPr>
                    <w:jc w:val="center"/>
                    <w:rPr>
                      <w:color w:val="000000"/>
                      <w:szCs w:val="21"/>
                    </w:rPr>
                  </w:pPr>
                  <w:r>
                    <w:rPr>
                      <w:color w:val="000000"/>
                      <w:szCs w:val="21"/>
                    </w:rPr>
                    <w:t>占地</w:t>
                  </w:r>
                </w:p>
                <w:p>
                  <w:pPr>
                    <w:jc w:val="center"/>
                    <w:rPr>
                      <w:color w:val="000000"/>
                      <w:szCs w:val="21"/>
                    </w:rPr>
                  </w:pPr>
                  <w:r>
                    <w:rPr>
                      <w:color w:val="000000"/>
                      <w:szCs w:val="21"/>
                    </w:rPr>
                    <w:t>面积</w:t>
                  </w:r>
                </w:p>
              </w:tc>
              <w:tc>
                <w:tcPr>
                  <w:tcW w:w="876" w:type="dxa"/>
                  <w:vAlign w:val="center"/>
                </w:tcPr>
                <w:p>
                  <w:pPr>
                    <w:jc w:val="center"/>
                    <w:rPr>
                      <w:color w:val="000000"/>
                      <w:szCs w:val="21"/>
                    </w:rPr>
                  </w:pPr>
                  <w:r>
                    <w:rPr>
                      <w:color w:val="000000"/>
                      <w:szCs w:val="21"/>
                    </w:rPr>
                    <w:t>贮存</w:t>
                  </w:r>
                </w:p>
                <w:p>
                  <w:pPr>
                    <w:jc w:val="center"/>
                    <w:rPr>
                      <w:color w:val="000000"/>
                      <w:szCs w:val="21"/>
                    </w:rPr>
                  </w:pPr>
                  <w:r>
                    <w:rPr>
                      <w:color w:val="000000"/>
                      <w:szCs w:val="21"/>
                    </w:rPr>
                    <w:t>方式</w:t>
                  </w:r>
                </w:p>
              </w:tc>
              <w:tc>
                <w:tcPr>
                  <w:tcW w:w="849" w:type="dxa"/>
                  <w:vAlign w:val="center"/>
                </w:tcPr>
                <w:p>
                  <w:pPr>
                    <w:jc w:val="center"/>
                    <w:rPr>
                      <w:color w:val="000000"/>
                      <w:szCs w:val="21"/>
                    </w:rPr>
                  </w:pPr>
                  <w:r>
                    <w:rPr>
                      <w:color w:val="000000"/>
                      <w:szCs w:val="21"/>
                    </w:rPr>
                    <w:t>贮存</w:t>
                  </w:r>
                </w:p>
                <w:p>
                  <w:pPr>
                    <w:jc w:val="center"/>
                    <w:rPr>
                      <w:color w:val="000000"/>
                      <w:szCs w:val="21"/>
                    </w:rPr>
                  </w:pPr>
                  <w:r>
                    <w:rPr>
                      <w:color w:val="000000"/>
                      <w:szCs w:val="21"/>
                    </w:rPr>
                    <w:t>能力（t/a）</w:t>
                  </w:r>
                </w:p>
              </w:tc>
              <w:tc>
                <w:tcPr>
                  <w:tcW w:w="565" w:type="dxa"/>
                  <w:vAlign w:val="center"/>
                </w:tcPr>
                <w:p>
                  <w:pPr>
                    <w:ind w:left="-105" w:leftChars="-50" w:right="-105" w:rightChars="-50"/>
                    <w:jc w:val="center"/>
                    <w:rPr>
                      <w:color w:val="000000"/>
                      <w:szCs w:val="21"/>
                    </w:rPr>
                  </w:pPr>
                  <w:r>
                    <w:rPr>
                      <w:color w:val="000000"/>
                      <w:szCs w:val="21"/>
                    </w:rPr>
                    <w:t>贮存</w:t>
                  </w:r>
                </w:p>
                <w:p>
                  <w:pPr>
                    <w:ind w:left="-105" w:leftChars="-50" w:right="-105" w:rightChars="-50"/>
                    <w:jc w:val="center"/>
                    <w:rPr>
                      <w:color w:val="000000"/>
                      <w:szCs w:val="21"/>
                    </w:rPr>
                  </w:pPr>
                  <w:r>
                    <w:rPr>
                      <w:color w:val="000000"/>
                      <w:szCs w:val="21"/>
                    </w:rPr>
                    <w:t>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0" w:type="dxa"/>
                  <w:vAlign w:val="center"/>
                </w:tcPr>
                <w:p>
                  <w:pPr>
                    <w:jc w:val="center"/>
                    <w:rPr>
                      <w:color w:val="000000"/>
                      <w:szCs w:val="21"/>
                    </w:rPr>
                  </w:pPr>
                  <w:r>
                    <w:rPr>
                      <w:rFonts w:hint="eastAsia"/>
                      <w:color w:val="000000"/>
                      <w:szCs w:val="21"/>
                    </w:rPr>
                    <w:t>1</w:t>
                  </w:r>
                </w:p>
              </w:tc>
              <w:tc>
                <w:tcPr>
                  <w:tcW w:w="761" w:type="dxa"/>
                  <w:vAlign w:val="center"/>
                </w:tcPr>
                <w:p>
                  <w:pPr>
                    <w:jc w:val="center"/>
                    <w:rPr>
                      <w:color w:val="000000"/>
                      <w:szCs w:val="21"/>
                    </w:rPr>
                  </w:pPr>
                  <w:r>
                    <w:rPr>
                      <w:rFonts w:hint="eastAsia"/>
                      <w:color w:val="000000"/>
                      <w:szCs w:val="21"/>
                    </w:rPr>
                    <w:t>危废贮存间</w:t>
                  </w:r>
                </w:p>
              </w:tc>
              <w:tc>
                <w:tcPr>
                  <w:tcW w:w="1110" w:type="dxa"/>
                  <w:vAlign w:val="center"/>
                </w:tcPr>
                <w:p>
                  <w:pPr>
                    <w:jc w:val="center"/>
                    <w:rPr>
                      <w:color w:val="000000"/>
                      <w:szCs w:val="21"/>
                    </w:rPr>
                  </w:pPr>
                  <w:r>
                    <w:t>废矿物油</w:t>
                  </w:r>
                </w:p>
              </w:tc>
              <w:tc>
                <w:tcPr>
                  <w:tcW w:w="867" w:type="dxa"/>
                  <w:vAlign w:val="center"/>
                </w:tcPr>
                <w:p>
                  <w:pPr>
                    <w:topLinePunct/>
                    <w:adjustRightInd w:val="0"/>
                    <w:snapToGrid w:val="0"/>
                    <w:ind w:left="-53" w:leftChars="-25" w:right="-53" w:rightChars="-25"/>
                    <w:jc w:val="center"/>
                    <w:rPr>
                      <w:bCs/>
                      <w:color w:val="000000"/>
                      <w:szCs w:val="21"/>
                    </w:rPr>
                  </w:pPr>
                  <w:r>
                    <w:rPr>
                      <w:rFonts w:hint="eastAsia"/>
                      <w:bCs/>
                      <w:color w:val="000000"/>
                      <w:szCs w:val="21"/>
                    </w:rPr>
                    <w:t>HW08</w:t>
                  </w:r>
                </w:p>
              </w:tc>
              <w:tc>
                <w:tcPr>
                  <w:tcW w:w="1130" w:type="dxa"/>
                  <w:vAlign w:val="center"/>
                </w:tcPr>
                <w:p>
                  <w:pPr>
                    <w:topLinePunct/>
                    <w:adjustRightInd w:val="0"/>
                    <w:snapToGrid w:val="0"/>
                    <w:ind w:left="-53" w:leftChars="-25" w:right="-53" w:rightChars="-25"/>
                    <w:jc w:val="center"/>
                    <w:rPr>
                      <w:color w:val="000000"/>
                      <w:szCs w:val="21"/>
                    </w:rPr>
                  </w:pPr>
                  <w:r>
                    <w:rPr>
                      <w:szCs w:val="18"/>
                    </w:rPr>
                    <w:t>900-249-08</w:t>
                  </w:r>
                </w:p>
              </w:tc>
              <w:tc>
                <w:tcPr>
                  <w:tcW w:w="622" w:type="dxa"/>
                  <w:vAlign w:val="center"/>
                </w:tcPr>
                <w:p>
                  <w:pPr>
                    <w:jc w:val="center"/>
                    <w:rPr>
                      <w:color w:val="000000"/>
                      <w:szCs w:val="21"/>
                    </w:rPr>
                  </w:pPr>
                  <w:r>
                    <w:rPr>
                      <w:rFonts w:hint="eastAsia"/>
                      <w:color w:val="000000"/>
                      <w:szCs w:val="21"/>
                    </w:rPr>
                    <w:t>成品库</w:t>
                  </w:r>
                </w:p>
              </w:tc>
              <w:tc>
                <w:tcPr>
                  <w:tcW w:w="765" w:type="dxa"/>
                  <w:vAlign w:val="center"/>
                </w:tcPr>
                <w:p>
                  <w:pPr>
                    <w:jc w:val="center"/>
                    <w:rPr>
                      <w:color w:val="000000"/>
                      <w:szCs w:val="21"/>
                    </w:rPr>
                  </w:pPr>
                  <w:r>
                    <w:rPr>
                      <w:rFonts w:hint="eastAsia"/>
                      <w:color w:val="000000"/>
                      <w:szCs w:val="21"/>
                    </w:rPr>
                    <w:t>10m</w:t>
                  </w:r>
                  <w:r>
                    <w:rPr>
                      <w:rFonts w:hint="eastAsia"/>
                      <w:color w:val="000000"/>
                      <w:szCs w:val="21"/>
                      <w:vertAlign w:val="superscript"/>
                    </w:rPr>
                    <w:t>2</w:t>
                  </w:r>
                </w:p>
              </w:tc>
              <w:tc>
                <w:tcPr>
                  <w:tcW w:w="876" w:type="dxa"/>
                  <w:vAlign w:val="center"/>
                </w:tcPr>
                <w:p>
                  <w:pPr>
                    <w:jc w:val="center"/>
                    <w:rPr>
                      <w:color w:val="000000"/>
                      <w:szCs w:val="21"/>
                    </w:rPr>
                  </w:pPr>
                  <w:r>
                    <w:rPr>
                      <w:rFonts w:hint="eastAsia"/>
                      <w:color w:val="000000"/>
                      <w:szCs w:val="21"/>
                    </w:rPr>
                    <w:t>桶装</w:t>
                  </w:r>
                </w:p>
              </w:tc>
              <w:tc>
                <w:tcPr>
                  <w:tcW w:w="849" w:type="dxa"/>
                  <w:vAlign w:val="center"/>
                </w:tcPr>
                <w:p>
                  <w:pPr>
                    <w:topLinePunct/>
                    <w:adjustRightInd w:val="0"/>
                    <w:snapToGrid w:val="0"/>
                    <w:ind w:left="-53" w:leftChars="-25" w:right="-53" w:rightChars="-25"/>
                    <w:jc w:val="center"/>
                    <w:rPr>
                      <w:color w:val="000000"/>
                      <w:spacing w:val="-20"/>
                      <w:szCs w:val="21"/>
                    </w:rPr>
                  </w:pPr>
                  <w:r>
                    <w:rPr>
                      <w:rFonts w:hint="eastAsia"/>
                      <w:color w:val="000000"/>
                      <w:spacing w:val="-20"/>
                      <w:szCs w:val="21"/>
                    </w:rPr>
                    <w:t>2</w:t>
                  </w:r>
                </w:p>
              </w:tc>
              <w:tc>
                <w:tcPr>
                  <w:tcW w:w="565" w:type="dxa"/>
                  <w:vAlign w:val="center"/>
                </w:tcPr>
                <w:p>
                  <w:pPr>
                    <w:ind w:left="-105" w:leftChars="-50" w:right="-105" w:rightChars="-50"/>
                    <w:jc w:val="center"/>
                    <w:rPr>
                      <w:color w:val="000000"/>
                      <w:szCs w:val="21"/>
                    </w:rPr>
                  </w:pPr>
                  <w:r>
                    <w:rPr>
                      <w:rFonts w:hint="eastAsia"/>
                      <w:color w:val="000000"/>
                      <w:szCs w:val="21"/>
                    </w:rPr>
                    <w:t>1月</w:t>
                  </w:r>
                </w:p>
              </w:tc>
            </w:tr>
          </w:tbl>
          <w:p>
            <w:pPr>
              <w:spacing w:line="360" w:lineRule="auto"/>
              <w:ind w:firstLine="480" w:firstLineChars="200"/>
              <w:rPr>
                <w:color w:val="000000"/>
                <w:sz w:val="24"/>
              </w:rPr>
            </w:pPr>
            <w:r>
              <w:rPr>
                <w:color w:val="000000"/>
                <w:sz w:val="24"/>
              </w:rPr>
              <w:t>本项目</w:t>
            </w:r>
            <w:r>
              <w:rPr>
                <w:rFonts w:hint="eastAsia"/>
                <w:color w:val="000000"/>
                <w:sz w:val="24"/>
              </w:rPr>
              <w:t>新建一座</w:t>
            </w:r>
            <w:r>
              <w:rPr>
                <w:color w:val="000000"/>
                <w:sz w:val="24"/>
              </w:rPr>
              <w:t>危废贮存间</w:t>
            </w:r>
            <w:r>
              <w:rPr>
                <w:rFonts w:hint="eastAsia"/>
                <w:color w:val="000000"/>
                <w:sz w:val="24"/>
              </w:rPr>
              <w:t>，</w:t>
            </w:r>
            <w:r>
              <w:rPr>
                <w:color w:val="000000"/>
                <w:sz w:val="24"/>
              </w:rPr>
              <w:t>面积为</w:t>
            </w:r>
            <w:r>
              <w:rPr>
                <w:rFonts w:hint="eastAsia"/>
                <w:color w:val="000000"/>
                <w:sz w:val="24"/>
              </w:rPr>
              <w:t>1</w:t>
            </w:r>
            <w:r>
              <w:rPr>
                <w:color w:val="000000"/>
                <w:sz w:val="24"/>
              </w:rPr>
              <w:t>0m</w:t>
            </w:r>
            <w:r>
              <w:rPr>
                <w:color w:val="000000"/>
                <w:sz w:val="24"/>
                <w:vertAlign w:val="superscript"/>
              </w:rPr>
              <w:t>2</w:t>
            </w:r>
            <w:r>
              <w:rPr>
                <w:color w:val="000000"/>
                <w:sz w:val="24"/>
              </w:rPr>
              <w:t>，危废贮存间</w:t>
            </w:r>
            <w:r>
              <w:rPr>
                <w:rFonts w:hint="eastAsia"/>
                <w:color w:val="000000"/>
                <w:sz w:val="24"/>
              </w:rPr>
              <w:t>及贮存容器</w:t>
            </w:r>
            <w:r>
              <w:rPr>
                <w:color w:val="000000"/>
                <w:sz w:val="24"/>
              </w:rPr>
              <w:t>应满足以下要求：</w:t>
            </w:r>
          </w:p>
          <w:p>
            <w:pPr>
              <w:spacing w:line="360" w:lineRule="auto"/>
              <w:ind w:firstLine="480" w:firstLineChars="200"/>
              <w:rPr>
                <w:color w:val="000000"/>
                <w:sz w:val="24"/>
              </w:rPr>
            </w:pPr>
            <w:r>
              <w:rPr>
                <w:color w:val="000000"/>
                <w:sz w:val="24"/>
              </w:rPr>
              <w:t>（1）危险废物贮存容器</w:t>
            </w:r>
          </w:p>
          <w:p>
            <w:pPr>
              <w:spacing w:line="360" w:lineRule="auto"/>
              <w:ind w:firstLine="480" w:firstLineChars="200"/>
              <w:rPr>
                <w:color w:val="000000"/>
                <w:sz w:val="24"/>
              </w:rPr>
            </w:pPr>
            <w:r>
              <w:rPr>
                <w:rFonts w:hint="eastAsia"/>
                <w:color w:val="000000"/>
                <w:sz w:val="24"/>
              </w:rPr>
              <w:t>1）</w:t>
            </w:r>
            <w:r>
              <w:rPr>
                <w:color w:val="000000"/>
                <w:sz w:val="24"/>
              </w:rPr>
              <w:t>容器和包装物材质、内衬应与盛装的危险废物相容。</w:t>
            </w:r>
          </w:p>
          <w:p>
            <w:pPr>
              <w:spacing w:line="360" w:lineRule="auto"/>
              <w:ind w:firstLine="480" w:firstLineChars="200"/>
              <w:rPr>
                <w:color w:val="000000"/>
                <w:sz w:val="24"/>
              </w:rPr>
            </w:pPr>
            <w:r>
              <w:rPr>
                <w:rFonts w:hint="eastAsia"/>
                <w:color w:val="000000"/>
                <w:sz w:val="24"/>
              </w:rPr>
              <w:t>2）</w:t>
            </w:r>
            <w:r>
              <w:rPr>
                <w:color w:val="000000"/>
                <w:sz w:val="24"/>
              </w:rPr>
              <w:t>针对不同类别、形态、物理化学性质的危险废物，其容器和包装物应满足相应的防渗、防漏、防腐和强度等要求。</w:t>
            </w:r>
          </w:p>
          <w:p>
            <w:pPr>
              <w:spacing w:line="360" w:lineRule="auto"/>
              <w:ind w:firstLine="480" w:firstLineChars="200"/>
              <w:rPr>
                <w:color w:val="000000"/>
                <w:sz w:val="24"/>
              </w:rPr>
            </w:pPr>
            <w:r>
              <w:rPr>
                <w:rFonts w:hint="eastAsia"/>
                <w:color w:val="000000"/>
                <w:sz w:val="24"/>
              </w:rPr>
              <w:t>3）</w:t>
            </w:r>
            <w:r>
              <w:rPr>
                <w:color w:val="000000"/>
                <w:sz w:val="24"/>
              </w:rPr>
              <w:t>硬质容器和包装物及其支护结构堆叠码放时不应有明显变形，无破损泄漏。</w:t>
            </w:r>
          </w:p>
          <w:p>
            <w:pPr>
              <w:spacing w:line="360" w:lineRule="auto"/>
              <w:ind w:firstLine="480" w:firstLineChars="200"/>
              <w:rPr>
                <w:color w:val="000000"/>
                <w:sz w:val="24"/>
              </w:rPr>
            </w:pPr>
            <w:r>
              <w:rPr>
                <w:color w:val="000000"/>
                <w:sz w:val="24"/>
              </w:rPr>
              <w:t>4</w:t>
            </w:r>
            <w:r>
              <w:rPr>
                <w:rFonts w:hint="eastAsia"/>
                <w:color w:val="000000"/>
                <w:sz w:val="24"/>
              </w:rPr>
              <w:t>）</w:t>
            </w:r>
            <w:r>
              <w:rPr>
                <w:color w:val="000000"/>
                <w:sz w:val="24"/>
              </w:rPr>
              <w:t>柔性容器和包装物堆叠码放时应封口严密，无破损泄漏。</w:t>
            </w:r>
          </w:p>
          <w:p>
            <w:pPr>
              <w:spacing w:line="360" w:lineRule="auto"/>
              <w:ind w:firstLine="480" w:firstLineChars="200"/>
              <w:rPr>
                <w:color w:val="000000"/>
                <w:sz w:val="24"/>
              </w:rPr>
            </w:pPr>
            <w:r>
              <w:rPr>
                <w:rFonts w:hint="eastAsia"/>
                <w:color w:val="000000"/>
                <w:sz w:val="24"/>
              </w:rPr>
              <w:t>5）</w:t>
            </w:r>
            <w:r>
              <w:rPr>
                <w:color w:val="000000"/>
                <w:sz w:val="24"/>
              </w:rPr>
              <w:t>使用容器盛装液态、半固态危险废物时，容器内部应留有适当的空间，以适应因温度变化等可能引发的收缩和膨胀，防止其导致容器渗漏或永久变形。</w:t>
            </w:r>
          </w:p>
          <w:p>
            <w:pPr>
              <w:spacing w:line="360" w:lineRule="auto"/>
              <w:ind w:firstLine="480" w:firstLineChars="200"/>
              <w:rPr>
                <w:color w:val="000000"/>
                <w:sz w:val="24"/>
              </w:rPr>
            </w:pPr>
            <w:r>
              <w:rPr>
                <w:color w:val="000000"/>
                <w:sz w:val="24"/>
              </w:rPr>
              <w:t>6</w:t>
            </w:r>
            <w:r>
              <w:rPr>
                <w:rFonts w:hint="eastAsia"/>
                <w:color w:val="000000"/>
                <w:sz w:val="24"/>
              </w:rPr>
              <w:t>）</w:t>
            </w:r>
            <w:r>
              <w:rPr>
                <w:color w:val="000000"/>
                <w:sz w:val="24"/>
              </w:rPr>
              <w:t>容器和包装物外表面应保持清洁。</w:t>
            </w:r>
          </w:p>
          <w:p>
            <w:pPr>
              <w:spacing w:line="360" w:lineRule="auto"/>
              <w:ind w:firstLine="480" w:firstLineChars="200"/>
              <w:rPr>
                <w:color w:val="000000"/>
                <w:sz w:val="24"/>
              </w:rPr>
            </w:pPr>
            <w:r>
              <w:rPr>
                <w:color w:val="000000"/>
                <w:sz w:val="24"/>
              </w:rPr>
              <w:t>（2）危废贮存间的</w:t>
            </w:r>
            <w:r>
              <w:rPr>
                <w:rFonts w:hint="eastAsia"/>
                <w:color w:val="000000"/>
                <w:sz w:val="24"/>
              </w:rPr>
              <w:t>污染控制要求</w:t>
            </w:r>
          </w:p>
          <w:p>
            <w:pPr>
              <w:spacing w:line="360" w:lineRule="auto"/>
              <w:ind w:firstLine="480" w:firstLineChars="200"/>
              <w:rPr>
                <w:color w:val="000000"/>
                <w:sz w:val="24"/>
              </w:rPr>
            </w:pPr>
            <w:r>
              <w:rPr>
                <w:rFonts w:hint="eastAsia"/>
                <w:color w:val="000000"/>
                <w:sz w:val="24"/>
              </w:rPr>
              <w:t>1）</w:t>
            </w:r>
            <w:r>
              <w:rPr>
                <w:color w:val="000000"/>
                <w:sz w:val="24"/>
              </w:rPr>
              <w:t>贮存设施应根据危险废物的形态、物理化学性质、包装形式和污染物迁移途径，采取必要的防风、防晒、防雨、防漏、防渗、防腐以及其他环境污染防治措施，不应露天堆放危险废物。</w:t>
            </w:r>
          </w:p>
          <w:p>
            <w:pPr>
              <w:spacing w:line="360" w:lineRule="auto"/>
              <w:ind w:firstLine="480" w:firstLineChars="200"/>
              <w:rPr>
                <w:color w:val="000000"/>
                <w:sz w:val="24"/>
              </w:rPr>
            </w:pPr>
            <w:r>
              <w:rPr>
                <w:rFonts w:hint="eastAsia"/>
                <w:color w:val="000000"/>
                <w:sz w:val="24"/>
              </w:rPr>
              <w:t>2）</w:t>
            </w:r>
            <w:r>
              <w:rPr>
                <w:color w:val="000000"/>
                <w:sz w:val="24"/>
              </w:rPr>
              <w:t>贮存设施应根据危险废物的类别、数量、形态、物理化学性质和污染防治等要求设置必要的贮存分区，避免不相容的危险废物接触、混合。</w:t>
            </w:r>
          </w:p>
          <w:p>
            <w:pPr>
              <w:spacing w:line="360" w:lineRule="auto"/>
              <w:ind w:firstLine="480" w:firstLineChars="200"/>
              <w:rPr>
                <w:color w:val="000000"/>
                <w:sz w:val="24"/>
              </w:rPr>
            </w:pPr>
            <w:r>
              <w:rPr>
                <w:color w:val="000000"/>
                <w:sz w:val="24"/>
              </w:rPr>
              <w:t>3</w:t>
            </w:r>
            <w:r>
              <w:rPr>
                <w:rFonts w:hint="eastAsia"/>
                <w:color w:val="000000"/>
                <w:sz w:val="24"/>
              </w:rPr>
              <w:t>）</w:t>
            </w:r>
            <w:r>
              <w:rPr>
                <w:color w:val="000000"/>
                <w:sz w:val="24"/>
              </w:rPr>
              <w:t>贮存设施或贮存分区内地面、墙面裙脚、堵截泄漏的围堰、接触危险废物的隔板和墙体等应采用坚固的材料建造，表面无裂缝。</w:t>
            </w:r>
          </w:p>
          <w:p>
            <w:pPr>
              <w:spacing w:line="360" w:lineRule="auto"/>
              <w:ind w:firstLine="480" w:firstLineChars="200"/>
              <w:rPr>
                <w:color w:val="000000"/>
                <w:sz w:val="24"/>
              </w:rPr>
            </w:pPr>
            <w:r>
              <w:rPr>
                <w:rFonts w:hint="eastAsia"/>
                <w:color w:val="000000"/>
                <w:sz w:val="24"/>
              </w:rPr>
              <w:t>4）</w:t>
            </w:r>
            <w:r>
              <w:rPr>
                <w:color w:val="000000"/>
                <w:sz w:val="24"/>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color w:val="000000"/>
                <w:sz w:val="24"/>
                <w:vertAlign w:val="superscript"/>
              </w:rPr>
              <w:t>-</w:t>
            </w:r>
            <w:r>
              <w:rPr>
                <w:color w:val="000000"/>
                <w:sz w:val="24"/>
                <w:vertAlign w:val="superscript"/>
              </w:rPr>
              <w:t>7</w:t>
            </w:r>
            <w:r>
              <w:rPr>
                <w:color w:val="000000"/>
                <w:sz w:val="24"/>
              </w:rPr>
              <w:t>cm/s），或至少2mm厚高密度聚乙烯膜等人工防渗材料（渗透系数不大于10</w:t>
            </w:r>
            <w:r>
              <w:rPr>
                <w:color w:val="000000"/>
                <w:sz w:val="24"/>
                <w:vertAlign w:val="superscript"/>
              </w:rPr>
              <w:t>-10</w:t>
            </w:r>
            <w:r>
              <w:rPr>
                <w:color w:val="000000"/>
                <w:sz w:val="24"/>
              </w:rPr>
              <w:t>cm/s），或其他防渗性能等效的材料。</w:t>
            </w:r>
          </w:p>
          <w:p>
            <w:pPr>
              <w:spacing w:line="360" w:lineRule="auto"/>
              <w:ind w:firstLine="480" w:firstLineChars="200"/>
              <w:rPr>
                <w:color w:val="000000"/>
                <w:sz w:val="24"/>
              </w:rPr>
            </w:pPr>
            <w:r>
              <w:rPr>
                <w:color w:val="000000"/>
                <w:sz w:val="24"/>
              </w:rPr>
              <w:t>5</w:t>
            </w:r>
            <w:r>
              <w:rPr>
                <w:rFonts w:hint="eastAsia"/>
                <w:color w:val="000000"/>
                <w:sz w:val="24"/>
              </w:rPr>
              <w:t>）</w:t>
            </w:r>
            <w:r>
              <w:rPr>
                <w:color w:val="000000"/>
                <w:sz w:val="24"/>
              </w:rPr>
              <w:t>同一贮存设施宜采用相同的防渗；防腐工艺（包括防渗、防腐结构或材料），防渗、防腐材料应覆盖所有可能与废物渗漏液等接触的构筑物表面；采用不同防渗、防腐工艺应分别建设贮存分区。</w:t>
            </w:r>
          </w:p>
          <w:p>
            <w:pPr>
              <w:spacing w:line="360" w:lineRule="auto"/>
              <w:ind w:firstLine="480" w:firstLineChars="200"/>
              <w:rPr>
                <w:color w:val="000000"/>
                <w:sz w:val="24"/>
              </w:rPr>
            </w:pPr>
            <w:r>
              <w:rPr>
                <w:color w:val="000000"/>
                <w:sz w:val="24"/>
              </w:rPr>
              <w:t>6</w:t>
            </w:r>
            <w:r>
              <w:rPr>
                <w:rFonts w:hint="eastAsia"/>
                <w:color w:val="000000"/>
                <w:sz w:val="24"/>
              </w:rPr>
              <w:t>）</w:t>
            </w:r>
            <w:r>
              <w:rPr>
                <w:color w:val="000000"/>
                <w:sz w:val="24"/>
              </w:rPr>
              <w:t>贮存设施应采取技术和管理措施防止无关人员进入。</w:t>
            </w:r>
          </w:p>
          <w:p>
            <w:pPr>
              <w:spacing w:line="360" w:lineRule="auto"/>
              <w:ind w:firstLine="480" w:firstLineChars="200"/>
              <w:rPr>
                <w:color w:val="000000"/>
                <w:sz w:val="24"/>
              </w:rPr>
            </w:pPr>
            <w:r>
              <w:rPr>
                <w:color w:val="000000"/>
                <w:sz w:val="24"/>
              </w:rPr>
              <w:t>危废贮存间外部必须按《危险废物识别标志设置技术规范（HJ1276-2022）》的规定设置警示标志。</w:t>
            </w:r>
          </w:p>
          <w:tbl>
            <w:tblPr>
              <w:tblStyle w:val="21"/>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974"/>
              <w:gridCol w:w="41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45" w:type="dxa"/>
                  <w:tcBorders>
                    <w:tl2br w:val="nil"/>
                    <w:tr2bl w:val="nil"/>
                  </w:tcBorders>
                  <w:vAlign w:val="center"/>
                </w:tcPr>
                <w:p>
                  <w:pPr>
                    <w:jc w:val="center"/>
                    <w:rPr>
                      <w:b/>
                      <w:color w:val="000000"/>
                      <w:kern w:val="0"/>
                      <w:sz w:val="24"/>
                    </w:rPr>
                  </w:pPr>
                  <w:r>
                    <w:rPr>
                      <w:rFonts w:hint="eastAsia"/>
                      <w:b/>
                      <w:color w:val="000000"/>
                      <w:kern w:val="0"/>
                      <w:sz w:val="24"/>
                    </w:rPr>
                    <w:drawing>
                      <wp:inline distT="0" distB="0" distL="0" distR="0">
                        <wp:extent cx="1657350" cy="1657350"/>
                        <wp:effectExtent l="19050" t="0" r="0" b="0"/>
                        <wp:docPr id="27" name="图片 29" descr="第13页-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9" descr="第13页-11"/>
                                <pic:cNvPicPr>
                                  <a:picLocks noChangeAspect="1" noChangeArrowheads="1"/>
                                </pic:cNvPicPr>
                              </pic:nvPicPr>
                              <pic:blipFill>
                                <a:blip r:embed="rId18" cstate="print"/>
                                <a:srcRect/>
                                <a:stretch>
                                  <a:fillRect/>
                                </a:stretch>
                              </pic:blipFill>
                              <pic:spPr>
                                <a:xfrm>
                                  <a:off x="0" y="0"/>
                                  <a:ext cx="1657350" cy="1657350"/>
                                </a:xfrm>
                                <a:prstGeom prst="rect">
                                  <a:avLst/>
                                </a:prstGeom>
                                <a:noFill/>
                                <a:ln w="9525" cmpd="sng">
                                  <a:noFill/>
                                  <a:miter lim="800000"/>
                                  <a:headEnd/>
                                  <a:tailEnd/>
                                </a:ln>
                                <a:effectLst/>
                              </pic:spPr>
                            </pic:pic>
                          </a:graphicData>
                        </a:graphic>
                      </wp:inline>
                    </w:drawing>
                  </w:r>
                </w:p>
              </w:tc>
              <w:tc>
                <w:tcPr>
                  <w:tcW w:w="4045" w:type="dxa"/>
                  <w:tcBorders>
                    <w:tl2br w:val="nil"/>
                    <w:tr2bl w:val="nil"/>
                  </w:tcBorders>
                  <w:vAlign w:val="center"/>
                </w:tcPr>
                <w:p>
                  <w:pPr>
                    <w:jc w:val="center"/>
                    <w:rPr>
                      <w:b/>
                      <w:color w:val="000000"/>
                      <w:kern w:val="0"/>
                      <w:sz w:val="24"/>
                    </w:rPr>
                  </w:pPr>
                  <w:r>
                    <w:rPr>
                      <w:rFonts w:hint="eastAsia"/>
                      <w:b/>
                      <w:color w:val="000000"/>
                      <w:kern w:val="0"/>
                      <w:sz w:val="24"/>
                    </w:rPr>
                    <w:drawing>
                      <wp:inline distT="0" distB="0" distL="0" distR="0">
                        <wp:extent cx="2457450" cy="1552575"/>
                        <wp:effectExtent l="19050" t="0" r="0" b="0"/>
                        <wp:docPr id="28" name="图片 30" descr="第16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0" descr="第16页-15"/>
                                <pic:cNvPicPr>
                                  <a:picLocks noChangeAspect="1" noChangeArrowheads="1"/>
                                </pic:cNvPicPr>
                              </pic:nvPicPr>
                              <pic:blipFill>
                                <a:blip r:embed="rId19" cstate="print"/>
                                <a:srcRect/>
                                <a:stretch>
                                  <a:fillRect/>
                                </a:stretch>
                              </pic:blipFill>
                              <pic:spPr>
                                <a:xfrm>
                                  <a:off x="0" y="0"/>
                                  <a:ext cx="2457450" cy="1552575"/>
                                </a:xfrm>
                                <a:prstGeom prst="rect">
                                  <a:avLst/>
                                </a:prstGeom>
                                <a:noFill/>
                                <a:ln w="9525" cmpd="sng">
                                  <a:noFill/>
                                  <a:miter lim="800000"/>
                                  <a:headEnd/>
                                  <a:tailEnd/>
                                </a:ln>
                                <a:effectLst/>
                              </pic:spPr>
                            </pic:pic>
                          </a:graphicData>
                        </a:graphic>
                      </wp:inline>
                    </w:drawing>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45" w:type="dxa"/>
                  <w:tcBorders>
                    <w:tl2br w:val="nil"/>
                    <w:tr2bl w:val="nil"/>
                  </w:tcBorders>
                  <w:vAlign w:val="center"/>
                </w:tcPr>
                <w:p>
                  <w:pPr>
                    <w:jc w:val="center"/>
                    <w:rPr>
                      <w:b/>
                      <w:color w:val="000000"/>
                      <w:kern w:val="0"/>
                      <w:sz w:val="24"/>
                    </w:rPr>
                  </w:pPr>
                  <w:r>
                    <w:rPr>
                      <w:rFonts w:hint="eastAsia"/>
                      <w:b/>
                      <w:color w:val="000000"/>
                      <w:kern w:val="0"/>
                      <w:sz w:val="24"/>
                    </w:rPr>
                    <w:t xml:space="preserve">图4-4  </w:t>
                  </w:r>
                  <w:r>
                    <w:rPr>
                      <w:b/>
                      <w:color w:val="000000"/>
                      <w:kern w:val="0"/>
                      <w:sz w:val="24"/>
                    </w:rPr>
                    <w:t>危险废物标签</w:t>
                  </w:r>
                  <w:r>
                    <w:rPr>
                      <w:rFonts w:hint="eastAsia"/>
                      <w:b/>
                      <w:color w:val="000000"/>
                      <w:kern w:val="0"/>
                      <w:sz w:val="24"/>
                    </w:rPr>
                    <w:t>样式示意图</w:t>
                  </w:r>
                </w:p>
              </w:tc>
              <w:tc>
                <w:tcPr>
                  <w:tcW w:w="4045" w:type="dxa"/>
                  <w:tcBorders>
                    <w:tl2br w:val="nil"/>
                    <w:tr2bl w:val="nil"/>
                  </w:tcBorders>
                  <w:vAlign w:val="center"/>
                </w:tcPr>
                <w:p>
                  <w:pPr>
                    <w:jc w:val="center"/>
                    <w:rPr>
                      <w:b/>
                      <w:color w:val="000000"/>
                      <w:kern w:val="0"/>
                      <w:sz w:val="24"/>
                    </w:rPr>
                  </w:pPr>
                  <w:r>
                    <w:rPr>
                      <w:b/>
                      <w:color w:val="000000"/>
                      <w:kern w:val="0"/>
                      <w:sz w:val="24"/>
                    </w:rPr>
                    <w:t>图4-</w:t>
                  </w:r>
                  <w:r>
                    <w:rPr>
                      <w:rFonts w:hint="eastAsia"/>
                      <w:b/>
                      <w:color w:val="000000"/>
                      <w:kern w:val="0"/>
                      <w:sz w:val="24"/>
                    </w:rPr>
                    <w:t>5</w:t>
                  </w:r>
                  <w:r>
                    <w:rPr>
                      <w:b/>
                      <w:color w:val="000000"/>
                      <w:kern w:val="0"/>
                      <w:sz w:val="24"/>
                    </w:rPr>
                    <w:t xml:space="preserve">  贮存设施标志</w:t>
                  </w:r>
                </w:p>
              </w:tc>
            </w:tr>
          </w:tbl>
          <w:p>
            <w:pPr>
              <w:spacing w:line="360" w:lineRule="auto"/>
              <w:ind w:firstLine="480" w:firstLineChars="200"/>
              <w:rPr>
                <w:color w:val="000000"/>
                <w:sz w:val="24"/>
              </w:rPr>
            </w:pPr>
            <w:r>
              <w:rPr>
                <w:color w:val="000000"/>
                <w:sz w:val="24"/>
              </w:rPr>
              <w:t>（3）危险废物暂存影响分析</w:t>
            </w:r>
          </w:p>
          <w:p>
            <w:pPr>
              <w:spacing w:line="360" w:lineRule="auto"/>
              <w:ind w:firstLine="480" w:firstLineChars="200"/>
              <w:rPr>
                <w:color w:val="000000"/>
                <w:sz w:val="24"/>
              </w:rPr>
            </w:pPr>
            <w:r>
              <w:rPr>
                <w:color w:val="000000"/>
                <w:sz w:val="24"/>
              </w:rPr>
              <w:t>项目危险废物在厂内暂存时，正常情况下不会对环境产生影响，在危险废物出现泄漏后会对地下水造成影响，因此，危险废物暂存间在建设时应严格按照《危险废物贮存污染控制标准》（GB18597</w:t>
            </w:r>
            <w:r>
              <w:rPr>
                <w:rFonts w:hint="eastAsia"/>
                <w:color w:val="000000"/>
                <w:sz w:val="24"/>
              </w:rPr>
              <w:t>-2023</w:t>
            </w:r>
            <w:r>
              <w:rPr>
                <w:color w:val="000000"/>
                <w:sz w:val="24"/>
              </w:rPr>
              <w:t>）的要求进行建设，做好防渗。采取以上措施后，项目危险废物暂存对周围环境影响很小。</w:t>
            </w:r>
          </w:p>
          <w:p>
            <w:pPr>
              <w:spacing w:line="360" w:lineRule="auto"/>
              <w:ind w:firstLine="360" w:firstLineChars="150"/>
              <w:rPr>
                <w:color w:val="000000"/>
                <w:sz w:val="24"/>
              </w:rPr>
            </w:pPr>
            <w:r>
              <w:rPr>
                <w:color w:val="000000"/>
                <w:sz w:val="24"/>
              </w:rPr>
              <w:t>（4）运输与转移</w:t>
            </w:r>
          </w:p>
          <w:p>
            <w:pPr>
              <w:spacing w:line="360" w:lineRule="auto"/>
              <w:ind w:firstLine="480" w:firstLineChars="200"/>
              <w:rPr>
                <w:color w:val="000000"/>
                <w:sz w:val="24"/>
              </w:rPr>
            </w:pPr>
            <w:r>
              <w:rPr>
                <w:color w:val="000000"/>
                <w:sz w:val="24"/>
              </w:rPr>
              <w:t>本项目产生的危险废物应交有资质的单位和车辆运输，避免二次污染产生。建设单位应遵守危险废物申报登记制度，建立危险废物管理台账制度，转移过程应遵从《危险废物转移联单管理办法》及其他有关规定的要求，办理转移联单，</w:t>
            </w:r>
            <w:r>
              <w:rPr>
                <w:rFonts w:hint="eastAsia"/>
                <w:color w:val="000000"/>
                <w:sz w:val="24"/>
              </w:rPr>
              <w:t>接收</w:t>
            </w:r>
            <w:r>
              <w:rPr>
                <w:color w:val="000000"/>
                <w:sz w:val="24"/>
              </w:rPr>
              <w:t>单位应持有固废处置的资质，确保危险废物的有效处置。</w:t>
            </w:r>
          </w:p>
          <w:p>
            <w:pPr>
              <w:spacing w:line="360" w:lineRule="auto"/>
              <w:ind w:firstLine="480" w:firstLineChars="200"/>
              <w:rPr>
                <w:color w:val="000000"/>
                <w:sz w:val="24"/>
              </w:rPr>
            </w:pPr>
            <w:r>
              <w:rPr>
                <w:color w:val="000000"/>
                <w:sz w:val="24"/>
              </w:rPr>
              <w:t>（5）危险废物委托处置措施</w:t>
            </w:r>
          </w:p>
          <w:p>
            <w:pPr>
              <w:spacing w:line="360" w:lineRule="auto"/>
              <w:ind w:firstLine="480" w:firstLineChars="200"/>
              <w:rPr>
                <w:color w:val="000000"/>
                <w:sz w:val="24"/>
              </w:rPr>
            </w:pPr>
            <w:r>
              <w:rPr>
                <w:color w:val="000000"/>
                <w:sz w:val="24"/>
              </w:rPr>
              <w:t>项目危险废物收集后在厂内危险废物暂存间进行暂存，定期交由危险废物处置单位进行处理。</w:t>
            </w:r>
          </w:p>
          <w:p>
            <w:pPr>
              <w:tabs>
                <w:tab w:val="left" w:pos="1065"/>
              </w:tabs>
              <w:spacing w:line="360" w:lineRule="auto"/>
              <w:ind w:firstLine="480" w:firstLineChars="200"/>
              <w:rPr>
                <w:color w:val="000000"/>
                <w:sz w:val="24"/>
              </w:rPr>
            </w:pPr>
            <w:r>
              <w:rPr>
                <w:color w:val="000000"/>
                <w:sz w:val="24"/>
              </w:rPr>
              <w:t>本项目采取的各项固体废弃物处置措施基本可行，体现了固体废物资源化、无害化、减量化的处理原则，只要在工作中，将各项处理措施落实到实处，认真执行，可将固体废弃物对环境的污染降低到最小程度。</w:t>
            </w:r>
          </w:p>
          <w:p>
            <w:pPr>
              <w:spacing w:line="360" w:lineRule="auto"/>
              <w:rPr>
                <w:b/>
                <w:color w:val="000000"/>
                <w:spacing w:val="-2"/>
                <w:kern w:val="0"/>
                <w:sz w:val="24"/>
                <w:u w:color="000000"/>
              </w:rPr>
            </w:pPr>
            <w:r>
              <w:rPr>
                <w:rFonts w:hint="eastAsia"/>
                <w:b/>
                <w:color w:val="000000"/>
                <w:spacing w:val="-2"/>
                <w:kern w:val="0"/>
                <w:sz w:val="24"/>
                <w:u w:color="000000"/>
              </w:rPr>
              <w:t>5、地下水、</w:t>
            </w:r>
            <w:r>
              <w:rPr>
                <w:b/>
                <w:color w:val="000000"/>
                <w:spacing w:val="-2"/>
                <w:kern w:val="0"/>
                <w:sz w:val="24"/>
                <w:u w:color="000000"/>
              </w:rPr>
              <w:t>土壤环境影响分析</w:t>
            </w:r>
          </w:p>
          <w:p>
            <w:pPr>
              <w:pStyle w:val="11"/>
              <w:spacing w:line="360" w:lineRule="auto"/>
              <w:rPr>
                <w:rFonts w:ascii="Times New Roman" w:hAnsi="Times New Roman"/>
                <w:b/>
                <w:bCs/>
                <w:color w:val="000000"/>
                <w:sz w:val="24"/>
              </w:rPr>
            </w:pPr>
            <w:r>
              <w:rPr>
                <w:rFonts w:ascii="Times New Roman" w:hAnsi="Times New Roman"/>
                <w:b/>
                <w:bCs/>
                <w:color w:val="000000"/>
                <w:sz w:val="24"/>
              </w:rPr>
              <w:t>5.1地下水、土壤污染途径</w:t>
            </w:r>
          </w:p>
          <w:p>
            <w:pPr>
              <w:spacing w:line="360" w:lineRule="auto"/>
              <w:ind w:firstLine="480" w:firstLineChars="200"/>
              <w:rPr>
                <w:color w:val="000000"/>
                <w:sz w:val="24"/>
              </w:rPr>
            </w:pPr>
            <w:r>
              <w:rPr>
                <w:color w:val="000000"/>
                <w:sz w:val="24"/>
              </w:rPr>
              <w:t>根据工程分析及排污特征可以看出，本项目对土壤</w:t>
            </w:r>
            <w:r>
              <w:rPr>
                <w:rFonts w:hint="eastAsia"/>
                <w:color w:val="000000"/>
                <w:sz w:val="24"/>
              </w:rPr>
              <w:t>、地下水</w:t>
            </w:r>
            <w:r>
              <w:rPr>
                <w:color w:val="000000"/>
                <w:sz w:val="24"/>
              </w:rPr>
              <w:t>环境的影响主要出现在生产运营期。影响源主要来自</w:t>
            </w:r>
            <w:r>
              <w:rPr>
                <w:rFonts w:hint="eastAsia"/>
                <w:color w:val="000000"/>
                <w:sz w:val="24"/>
              </w:rPr>
              <w:t>危险废物暂存间</w:t>
            </w:r>
            <w:r>
              <w:rPr>
                <w:color w:val="000000"/>
                <w:sz w:val="24"/>
              </w:rPr>
              <w:t>，影响</w:t>
            </w:r>
            <w:r>
              <w:rPr>
                <w:rFonts w:hint="eastAsia"/>
                <w:color w:val="000000"/>
                <w:sz w:val="24"/>
              </w:rPr>
              <w:t>物质为废活性炭</w:t>
            </w:r>
            <w:r>
              <w:rPr>
                <w:color w:val="000000"/>
                <w:sz w:val="24"/>
              </w:rPr>
              <w:t>。</w:t>
            </w:r>
            <w:r>
              <w:rPr>
                <w:rFonts w:hint="eastAsia"/>
                <w:color w:val="000000"/>
                <w:sz w:val="24"/>
              </w:rPr>
              <w:t>主要污染物为甲醛，污染途径主要为垂直入渗，通过对危险废物暂存间、喷漆房进行防腐、防渗漏等措施后，不会对地下水、土壤环境造成影响。</w:t>
            </w:r>
          </w:p>
          <w:p>
            <w:pPr>
              <w:spacing w:line="360" w:lineRule="auto"/>
              <w:rPr>
                <w:b/>
                <w:bCs/>
                <w:color w:val="000000"/>
                <w:sz w:val="24"/>
              </w:rPr>
            </w:pPr>
            <w:bookmarkStart w:id="1" w:name="_Toc8500"/>
            <w:bookmarkStart w:id="2" w:name="_Toc14895"/>
            <w:r>
              <w:rPr>
                <w:rFonts w:hint="eastAsia"/>
                <w:b/>
                <w:bCs/>
                <w:color w:val="000000"/>
                <w:sz w:val="24"/>
              </w:rPr>
              <w:t>5.2</w:t>
            </w:r>
            <w:r>
              <w:rPr>
                <w:b/>
                <w:bCs/>
                <w:color w:val="000000"/>
                <w:sz w:val="24"/>
              </w:rPr>
              <w:t>地下水</w:t>
            </w:r>
            <w:r>
              <w:rPr>
                <w:rFonts w:hint="eastAsia"/>
                <w:b/>
                <w:bCs/>
                <w:color w:val="000000"/>
                <w:sz w:val="24"/>
              </w:rPr>
              <w:t>、土壤</w:t>
            </w:r>
            <w:r>
              <w:rPr>
                <w:b/>
                <w:bCs/>
                <w:color w:val="000000"/>
                <w:sz w:val="24"/>
              </w:rPr>
              <w:t>环境保护措施</w:t>
            </w:r>
            <w:bookmarkEnd w:id="1"/>
            <w:bookmarkEnd w:id="2"/>
          </w:p>
          <w:p>
            <w:pPr>
              <w:pStyle w:val="6"/>
              <w:spacing w:line="360" w:lineRule="auto"/>
              <w:ind w:firstLine="520"/>
              <w:rPr>
                <w:bCs/>
                <w:color w:val="000000"/>
                <w:sz w:val="24"/>
                <w:szCs w:val="24"/>
              </w:rPr>
            </w:pPr>
            <w:r>
              <w:rPr>
                <w:bCs/>
                <w:color w:val="000000"/>
                <w:sz w:val="24"/>
                <w:szCs w:val="24"/>
              </w:rPr>
              <w:t>根据厂区各生产、生活功能单元可能产生污染的地区，将项目区划分为重点防渗区、一般防渗区和简单防渗区</w:t>
            </w:r>
            <w:r>
              <w:rPr>
                <w:rFonts w:hint="eastAsia"/>
                <w:bCs/>
                <w:color w:val="000000"/>
                <w:sz w:val="24"/>
                <w:szCs w:val="24"/>
              </w:rPr>
              <w:t>，</w:t>
            </w:r>
            <w:r>
              <w:rPr>
                <w:bCs/>
                <w:color w:val="000000"/>
                <w:sz w:val="24"/>
                <w:szCs w:val="24"/>
              </w:rPr>
              <w:t>并按要求进行地</w:t>
            </w:r>
            <w:r>
              <w:rPr>
                <w:rFonts w:hint="eastAsia"/>
                <w:bCs/>
                <w:color w:val="000000"/>
                <w:sz w:val="24"/>
                <w:szCs w:val="24"/>
              </w:rPr>
              <w:t>面</w:t>
            </w:r>
            <w:r>
              <w:rPr>
                <w:bCs/>
                <w:color w:val="000000"/>
                <w:sz w:val="24"/>
                <w:szCs w:val="24"/>
              </w:rPr>
              <w:t>防渗，项目分区防渗要求</w:t>
            </w:r>
            <w:r>
              <w:rPr>
                <w:rFonts w:hint="eastAsia"/>
                <w:bCs/>
                <w:color w:val="000000"/>
                <w:sz w:val="24"/>
                <w:szCs w:val="24"/>
              </w:rPr>
              <w:t>如下：</w:t>
            </w:r>
          </w:p>
          <w:p>
            <w:pPr>
              <w:pStyle w:val="10"/>
              <w:snapToGrid/>
              <w:spacing w:before="0" w:after="0" w:line="360" w:lineRule="auto"/>
              <w:ind w:right="0" w:firstLine="480" w:firstLineChars="200"/>
              <w:rPr>
                <w:bCs/>
                <w:color w:val="000000"/>
                <w:sz w:val="24"/>
                <w:szCs w:val="24"/>
              </w:rPr>
            </w:pPr>
            <w:r>
              <w:rPr>
                <w:rFonts w:hint="eastAsia"/>
                <w:bCs/>
                <w:color w:val="000000"/>
                <w:sz w:val="24"/>
                <w:szCs w:val="24"/>
              </w:rPr>
              <w:t>重点防渗区：根据生产环节及涉及的污染物，本次环评将危险废物暂存间、确定为重点防渗区，采取措施为底层采用黏土夯实，地面底层为水泥砂浆，上面铺设为2mm厚高密度聚乙烯防渗布，最后以防渗混凝土做地面，地面及裙脚防腐防渗处理，渗透系数≤1×10</w:t>
            </w:r>
            <w:r>
              <w:rPr>
                <w:rFonts w:hint="eastAsia"/>
                <w:bCs/>
                <w:color w:val="000000"/>
                <w:sz w:val="24"/>
                <w:szCs w:val="24"/>
                <w:vertAlign w:val="superscript"/>
              </w:rPr>
              <w:t>-10</w:t>
            </w:r>
            <w:r>
              <w:rPr>
                <w:rFonts w:hint="eastAsia"/>
                <w:bCs/>
                <w:color w:val="000000"/>
                <w:sz w:val="24"/>
                <w:szCs w:val="24"/>
              </w:rPr>
              <w:t>cm/s；危废贮存间设置导流槽及废液收集池，收集泄露的废矿物油。</w:t>
            </w:r>
          </w:p>
          <w:p>
            <w:pPr>
              <w:pStyle w:val="10"/>
              <w:snapToGrid/>
              <w:spacing w:before="0" w:after="0" w:line="360" w:lineRule="auto"/>
              <w:ind w:right="0" w:firstLine="480" w:firstLineChars="200"/>
              <w:rPr>
                <w:bCs/>
                <w:color w:val="000000"/>
                <w:sz w:val="24"/>
                <w:szCs w:val="24"/>
              </w:rPr>
            </w:pPr>
            <w:r>
              <w:rPr>
                <w:rFonts w:hint="eastAsia"/>
                <w:bCs/>
                <w:color w:val="000000"/>
                <w:sz w:val="24"/>
                <w:szCs w:val="24"/>
              </w:rPr>
              <w:t>一般防渗区：生产车间内除重点防渗区外，全部作为一般防渗区进行处理，具体要求为：采用三合土铺底，上层15cm混凝土硬化，渗透系数小于10</w:t>
            </w:r>
            <w:r>
              <w:rPr>
                <w:rFonts w:hint="eastAsia"/>
                <w:bCs/>
                <w:color w:val="000000"/>
                <w:sz w:val="24"/>
                <w:szCs w:val="24"/>
                <w:vertAlign w:val="superscript"/>
              </w:rPr>
              <w:t>-7</w:t>
            </w:r>
            <w:r>
              <w:rPr>
                <w:rFonts w:hint="eastAsia"/>
                <w:bCs/>
                <w:color w:val="000000"/>
                <w:sz w:val="24"/>
                <w:szCs w:val="24"/>
              </w:rPr>
              <w:t>cm/s。</w:t>
            </w:r>
          </w:p>
          <w:p>
            <w:pPr>
              <w:pStyle w:val="11"/>
              <w:spacing w:line="360" w:lineRule="auto"/>
              <w:rPr>
                <w:rFonts w:ascii="Times New Roman" w:hAnsi="Times New Roman"/>
                <w:b/>
                <w:color w:val="000000"/>
                <w:kern w:val="0"/>
                <w:sz w:val="24"/>
                <w:u w:color="000000"/>
              </w:rPr>
            </w:pPr>
            <w:r>
              <w:rPr>
                <w:rFonts w:ascii="Times New Roman" w:hAnsi="Times New Roman"/>
                <w:b/>
                <w:bCs/>
                <w:color w:val="000000"/>
                <w:sz w:val="24"/>
              </w:rPr>
              <w:t>6、</w:t>
            </w:r>
            <w:r>
              <w:rPr>
                <w:rFonts w:ascii="Times New Roman" w:hAnsi="Times New Roman"/>
                <w:b/>
                <w:color w:val="000000"/>
                <w:kern w:val="0"/>
                <w:sz w:val="24"/>
                <w:u w:color="000000"/>
              </w:rPr>
              <w:t>生态环境影响评价</w:t>
            </w:r>
          </w:p>
          <w:p>
            <w:pPr>
              <w:pStyle w:val="61"/>
              <w:rPr>
                <w:color w:val="000000"/>
              </w:rPr>
            </w:pPr>
            <w:r>
              <w:rPr>
                <w:rFonts w:hint="eastAsia"/>
                <w:color w:val="000000"/>
              </w:rPr>
              <w:t>项目</w:t>
            </w:r>
            <w:r>
              <w:rPr>
                <w:color w:val="000000"/>
              </w:rPr>
              <w:t>位于</w:t>
            </w:r>
            <w:r>
              <w:rPr>
                <w:rFonts w:hint="eastAsia"/>
                <w:szCs w:val="21"/>
              </w:rPr>
              <w:t>北京汇源集团万荣有限公司内</w:t>
            </w:r>
            <w:r>
              <w:rPr>
                <w:color w:val="000000"/>
              </w:rPr>
              <w:t>，</w:t>
            </w:r>
            <w:r>
              <w:rPr>
                <w:rFonts w:hint="eastAsia"/>
                <w:color w:val="000000"/>
              </w:rPr>
              <w:t>项目占地内</w:t>
            </w:r>
            <w:r>
              <w:rPr>
                <w:color w:val="000000"/>
              </w:rPr>
              <w:t>不涉及特殊或重要生态敏感区，项目对生态影响较小。工程主要生态影响为运行后废气、固体废物等可能对生态环境造成的不利影响。本工程废气污染物能做到达标排放，固体废物均得到了综合利用和合理处置，工程建设对生态的影响较小。</w:t>
            </w:r>
          </w:p>
          <w:p>
            <w:pPr>
              <w:pStyle w:val="11"/>
              <w:adjustRightInd w:val="0"/>
              <w:spacing w:line="360" w:lineRule="auto"/>
              <w:rPr>
                <w:rFonts w:ascii="Times New Roman" w:hAnsi="Times New Roman"/>
                <w:b/>
                <w:bCs/>
                <w:color w:val="000000"/>
                <w:sz w:val="24"/>
              </w:rPr>
            </w:pPr>
            <w:r>
              <w:rPr>
                <w:rFonts w:ascii="Times New Roman" w:hAnsi="Times New Roman"/>
                <w:b/>
                <w:bCs/>
                <w:color w:val="000000"/>
                <w:sz w:val="24"/>
              </w:rPr>
              <w:t>7、环境风险</w:t>
            </w:r>
          </w:p>
          <w:p>
            <w:pPr>
              <w:adjustRightInd w:val="0"/>
              <w:snapToGrid w:val="0"/>
              <w:spacing w:line="500" w:lineRule="atLeast"/>
              <w:ind w:firstLine="480" w:firstLineChars="200"/>
              <w:jc w:val="left"/>
              <w:rPr>
                <w:sz w:val="24"/>
                <w:szCs w:val="20"/>
              </w:rPr>
            </w:pPr>
            <w:r>
              <w:rPr>
                <w:rFonts w:hint="eastAsia"/>
                <w:sz w:val="24"/>
                <w:szCs w:val="20"/>
              </w:rPr>
              <w:t>（1）风险物质及分布</w:t>
            </w:r>
          </w:p>
          <w:p>
            <w:pPr>
              <w:pStyle w:val="100"/>
              <w:spacing w:line="500" w:lineRule="atLeast"/>
              <w:ind w:firstLine="480"/>
              <w:rPr>
                <w:rFonts w:hAnsi="宋体"/>
                <w:kern w:val="44"/>
              </w:rPr>
            </w:pPr>
            <w:r>
              <w:rPr>
                <w:rFonts w:hint="eastAsia"/>
                <w:szCs w:val="20"/>
              </w:rPr>
              <w:t>本项目风险物质主要为设备运行及维护产生的废机油。废油类物质暂存于厂区的危废贮存间，定期交由有资质单位进行处置；根据《建设项目环境风险评价技术导则》（HJ169-2018），本项目风险物质与临界量的比值Q见下表</w:t>
            </w:r>
            <w:r>
              <w:rPr>
                <w:rFonts w:hint="eastAsia" w:hAnsi="宋体"/>
                <w:kern w:val="44"/>
              </w:rPr>
              <w:t>：</w:t>
            </w:r>
          </w:p>
          <w:p>
            <w:pPr>
              <w:spacing w:line="500" w:lineRule="exact"/>
              <w:ind w:firstLine="482" w:firstLineChars="200"/>
              <w:jc w:val="center"/>
              <w:rPr>
                <w:b/>
                <w:bCs/>
                <w:color w:val="000000"/>
                <w:sz w:val="24"/>
              </w:rPr>
            </w:pPr>
            <w:r>
              <w:rPr>
                <w:b/>
                <w:bCs/>
                <w:color w:val="000000"/>
                <w:sz w:val="24"/>
              </w:rPr>
              <w:t>表</w:t>
            </w:r>
            <w:r>
              <w:rPr>
                <w:rFonts w:hint="eastAsia"/>
                <w:b/>
                <w:bCs/>
                <w:color w:val="000000"/>
                <w:sz w:val="24"/>
              </w:rPr>
              <w:t>4-11 本项目Q值的确定</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620"/>
              <w:gridCol w:w="2234"/>
              <w:gridCol w:w="1629"/>
              <w:gridCol w:w="1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1" w:type="pct"/>
                  <w:vAlign w:val="center"/>
                </w:tcPr>
                <w:p>
                  <w:pPr>
                    <w:pStyle w:val="101"/>
                    <w:spacing w:line="360" w:lineRule="exact"/>
                    <w:rPr>
                      <w:rFonts w:ascii="Times New Roman" w:hAnsi="Times New Roman" w:cs="Times New Roman"/>
                      <w:lang w:val="en-US"/>
                    </w:rPr>
                  </w:pPr>
                  <w:r>
                    <w:rPr>
                      <w:rFonts w:ascii="Times New Roman" w:hAnsi="Times New Roman" w:cs="Times New Roman"/>
                      <w:lang w:val="en-US"/>
                    </w:rPr>
                    <w:t>序号</w:t>
                  </w:r>
                </w:p>
              </w:tc>
              <w:tc>
                <w:tcPr>
                  <w:tcW w:w="1001" w:type="pct"/>
                  <w:vAlign w:val="center"/>
                </w:tcPr>
                <w:p>
                  <w:pPr>
                    <w:pStyle w:val="101"/>
                    <w:spacing w:line="360" w:lineRule="exact"/>
                    <w:rPr>
                      <w:rFonts w:ascii="Times New Roman" w:hAnsi="Times New Roman" w:cs="Times New Roman"/>
                      <w:lang w:val="en-US"/>
                    </w:rPr>
                  </w:pPr>
                  <w:r>
                    <w:rPr>
                      <w:rFonts w:ascii="Times New Roman" w:hAnsi="Times New Roman" w:cs="Times New Roman"/>
                      <w:lang w:val="en-US"/>
                    </w:rPr>
                    <w:t>危险物质名称</w:t>
                  </w:r>
                </w:p>
              </w:tc>
              <w:tc>
                <w:tcPr>
                  <w:tcW w:w="1381" w:type="pct"/>
                  <w:vAlign w:val="center"/>
                </w:tcPr>
                <w:p>
                  <w:pPr>
                    <w:pStyle w:val="101"/>
                    <w:spacing w:line="360" w:lineRule="exact"/>
                    <w:rPr>
                      <w:rFonts w:ascii="Times New Roman" w:hAnsi="Times New Roman" w:cs="Times New Roman"/>
                      <w:lang w:val="en-US"/>
                    </w:rPr>
                  </w:pPr>
                  <w:r>
                    <w:rPr>
                      <w:rFonts w:ascii="Times New Roman" w:hAnsi="Times New Roman" w:cs="Times New Roman"/>
                      <w:lang w:val="en-US"/>
                    </w:rPr>
                    <w:t>最大存在总量q</w:t>
                  </w:r>
                  <w:r>
                    <w:rPr>
                      <w:rFonts w:ascii="Times New Roman" w:hAnsi="Times New Roman" w:cs="Times New Roman"/>
                      <w:vertAlign w:val="subscript"/>
                      <w:lang w:val="en-US"/>
                    </w:rPr>
                    <w:t>n</w:t>
                  </w:r>
                  <w:r>
                    <w:rPr>
                      <w:rFonts w:ascii="Times New Roman" w:hAnsi="Times New Roman" w:cs="Times New Roman"/>
                      <w:lang w:val="en-US"/>
                    </w:rPr>
                    <w:t>/t</w:t>
                  </w:r>
                </w:p>
              </w:tc>
              <w:tc>
                <w:tcPr>
                  <w:tcW w:w="1007" w:type="pct"/>
                  <w:vAlign w:val="center"/>
                </w:tcPr>
                <w:p>
                  <w:pPr>
                    <w:pStyle w:val="101"/>
                    <w:spacing w:line="360" w:lineRule="exact"/>
                    <w:rPr>
                      <w:rFonts w:ascii="Times New Roman" w:hAnsi="Times New Roman" w:cs="Times New Roman"/>
                      <w:lang w:val="en-US"/>
                    </w:rPr>
                  </w:pPr>
                  <w:r>
                    <w:rPr>
                      <w:rFonts w:ascii="Times New Roman" w:hAnsi="Times New Roman" w:cs="Times New Roman"/>
                      <w:lang w:val="en-US"/>
                    </w:rPr>
                    <w:t>临界量Q</w:t>
                  </w:r>
                  <w:r>
                    <w:rPr>
                      <w:rFonts w:ascii="Times New Roman" w:hAnsi="Times New Roman" w:cs="Times New Roman"/>
                      <w:vertAlign w:val="subscript"/>
                      <w:lang w:val="en-US"/>
                    </w:rPr>
                    <w:t>n</w:t>
                  </w:r>
                  <w:r>
                    <w:rPr>
                      <w:rFonts w:ascii="Times New Roman" w:hAnsi="Times New Roman" w:cs="Times New Roman"/>
                      <w:lang w:val="en-US"/>
                    </w:rPr>
                    <w:t>/t</w:t>
                  </w:r>
                </w:p>
              </w:tc>
              <w:tc>
                <w:tcPr>
                  <w:tcW w:w="1187" w:type="pct"/>
                  <w:vAlign w:val="center"/>
                </w:tcPr>
                <w:p>
                  <w:pPr>
                    <w:pStyle w:val="101"/>
                    <w:spacing w:line="360" w:lineRule="exact"/>
                    <w:rPr>
                      <w:rFonts w:ascii="Times New Roman" w:hAnsi="Times New Roman" w:cs="Times New Roman"/>
                      <w:lang w:val="en-US"/>
                    </w:rPr>
                  </w:pPr>
                  <w:r>
                    <w:rPr>
                      <w:rFonts w:ascii="Times New Roman" w:hAnsi="Times New Roman" w:cs="Times New Roman"/>
                      <w:lang w:val="en-US"/>
                    </w:rPr>
                    <w:t>该种危险物质Q值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1" w:type="pct"/>
                  <w:vAlign w:val="center"/>
                </w:tcPr>
                <w:p>
                  <w:pPr>
                    <w:pStyle w:val="101"/>
                    <w:spacing w:line="360" w:lineRule="exact"/>
                    <w:rPr>
                      <w:rFonts w:ascii="Times New Roman" w:hAnsi="Times New Roman" w:cs="Times New Roman"/>
                      <w:lang w:val="en-US"/>
                    </w:rPr>
                  </w:pPr>
                  <w:r>
                    <w:rPr>
                      <w:rFonts w:ascii="Times New Roman" w:hAnsi="Times New Roman" w:cs="Times New Roman"/>
                      <w:lang w:val="en-US"/>
                    </w:rPr>
                    <w:t>1</w:t>
                  </w:r>
                </w:p>
              </w:tc>
              <w:tc>
                <w:tcPr>
                  <w:tcW w:w="1001" w:type="pct"/>
                  <w:vAlign w:val="center"/>
                </w:tcPr>
                <w:p>
                  <w:pPr>
                    <w:pStyle w:val="101"/>
                    <w:spacing w:line="360" w:lineRule="exact"/>
                    <w:rPr>
                      <w:rFonts w:ascii="Times New Roman" w:hAnsi="Times New Roman" w:cs="Times New Roman"/>
                      <w:lang w:val="en-US"/>
                    </w:rPr>
                  </w:pPr>
                  <w:r>
                    <w:rPr>
                      <w:rFonts w:hint="eastAsia" w:ascii="Times New Roman" w:hAnsi="Times New Roman" w:cs="Times New Roman"/>
                      <w:lang w:val="en-US"/>
                    </w:rPr>
                    <w:t>废油类物质</w:t>
                  </w:r>
                </w:p>
              </w:tc>
              <w:tc>
                <w:tcPr>
                  <w:tcW w:w="1381" w:type="pct"/>
                  <w:vAlign w:val="center"/>
                </w:tcPr>
                <w:p>
                  <w:pPr>
                    <w:pStyle w:val="101"/>
                    <w:spacing w:line="360" w:lineRule="exact"/>
                    <w:rPr>
                      <w:rFonts w:ascii="Times New Roman" w:hAnsi="Times New Roman" w:cs="Times New Roman"/>
                      <w:lang w:val="en-US"/>
                    </w:rPr>
                  </w:pPr>
                  <w:r>
                    <w:rPr>
                      <w:rFonts w:hint="eastAsia" w:ascii="Times New Roman" w:hAnsi="Times New Roman" w:cs="Times New Roman"/>
                      <w:lang w:val="en-US"/>
                    </w:rPr>
                    <w:t>0.1</w:t>
                  </w:r>
                </w:p>
              </w:tc>
              <w:tc>
                <w:tcPr>
                  <w:tcW w:w="1007" w:type="pct"/>
                  <w:vAlign w:val="center"/>
                </w:tcPr>
                <w:p>
                  <w:pPr>
                    <w:pStyle w:val="101"/>
                    <w:spacing w:line="360" w:lineRule="exact"/>
                    <w:rPr>
                      <w:rFonts w:ascii="Times New Roman" w:hAnsi="Times New Roman" w:cs="Times New Roman"/>
                      <w:lang w:val="en-US"/>
                    </w:rPr>
                  </w:pPr>
                  <w:r>
                    <w:rPr>
                      <w:rFonts w:hint="eastAsia" w:ascii="Times New Roman" w:hAnsi="Times New Roman" w:cs="Times New Roman"/>
                      <w:lang w:val="en-US"/>
                    </w:rPr>
                    <w:t>2500</w:t>
                  </w:r>
                </w:p>
              </w:tc>
              <w:tc>
                <w:tcPr>
                  <w:tcW w:w="1187" w:type="pct"/>
                  <w:vAlign w:val="center"/>
                </w:tcPr>
                <w:p>
                  <w:pPr>
                    <w:pStyle w:val="101"/>
                    <w:spacing w:line="360" w:lineRule="exact"/>
                    <w:rPr>
                      <w:rFonts w:ascii="Times New Roman" w:hAnsi="Times New Roman" w:cs="Times New Roman"/>
                      <w:lang w:val="en-US"/>
                    </w:rPr>
                  </w:pPr>
                  <w:r>
                    <w:rPr>
                      <w:rFonts w:hint="eastAsia" w:ascii="Times New Roman" w:hAnsi="Times New Roman" w:cs="Times New Roman"/>
                      <w:lang w:val="en-US"/>
                    </w:rPr>
                    <w:t>0.00004</w:t>
                  </w:r>
                </w:p>
              </w:tc>
            </w:tr>
          </w:tbl>
          <w:p>
            <w:pPr>
              <w:pStyle w:val="100"/>
              <w:spacing w:line="500" w:lineRule="atLeast"/>
              <w:ind w:firstLine="480"/>
              <w:rPr>
                <w:rFonts w:hAnsi="宋体"/>
                <w:kern w:val="44"/>
              </w:rPr>
            </w:pPr>
            <w:r>
              <w:rPr>
                <w:rFonts w:hint="eastAsia" w:hAnsi="宋体"/>
                <w:kern w:val="44"/>
              </w:rPr>
              <w:t>计算得到项目危险物质存在量及其临界量比值Q=0.00004＜1，判定该项目环境风险潜势为I，评价工作等级为简单分析。</w:t>
            </w:r>
          </w:p>
          <w:p>
            <w:pPr>
              <w:adjustRightInd w:val="0"/>
              <w:snapToGrid w:val="0"/>
              <w:spacing w:line="500" w:lineRule="atLeast"/>
              <w:ind w:firstLine="480" w:firstLineChars="200"/>
              <w:rPr>
                <w:sz w:val="24"/>
                <w:szCs w:val="20"/>
              </w:rPr>
            </w:pPr>
            <w:r>
              <w:rPr>
                <w:rFonts w:hint="eastAsia"/>
                <w:sz w:val="24"/>
                <w:szCs w:val="20"/>
              </w:rPr>
              <w:t>（2）环境风险分析</w:t>
            </w:r>
          </w:p>
          <w:p>
            <w:pPr>
              <w:adjustRightInd w:val="0"/>
              <w:snapToGrid w:val="0"/>
              <w:spacing w:line="500" w:lineRule="atLeast"/>
              <w:ind w:firstLine="480" w:firstLineChars="200"/>
              <w:rPr>
                <w:sz w:val="24"/>
              </w:rPr>
            </w:pPr>
            <w:r>
              <w:rPr>
                <w:rFonts w:hint="eastAsia"/>
                <w:sz w:val="24"/>
              </w:rPr>
              <w:t>油类物质泄漏能会引起火灾，产生CO</w:t>
            </w:r>
            <w:r>
              <w:rPr>
                <w:rFonts w:hint="eastAsia"/>
                <w:sz w:val="24"/>
                <w:vertAlign w:val="subscript"/>
              </w:rPr>
              <w:t>2</w:t>
            </w:r>
            <w:r>
              <w:rPr>
                <w:rFonts w:hint="eastAsia"/>
                <w:sz w:val="24"/>
              </w:rPr>
              <w:t>、CO、烟尘等对大气环境造成影响。此外，废润滑油泄漏进入环境中，对地表水体、地下水、土壤环境造成影响。</w:t>
            </w:r>
          </w:p>
          <w:p>
            <w:pPr>
              <w:adjustRightInd w:val="0"/>
              <w:snapToGrid w:val="0"/>
              <w:spacing w:line="500" w:lineRule="atLeast"/>
              <w:ind w:firstLine="480" w:firstLineChars="200"/>
              <w:rPr>
                <w:sz w:val="24"/>
                <w:szCs w:val="20"/>
              </w:rPr>
            </w:pPr>
            <w:r>
              <w:rPr>
                <w:rFonts w:hint="eastAsia"/>
                <w:sz w:val="24"/>
                <w:szCs w:val="20"/>
              </w:rPr>
              <w:t>（3）环境风险防范措施及应急要求</w:t>
            </w:r>
          </w:p>
          <w:p>
            <w:pPr>
              <w:adjustRightInd w:val="0"/>
              <w:snapToGrid w:val="0"/>
              <w:spacing w:line="480" w:lineRule="exact"/>
              <w:ind w:firstLine="480" w:firstLineChars="200"/>
              <w:jc w:val="left"/>
              <w:rPr>
                <w:sz w:val="24"/>
                <w:szCs w:val="20"/>
              </w:rPr>
            </w:pPr>
            <w:r>
              <w:rPr>
                <w:rFonts w:hint="eastAsia"/>
                <w:sz w:val="24"/>
                <w:szCs w:val="20"/>
              </w:rPr>
              <w:t>风险防范：</w:t>
            </w:r>
          </w:p>
          <w:p>
            <w:pPr>
              <w:adjustRightInd w:val="0"/>
              <w:snapToGrid w:val="0"/>
              <w:spacing w:line="480" w:lineRule="exact"/>
              <w:ind w:firstLine="480" w:firstLineChars="200"/>
              <w:jc w:val="left"/>
              <w:rPr>
                <w:sz w:val="24"/>
                <w:szCs w:val="20"/>
              </w:rPr>
            </w:pPr>
            <w:r>
              <w:rPr>
                <w:rFonts w:hint="eastAsia"/>
                <w:sz w:val="24"/>
                <w:szCs w:val="20"/>
              </w:rPr>
              <w:t>①严格执行设备的维护和保养，定期对设备进行检查和检验，建立完善的消防系统，配套一定数量的干粉灭火器和消防沙；</w:t>
            </w:r>
          </w:p>
          <w:p>
            <w:pPr>
              <w:adjustRightInd w:val="0"/>
              <w:snapToGrid w:val="0"/>
              <w:spacing w:line="480" w:lineRule="exact"/>
              <w:ind w:firstLine="480" w:firstLineChars="200"/>
              <w:jc w:val="left"/>
              <w:rPr>
                <w:sz w:val="24"/>
                <w:szCs w:val="20"/>
              </w:rPr>
            </w:pPr>
            <w:r>
              <w:rPr>
                <w:rFonts w:hint="eastAsia"/>
                <w:sz w:val="24"/>
                <w:szCs w:val="20"/>
              </w:rPr>
              <w:t>②严禁火源进入危险废物暂存库，对明火严格控制，在危险废物暂存库附近20m内不准有明火。危废贮存间需具有防漏、防风、防晒、防盗功能，且内部设有安全照明设施及安全防护设施；盛装危险废物的容器上贴有相应的标签，且危废暂存库也贴有相应的危废标签。</w:t>
            </w:r>
          </w:p>
          <w:p>
            <w:pPr>
              <w:adjustRightInd w:val="0"/>
              <w:snapToGrid w:val="0"/>
              <w:spacing w:line="480" w:lineRule="exact"/>
              <w:ind w:firstLine="480" w:firstLineChars="200"/>
              <w:jc w:val="left"/>
              <w:rPr>
                <w:sz w:val="24"/>
                <w:szCs w:val="20"/>
              </w:rPr>
            </w:pPr>
            <w:r>
              <w:rPr>
                <w:rFonts w:hint="eastAsia"/>
                <w:sz w:val="24"/>
                <w:szCs w:val="20"/>
              </w:rPr>
              <w:t>③强化安全生产及环境保护意识的教育，提高职工的素质，加强操作人员的上岗前培训，进行安全生产、消防、环保、工业卫生等方面的技术培训教育。必须经常检查安全消防设施的完好性，使其处于即用状态，以备在事故发生时，能及时、高效率的发挥作用。</w:t>
            </w:r>
          </w:p>
          <w:p>
            <w:pPr>
              <w:adjustRightInd w:val="0"/>
              <w:snapToGrid w:val="0"/>
              <w:spacing w:line="480" w:lineRule="exact"/>
              <w:ind w:firstLine="480" w:firstLineChars="200"/>
              <w:jc w:val="left"/>
              <w:rPr>
                <w:sz w:val="24"/>
                <w:szCs w:val="20"/>
              </w:rPr>
            </w:pPr>
            <w:r>
              <w:rPr>
                <w:rFonts w:hint="eastAsia"/>
                <w:sz w:val="24"/>
                <w:szCs w:val="20"/>
              </w:rPr>
              <w:t>应急措施：</w:t>
            </w:r>
          </w:p>
          <w:p>
            <w:pPr>
              <w:adjustRightInd w:val="0"/>
              <w:snapToGrid w:val="0"/>
              <w:spacing w:line="480" w:lineRule="exact"/>
              <w:ind w:firstLine="480" w:firstLineChars="200"/>
              <w:jc w:val="left"/>
              <w:rPr>
                <w:sz w:val="24"/>
                <w:szCs w:val="20"/>
              </w:rPr>
            </w:pPr>
            <w:r>
              <w:rPr>
                <w:rFonts w:hint="eastAsia"/>
                <w:sz w:val="24"/>
                <w:szCs w:val="20"/>
              </w:rPr>
              <w:t>在发生突发性环境污染事故时，迅速撤离泄漏污染区人员至安全区，并进行隔离，严格限制出入。建议应急处理人员戴防毒面具、防毒口罩、火灾逃生面具等，不要直接接触泄漏物，尽可能切断泄漏源。若不慎发生火灾，需采用相应的消防设施（消防沙、消防栓、灭火器等）进行灭火。</w:t>
            </w:r>
          </w:p>
          <w:p>
            <w:pPr>
              <w:adjustRightInd w:val="0"/>
              <w:snapToGrid w:val="0"/>
              <w:spacing w:line="480" w:lineRule="exact"/>
              <w:ind w:firstLine="480" w:firstLineChars="200"/>
              <w:jc w:val="left"/>
              <w:rPr>
                <w:sz w:val="24"/>
                <w:szCs w:val="20"/>
              </w:rPr>
            </w:pPr>
            <w:r>
              <w:rPr>
                <w:rFonts w:hint="eastAsia"/>
                <w:sz w:val="24"/>
                <w:szCs w:val="20"/>
              </w:rPr>
              <w:t>应急处置的首要工作是控制事故污染源和防止污染物扩散造成对周围人群、动植物的伤害，防止进一步污染环境。根据本项目实际情况，建议设立应急救援小组，全面负责应急救援指挥部门人员的组成、职责和分工，争取社会救援，保证应急救援所需经费以及事故调查报告和处理结果的上报。建立事故应急预案，加强事故应急演练，减小可能发生事故的影响。</w:t>
            </w:r>
          </w:p>
          <w:p>
            <w:pPr>
              <w:adjustRightInd w:val="0"/>
              <w:snapToGrid w:val="0"/>
              <w:spacing w:line="460" w:lineRule="exact"/>
              <w:jc w:val="left"/>
              <w:rPr>
                <w:rFonts w:hint="eastAsia"/>
                <w:sz w:val="24"/>
                <w:szCs w:val="20"/>
              </w:rPr>
            </w:pPr>
            <w:r>
              <w:rPr>
                <w:rFonts w:hint="eastAsia"/>
                <w:sz w:val="24"/>
                <w:szCs w:val="20"/>
              </w:rPr>
              <w:t>综上所述，本项目具有潜在的事故风险，尽管风险事故概率较小，当出现事故时，要采取紧急工程应急措施和社会应急措施，以控制事故和减少对环境造成的危害。本项目风险值水平较低，风险水平是可以接受的。</w:t>
            </w: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rFonts w:hint="eastAsia"/>
                <w:sz w:val="24"/>
                <w:szCs w:val="20"/>
              </w:rPr>
            </w:pPr>
          </w:p>
          <w:p>
            <w:pPr>
              <w:adjustRightInd w:val="0"/>
              <w:snapToGrid w:val="0"/>
              <w:spacing w:line="460" w:lineRule="exact"/>
              <w:jc w:val="left"/>
              <w:rPr>
                <w:sz w:val="24"/>
                <w:szCs w:val="20"/>
              </w:rPr>
            </w:pPr>
          </w:p>
          <w:p>
            <w:pPr>
              <w:pStyle w:val="32"/>
              <w:adjustRightInd/>
              <w:spacing w:line="360" w:lineRule="auto"/>
              <w:ind w:firstLine="440" w:firstLineChars="200"/>
              <w:rPr>
                <w:rFonts w:hAnsi="宋体"/>
                <w:bCs/>
                <w:spacing w:val="-10"/>
                <w:szCs w:val="21"/>
              </w:rPr>
            </w:pPr>
          </w:p>
        </w:tc>
      </w:tr>
    </w:tbl>
    <w:p>
      <w:pPr>
        <w:pStyle w:val="17"/>
        <w:outlineLvl w:val="0"/>
        <w:rPr>
          <w:rFonts w:ascii="Times New Roman" w:hAnsi="Times New Roman" w:eastAsia="黑体"/>
          <w:snapToGrid w:val="0"/>
          <w:sz w:val="30"/>
          <w:szCs w:val="30"/>
        </w:rPr>
        <w:sectPr>
          <w:pgSz w:w="11906" w:h="16838"/>
          <w:pgMar w:top="1701" w:right="1531" w:bottom="1701" w:left="1531" w:header="851" w:footer="851" w:gutter="0"/>
          <w:pgNumType w:fmt="numberInDash"/>
          <w:cols w:space="720" w:num="1"/>
          <w:docGrid w:linePitch="312" w:charSpace="0"/>
        </w:sectPr>
      </w:pPr>
    </w:p>
    <w:p>
      <w:pPr>
        <w:pStyle w:val="17"/>
        <w:jc w:val="center"/>
        <w:outlineLvl w:val="0"/>
        <w:rPr>
          <w:rFonts w:ascii="Times New Roman" w:hAnsi="Times New Roman" w:eastAsia="黑体"/>
          <w:snapToGrid w:val="0"/>
          <w:sz w:val="30"/>
          <w:szCs w:val="30"/>
        </w:rPr>
      </w:pPr>
      <w:r>
        <w:rPr>
          <w:rFonts w:ascii="Times New Roman" w:hAnsi="Times New Roman" w:eastAsia="黑体"/>
          <w:snapToGrid w:val="0"/>
          <w:sz w:val="30"/>
          <w:szCs w:val="30"/>
        </w:rPr>
        <w:t>五、</w:t>
      </w:r>
      <w:bookmarkStart w:id="3" w:name="_Hlk54167917"/>
      <w:r>
        <w:rPr>
          <w:rFonts w:ascii="Times New Roman" w:hAnsi="Times New Roman" w:eastAsia="黑体"/>
          <w:snapToGrid w:val="0"/>
          <w:sz w:val="30"/>
          <w:szCs w:val="30"/>
        </w:rPr>
        <w:t>环境保护措施监督检查清单</w:t>
      </w:r>
      <w:bookmarkEnd w:id="3"/>
    </w:p>
    <w:tbl>
      <w:tblPr>
        <w:tblStyle w:val="2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417"/>
        <w:gridCol w:w="1134"/>
        <w:gridCol w:w="2268"/>
        <w:gridCol w:w="301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71" w:type="dxa"/>
            <w:tcBorders>
              <w:top w:val="single" w:color="auto" w:sz="12" w:space="0"/>
              <w:left w:val="single" w:color="auto" w:sz="12" w:space="0"/>
              <w:bottom w:val="single" w:color="auto" w:sz="4" w:space="0"/>
              <w:tl2br w:val="single" w:color="auto" w:sz="4" w:space="0"/>
            </w:tcBorders>
          </w:tcPr>
          <w:p>
            <w:pPr>
              <w:adjustRightInd w:val="0"/>
              <w:snapToGrid w:val="0"/>
              <w:spacing w:line="360" w:lineRule="exact"/>
              <w:jc w:val="right"/>
              <w:rPr>
                <w:szCs w:val="21"/>
              </w:rPr>
            </w:pPr>
            <w:r>
              <w:rPr>
                <w:szCs w:val="21"/>
              </w:rPr>
              <w:t>内容</w:t>
            </w:r>
          </w:p>
          <w:p>
            <w:pPr>
              <w:adjustRightInd w:val="0"/>
              <w:snapToGrid w:val="0"/>
              <w:spacing w:line="360" w:lineRule="exact"/>
              <w:rPr>
                <w:szCs w:val="21"/>
              </w:rPr>
            </w:pPr>
            <w:r>
              <w:rPr>
                <w:szCs w:val="21"/>
              </w:rPr>
              <w:t>要素</w:t>
            </w:r>
          </w:p>
        </w:tc>
        <w:tc>
          <w:tcPr>
            <w:tcW w:w="1417" w:type="dxa"/>
            <w:tcBorders>
              <w:top w:val="single" w:color="auto" w:sz="12" w:space="0"/>
              <w:bottom w:val="single" w:color="auto" w:sz="4" w:space="0"/>
            </w:tcBorders>
            <w:vAlign w:val="center"/>
          </w:tcPr>
          <w:p>
            <w:pPr>
              <w:adjustRightInd w:val="0"/>
              <w:snapToGrid w:val="0"/>
              <w:spacing w:line="360" w:lineRule="exact"/>
              <w:jc w:val="center"/>
              <w:rPr>
                <w:szCs w:val="21"/>
              </w:rPr>
            </w:pPr>
            <w:r>
              <w:rPr>
                <w:szCs w:val="21"/>
              </w:rPr>
              <w:t>排放口(编号、名称)/污染源</w:t>
            </w:r>
          </w:p>
        </w:tc>
        <w:tc>
          <w:tcPr>
            <w:tcW w:w="1134" w:type="dxa"/>
            <w:tcBorders>
              <w:top w:val="single" w:color="auto" w:sz="12" w:space="0"/>
              <w:bottom w:val="single" w:color="auto" w:sz="4" w:space="0"/>
            </w:tcBorders>
            <w:vAlign w:val="center"/>
          </w:tcPr>
          <w:p>
            <w:pPr>
              <w:adjustRightInd w:val="0"/>
              <w:snapToGrid w:val="0"/>
              <w:spacing w:line="360" w:lineRule="exact"/>
              <w:jc w:val="center"/>
              <w:rPr>
                <w:szCs w:val="21"/>
              </w:rPr>
            </w:pPr>
            <w:r>
              <w:rPr>
                <w:szCs w:val="21"/>
              </w:rPr>
              <w:t>污染物项目</w:t>
            </w:r>
          </w:p>
        </w:tc>
        <w:tc>
          <w:tcPr>
            <w:tcW w:w="2268" w:type="dxa"/>
            <w:tcBorders>
              <w:top w:val="single" w:color="auto" w:sz="12" w:space="0"/>
              <w:bottom w:val="single" w:color="auto" w:sz="4" w:space="0"/>
            </w:tcBorders>
            <w:vAlign w:val="center"/>
          </w:tcPr>
          <w:p>
            <w:pPr>
              <w:adjustRightInd w:val="0"/>
              <w:snapToGrid w:val="0"/>
              <w:spacing w:line="360" w:lineRule="exact"/>
              <w:jc w:val="center"/>
              <w:rPr>
                <w:szCs w:val="21"/>
              </w:rPr>
            </w:pPr>
            <w:r>
              <w:rPr>
                <w:szCs w:val="21"/>
              </w:rPr>
              <w:t>环境保护措施</w:t>
            </w:r>
          </w:p>
        </w:tc>
        <w:tc>
          <w:tcPr>
            <w:tcW w:w="3010" w:type="dxa"/>
            <w:tcBorders>
              <w:top w:val="single" w:color="auto" w:sz="12" w:space="0"/>
              <w:bottom w:val="single" w:color="auto" w:sz="4" w:space="0"/>
              <w:right w:val="single" w:color="auto" w:sz="12" w:space="0"/>
            </w:tcBorders>
            <w:vAlign w:val="center"/>
          </w:tcPr>
          <w:p>
            <w:pPr>
              <w:adjustRightInd w:val="0"/>
              <w:snapToGrid w:val="0"/>
              <w:spacing w:line="360" w:lineRule="exact"/>
              <w:jc w:val="center"/>
              <w:rPr>
                <w:szCs w:val="21"/>
              </w:rPr>
            </w:pPr>
            <w:r>
              <w:rPr>
                <w:szCs w:val="21"/>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971" w:type="dxa"/>
            <w:vMerge w:val="restart"/>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大气</w:t>
            </w:r>
          </w:p>
          <w:p>
            <w:pPr>
              <w:adjustRightInd w:val="0"/>
              <w:snapToGrid w:val="0"/>
              <w:spacing w:line="360" w:lineRule="exact"/>
              <w:jc w:val="center"/>
              <w:rPr>
                <w:szCs w:val="21"/>
              </w:rPr>
            </w:pPr>
            <w:r>
              <w:rPr>
                <w:szCs w:val="21"/>
              </w:rPr>
              <w:t>环境</w:t>
            </w:r>
          </w:p>
        </w:tc>
        <w:tc>
          <w:tcPr>
            <w:tcW w:w="1417" w:type="dxa"/>
            <w:tcBorders>
              <w:top w:val="single" w:color="auto" w:sz="4" w:space="0"/>
              <w:bottom w:val="single" w:color="auto" w:sz="4" w:space="0"/>
            </w:tcBorders>
            <w:vAlign w:val="center"/>
          </w:tcPr>
          <w:p>
            <w:pPr>
              <w:autoSpaceDE w:val="0"/>
              <w:autoSpaceDN w:val="0"/>
              <w:adjustRightInd w:val="0"/>
              <w:spacing w:line="360" w:lineRule="exact"/>
              <w:jc w:val="center"/>
              <w:rPr>
                <w:szCs w:val="21"/>
              </w:rPr>
            </w:pPr>
            <w:r>
              <w:rPr>
                <w:rFonts w:hint="eastAsia"/>
                <w:szCs w:val="21"/>
              </w:rPr>
              <w:t>排气筒（DA001）</w:t>
            </w:r>
          </w:p>
        </w:tc>
        <w:tc>
          <w:tcPr>
            <w:tcW w:w="1134" w:type="dxa"/>
            <w:tcBorders>
              <w:top w:val="single" w:color="auto" w:sz="4" w:space="0"/>
              <w:bottom w:val="single" w:color="auto" w:sz="4" w:space="0"/>
            </w:tcBorders>
            <w:vAlign w:val="center"/>
          </w:tcPr>
          <w:p>
            <w:pPr>
              <w:adjustRightInd w:val="0"/>
              <w:snapToGrid w:val="0"/>
              <w:spacing w:line="360" w:lineRule="exact"/>
              <w:jc w:val="center"/>
              <w:rPr>
                <w:szCs w:val="21"/>
              </w:rPr>
            </w:pPr>
            <w:r>
              <w:rPr>
                <w:rFonts w:hint="eastAsia"/>
                <w:bCs/>
                <w:szCs w:val="21"/>
                <w:shd w:val="clear" w:color="auto" w:fill="FFFFFF"/>
              </w:rPr>
              <w:t>颗粒物</w:t>
            </w:r>
            <w:r>
              <w:rPr>
                <w:szCs w:val="18"/>
              </w:rPr>
              <w:t>、SO</w:t>
            </w:r>
            <w:r>
              <w:rPr>
                <w:szCs w:val="18"/>
                <w:vertAlign w:val="subscript"/>
              </w:rPr>
              <w:t>2</w:t>
            </w:r>
            <w:r>
              <w:rPr>
                <w:szCs w:val="18"/>
              </w:rPr>
              <w:t>、NO</w:t>
            </w:r>
            <w:r>
              <w:rPr>
                <w:szCs w:val="18"/>
                <w:vertAlign w:val="subscript"/>
              </w:rPr>
              <w:t>x</w:t>
            </w:r>
          </w:p>
        </w:tc>
        <w:tc>
          <w:tcPr>
            <w:tcW w:w="2268" w:type="dxa"/>
            <w:tcBorders>
              <w:top w:val="single" w:color="auto" w:sz="4" w:space="0"/>
              <w:bottom w:val="single" w:color="auto" w:sz="4" w:space="0"/>
            </w:tcBorders>
            <w:vAlign w:val="center"/>
          </w:tcPr>
          <w:p>
            <w:pPr>
              <w:adjustRightInd w:val="0"/>
              <w:snapToGrid w:val="0"/>
              <w:spacing w:line="360" w:lineRule="exact"/>
              <w:jc w:val="center"/>
              <w:rPr>
                <w:bCs/>
                <w:szCs w:val="21"/>
              </w:rPr>
            </w:pPr>
            <w:r>
              <w:rPr>
                <w:rFonts w:hint="eastAsia"/>
              </w:rPr>
              <w:t>烘干废气</w:t>
            </w:r>
            <w:r>
              <w:t>采用</w:t>
            </w:r>
            <w:r>
              <w:rPr>
                <w:rFonts w:hint="eastAsia"/>
              </w:rPr>
              <w:t>低氮燃烧技术+</w:t>
            </w:r>
            <w:r>
              <w:t>旋风除尘+布袋除尘+</w:t>
            </w:r>
            <w:r>
              <w:rPr>
                <w:rFonts w:hint="eastAsia"/>
              </w:rPr>
              <w:t>15</w:t>
            </w:r>
            <w:r>
              <w:t>m排气筒</w:t>
            </w:r>
            <w:r>
              <w:rPr>
                <w:rFonts w:hint="eastAsia"/>
                <w:szCs w:val="21"/>
              </w:rPr>
              <w:t>（DA001）</w:t>
            </w:r>
            <w:r>
              <w:rPr>
                <w:rFonts w:hint="eastAsia"/>
              </w:rPr>
              <w:t>排放</w:t>
            </w:r>
          </w:p>
        </w:tc>
        <w:tc>
          <w:tcPr>
            <w:tcW w:w="3010" w:type="dxa"/>
            <w:vMerge w:val="restart"/>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r>
              <w:rPr>
                <w:rFonts w:hint="eastAsia"/>
                <w:szCs w:val="21"/>
              </w:rPr>
              <w:t>《</w:t>
            </w:r>
            <w:r>
              <w:rPr>
                <w:szCs w:val="21"/>
              </w:rPr>
              <w:t>运城市人民政府办公室关于印发运城市工业炉窑污染治理行动方案的通知》（运政办发电〔2019〕9号）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71" w:type="dxa"/>
            <w:vMerge w:val="continue"/>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p>
        </w:tc>
        <w:tc>
          <w:tcPr>
            <w:tcW w:w="1417" w:type="dxa"/>
            <w:tcBorders>
              <w:top w:val="single" w:color="auto" w:sz="4" w:space="0"/>
              <w:bottom w:val="single" w:color="auto" w:sz="4" w:space="0"/>
            </w:tcBorders>
            <w:vAlign w:val="center"/>
          </w:tcPr>
          <w:p>
            <w:pPr>
              <w:autoSpaceDE w:val="0"/>
              <w:autoSpaceDN w:val="0"/>
              <w:adjustRightInd w:val="0"/>
              <w:spacing w:line="360" w:lineRule="exact"/>
              <w:jc w:val="center"/>
              <w:rPr>
                <w:szCs w:val="21"/>
              </w:rPr>
            </w:pPr>
            <w:r>
              <w:rPr>
                <w:rFonts w:hint="eastAsia"/>
                <w:szCs w:val="21"/>
              </w:rPr>
              <w:t>排气筒（DA001）</w:t>
            </w:r>
          </w:p>
        </w:tc>
        <w:tc>
          <w:tcPr>
            <w:tcW w:w="1134" w:type="dxa"/>
            <w:tcBorders>
              <w:top w:val="single" w:color="auto" w:sz="4" w:space="0"/>
              <w:bottom w:val="single" w:color="auto" w:sz="4" w:space="0"/>
            </w:tcBorders>
            <w:vAlign w:val="center"/>
          </w:tcPr>
          <w:p>
            <w:pPr>
              <w:adjustRightInd w:val="0"/>
              <w:snapToGrid w:val="0"/>
              <w:spacing w:line="360" w:lineRule="exact"/>
              <w:jc w:val="center"/>
              <w:rPr>
                <w:bCs/>
                <w:szCs w:val="21"/>
                <w:shd w:val="clear" w:color="auto" w:fill="FFFFFF"/>
              </w:rPr>
            </w:pPr>
            <w:r>
              <w:rPr>
                <w:rFonts w:hint="eastAsia"/>
                <w:bCs/>
                <w:szCs w:val="21"/>
                <w:shd w:val="clear" w:color="auto" w:fill="FFFFFF"/>
              </w:rPr>
              <w:t>颗粒物</w:t>
            </w:r>
            <w:r>
              <w:rPr>
                <w:szCs w:val="18"/>
              </w:rPr>
              <w:t>、SO</w:t>
            </w:r>
            <w:r>
              <w:rPr>
                <w:szCs w:val="18"/>
                <w:vertAlign w:val="subscript"/>
              </w:rPr>
              <w:t>2</w:t>
            </w:r>
            <w:r>
              <w:rPr>
                <w:szCs w:val="18"/>
              </w:rPr>
              <w:t>、NO</w:t>
            </w:r>
            <w:r>
              <w:rPr>
                <w:szCs w:val="18"/>
                <w:vertAlign w:val="subscript"/>
              </w:rPr>
              <w:t>x</w:t>
            </w:r>
          </w:p>
        </w:tc>
        <w:tc>
          <w:tcPr>
            <w:tcW w:w="2268" w:type="dxa"/>
            <w:tcBorders>
              <w:top w:val="single" w:color="auto" w:sz="4" w:space="0"/>
              <w:bottom w:val="single" w:color="auto" w:sz="4" w:space="0"/>
            </w:tcBorders>
            <w:vAlign w:val="center"/>
          </w:tcPr>
          <w:p>
            <w:pPr>
              <w:adjustRightInd w:val="0"/>
              <w:snapToGrid w:val="0"/>
              <w:spacing w:line="360" w:lineRule="exact"/>
              <w:jc w:val="center"/>
            </w:pPr>
            <w:r>
              <w:rPr>
                <w:rFonts w:hint="eastAsia"/>
              </w:rPr>
              <w:t>烘干废气</w:t>
            </w:r>
            <w:r>
              <w:t>采用</w:t>
            </w:r>
            <w:r>
              <w:rPr>
                <w:rFonts w:hint="eastAsia"/>
              </w:rPr>
              <w:t>低氮燃烧技术+</w:t>
            </w:r>
            <w:r>
              <w:t>旋风除尘+布袋除尘+</w:t>
            </w:r>
            <w:r>
              <w:rPr>
                <w:rFonts w:hint="eastAsia"/>
              </w:rPr>
              <w:t>15</w:t>
            </w:r>
            <w:r>
              <w:t>m排气筒</w:t>
            </w:r>
            <w:r>
              <w:rPr>
                <w:rFonts w:hint="eastAsia"/>
                <w:szCs w:val="21"/>
              </w:rPr>
              <w:t>（DA002）</w:t>
            </w:r>
            <w:r>
              <w:rPr>
                <w:rFonts w:hint="eastAsia"/>
              </w:rPr>
              <w:t>排放</w:t>
            </w:r>
          </w:p>
        </w:tc>
        <w:tc>
          <w:tcPr>
            <w:tcW w:w="3010" w:type="dxa"/>
            <w:vMerge w:val="continue"/>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地表水环境</w:t>
            </w:r>
          </w:p>
        </w:tc>
        <w:tc>
          <w:tcPr>
            <w:tcW w:w="1417"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生活污水</w:t>
            </w:r>
          </w:p>
        </w:tc>
        <w:tc>
          <w:tcPr>
            <w:tcW w:w="1134"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COD、BOD、SS、氨氮</w:t>
            </w:r>
          </w:p>
        </w:tc>
        <w:tc>
          <w:tcPr>
            <w:tcW w:w="2268" w:type="dxa"/>
            <w:tcBorders>
              <w:top w:val="single" w:color="auto" w:sz="4" w:space="0"/>
              <w:bottom w:val="single" w:color="auto" w:sz="4" w:space="0"/>
            </w:tcBorders>
            <w:vAlign w:val="center"/>
          </w:tcPr>
          <w:p>
            <w:pPr>
              <w:spacing w:line="360" w:lineRule="exact"/>
              <w:jc w:val="center"/>
              <w:rPr>
                <w:szCs w:val="21"/>
              </w:rPr>
            </w:pPr>
            <w:r>
              <w:rPr>
                <w:rFonts w:hint="eastAsia"/>
                <w:color w:val="000000"/>
                <w:szCs w:val="21"/>
              </w:rPr>
              <w:t>生活污水排入北京汇源集团万荣有限公司污水处理厂，处理后排入管网。</w:t>
            </w:r>
          </w:p>
        </w:tc>
        <w:tc>
          <w:tcPr>
            <w:tcW w:w="3010" w:type="dxa"/>
            <w:tcBorders>
              <w:top w:val="single" w:color="auto" w:sz="4" w:space="0"/>
              <w:bottom w:val="single" w:color="auto" w:sz="4" w:space="0"/>
              <w:right w:val="single" w:color="auto" w:sz="12" w:space="0"/>
            </w:tcBorders>
            <w:vAlign w:val="center"/>
          </w:tcPr>
          <w:p>
            <w:pPr>
              <w:adjustRightInd w:val="0"/>
              <w:snapToGrid w:val="0"/>
              <w:spacing w:line="360" w:lineRule="exact"/>
              <w:jc w:val="center"/>
              <w:rPr>
                <w:b/>
                <w:szCs w:val="21"/>
              </w:rPr>
            </w:pPr>
            <w:r>
              <w:rPr>
                <w:color w:val="000000"/>
                <w:szCs w:val="21"/>
              </w:rPr>
              <w:t>《污水排入城镇下水道水质标准》（GB/T 31962-2015）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声环境</w:t>
            </w:r>
          </w:p>
        </w:tc>
        <w:tc>
          <w:tcPr>
            <w:tcW w:w="1417"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设备运转</w:t>
            </w:r>
          </w:p>
        </w:tc>
        <w:tc>
          <w:tcPr>
            <w:tcW w:w="1134"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噪声</w:t>
            </w:r>
          </w:p>
        </w:tc>
        <w:tc>
          <w:tcPr>
            <w:tcW w:w="2268"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选用低噪声设备，基础减振，建筑隔声</w:t>
            </w:r>
            <w:r>
              <w:rPr>
                <w:rFonts w:hint="eastAsia"/>
                <w:szCs w:val="21"/>
              </w:rPr>
              <w:t>，风机设隔声罩</w:t>
            </w:r>
          </w:p>
        </w:tc>
        <w:tc>
          <w:tcPr>
            <w:tcW w:w="3010" w:type="dxa"/>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r>
              <w:rPr>
                <w:snapToGrid w:val="0"/>
                <w:kern w:val="0"/>
                <w:szCs w:val="21"/>
              </w:rPr>
              <w:t>厂界噪声执行《工业企业厂界环境噪声排放标准》（GB12348-2008）中的</w:t>
            </w:r>
            <w:r>
              <w:rPr>
                <w:rFonts w:hint="eastAsia"/>
                <w:snapToGrid w:val="0"/>
                <w:kern w:val="0"/>
                <w:szCs w:val="21"/>
              </w:rPr>
              <w:t>2</w:t>
            </w:r>
            <w:r>
              <w:rPr>
                <w:snapToGrid w:val="0"/>
                <w:kern w:val="0"/>
                <w:szCs w:val="21"/>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电磁辐射</w:t>
            </w:r>
          </w:p>
        </w:tc>
        <w:tc>
          <w:tcPr>
            <w:tcW w:w="1417"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w:t>
            </w:r>
          </w:p>
        </w:tc>
        <w:tc>
          <w:tcPr>
            <w:tcW w:w="1134"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w:t>
            </w:r>
          </w:p>
        </w:tc>
        <w:tc>
          <w:tcPr>
            <w:tcW w:w="2268" w:type="dxa"/>
            <w:tcBorders>
              <w:top w:val="single" w:color="auto" w:sz="4" w:space="0"/>
              <w:bottom w:val="single" w:color="auto" w:sz="4" w:space="0"/>
            </w:tcBorders>
            <w:vAlign w:val="center"/>
          </w:tcPr>
          <w:p>
            <w:pPr>
              <w:adjustRightInd w:val="0"/>
              <w:snapToGrid w:val="0"/>
              <w:spacing w:line="360" w:lineRule="exact"/>
              <w:jc w:val="center"/>
              <w:rPr>
                <w:szCs w:val="21"/>
              </w:rPr>
            </w:pPr>
            <w:r>
              <w:rPr>
                <w:szCs w:val="21"/>
              </w:rPr>
              <w:t>/</w:t>
            </w:r>
          </w:p>
        </w:tc>
        <w:tc>
          <w:tcPr>
            <w:tcW w:w="3010" w:type="dxa"/>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r>
              <w:rPr>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固体废物</w:t>
            </w:r>
          </w:p>
        </w:tc>
        <w:tc>
          <w:tcPr>
            <w:tcW w:w="7829" w:type="dxa"/>
            <w:gridSpan w:val="4"/>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r>
              <w:rPr>
                <w:szCs w:val="21"/>
              </w:rPr>
              <w:t>本项目产生的</w:t>
            </w:r>
            <w:r>
              <w:rPr>
                <w:szCs w:val="21"/>
                <w:lang w:val="zh-CN"/>
              </w:rPr>
              <w:t>生活垃圾收集后由当地环卫部门统一处理；</w:t>
            </w:r>
            <w:r>
              <w:rPr>
                <w:rFonts w:hint="eastAsia"/>
                <w:szCs w:val="21"/>
                <w:lang w:val="zh-CN"/>
              </w:rPr>
              <w:t>除尘灰、</w:t>
            </w:r>
            <w:r>
              <w:rPr>
                <w:szCs w:val="21"/>
                <w:lang w:val="zh-CN"/>
              </w:rPr>
              <w:t>燃料燃烧灰烬收集后定期外售；</w:t>
            </w:r>
            <w:r>
              <w:rPr>
                <w:rFonts w:hint="eastAsia"/>
                <w:szCs w:val="21"/>
                <w:lang w:val="zh-CN"/>
              </w:rPr>
              <w:t>废矿物油</w:t>
            </w:r>
            <w:r>
              <w:rPr>
                <w:szCs w:val="21"/>
                <w:lang w:val="zh-CN"/>
              </w:rPr>
              <w:t>收集后暂存于危废贮存间，定期交由</w:t>
            </w:r>
            <w:r>
              <w:rPr>
                <w:rFonts w:hint="eastAsia"/>
                <w:szCs w:val="21"/>
                <w:lang w:val="zh-CN"/>
              </w:rPr>
              <w:t>有资质</w:t>
            </w:r>
            <w:r>
              <w:rPr>
                <w:szCs w:val="21"/>
                <w:lang w:val="zh-CN"/>
              </w:rPr>
              <w:t>的公司处置</w:t>
            </w:r>
            <w:r>
              <w:rPr>
                <w:kern w:val="44"/>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土壤及地下水污染防治措施</w:t>
            </w:r>
          </w:p>
        </w:tc>
        <w:tc>
          <w:tcPr>
            <w:tcW w:w="7829" w:type="dxa"/>
            <w:gridSpan w:val="4"/>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r>
              <w:rPr>
                <w:szCs w:val="21"/>
              </w:rPr>
              <w:t>环评要求对场地进行硬化，危废贮存间进行重点防渗处理，等效粘土防渗层Mb≥6m，渗透系数K≤1×10</w:t>
            </w:r>
            <w:r>
              <w:rPr>
                <w:szCs w:val="21"/>
                <w:vertAlign w:val="superscript"/>
              </w:rPr>
              <w:t>-7</w:t>
            </w:r>
            <w:r>
              <w:rPr>
                <w:szCs w:val="21"/>
              </w:rPr>
              <w:t>cm/s</w:t>
            </w:r>
            <w:r>
              <w:rPr>
                <w:rFonts w:hint="eastAsia"/>
                <w:szCs w:val="21"/>
              </w:rPr>
              <w:t>；厂房进行一般防渗，</w:t>
            </w:r>
            <w:r>
              <w:rPr>
                <w:szCs w:val="21"/>
              </w:rPr>
              <w:t>等效粘土防渗层Mb≥</w:t>
            </w:r>
            <w:r>
              <w:rPr>
                <w:rFonts w:hint="eastAsia"/>
                <w:szCs w:val="21"/>
              </w:rPr>
              <w:t>1.5</w:t>
            </w:r>
            <w:r>
              <w:rPr>
                <w:szCs w:val="21"/>
              </w:rPr>
              <w:t>m，渗透系数</w:t>
            </w:r>
            <w:r>
              <w:t>≤</w:t>
            </w:r>
            <w:r>
              <w:rPr>
                <w:szCs w:val="21"/>
              </w:rPr>
              <w:t>1.0×10</w:t>
            </w:r>
            <w:r>
              <w:rPr>
                <w:szCs w:val="21"/>
                <w:vertAlign w:val="superscript"/>
              </w:rPr>
              <w:t>-7</w:t>
            </w:r>
            <w:r>
              <w:rPr>
                <w:szCs w:val="21"/>
              </w:rPr>
              <w:t xml:space="preserve">cm/s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生态保护措施</w:t>
            </w:r>
          </w:p>
        </w:tc>
        <w:tc>
          <w:tcPr>
            <w:tcW w:w="7829" w:type="dxa"/>
            <w:gridSpan w:val="4"/>
            <w:tcBorders>
              <w:top w:val="single" w:color="auto" w:sz="4" w:space="0"/>
              <w:bottom w:val="single" w:color="auto" w:sz="4" w:space="0"/>
              <w:right w:val="single" w:color="auto" w:sz="12" w:space="0"/>
            </w:tcBorders>
            <w:vAlign w:val="center"/>
          </w:tcPr>
          <w:p>
            <w:pPr>
              <w:adjustRightInd w:val="0"/>
              <w:snapToGrid w:val="0"/>
              <w:spacing w:line="360" w:lineRule="exact"/>
              <w:jc w:val="center"/>
              <w:rPr>
                <w:szCs w:val="21"/>
              </w:rPr>
            </w:pPr>
            <w:r>
              <w:rPr>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971" w:type="dxa"/>
            <w:tcBorders>
              <w:top w:val="single" w:color="auto" w:sz="4" w:space="0"/>
              <w:left w:val="single" w:color="auto" w:sz="12" w:space="0"/>
              <w:bottom w:val="single" w:color="auto" w:sz="4" w:space="0"/>
            </w:tcBorders>
            <w:vAlign w:val="center"/>
          </w:tcPr>
          <w:p>
            <w:pPr>
              <w:adjustRightInd w:val="0"/>
              <w:snapToGrid w:val="0"/>
              <w:spacing w:line="360" w:lineRule="exact"/>
              <w:jc w:val="center"/>
              <w:rPr>
                <w:szCs w:val="21"/>
              </w:rPr>
            </w:pPr>
            <w:r>
              <w:rPr>
                <w:szCs w:val="21"/>
              </w:rPr>
              <w:t>环境风险防范措施</w:t>
            </w:r>
          </w:p>
        </w:tc>
        <w:tc>
          <w:tcPr>
            <w:tcW w:w="7829" w:type="dxa"/>
            <w:gridSpan w:val="4"/>
            <w:tcBorders>
              <w:top w:val="single" w:color="auto" w:sz="4" w:space="0"/>
              <w:bottom w:val="single" w:color="auto" w:sz="4" w:space="0"/>
              <w:right w:val="single" w:color="auto" w:sz="12" w:space="0"/>
            </w:tcBorders>
            <w:vAlign w:val="center"/>
          </w:tcPr>
          <w:p>
            <w:pPr>
              <w:adjustRightInd w:val="0"/>
              <w:snapToGrid w:val="0"/>
              <w:spacing w:line="360" w:lineRule="exact"/>
              <w:ind w:firstLine="420" w:firstLineChars="200"/>
              <w:jc w:val="left"/>
              <w:rPr>
                <w:szCs w:val="21"/>
              </w:rPr>
            </w:pPr>
            <w:r>
              <w:rPr>
                <w:rFonts w:hint="eastAsia"/>
                <w:szCs w:val="21"/>
              </w:rPr>
              <w:t>严格执行设备的维护和保养，定期对设备进行检查和检验；危废贮存间需具有防漏、防风、防晒、防盗功能，且内部设有安全照明设施及安全防护设施；加强全员教育和培训，增强安全意识，提高操作技能及应变能力</w:t>
            </w:r>
            <w:r>
              <w:rPr>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971" w:type="dxa"/>
            <w:tcBorders>
              <w:top w:val="single" w:color="auto" w:sz="4" w:space="0"/>
              <w:left w:val="single" w:color="auto" w:sz="12" w:space="0"/>
              <w:bottom w:val="single" w:color="auto" w:sz="12" w:space="0"/>
            </w:tcBorders>
            <w:vAlign w:val="center"/>
          </w:tcPr>
          <w:p>
            <w:pPr>
              <w:adjustRightInd w:val="0"/>
              <w:snapToGrid w:val="0"/>
              <w:spacing w:line="360" w:lineRule="exact"/>
              <w:jc w:val="center"/>
              <w:rPr>
                <w:szCs w:val="21"/>
              </w:rPr>
            </w:pPr>
            <w:r>
              <w:rPr>
                <w:szCs w:val="21"/>
              </w:rPr>
              <w:t>其他环境管理要求</w:t>
            </w:r>
          </w:p>
        </w:tc>
        <w:tc>
          <w:tcPr>
            <w:tcW w:w="7829" w:type="dxa"/>
            <w:gridSpan w:val="4"/>
            <w:tcBorders>
              <w:top w:val="single" w:color="auto" w:sz="4" w:space="0"/>
              <w:bottom w:val="single" w:color="auto" w:sz="12" w:space="0"/>
              <w:right w:val="single" w:color="auto" w:sz="12" w:space="0"/>
            </w:tcBorders>
            <w:vAlign w:val="center"/>
          </w:tcPr>
          <w:p>
            <w:pPr>
              <w:adjustRightInd w:val="0"/>
              <w:snapToGrid w:val="0"/>
              <w:spacing w:line="360" w:lineRule="exact"/>
              <w:ind w:firstLine="420" w:firstLineChars="200"/>
              <w:jc w:val="left"/>
              <w:rPr>
                <w:szCs w:val="21"/>
              </w:rPr>
            </w:pPr>
            <w:r>
              <w:rPr>
                <w:szCs w:val="21"/>
              </w:rPr>
              <w:t>为严格落实本评价提出的各项环境保护措施，建设单位应切实加强该项目在运行期间的环境污染治理能力，强化环境管理，业主应定期委托有监测能力和资质的环境监测部门进行环境监测，以反馈环境污染治理情况，从而促进污染治理措施的改进和完善。</w:t>
            </w: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ind w:firstLine="420" w:firstLineChars="200"/>
              <w:jc w:val="left"/>
              <w:rPr>
                <w:szCs w:val="21"/>
              </w:rPr>
            </w:pPr>
          </w:p>
          <w:p>
            <w:pPr>
              <w:adjustRightInd w:val="0"/>
              <w:snapToGrid w:val="0"/>
              <w:spacing w:line="360" w:lineRule="exact"/>
              <w:jc w:val="left"/>
              <w:rPr>
                <w:szCs w:val="21"/>
              </w:rPr>
            </w:pPr>
          </w:p>
        </w:tc>
      </w:tr>
    </w:tbl>
    <w:p>
      <w:pPr>
        <w:pStyle w:val="17"/>
        <w:jc w:val="center"/>
        <w:outlineLvl w:val="0"/>
        <w:rPr>
          <w:rFonts w:ascii="Times New Roman" w:hAnsi="Times New Roman" w:eastAsia="黑体"/>
          <w:snapToGrid w:val="0"/>
          <w:sz w:val="30"/>
          <w:szCs w:val="30"/>
        </w:rPr>
      </w:pPr>
      <w:r>
        <w:rPr>
          <w:rFonts w:ascii="Times New Roman" w:hAnsi="Times New Roman"/>
          <w:snapToGrid w:val="0"/>
        </w:rPr>
        <w:br w:type="page"/>
      </w:r>
      <w:r>
        <w:rPr>
          <w:rFonts w:ascii="Times New Roman" w:hAnsi="Times New Roman" w:eastAsia="黑体"/>
          <w:snapToGrid w:val="0"/>
          <w:sz w:val="30"/>
          <w:szCs w:val="30"/>
        </w:rPr>
        <w:t>六、结论</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865"/>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1991" w:hRule="atLeast"/>
          <w:jc w:val="center"/>
        </w:trPr>
        <w:tc>
          <w:tcPr>
            <w:tcW w:w="8865" w:type="dxa"/>
            <w:vAlign w:val="center"/>
          </w:tcPr>
          <w:p>
            <w:pPr>
              <w:spacing w:line="360" w:lineRule="auto"/>
              <w:ind w:firstLine="480"/>
              <w:rPr>
                <w:kern w:val="0"/>
                <w:sz w:val="24"/>
              </w:rPr>
            </w:pPr>
            <w:r>
              <w:rPr>
                <w:kern w:val="0"/>
                <w:sz w:val="24"/>
              </w:rPr>
              <w:t>综上所述，本项目在认真贯彻执行国家环保法律、法规，严格落实环评规定的各项环保措施，加强环境管理的情况下，污染物的排放可以满足达标排放和总量控制的要求；各项污染物对周围环境的影响在可接受范围。因此，从环境保护的角度出发，本工程的建设是可行的。</w:t>
            </w:r>
          </w:p>
          <w:p>
            <w:pPr>
              <w:spacing w:line="360" w:lineRule="auto"/>
              <w:rPr>
                <w:sz w:val="24"/>
              </w:rPr>
            </w:pPr>
          </w:p>
        </w:tc>
      </w:tr>
    </w:tbl>
    <w:p>
      <w:pPr>
        <w:sectPr>
          <w:pgSz w:w="11906" w:h="16838"/>
          <w:pgMar w:top="1701" w:right="1531" w:bottom="1701" w:left="1531" w:header="851" w:footer="851" w:gutter="0"/>
          <w:pgNumType w:fmt="numberInDash"/>
          <w:cols w:space="720" w:num="1"/>
          <w:docGrid w:linePitch="312" w:charSpace="0"/>
        </w:sectPr>
      </w:pPr>
    </w:p>
    <w:p>
      <w:pPr>
        <w:pStyle w:val="17"/>
        <w:adjustRightInd w:val="0"/>
        <w:snapToGrid w:val="0"/>
        <w:spacing w:before="0" w:beforeAutospacing="0" w:after="0" w:afterAutospacing="0"/>
        <w:outlineLvl w:val="0"/>
        <w:rPr>
          <w:rFonts w:ascii="Times New Roman" w:hAnsi="Times New Roman" w:eastAsia="黑体"/>
          <w:snapToGrid w:val="0"/>
          <w:sz w:val="32"/>
          <w:szCs w:val="32"/>
        </w:rPr>
      </w:pPr>
      <w:r>
        <w:rPr>
          <w:rFonts w:ascii="Times New Roman" w:hAnsi="Times New Roman" w:eastAsia="黑体"/>
          <w:snapToGrid w:val="0"/>
          <w:sz w:val="32"/>
          <w:szCs w:val="32"/>
        </w:rPr>
        <w:t>附表</w:t>
      </w:r>
    </w:p>
    <w:p>
      <w:pPr>
        <w:pStyle w:val="17"/>
        <w:adjustRightInd w:val="0"/>
        <w:snapToGrid w:val="0"/>
        <w:spacing w:before="0" w:beforeAutospacing="0" w:after="0" w:afterAutospacing="0"/>
        <w:jc w:val="center"/>
        <w:outlineLvl w:val="0"/>
        <w:rPr>
          <w:rFonts w:ascii="Times New Roman" w:hAnsi="Times New Roman" w:eastAsia="方正小标宋_GBK"/>
          <w:snapToGrid w:val="0"/>
          <w:sz w:val="38"/>
          <w:szCs w:val="38"/>
        </w:rPr>
      </w:pPr>
      <w:r>
        <w:rPr>
          <w:rFonts w:ascii="Times New Roman" w:hAnsi="Times New Roman" w:eastAsia="方正小标宋_GBK"/>
          <w:snapToGrid w:val="0"/>
          <w:sz w:val="38"/>
          <w:szCs w:val="38"/>
        </w:rPr>
        <w:t>建设项目污染物排放量汇总表</w:t>
      </w:r>
    </w:p>
    <w:tbl>
      <w:tblPr>
        <w:tblStyle w:val="20"/>
        <w:tblW w:w="13895"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1709"/>
        <w:gridCol w:w="1714"/>
        <w:gridCol w:w="1286"/>
        <w:gridCol w:w="1714"/>
        <w:gridCol w:w="1571"/>
        <w:gridCol w:w="1775"/>
        <w:gridCol w:w="1752"/>
        <w:gridCol w:w="105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1319" w:type="dxa"/>
            <w:tcBorders>
              <w:tl2br w:val="single" w:color="auto" w:sz="4" w:space="0"/>
            </w:tcBorders>
            <w:tcMar>
              <w:left w:w="28" w:type="dxa"/>
              <w:right w:w="28" w:type="dxa"/>
            </w:tcMar>
            <w:vAlign w:val="center"/>
          </w:tcPr>
          <w:p>
            <w:pPr>
              <w:pStyle w:val="53"/>
              <w:spacing w:beforeLines="0" w:afterLines="0" w:line="240" w:lineRule="auto"/>
              <w:jc w:val="right"/>
              <w:rPr>
                <w:rFonts w:ascii="Times New Roman" w:eastAsia="黑体"/>
                <w:snapToGrid w:val="0"/>
                <w:spacing w:val="-6"/>
                <w:kern w:val="21"/>
                <w:szCs w:val="21"/>
              </w:rPr>
            </w:pPr>
            <w:r>
              <w:rPr>
                <w:rFonts w:ascii="Times New Roman" w:eastAsia="黑体"/>
                <w:snapToGrid w:val="0"/>
                <w:spacing w:val="-6"/>
                <w:kern w:val="21"/>
                <w:szCs w:val="21"/>
              </w:rPr>
              <w:t>项目</w:t>
            </w:r>
          </w:p>
          <w:p>
            <w:pPr>
              <w:pStyle w:val="53"/>
              <w:spacing w:beforeLines="0" w:afterLines="0" w:line="240" w:lineRule="auto"/>
              <w:jc w:val="left"/>
              <w:rPr>
                <w:rFonts w:ascii="Times New Roman" w:eastAsia="黑体"/>
                <w:snapToGrid w:val="0"/>
                <w:spacing w:val="-6"/>
                <w:kern w:val="21"/>
                <w:szCs w:val="21"/>
              </w:rPr>
            </w:pPr>
            <w:r>
              <w:rPr>
                <w:rFonts w:ascii="Times New Roman" w:eastAsia="黑体"/>
                <w:snapToGrid w:val="0"/>
                <w:spacing w:val="-6"/>
                <w:kern w:val="21"/>
                <w:szCs w:val="21"/>
              </w:rPr>
              <w:t>分类</w:t>
            </w:r>
          </w:p>
        </w:tc>
        <w:tc>
          <w:tcPr>
            <w:tcW w:w="1709" w:type="dxa"/>
            <w:tcMar>
              <w:left w:w="28" w:type="dxa"/>
              <w:right w:w="28" w:type="dxa"/>
            </w:tcMar>
            <w:vAlign w:val="center"/>
          </w:tcPr>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污染物名称</w:t>
            </w:r>
          </w:p>
        </w:tc>
        <w:tc>
          <w:tcPr>
            <w:tcW w:w="1714" w:type="dxa"/>
            <w:tcMar>
              <w:left w:w="28" w:type="dxa"/>
              <w:right w:w="28" w:type="dxa"/>
            </w:tcMar>
            <w:vAlign w:val="center"/>
          </w:tcPr>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现有工程</w:t>
            </w:r>
          </w:p>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排放量（固体废物产生量）</w:t>
            </w:r>
            <w:r>
              <w:rPr>
                <w:rFonts w:ascii="Times New Roman" w:eastAsia="黑体"/>
                <w:snapToGrid w:val="0"/>
                <w:spacing w:val="-6"/>
                <w:kern w:val="21"/>
                <w:szCs w:val="21"/>
              </w:rPr>
              <w:fldChar w:fldCharType="begin"/>
            </w:r>
            <w:r>
              <w:rPr>
                <w:rFonts w:ascii="Times New Roman" w:eastAsia="黑体"/>
                <w:snapToGrid w:val="0"/>
                <w:spacing w:val="-6"/>
                <w:kern w:val="21"/>
                <w:szCs w:val="21"/>
              </w:rPr>
              <w:instrText xml:space="preserve"> = 1 \* GB3 \* MERGEFORMAT </w:instrText>
            </w:r>
            <w:r>
              <w:rPr>
                <w:rFonts w:ascii="Times New Roman" w:eastAsia="黑体"/>
                <w:snapToGrid w:val="0"/>
                <w:spacing w:val="-6"/>
                <w:kern w:val="21"/>
                <w:szCs w:val="21"/>
              </w:rPr>
              <w:fldChar w:fldCharType="separate"/>
            </w:r>
            <w:r>
              <w:rPr>
                <w:rFonts w:ascii="Times New Roman" w:eastAsia="黑体"/>
                <w:szCs w:val="21"/>
              </w:rPr>
              <w:t>①</w:t>
            </w:r>
            <w:r>
              <w:rPr>
                <w:rFonts w:ascii="Times New Roman" w:eastAsia="黑体"/>
                <w:snapToGrid w:val="0"/>
                <w:spacing w:val="-6"/>
                <w:kern w:val="21"/>
                <w:szCs w:val="21"/>
              </w:rPr>
              <w:fldChar w:fldCharType="end"/>
            </w:r>
          </w:p>
        </w:tc>
        <w:tc>
          <w:tcPr>
            <w:tcW w:w="1286" w:type="dxa"/>
            <w:tcMar>
              <w:left w:w="28" w:type="dxa"/>
              <w:right w:w="28" w:type="dxa"/>
            </w:tcMar>
            <w:vAlign w:val="center"/>
          </w:tcPr>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现有工程</w:t>
            </w:r>
          </w:p>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许可排放量</w:t>
            </w:r>
          </w:p>
          <w:p>
            <w:pPr>
              <w:pStyle w:val="53"/>
              <w:spacing w:beforeLines="0" w:afterLines="0"/>
              <w:rPr>
                <w:rFonts w:ascii="Times New Roman" w:eastAsia="黑体"/>
                <w:snapToGrid w:val="0"/>
                <w:spacing w:val="-6"/>
                <w:kern w:val="21"/>
                <w:szCs w:val="21"/>
              </w:rPr>
            </w:pPr>
            <w:r>
              <w:rPr>
                <w:rFonts w:ascii="Times New Roman" w:eastAsia="黑体"/>
                <w:snapToGrid w:val="0"/>
                <w:spacing w:val="-6"/>
                <w:kern w:val="21"/>
                <w:szCs w:val="21"/>
              </w:rPr>
              <w:fldChar w:fldCharType="begin"/>
            </w:r>
            <w:r>
              <w:rPr>
                <w:rFonts w:ascii="Times New Roman" w:eastAsia="黑体"/>
                <w:snapToGrid w:val="0"/>
                <w:spacing w:val="-6"/>
                <w:kern w:val="21"/>
                <w:szCs w:val="21"/>
              </w:rPr>
              <w:instrText xml:space="preserve"> = 2 \* GB3 \* MERGEFORMAT </w:instrText>
            </w:r>
            <w:r>
              <w:rPr>
                <w:rFonts w:ascii="Times New Roman" w:eastAsia="黑体"/>
                <w:snapToGrid w:val="0"/>
                <w:spacing w:val="-6"/>
                <w:kern w:val="21"/>
                <w:szCs w:val="21"/>
              </w:rPr>
              <w:fldChar w:fldCharType="separate"/>
            </w:r>
            <w:r>
              <w:rPr>
                <w:rFonts w:ascii="Times New Roman" w:eastAsia="黑体"/>
                <w:snapToGrid w:val="0"/>
                <w:spacing w:val="-6"/>
                <w:kern w:val="21"/>
                <w:szCs w:val="21"/>
              </w:rPr>
              <w:t>②</w:t>
            </w:r>
            <w:r>
              <w:rPr>
                <w:rFonts w:ascii="Times New Roman" w:eastAsia="黑体"/>
                <w:snapToGrid w:val="0"/>
                <w:spacing w:val="-6"/>
                <w:kern w:val="21"/>
                <w:szCs w:val="21"/>
              </w:rPr>
              <w:fldChar w:fldCharType="end"/>
            </w:r>
          </w:p>
        </w:tc>
        <w:tc>
          <w:tcPr>
            <w:tcW w:w="1714" w:type="dxa"/>
            <w:tcMar>
              <w:left w:w="28" w:type="dxa"/>
              <w:right w:w="28" w:type="dxa"/>
            </w:tcMar>
            <w:vAlign w:val="center"/>
          </w:tcPr>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在建工程</w:t>
            </w:r>
          </w:p>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排放量（固体废物产生量）</w:t>
            </w:r>
            <w:r>
              <w:rPr>
                <w:rFonts w:ascii="Times New Roman" w:eastAsia="黑体"/>
                <w:snapToGrid w:val="0"/>
                <w:spacing w:val="-6"/>
                <w:kern w:val="21"/>
                <w:szCs w:val="21"/>
              </w:rPr>
              <w:fldChar w:fldCharType="begin"/>
            </w:r>
            <w:r>
              <w:rPr>
                <w:rFonts w:ascii="Times New Roman" w:eastAsia="黑体"/>
                <w:snapToGrid w:val="0"/>
                <w:spacing w:val="-6"/>
                <w:kern w:val="21"/>
                <w:szCs w:val="21"/>
              </w:rPr>
              <w:instrText xml:space="preserve"> = 3 \* GB3 \* MERGEFORMAT </w:instrText>
            </w:r>
            <w:r>
              <w:rPr>
                <w:rFonts w:ascii="Times New Roman" w:eastAsia="黑体"/>
                <w:snapToGrid w:val="0"/>
                <w:spacing w:val="-6"/>
                <w:kern w:val="21"/>
                <w:szCs w:val="21"/>
              </w:rPr>
              <w:fldChar w:fldCharType="separate"/>
            </w:r>
            <w:r>
              <w:rPr>
                <w:rFonts w:ascii="Times New Roman" w:eastAsia="黑体"/>
                <w:szCs w:val="21"/>
              </w:rPr>
              <w:t>③</w:t>
            </w:r>
            <w:r>
              <w:rPr>
                <w:rFonts w:ascii="Times New Roman" w:eastAsia="黑体"/>
                <w:snapToGrid w:val="0"/>
                <w:spacing w:val="-6"/>
                <w:kern w:val="21"/>
                <w:szCs w:val="21"/>
              </w:rPr>
              <w:fldChar w:fldCharType="end"/>
            </w:r>
          </w:p>
        </w:tc>
        <w:tc>
          <w:tcPr>
            <w:tcW w:w="1571" w:type="dxa"/>
            <w:tcMar>
              <w:left w:w="28" w:type="dxa"/>
              <w:right w:w="28" w:type="dxa"/>
            </w:tcMar>
            <w:vAlign w:val="center"/>
          </w:tcPr>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本项目</w:t>
            </w:r>
          </w:p>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排放量（固体废物产生量）</w:t>
            </w:r>
            <w:r>
              <w:rPr>
                <w:rFonts w:ascii="Times New Roman" w:eastAsia="黑体"/>
                <w:snapToGrid w:val="0"/>
                <w:spacing w:val="-6"/>
                <w:kern w:val="21"/>
                <w:szCs w:val="21"/>
              </w:rPr>
              <w:fldChar w:fldCharType="begin"/>
            </w:r>
            <w:r>
              <w:rPr>
                <w:rFonts w:ascii="Times New Roman" w:eastAsia="黑体"/>
                <w:snapToGrid w:val="0"/>
                <w:spacing w:val="-6"/>
                <w:kern w:val="21"/>
                <w:szCs w:val="21"/>
              </w:rPr>
              <w:instrText xml:space="preserve"> = 4 \* GB3 \* MERGEFORMAT </w:instrText>
            </w:r>
            <w:r>
              <w:rPr>
                <w:rFonts w:ascii="Times New Roman" w:eastAsia="黑体"/>
                <w:snapToGrid w:val="0"/>
                <w:spacing w:val="-6"/>
                <w:kern w:val="21"/>
                <w:szCs w:val="21"/>
              </w:rPr>
              <w:fldChar w:fldCharType="separate"/>
            </w:r>
            <w:r>
              <w:rPr>
                <w:rFonts w:ascii="Times New Roman" w:eastAsia="黑体"/>
                <w:szCs w:val="21"/>
              </w:rPr>
              <w:t>④</w:t>
            </w:r>
            <w:r>
              <w:rPr>
                <w:rFonts w:ascii="Times New Roman" w:eastAsia="黑体"/>
                <w:snapToGrid w:val="0"/>
                <w:spacing w:val="-6"/>
                <w:kern w:val="21"/>
                <w:szCs w:val="21"/>
              </w:rPr>
              <w:fldChar w:fldCharType="end"/>
            </w:r>
          </w:p>
        </w:tc>
        <w:tc>
          <w:tcPr>
            <w:tcW w:w="1775" w:type="dxa"/>
            <w:tcMar>
              <w:left w:w="28" w:type="dxa"/>
              <w:right w:w="28" w:type="dxa"/>
            </w:tcMar>
            <w:vAlign w:val="center"/>
          </w:tcPr>
          <w:p>
            <w:pPr>
              <w:pStyle w:val="53"/>
              <w:spacing w:beforeLines="0" w:afterLines="0" w:line="240" w:lineRule="auto"/>
              <w:rPr>
                <w:rFonts w:ascii="Times New Roman" w:eastAsia="黑体"/>
                <w:snapToGrid w:val="0"/>
                <w:spacing w:val="-16"/>
                <w:kern w:val="21"/>
                <w:szCs w:val="21"/>
              </w:rPr>
            </w:pPr>
            <w:r>
              <w:rPr>
                <w:rFonts w:ascii="Times New Roman" w:eastAsia="黑体"/>
                <w:snapToGrid w:val="0"/>
                <w:spacing w:val="-16"/>
                <w:kern w:val="21"/>
                <w:szCs w:val="21"/>
              </w:rPr>
              <w:t>以新带老削减量</w:t>
            </w:r>
          </w:p>
          <w:p>
            <w:pPr>
              <w:pStyle w:val="53"/>
              <w:spacing w:beforeLines="0" w:afterLines="0" w:line="240" w:lineRule="auto"/>
              <w:rPr>
                <w:rFonts w:ascii="Times New Roman" w:eastAsia="黑体"/>
                <w:snapToGrid w:val="0"/>
                <w:spacing w:val="-16"/>
                <w:kern w:val="21"/>
                <w:szCs w:val="21"/>
              </w:rPr>
            </w:pPr>
            <w:r>
              <w:rPr>
                <w:rFonts w:ascii="Times New Roman" w:eastAsia="黑体"/>
                <w:snapToGrid w:val="0"/>
                <w:spacing w:val="-16"/>
                <w:kern w:val="21"/>
                <w:szCs w:val="21"/>
              </w:rPr>
              <w:t>（新建项目不填）</w:t>
            </w:r>
            <w:r>
              <w:rPr>
                <w:rFonts w:ascii="Times New Roman" w:eastAsia="黑体"/>
                <w:snapToGrid w:val="0"/>
                <w:spacing w:val="-16"/>
                <w:kern w:val="21"/>
                <w:szCs w:val="21"/>
              </w:rPr>
              <w:fldChar w:fldCharType="begin"/>
            </w:r>
            <w:r>
              <w:rPr>
                <w:rFonts w:ascii="Times New Roman" w:eastAsia="黑体"/>
                <w:snapToGrid w:val="0"/>
                <w:spacing w:val="-16"/>
                <w:kern w:val="21"/>
                <w:szCs w:val="21"/>
              </w:rPr>
              <w:instrText xml:space="preserve"> = 5 \* GB3 \* MERGEFORMAT </w:instrText>
            </w:r>
            <w:r>
              <w:rPr>
                <w:rFonts w:ascii="Times New Roman" w:eastAsia="黑体"/>
                <w:snapToGrid w:val="0"/>
                <w:spacing w:val="-16"/>
                <w:kern w:val="21"/>
                <w:szCs w:val="21"/>
              </w:rPr>
              <w:fldChar w:fldCharType="separate"/>
            </w:r>
            <w:r>
              <w:rPr>
                <w:rFonts w:ascii="Times New Roman" w:eastAsia="黑体"/>
                <w:szCs w:val="21"/>
              </w:rPr>
              <w:t>⑤</w:t>
            </w:r>
            <w:r>
              <w:rPr>
                <w:rFonts w:ascii="Times New Roman" w:eastAsia="黑体"/>
                <w:snapToGrid w:val="0"/>
                <w:spacing w:val="-16"/>
                <w:kern w:val="21"/>
                <w:szCs w:val="21"/>
              </w:rPr>
              <w:fldChar w:fldCharType="end"/>
            </w:r>
          </w:p>
        </w:tc>
        <w:tc>
          <w:tcPr>
            <w:tcW w:w="1752" w:type="dxa"/>
            <w:tcMar>
              <w:left w:w="28" w:type="dxa"/>
              <w:right w:w="28" w:type="dxa"/>
            </w:tcMar>
            <w:vAlign w:val="center"/>
          </w:tcPr>
          <w:p>
            <w:pPr>
              <w:pStyle w:val="53"/>
              <w:spacing w:beforeLines="0" w:afterLines="0" w:line="240" w:lineRule="auto"/>
              <w:rPr>
                <w:rFonts w:ascii="Times New Roman" w:eastAsia="黑体"/>
                <w:snapToGrid w:val="0"/>
                <w:spacing w:val="-16"/>
                <w:kern w:val="21"/>
                <w:szCs w:val="21"/>
              </w:rPr>
            </w:pPr>
            <w:r>
              <w:rPr>
                <w:rFonts w:ascii="Times New Roman" w:eastAsia="黑体"/>
                <w:snapToGrid w:val="0"/>
                <w:spacing w:val="-16"/>
                <w:kern w:val="21"/>
                <w:szCs w:val="21"/>
              </w:rPr>
              <w:t>本项目建成后</w:t>
            </w:r>
          </w:p>
          <w:p>
            <w:pPr>
              <w:pStyle w:val="53"/>
              <w:spacing w:beforeLines="0" w:afterLines="0" w:line="240" w:lineRule="auto"/>
              <w:rPr>
                <w:rFonts w:ascii="Times New Roman" w:eastAsia="黑体"/>
                <w:snapToGrid w:val="0"/>
                <w:spacing w:val="-16"/>
                <w:kern w:val="21"/>
                <w:szCs w:val="21"/>
              </w:rPr>
            </w:pPr>
            <w:r>
              <w:rPr>
                <w:rFonts w:ascii="Times New Roman" w:eastAsia="黑体"/>
                <w:snapToGrid w:val="0"/>
                <w:spacing w:val="-16"/>
                <w:kern w:val="21"/>
                <w:szCs w:val="21"/>
              </w:rPr>
              <w:t>全厂排放量（固体废物产生量）</w:t>
            </w:r>
            <w:r>
              <w:rPr>
                <w:rFonts w:ascii="Times New Roman" w:eastAsia="黑体"/>
                <w:snapToGrid w:val="0"/>
                <w:spacing w:val="-16"/>
                <w:kern w:val="21"/>
                <w:szCs w:val="21"/>
              </w:rPr>
              <w:fldChar w:fldCharType="begin"/>
            </w:r>
            <w:r>
              <w:rPr>
                <w:rFonts w:ascii="Times New Roman" w:eastAsia="黑体"/>
                <w:snapToGrid w:val="0"/>
                <w:spacing w:val="-16"/>
                <w:kern w:val="21"/>
                <w:szCs w:val="21"/>
              </w:rPr>
              <w:instrText xml:space="preserve"> = 6 \* GB3 \* MERGEFORMAT </w:instrText>
            </w:r>
            <w:r>
              <w:rPr>
                <w:rFonts w:ascii="Times New Roman" w:eastAsia="黑体"/>
                <w:snapToGrid w:val="0"/>
                <w:spacing w:val="-16"/>
                <w:kern w:val="21"/>
                <w:szCs w:val="21"/>
              </w:rPr>
              <w:fldChar w:fldCharType="separate"/>
            </w:r>
            <w:r>
              <w:rPr>
                <w:rFonts w:ascii="Times New Roman" w:eastAsia="黑体"/>
                <w:szCs w:val="21"/>
              </w:rPr>
              <w:t>⑥</w:t>
            </w:r>
            <w:r>
              <w:rPr>
                <w:rFonts w:ascii="Times New Roman" w:eastAsia="黑体"/>
                <w:snapToGrid w:val="0"/>
                <w:spacing w:val="-16"/>
                <w:kern w:val="21"/>
                <w:szCs w:val="21"/>
              </w:rPr>
              <w:fldChar w:fldCharType="end"/>
            </w:r>
          </w:p>
        </w:tc>
        <w:tc>
          <w:tcPr>
            <w:tcW w:w="1055" w:type="dxa"/>
            <w:tcMar>
              <w:left w:w="28" w:type="dxa"/>
              <w:right w:w="28" w:type="dxa"/>
            </w:tcMar>
            <w:vAlign w:val="center"/>
          </w:tcPr>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t>变化量</w:t>
            </w:r>
          </w:p>
          <w:p>
            <w:pPr>
              <w:pStyle w:val="53"/>
              <w:spacing w:beforeLines="0" w:afterLines="0" w:line="240" w:lineRule="auto"/>
              <w:rPr>
                <w:rFonts w:ascii="Times New Roman" w:eastAsia="黑体"/>
                <w:snapToGrid w:val="0"/>
                <w:spacing w:val="-6"/>
                <w:kern w:val="21"/>
                <w:szCs w:val="21"/>
              </w:rPr>
            </w:pPr>
            <w:r>
              <w:rPr>
                <w:rFonts w:ascii="Times New Roman" w:eastAsia="黑体"/>
                <w:snapToGrid w:val="0"/>
                <w:spacing w:val="-6"/>
                <w:kern w:val="21"/>
                <w:szCs w:val="21"/>
              </w:rPr>
              <w:fldChar w:fldCharType="begin"/>
            </w:r>
            <w:r>
              <w:rPr>
                <w:rFonts w:ascii="Times New Roman" w:eastAsia="黑体"/>
                <w:snapToGrid w:val="0"/>
                <w:spacing w:val="-6"/>
                <w:kern w:val="21"/>
                <w:szCs w:val="21"/>
              </w:rPr>
              <w:instrText xml:space="preserve"> = 7 \* GB3 \* MERGEFORMAT </w:instrText>
            </w:r>
            <w:r>
              <w:rPr>
                <w:rFonts w:ascii="Times New Roman" w:eastAsia="黑体"/>
                <w:snapToGrid w:val="0"/>
                <w:spacing w:val="-6"/>
                <w:kern w:val="21"/>
                <w:szCs w:val="21"/>
              </w:rPr>
              <w:fldChar w:fldCharType="separate"/>
            </w:r>
            <w:r>
              <w:rPr>
                <w:rFonts w:ascii="Times New Roman" w:eastAsia="黑体"/>
                <w:szCs w:val="21"/>
              </w:rPr>
              <w:t>⑦</w:t>
            </w:r>
            <w:r>
              <w:rPr>
                <w:rFonts w:ascii="Times New Roman" w:eastAsia="黑体"/>
                <w:snapToGrid w:val="0"/>
                <w:spacing w:val="-6"/>
                <w:kern w:val="21"/>
                <w:szCs w:val="21"/>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19" w:type="dxa"/>
            <w:vMerge w:val="restart"/>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废气</w:t>
            </w:r>
          </w:p>
        </w:tc>
        <w:tc>
          <w:tcPr>
            <w:tcW w:w="1709"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烟尘</w:t>
            </w:r>
            <w:r>
              <w:rPr>
                <w:rFonts w:ascii="Times New Roman"/>
                <w:snapToGrid w:val="0"/>
                <w:kern w:val="21"/>
                <w:szCs w:val="21"/>
              </w:rPr>
              <w:t>（</w:t>
            </w:r>
            <w:r>
              <w:rPr>
                <w:rFonts w:ascii="Times New Roman"/>
                <w:szCs w:val="21"/>
              </w:rPr>
              <w:t>t/a</w:t>
            </w:r>
            <w:r>
              <w:rPr>
                <w:rFonts w:ascii="Times New Roman"/>
                <w:snapToGrid w:val="0"/>
                <w:kern w:val="21"/>
                <w:szCs w:val="21"/>
              </w:rPr>
              <w:t>）</w:t>
            </w:r>
          </w:p>
        </w:tc>
        <w:tc>
          <w:tcPr>
            <w:tcW w:w="1714"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1286"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1714"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1571" w:type="dxa"/>
            <w:vAlign w:val="center"/>
          </w:tcPr>
          <w:p>
            <w:pPr>
              <w:jc w:val="center"/>
              <w:rPr>
                <w:snapToGrid w:val="0"/>
                <w:kern w:val="21"/>
                <w:szCs w:val="21"/>
              </w:rPr>
            </w:pPr>
            <w:r>
              <w:rPr>
                <w:rFonts w:hint="eastAsia"/>
                <w:snapToGrid w:val="0"/>
                <w:kern w:val="21"/>
                <w:szCs w:val="21"/>
              </w:rPr>
              <w:t>0.3</w:t>
            </w:r>
          </w:p>
        </w:tc>
        <w:tc>
          <w:tcPr>
            <w:tcW w:w="1775"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52" w:type="dxa"/>
            <w:vAlign w:val="center"/>
          </w:tcPr>
          <w:p>
            <w:pPr>
              <w:jc w:val="center"/>
              <w:rPr>
                <w:snapToGrid w:val="0"/>
                <w:kern w:val="21"/>
                <w:szCs w:val="21"/>
              </w:rPr>
            </w:pPr>
            <w:r>
              <w:rPr>
                <w:rFonts w:hint="eastAsia"/>
                <w:snapToGrid w:val="0"/>
                <w:kern w:val="21"/>
                <w:szCs w:val="21"/>
              </w:rPr>
              <w:t>0.3</w:t>
            </w:r>
          </w:p>
        </w:tc>
        <w:tc>
          <w:tcPr>
            <w:tcW w:w="1055" w:type="dxa"/>
            <w:vAlign w:val="center"/>
          </w:tcPr>
          <w:p>
            <w:pPr>
              <w:jc w:val="center"/>
              <w:rPr>
                <w:snapToGrid w:val="0"/>
                <w:kern w:val="21"/>
                <w:szCs w:val="21"/>
              </w:rPr>
            </w:pPr>
            <w:r>
              <w:rPr>
                <w:rFonts w:hint="eastAsia"/>
                <w:snapToGrid w:val="0"/>
                <w:kern w:val="21"/>
                <w:szCs w:val="21"/>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19" w:type="dxa"/>
            <w:vMerge w:val="continue"/>
            <w:vAlign w:val="center"/>
          </w:tcPr>
          <w:p>
            <w:pPr>
              <w:pStyle w:val="53"/>
              <w:spacing w:beforeLines="0" w:afterLines="0" w:line="240" w:lineRule="auto"/>
              <w:rPr>
                <w:rFonts w:ascii="Times New Roman"/>
                <w:snapToGrid w:val="0"/>
                <w:kern w:val="21"/>
                <w:szCs w:val="21"/>
              </w:rPr>
            </w:pPr>
          </w:p>
        </w:tc>
        <w:tc>
          <w:tcPr>
            <w:tcW w:w="1709" w:type="dxa"/>
            <w:vAlign w:val="center"/>
          </w:tcPr>
          <w:p>
            <w:pPr>
              <w:spacing w:line="280" w:lineRule="exact"/>
              <w:jc w:val="center"/>
              <w:rPr>
                <w:snapToGrid w:val="0"/>
                <w:kern w:val="21"/>
                <w:szCs w:val="21"/>
              </w:rPr>
            </w:pPr>
            <w:r>
              <w:rPr>
                <w:rFonts w:hint="eastAsia"/>
                <w:szCs w:val="21"/>
              </w:rPr>
              <w:t>二氧化硫</w:t>
            </w:r>
            <w:r>
              <w:rPr>
                <w:snapToGrid w:val="0"/>
                <w:kern w:val="21"/>
                <w:szCs w:val="21"/>
              </w:rPr>
              <w:t>（</w:t>
            </w:r>
            <w:r>
              <w:rPr>
                <w:szCs w:val="21"/>
              </w:rPr>
              <w:t>t/a</w:t>
            </w:r>
            <w:r>
              <w:rPr>
                <w:snapToGrid w:val="0"/>
                <w:kern w:val="21"/>
                <w:szCs w:val="21"/>
              </w:rPr>
              <w:t>）</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286"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571" w:type="dxa"/>
            <w:vAlign w:val="center"/>
          </w:tcPr>
          <w:p>
            <w:pPr>
              <w:jc w:val="center"/>
              <w:rPr>
                <w:snapToGrid w:val="0"/>
                <w:kern w:val="21"/>
                <w:szCs w:val="21"/>
              </w:rPr>
            </w:pPr>
            <w:r>
              <w:rPr>
                <w:rFonts w:hint="eastAsia"/>
                <w:snapToGrid w:val="0"/>
                <w:kern w:val="21"/>
                <w:szCs w:val="21"/>
              </w:rPr>
              <w:t>1.36</w:t>
            </w:r>
          </w:p>
        </w:tc>
        <w:tc>
          <w:tcPr>
            <w:tcW w:w="1775"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52" w:type="dxa"/>
            <w:vAlign w:val="center"/>
          </w:tcPr>
          <w:p>
            <w:pPr>
              <w:jc w:val="center"/>
              <w:rPr>
                <w:snapToGrid w:val="0"/>
                <w:kern w:val="21"/>
                <w:szCs w:val="21"/>
              </w:rPr>
            </w:pPr>
            <w:r>
              <w:rPr>
                <w:rFonts w:hint="eastAsia"/>
                <w:snapToGrid w:val="0"/>
                <w:kern w:val="21"/>
                <w:szCs w:val="21"/>
              </w:rPr>
              <w:t>1.36</w:t>
            </w:r>
          </w:p>
        </w:tc>
        <w:tc>
          <w:tcPr>
            <w:tcW w:w="1055" w:type="dxa"/>
            <w:vAlign w:val="center"/>
          </w:tcPr>
          <w:p>
            <w:pPr>
              <w:jc w:val="center"/>
              <w:rPr>
                <w:snapToGrid w:val="0"/>
                <w:kern w:val="21"/>
                <w:szCs w:val="21"/>
              </w:rPr>
            </w:pPr>
            <w:r>
              <w:rPr>
                <w:rFonts w:hint="eastAsia"/>
                <w:snapToGrid w:val="0"/>
                <w:kern w:val="21"/>
                <w:szCs w:val="21"/>
              </w:rPr>
              <w:t>+1.36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19" w:type="dxa"/>
            <w:vMerge w:val="continue"/>
            <w:vAlign w:val="center"/>
          </w:tcPr>
          <w:p>
            <w:pPr>
              <w:pStyle w:val="53"/>
              <w:spacing w:beforeLines="0" w:afterLines="0" w:line="240" w:lineRule="auto"/>
              <w:rPr>
                <w:rFonts w:ascii="Times New Roman"/>
                <w:snapToGrid w:val="0"/>
                <w:kern w:val="21"/>
                <w:szCs w:val="21"/>
              </w:rPr>
            </w:pPr>
          </w:p>
        </w:tc>
        <w:tc>
          <w:tcPr>
            <w:tcW w:w="1709" w:type="dxa"/>
            <w:vAlign w:val="center"/>
          </w:tcPr>
          <w:p>
            <w:pPr>
              <w:spacing w:line="280" w:lineRule="exact"/>
              <w:jc w:val="center"/>
              <w:rPr>
                <w:snapToGrid w:val="0"/>
                <w:kern w:val="21"/>
                <w:szCs w:val="21"/>
              </w:rPr>
            </w:pPr>
            <w:r>
              <w:rPr>
                <w:rFonts w:hint="eastAsia"/>
                <w:szCs w:val="21"/>
              </w:rPr>
              <w:t>氮氧化物</w:t>
            </w:r>
            <w:r>
              <w:rPr>
                <w:snapToGrid w:val="0"/>
                <w:kern w:val="21"/>
                <w:szCs w:val="21"/>
              </w:rPr>
              <w:t>（</w:t>
            </w:r>
            <w:r>
              <w:rPr>
                <w:szCs w:val="21"/>
              </w:rPr>
              <w:t>t/a</w:t>
            </w:r>
            <w:r>
              <w:rPr>
                <w:snapToGrid w:val="0"/>
                <w:kern w:val="21"/>
                <w:szCs w:val="21"/>
              </w:rPr>
              <w:t>）</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286"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571" w:type="dxa"/>
            <w:vAlign w:val="center"/>
          </w:tcPr>
          <w:p>
            <w:pPr>
              <w:jc w:val="center"/>
              <w:rPr>
                <w:snapToGrid w:val="0"/>
                <w:kern w:val="21"/>
                <w:szCs w:val="21"/>
              </w:rPr>
            </w:pPr>
            <w:r>
              <w:rPr>
                <w:rFonts w:hint="eastAsia"/>
                <w:snapToGrid w:val="0"/>
                <w:kern w:val="21"/>
                <w:szCs w:val="21"/>
              </w:rPr>
              <w:t>2.856</w:t>
            </w:r>
          </w:p>
        </w:tc>
        <w:tc>
          <w:tcPr>
            <w:tcW w:w="1775"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52" w:type="dxa"/>
            <w:vAlign w:val="center"/>
          </w:tcPr>
          <w:p>
            <w:pPr>
              <w:jc w:val="center"/>
              <w:rPr>
                <w:snapToGrid w:val="0"/>
                <w:kern w:val="21"/>
                <w:szCs w:val="21"/>
              </w:rPr>
            </w:pPr>
            <w:r>
              <w:rPr>
                <w:rFonts w:hint="eastAsia"/>
                <w:snapToGrid w:val="0"/>
                <w:kern w:val="21"/>
                <w:szCs w:val="21"/>
              </w:rPr>
              <w:t>2.856</w:t>
            </w:r>
          </w:p>
        </w:tc>
        <w:tc>
          <w:tcPr>
            <w:tcW w:w="1055" w:type="dxa"/>
            <w:vAlign w:val="center"/>
          </w:tcPr>
          <w:p>
            <w:pPr>
              <w:jc w:val="center"/>
              <w:rPr>
                <w:snapToGrid w:val="0"/>
                <w:kern w:val="21"/>
                <w:szCs w:val="21"/>
              </w:rPr>
            </w:pPr>
            <w:r>
              <w:rPr>
                <w:rFonts w:hint="eastAsia"/>
                <w:snapToGrid w:val="0"/>
                <w:kern w:val="21"/>
                <w:szCs w:val="21"/>
              </w:rPr>
              <w:t>+2.856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19"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废水</w:t>
            </w:r>
          </w:p>
        </w:tc>
        <w:tc>
          <w:tcPr>
            <w:tcW w:w="1709" w:type="dxa"/>
            <w:vAlign w:val="center"/>
          </w:tcPr>
          <w:p>
            <w:pPr>
              <w:pStyle w:val="53"/>
              <w:spacing w:beforeLines="0" w:afterLines="0" w:line="240" w:lineRule="auto"/>
              <w:rPr>
                <w:rFonts w:ascii="Times New Roman"/>
                <w:snapToGrid w:val="0"/>
                <w:kern w:val="21"/>
                <w:szCs w:val="21"/>
              </w:rPr>
            </w:pPr>
            <w:r>
              <w:rPr>
                <w:rFonts w:ascii="Times New Roman"/>
                <w:szCs w:val="21"/>
              </w:rPr>
              <w:t>生活废水(m³/a)</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286"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571"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1775"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52"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1055"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19" w:type="dxa"/>
            <w:vMerge w:val="restart"/>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一般工业固体废物</w:t>
            </w:r>
          </w:p>
        </w:tc>
        <w:tc>
          <w:tcPr>
            <w:tcW w:w="1709" w:type="dxa"/>
            <w:vAlign w:val="center"/>
          </w:tcPr>
          <w:p>
            <w:pPr>
              <w:jc w:val="center"/>
              <w:rPr>
                <w:szCs w:val="21"/>
              </w:rPr>
            </w:pPr>
            <w:r>
              <w:rPr>
                <w:rFonts w:hint="eastAsia"/>
                <w:szCs w:val="21"/>
              </w:rPr>
              <w:t>除尘灰</w:t>
            </w:r>
            <w:r>
              <w:rPr>
                <w:snapToGrid w:val="0"/>
                <w:kern w:val="21"/>
                <w:szCs w:val="21"/>
              </w:rPr>
              <w:t>（</w:t>
            </w:r>
            <w:r>
              <w:rPr>
                <w:szCs w:val="21"/>
              </w:rPr>
              <w:t>t/a</w:t>
            </w:r>
            <w:r>
              <w:rPr>
                <w:snapToGrid w:val="0"/>
                <w:kern w:val="21"/>
                <w:szCs w:val="21"/>
              </w:rPr>
              <w:t>）</w:t>
            </w:r>
          </w:p>
        </w:tc>
        <w:tc>
          <w:tcPr>
            <w:tcW w:w="1714" w:type="dxa"/>
            <w:vAlign w:val="center"/>
          </w:tcPr>
          <w:p>
            <w:pPr>
              <w:jc w:val="center"/>
              <w:rPr>
                <w:snapToGrid w:val="0"/>
                <w:kern w:val="21"/>
                <w:szCs w:val="21"/>
              </w:rPr>
            </w:pPr>
            <w:r>
              <w:rPr>
                <w:snapToGrid w:val="0"/>
                <w:kern w:val="21"/>
                <w:szCs w:val="21"/>
              </w:rPr>
              <w:t>0</w:t>
            </w:r>
          </w:p>
        </w:tc>
        <w:tc>
          <w:tcPr>
            <w:tcW w:w="1286" w:type="dxa"/>
            <w:vAlign w:val="center"/>
          </w:tcPr>
          <w:p>
            <w:pPr>
              <w:jc w:val="center"/>
              <w:rPr>
                <w:snapToGrid w:val="0"/>
                <w:kern w:val="21"/>
                <w:szCs w:val="21"/>
              </w:rPr>
            </w:pPr>
            <w:r>
              <w:rPr>
                <w:snapToGrid w:val="0"/>
                <w:kern w:val="21"/>
                <w:szCs w:val="21"/>
              </w:rPr>
              <w:t>0</w:t>
            </w:r>
          </w:p>
        </w:tc>
        <w:tc>
          <w:tcPr>
            <w:tcW w:w="1714" w:type="dxa"/>
            <w:vAlign w:val="center"/>
          </w:tcPr>
          <w:p>
            <w:pPr>
              <w:jc w:val="center"/>
              <w:rPr>
                <w:snapToGrid w:val="0"/>
                <w:kern w:val="21"/>
                <w:szCs w:val="21"/>
              </w:rPr>
            </w:pPr>
            <w:r>
              <w:rPr>
                <w:snapToGrid w:val="0"/>
                <w:kern w:val="21"/>
                <w:szCs w:val="21"/>
              </w:rPr>
              <w:t>0</w:t>
            </w:r>
          </w:p>
        </w:tc>
        <w:tc>
          <w:tcPr>
            <w:tcW w:w="1571" w:type="dxa"/>
            <w:vAlign w:val="center"/>
          </w:tcPr>
          <w:p>
            <w:pPr>
              <w:jc w:val="center"/>
              <w:rPr>
                <w:snapToGrid w:val="0"/>
                <w:kern w:val="21"/>
                <w:szCs w:val="21"/>
              </w:rPr>
            </w:pPr>
            <w:r>
              <w:rPr>
                <w:rFonts w:hint="eastAsia"/>
                <w:snapToGrid w:val="0"/>
                <w:kern w:val="21"/>
                <w:szCs w:val="21"/>
              </w:rPr>
              <w:t>1.7</w:t>
            </w:r>
          </w:p>
        </w:tc>
        <w:tc>
          <w:tcPr>
            <w:tcW w:w="1775" w:type="dxa"/>
            <w:vAlign w:val="center"/>
          </w:tcPr>
          <w:p>
            <w:pPr>
              <w:jc w:val="center"/>
              <w:rPr>
                <w:snapToGrid w:val="0"/>
                <w:kern w:val="21"/>
                <w:szCs w:val="21"/>
              </w:rPr>
            </w:pPr>
            <w:r>
              <w:rPr>
                <w:snapToGrid w:val="0"/>
                <w:kern w:val="21"/>
                <w:szCs w:val="21"/>
              </w:rPr>
              <w:t>0</w:t>
            </w:r>
          </w:p>
        </w:tc>
        <w:tc>
          <w:tcPr>
            <w:tcW w:w="1752" w:type="dxa"/>
            <w:vAlign w:val="center"/>
          </w:tcPr>
          <w:p>
            <w:pPr>
              <w:jc w:val="center"/>
              <w:rPr>
                <w:snapToGrid w:val="0"/>
                <w:kern w:val="21"/>
                <w:szCs w:val="21"/>
              </w:rPr>
            </w:pPr>
            <w:r>
              <w:rPr>
                <w:rFonts w:hint="eastAsia"/>
                <w:snapToGrid w:val="0"/>
                <w:kern w:val="21"/>
                <w:szCs w:val="21"/>
              </w:rPr>
              <w:t>1.7</w:t>
            </w:r>
          </w:p>
        </w:tc>
        <w:tc>
          <w:tcPr>
            <w:tcW w:w="1055" w:type="dxa"/>
            <w:vAlign w:val="center"/>
          </w:tcPr>
          <w:p>
            <w:pPr>
              <w:jc w:val="center"/>
              <w:rPr>
                <w:snapToGrid w:val="0"/>
                <w:kern w:val="21"/>
                <w:szCs w:val="21"/>
              </w:rPr>
            </w:pPr>
            <w:r>
              <w:rPr>
                <w:rFonts w:hint="eastAsia"/>
                <w:snapToGrid w:val="0"/>
                <w:kern w:val="21"/>
                <w:szCs w:val="21"/>
              </w:rPr>
              <w:t>+1.7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319" w:type="dxa"/>
            <w:vMerge w:val="continue"/>
            <w:vAlign w:val="center"/>
          </w:tcPr>
          <w:p>
            <w:pPr>
              <w:pStyle w:val="53"/>
              <w:spacing w:beforeLines="0" w:afterLines="0" w:line="240" w:lineRule="auto"/>
              <w:rPr>
                <w:rFonts w:ascii="Times New Roman"/>
                <w:snapToGrid w:val="0"/>
                <w:kern w:val="21"/>
                <w:szCs w:val="21"/>
              </w:rPr>
            </w:pPr>
          </w:p>
        </w:tc>
        <w:tc>
          <w:tcPr>
            <w:tcW w:w="1709" w:type="dxa"/>
            <w:vAlign w:val="center"/>
          </w:tcPr>
          <w:p>
            <w:pPr>
              <w:jc w:val="center"/>
              <w:rPr>
                <w:szCs w:val="21"/>
              </w:rPr>
            </w:pPr>
            <w:r>
              <w:rPr>
                <w:rFonts w:hint="eastAsia"/>
                <w:szCs w:val="21"/>
              </w:rPr>
              <w:t>燃料燃烧灰烬</w:t>
            </w:r>
            <w:r>
              <w:rPr>
                <w:snapToGrid w:val="0"/>
                <w:kern w:val="21"/>
                <w:szCs w:val="21"/>
              </w:rPr>
              <w:t>（</w:t>
            </w:r>
            <w:r>
              <w:rPr>
                <w:szCs w:val="21"/>
              </w:rPr>
              <w:t>t/a</w:t>
            </w:r>
            <w:r>
              <w:rPr>
                <w:snapToGrid w:val="0"/>
                <w:kern w:val="21"/>
                <w:szCs w:val="21"/>
              </w:rPr>
              <w:t>）</w:t>
            </w:r>
          </w:p>
        </w:tc>
        <w:tc>
          <w:tcPr>
            <w:tcW w:w="1714" w:type="dxa"/>
            <w:vAlign w:val="center"/>
          </w:tcPr>
          <w:p>
            <w:pPr>
              <w:jc w:val="center"/>
              <w:rPr>
                <w:snapToGrid w:val="0"/>
                <w:kern w:val="21"/>
                <w:szCs w:val="21"/>
              </w:rPr>
            </w:pPr>
            <w:r>
              <w:rPr>
                <w:snapToGrid w:val="0"/>
                <w:kern w:val="21"/>
                <w:szCs w:val="21"/>
              </w:rPr>
              <w:t>0</w:t>
            </w:r>
          </w:p>
        </w:tc>
        <w:tc>
          <w:tcPr>
            <w:tcW w:w="1286" w:type="dxa"/>
            <w:vAlign w:val="center"/>
          </w:tcPr>
          <w:p>
            <w:pPr>
              <w:jc w:val="center"/>
              <w:rPr>
                <w:snapToGrid w:val="0"/>
                <w:kern w:val="21"/>
                <w:szCs w:val="21"/>
              </w:rPr>
            </w:pPr>
            <w:r>
              <w:rPr>
                <w:snapToGrid w:val="0"/>
                <w:kern w:val="21"/>
                <w:szCs w:val="21"/>
              </w:rPr>
              <w:t>0</w:t>
            </w:r>
          </w:p>
        </w:tc>
        <w:tc>
          <w:tcPr>
            <w:tcW w:w="1714" w:type="dxa"/>
            <w:vAlign w:val="center"/>
          </w:tcPr>
          <w:p>
            <w:pPr>
              <w:jc w:val="center"/>
              <w:rPr>
                <w:snapToGrid w:val="0"/>
                <w:kern w:val="21"/>
                <w:szCs w:val="21"/>
              </w:rPr>
            </w:pPr>
            <w:r>
              <w:rPr>
                <w:snapToGrid w:val="0"/>
                <w:kern w:val="21"/>
                <w:szCs w:val="21"/>
              </w:rPr>
              <w:t>0</w:t>
            </w:r>
          </w:p>
        </w:tc>
        <w:tc>
          <w:tcPr>
            <w:tcW w:w="1571" w:type="dxa"/>
            <w:vAlign w:val="center"/>
          </w:tcPr>
          <w:p>
            <w:pPr>
              <w:jc w:val="center"/>
              <w:rPr>
                <w:snapToGrid w:val="0"/>
                <w:kern w:val="21"/>
                <w:szCs w:val="21"/>
              </w:rPr>
            </w:pPr>
            <w:r>
              <w:rPr>
                <w:rFonts w:hint="eastAsia"/>
                <w:snapToGrid w:val="0"/>
                <w:kern w:val="21"/>
                <w:szCs w:val="21"/>
              </w:rPr>
              <w:t>50</w:t>
            </w:r>
          </w:p>
        </w:tc>
        <w:tc>
          <w:tcPr>
            <w:tcW w:w="1775" w:type="dxa"/>
            <w:vAlign w:val="center"/>
          </w:tcPr>
          <w:p>
            <w:pPr>
              <w:jc w:val="center"/>
              <w:rPr>
                <w:snapToGrid w:val="0"/>
                <w:kern w:val="21"/>
                <w:szCs w:val="21"/>
              </w:rPr>
            </w:pPr>
            <w:r>
              <w:rPr>
                <w:snapToGrid w:val="0"/>
                <w:kern w:val="21"/>
                <w:szCs w:val="21"/>
              </w:rPr>
              <w:t>0</w:t>
            </w:r>
          </w:p>
        </w:tc>
        <w:tc>
          <w:tcPr>
            <w:tcW w:w="1752" w:type="dxa"/>
            <w:vAlign w:val="center"/>
          </w:tcPr>
          <w:p>
            <w:pPr>
              <w:jc w:val="center"/>
              <w:rPr>
                <w:snapToGrid w:val="0"/>
                <w:kern w:val="21"/>
                <w:szCs w:val="21"/>
              </w:rPr>
            </w:pPr>
            <w:r>
              <w:rPr>
                <w:rFonts w:hint="eastAsia"/>
                <w:snapToGrid w:val="0"/>
                <w:kern w:val="21"/>
                <w:szCs w:val="21"/>
              </w:rPr>
              <w:t>50</w:t>
            </w:r>
          </w:p>
        </w:tc>
        <w:tc>
          <w:tcPr>
            <w:tcW w:w="1055" w:type="dxa"/>
            <w:vAlign w:val="center"/>
          </w:tcPr>
          <w:p>
            <w:pPr>
              <w:jc w:val="center"/>
              <w:rPr>
                <w:snapToGrid w:val="0"/>
                <w:kern w:val="21"/>
                <w:szCs w:val="21"/>
              </w:rPr>
            </w:pPr>
            <w:r>
              <w:rPr>
                <w:rFonts w:hint="eastAsia"/>
                <w:snapToGrid w:val="0"/>
                <w:kern w:val="21"/>
                <w:szCs w:val="21"/>
              </w:rPr>
              <w:t>+50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19"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危险废物</w:t>
            </w:r>
          </w:p>
        </w:tc>
        <w:tc>
          <w:tcPr>
            <w:tcW w:w="1709" w:type="dxa"/>
            <w:vAlign w:val="center"/>
          </w:tcPr>
          <w:p>
            <w:pPr>
              <w:pStyle w:val="60"/>
              <w:spacing w:line="280" w:lineRule="exact"/>
              <w:jc w:val="center"/>
              <w:rPr>
                <w:rFonts w:ascii="Times New Roman" w:hAnsi="Times New Roman" w:cs="Times New Roman"/>
                <w:snapToGrid w:val="0"/>
                <w:kern w:val="21"/>
                <w:szCs w:val="21"/>
              </w:rPr>
            </w:pPr>
            <w:r>
              <w:rPr>
                <w:rFonts w:hint="eastAsia" w:ascii="Times New Roman" w:hAnsi="Times New Roman" w:cs="Times New Roman"/>
                <w:szCs w:val="21"/>
              </w:rPr>
              <w:t>废润滑油</w:t>
            </w:r>
            <w:r>
              <w:rPr>
                <w:rFonts w:ascii="Times New Roman" w:hAnsi="Times New Roman" w:cs="Times New Roman"/>
                <w:szCs w:val="21"/>
              </w:rPr>
              <w:t>(t/a)</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286"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14"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571"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r>
              <w:rPr>
                <w:rFonts w:hint="eastAsia" w:ascii="Times New Roman"/>
                <w:snapToGrid w:val="0"/>
                <w:kern w:val="21"/>
                <w:szCs w:val="21"/>
              </w:rPr>
              <w:t>1</w:t>
            </w:r>
          </w:p>
        </w:tc>
        <w:tc>
          <w:tcPr>
            <w:tcW w:w="1775"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p>
        </w:tc>
        <w:tc>
          <w:tcPr>
            <w:tcW w:w="1752" w:type="dxa"/>
            <w:vAlign w:val="center"/>
          </w:tcPr>
          <w:p>
            <w:pPr>
              <w:pStyle w:val="53"/>
              <w:spacing w:beforeLines="0" w:afterLines="0" w:line="240" w:lineRule="auto"/>
              <w:rPr>
                <w:rFonts w:ascii="Times New Roman"/>
                <w:snapToGrid w:val="0"/>
                <w:kern w:val="21"/>
                <w:szCs w:val="21"/>
              </w:rPr>
            </w:pPr>
            <w:r>
              <w:rPr>
                <w:rFonts w:ascii="Times New Roman"/>
                <w:snapToGrid w:val="0"/>
                <w:kern w:val="21"/>
                <w:szCs w:val="21"/>
              </w:rPr>
              <w:t>0</w:t>
            </w:r>
            <w:r>
              <w:rPr>
                <w:rFonts w:hint="eastAsia" w:ascii="Times New Roman"/>
                <w:snapToGrid w:val="0"/>
                <w:kern w:val="21"/>
                <w:szCs w:val="21"/>
              </w:rPr>
              <w:t>1</w:t>
            </w:r>
          </w:p>
        </w:tc>
        <w:tc>
          <w:tcPr>
            <w:tcW w:w="1055" w:type="dxa"/>
            <w:vAlign w:val="center"/>
          </w:tcPr>
          <w:p>
            <w:pPr>
              <w:pStyle w:val="53"/>
              <w:spacing w:beforeLines="0" w:afterLines="0" w:line="240" w:lineRule="auto"/>
              <w:rPr>
                <w:rFonts w:ascii="Times New Roman"/>
                <w:snapToGrid w:val="0"/>
                <w:kern w:val="21"/>
                <w:szCs w:val="21"/>
              </w:rPr>
            </w:pPr>
            <w:r>
              <w:rPr>
                <w:rFonts w:hint="eastAsia" w:ascii="Times New Roman"/>
                <w:snapToGrid w:val="0"/>
                <w:kern w:val="21"/>
                <w:szCs w:val="21"/>
              </w:rPr>
              <w:t>+</w:t>
            </w:r>
            <w:r>
              <w:rPr>
                <w:rFonts w:ascii="Times New Roman"/>
                <w:snapToGrid w:val="0"/>
                <w:kern w:val="21"/>
                <w:szCs w:val="21"/>
              </w:rPr>
              <w:t>0.</w:t>
            </w:r>
            <w:r>
              <w:rPr>
                <w:rFonts w:hint="eastAsia" w:ascii="Times New Roman"/>
                <w:snapToGrid w:val="0"/>
                <w:kern w:val="21"/>
                <w:szCs w:val="21"/>
              </w:rPr>
              <w:t>1</w:t>
            </w:r>
          </w:p>
        </w:tc>
      </w:tr>
    </w:tbl>
    <w:p>
      <w:pPr>
        <w:pStyle w:val="53"/>
        <w:spacing w:beforeLines="80" w:after="24"/>
        <w:jc w:val="left"/>
      </w:pPr>
      <w:r>
        <w:rPr>
          <w:rFonts w:ascii="Times New Roman"/>
          <w:snapToGrid w:val="0"/>
          <w:kern w:val="21"/>
          <w:szCs w:val="21"/>
        </w:rPr>
        <w:t>注：</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hAnsi="宋体" w:eastAsia="宋体" w:cs="宋体"/>
          <w:szCs w:val="21"/>
        </w:rPr>
        <w:t>⑥</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hAnsi="宋体" w:eastAsia="宋体" w:cs="宋体"/>
          <w:szCs w:val="21"/>
        </w:rPr>
        <w:t>①</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3 \* GB3 \* MERGEFORMAT </w:instrText>
      </w:r>
      <w:r>
        <w:rPr>
          <w:rFonts w:ascii="Times New Roman"/>
          <w:snapToGrid w:val="0"/>
          <w:spacing w:val="-6"/>
          <w:kern w:val="21"/>
          <w:szCs w:val="21"/>
        </w:rPr>
        <w:fldChar w:fldCharType="separate"/>
      </w:r>
      <w:r>
        <w:rPr>
          <w:rFonts w:hint="eastAsia" w:hAnsi="宋体" w:eastAsia="宋体" w:cs="宋体"/>
          <w:szCs w:val="21"/>
        </w:rPr>
        <w:t>③</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4 \* GB3 \* MERGEFORMAT </w:instrText>
      </w:r>
      <w:r>
        <w:rPr>
          <w:rFonts w:ascii="Times New Roman"/>
          <w:snapToGrid w:val="0"/>
          <w:spacing w:val="-6"/>
          <w:kern w:val="21"/>
          <w:szCs w:val="21"/>
        </w:rPr>
        <w:fldChar w:fldCharType="separate"/>
      </w:r>
      <w:r>
        <w:rPr>
          <w:rFonts w:hint="eastAsia" w:hAnsi="宋体" w:eastAsia="宋体" w:cs="宋体"/>
          <w:szCs w:val="21"/>
        </w:rPr>
        <w:t>④</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16"/>
          <w:kern w:val="21"/>
          <w:szCs w:val="21"/>
        </w:rPr>
        <w:fldChar w:fldCharType="begin"/>
      </w:r>
      <w:r>
        <w:rPr>
          <w:rFonts w:ascii="Times New Roman"/>
          <w:snapToGrid w:val="0"/>
          <w:spacing w:val="-16"/>
          <w:kern w:val="21"/>
          <w:szCs w:val="21"/>
        </w:rPr>
        <w:instrText xml:space="preserve"> = 5 \* GB3 \* MERGEFORMAT </w:instrText>
      </w:r>
      <w:r>
        <w:rPr>
          <w:rFonts w:ascii="Times New Roman"/>
          <w:snapToGrid w:val="0"/>
          <w:spacing w:val="-16"/>
          <w:kern w:val="21"/>
          <w:szCs w:val="21"/>
        </w:rPr>
        <w:fldChar w:fldCharType="separate"/>
      </w:r>
      <w:r>
        <w:rPr>
          <w:rFonts w:hint="eastAsia" w:hAnsi="宋体" w:eastAsia="宋体" w:cs="宋体"/>
          <w:szCs w:val="21"/>
        </w:rPr>
        <w:t>⑤</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7 \* GB3 \* MERGEFORMAT </w:instrText>
      </w:r>
      <w:r>
        <w:rPr>
          <w:rFonts w:ascii="Times New Roman"/>
          <w:snapToGrid w:val="0"/>
          <w:spacing w:val="-6"/>
          <w:kern w:val="21"/>
          <w:szCs w:val="21"/>
        </w:rPr>
        <w:fldChar w:fldCharType="separate"/>
      </w:r>
      <w:r>
        <w:rPr>
          <w:rFonts w:hint="eastAsia" w:hAnsi="宋体" w:eastAsia="宋体" w:cs="宋体"/>
          <w:szCs w:val="21"/>
        </w:rPr>
        <w:t>⑦</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hAnsi="宋体" w:eastAsia="宋体" w:cs="宋体"/>
          <w:szCs w:val="21"/>
        </w:rPr>
        <w:t>⑥</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hAnsi="宋体" w:eastAsia="宋体" w:cs="宋体"/>
          <w:szCs w:val="21"/>
        </w:rPr>
        <w:t>①</w:t>
      </w:r>
      <w:r>
        <w:rPr>
          <w:rFonts w:ascii="Times New Roman"/>
          <w:snapToGrid w:val="0"/>
          <w:spacing w:val="-6"/>
          <w:kern w:val="21"/>
          <w:szCs w:val="21"/>
        </w:rPr>
        <w:fldChar w:fldCharType="end"/>
      </w:r>
    </w:p>
    <w:sectPr>
      <w:footerReference r:id="rId6" w:type="default"/>
      <w:pgSz w:w="16838" w:h="11906" w:orient="landscape"/>
      <w:pgMar w:top="1531" w:right="1701" w:bottom="1531" w:left="1701" w:header="851" w:footer="851"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E588C90-B3EC-44A6-AE42-F9BD2D48F4A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35360AB-1689-4CF5-9872-A2D6654B4B45}"/>
  </w:font>
  <w:font w:name="Arial">
    <w:panose1 w:val="020B0604020202020204"/>
    <w:charset w:val="00"/>
    <w:family w:val="swiss"/>
    <w:pitch w:val="default"/>
    <w:sig w:usb0="E0002EFF" w:usb1="C000785B" w:usb2="00000009" w:usb3="00000000" w:csb0="400001FF" w:csb1="FFFF0000"/>
    <w:embedRegular r:id="rId3" w:fontKey="{42EA1C6E-77C7-4931-927D-9685E1FC4536}"/>
  </w:font>
  <w:font w:name="Courier New">
    <w:panose1 w:val="02070309020205020404"/>
    <w:charset w:val="00"/>
    <w:family w:val="modern"/>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embedRegular r:id="rId4" w:fontKey="{282CAD13-A8FF-428F-AC4A-B5B00D598F19}"/>
  </w:font>
  <w:font w:name="仿宋">
    <w:panose1 w:val="02010609060101010101"/>
    <w:charset w:val="86"/>
    <w:family w:val="modern"/>
    <w:pitch w:val="default"/>
    <w:sig w:usb0="800002BF" w:usb1="38CF7CFA" w:usb2="00000016" w:usb3="00000000" w:csb0="00040001" w:csb1="00000000"/>
    <w:embedRegular r:id="rId5" w:fontKey="{59E9A264-5758-4AB2-95DB-59229C44B318}"/>
  </w:font>
  <w:font w:name="TimesNewRomanPSMT">
    <w:altName w:val="Times New Roman"/>
    <w:panose1 w:val="00000000000000000000"/>
    <w:charset w:val="00"/>
    <w:family w:val="roman"/>
    <w:pitch w:val="default"/>
    <w:sig w:usb0="00000000" w:usb1="00000000" w:usb2="00000010" w:usb3="00000000" w:csb0="00040001" w:csb1="00000000"/>
    <w:embedRegular r:id="rId6" w:fontKey="{EE422F9F-A72F-47DD-839E-418129DCC8D2}"/>
  </w:font>
  <w:font w:name="仿宋_GB2312">
    <w:panose1 w:val="02010609030101010101"/>
    <w:charset w:val="86"/>
    <w:family w:val="modern"/>
    <w:pitch w:val="default"/>
    <w:sig w:usb0="00000001" w:usb1="080E0000" w:usb2="00000000" w:usb3="00000000" w:csb0="00040000" w:csb1="00000000"/>
    <w:embedRegular r:id="rId7" w:fontKey="{CDA8104D-B65A-4D49-BFE1-11342B5537C9}"/>
  </w:font>
  <w:font w:name="方正小标宋_GBK">
    <w:panose1 w:val="02000000000000000000"/>
    <w:charset w:val="86"/>
    <w:family w:val="script"/>
    <w:pitch w:val="default"/>
    <w:sig w:usb0="A00002BF" w:usb1="38CF7CFA" w:usb2="00082016" w:usb3="00000000" w:csb0="00040001" w:csb1="00000000"/>
    <w:embedRegular r:id="rId8" w:fontKey="{2B26D687-F82C-4692-A8BC-0A7743B82F63}"/>
  </w:font>
  <w:font w:name="MS PMincho">
    <w:altName w:val="Yu Gothic UI"/>
    <w:panose1 w:val="02020600040205080304"/>
    <w:charset w:val="80"/>
    <w:family w:val="roman"/>
    <w:pitch w:val="default"/>
    <w:sig w:usb0="00000000" w:usb1="00000000" w:usb2="00000012" w:usb3="00000000" w:csb0="0002009F" w:csb1="00000000"/>
    <w:embedRegular r:id="rId9" w:fontKey="{BFAE70D1-AE4A-4379-867B-C22D3E68DA37}"/>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4"/>
      </w:rPr>
    </w:pPr>
    <w:r>
      <w:fldChar w:fldCharType="begin"/>
    </w:r>
    <w:r>
      <w:rPr>
        <w:rStyle w:val="24"/>
      </w:rPr>
      <w:instrText xml:space="preserve">PAGE  </w:instrText>
    </w:r>
    <w:r>
      <w:fldChar w:fldCharType="end"/>
    </w:r>
  </w:p>
  <w:p>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r>
      <w:pict>
        <v:shape id="文本框 2049"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5"/>
                </w:pPr>
                <w:r>
                  <w:fldChar w:fldCharType="begin"/>
                </w:r>
                <w:r>
                  <w:instrText xml:space="preserve"> PAGE  \* MERGEFORMAT </w:instrText>
                </w:r>
                <w:r>
                  <w:fldChar w:fldCharType="separate"/>
                </w:r>
                <w:r>
                  <w:t>- 46 -</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r>
      <w:pict>
        <v:shape id="文本框 2051" o:spid="_x0000_s102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15"/>
                </w:pPr>
                <w:r>
                  <w:fldChar w:fldCharType="begin"/>
                </w:r>
                <w:r>
                  <w:instrText xml:space="preserve"> PAGE  \* MERGEFORMAT </w:instrText>
                </w:r>
                <w:r>
                  <w:fldChar w:fldCharType="separate"/>
                </w:r>
                <w:r>
                  <w:t>- 49 -</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466D5F"/>
    <w:multiLevelType w:val="singleLevel"/>
    <w:tmpl w:val="E4466D5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dmMjlkYzFkZTEyNWVlZDM3MTUzNThiN2ZjNzRkYzQifQ=="/>
  </w:docVars>
  <w:rsids>
    <w:rsidRoot w:val="001E0619"/>
    <w:rsid w:val="000027CE"/>
    <w:rsid w:val="00040C5E"/>
    <w:rsid w:val="000567A8"/>
    <w:rsid w:val="000A485D"/>
    <w:rsid w:val="000C4AE5"/>
    <w:rsid w:val="000E4A6F"/>
    <w:rsid w:val="00114E54"/>
    <w:rsid w:val="00131618"/>
    <w:rsid w:val="0017645F"/>
    <w:rsid w:val="00186F2E"/>
    <w:rsid w:val="001E0619"/>
    <w:rsid w:val="002351B3"/>
    <w:rsid w:val="0026565E"/>
    <w:rsid w:val="002C510C"/>
    <w:rsid w:val="00380EED"/>
    <w:rsid w:val="00384DA0"/>
    <w:rsid w:val="0039721B"/>
    <w:rsid w:val="003C6AE6"/>
    <w:rsid w:val="003D361D"/>
    <w:rsid w:val="003E442A"/>
    <w:rsid w:val="003E6BBA"/>
    <w:rsid w:val="00411F66"/>
    <w:rsid w:val="00430DAD"/>
    <w:rsid w:val="00442B51"/>
    <w:rsid w:val="00442ECB"/>
    <w:rsid w:val="00457A03"/>
    <w:rsid w:val="0055146A"/>
    <w:rsid w:val="005A08FB"/>
    <w:rsid w:val="005C0213"/>
    <w:rsid w:val="005C334C"/>
    <w:rsid w:val="005E2FA1"/>
    <w:rsid w:val="005E616E"/>
    <w:rsid w:val="005F7858"/>
    <w:rsid w:val="0060409E"/>
    <w:rsid w:val="00675FB0"/>
    <w:rsid w:val="006A0B95"/>
    <w:rsid w:val="006B375F"/>
    <w:rsid w:val="006F281D"/>
    <w:rsid w:val="006F2DAF"/>
    <w:rsid w:val="007231E2"/>
    <w:rsid w:val="007739BC"/>
    <w:rsid w:val="0079200A"/>
    <w:rsid w:val="007924B5"/>
    <w:rsid w:val="007C668D"/>
    <w:rsid w:val="007E46AA"/>
    <w:rsid w:val="00853B3E"/>
    <w:rsid w:val="00871D3F"/>
    <w:rsid w:val="00872D9E"/>
    <w:rsid w:val="008D2C28"/>
    <w:rsid w:val="009142F8"/>
    <w:rsid w:val="009607DF"/>
    <w:rsid w:val="00963C12"/>
    <w:rsid w:val="0096735F"/>
    <w:rsid w:val="00984061"/>
    <w:rsid w:val="009A6E80"/>
    <w:rsid w:val="009B38D8"/>
    <w:rsid w:val="00A201F6"/>
    <w:rsid w:val="00A25909"/>
    <w:rsid w:val="00A3544A"/>
    <w:rsid w:val="00A82B81"/>
    <w:rsid w:val="00A8431D"/>
    <w:rsid w:val="00AE3CC7"/>
    <w:rsid w:val="00B34617"/>
    <w:rsid w:val="00B933A3"/>
    <w:rsid w:val="00BC4EF8"/>
    <w:rsid w:val="00BD73D8"/>
    <w:rsid w:val="00C460E9"/>
    <w:rsid w:val="00C57CF7"/>
    <w:rsid w:val="00C61117"/>
    <w:rsid w:val="00C71752"/>
    <w:rsid w:val="00C95251"/>
    <w:rsid w:val="00CA28A9"/>
    <w:rsid w:val="00D23358"/>
    <w:rsid w:val="00D30214"/>
    <w:rsid w:val="00DE1112"/>
    <w:rsid w:val="00DE196C"/>
    <w:rsid w:val="00E062D8"/>
    <w:rsid w:val="00E13E8C"/>
    <w:rsid w:val="00E208EA"/>
    <w:rsid w:val="00E311B3"/>
    <w:rsid w:val="00E71C80"/>
    <w:rsid w:val="00E80804"/>
    <w:rsid w:val="00F242F4"/>
    <w:rsid w:val="00F9270B"/>
    <w:rsid w:val="00FA32C7"/>
    <w:rsid w:val="00FA6B33"/>
    <w:rsid w:val="00FB21A3"/>
    <w:rsid w:val="00FB606D"/>
    <w:rsid w:val="00FC036A"/>
    <w:rsid w:val="00FC4C4F"/>
    <w:rsid w:val="00FE0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rules v:ext="edit">
        <o:r id="V:Rule1" type="connector" idref="#_x0000_s2244"/>
        <o:r id="V:Rule2" type="connector" idref="#_x0000_s2248"/>
        <o:r id="V:Rule3" type="connector" idref="#_x0000_s2249"/>
        <o:r id="V:Rule4" type="connector" idref="#_x0000_s2253"/>
        <o:r id="V:Rule5" type="connector" idref="#_x0000_s2254"/>
        <o:r id="V:Rule6" type="connector" idref="#_x0000_s2255"/>
        <o:r id="V:Rule7" type="connector" idref="#_x0000_s2257"/>
        <o:r id="V:Rule8" type="connector" idref="#_x0000_s2260"/>
        <o:r id="V:Rule9" type="connector" idref="#_x0000_s2263"/>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link w:val="30"/>
    <w:qFormat/>
    <w:uiPriority w:val="0"/>
    <w:pPr>
      <w:keepNext/>
      <w:keepLines/>
      <w:spacing w:before="260" w:after="260" w:line="416" w:lineRule="auto"/>
      <w:outlineLvl w:val="1"/>
    </w:pPr>
    <w:rPr>
      <w:rFonts w:ascii="Arial" w:hAnsi="Arial" w:eastAsia="黑体"/>
      <w:b/>
      <w:bCs/>
      <w:sz w:val="32"/>
      <w:szCs w:val="32"/>
    </w:rPr>
  </w:style>
  <w:style w:type="paragraph" w:styleId="4">
    <w:name w:val="heading 4"/>
    <w:basedOn w:val="1"/>
    <w:next w:val="1"/>
    <w:link w:val="31"/>
    <w:qFormat/>
    <w:uiPriority w:val="0"/>
    <w:pPr>
      <w:spacing w:line="360" w:lineRule="auto"/>
      <w:outlineLvl w:val="3"/>
    </w:pPr>
    <w:rPr>
      <w:rFonts w:ascii="宋体" w:hAnsi="宋体" w:cs="宋体"/>
      <w:b/>
      <w:bCs/>
      <w:sz w:val="24"/>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table of authorities"/>
    <w:basedOn w:val="1"/>
    <w:next w:val="1"/>
    <w:unhideWhenUsed/>
    <w:qFormat/>
    <w:uiPriority w:val="99"/>
    <w:pPr>
      <w:spacing w:line="360" w:lineRule="auto"/>
      <w:ind w:left="420" w:leftChars="200" w:firstLine="640" w:firstLineChars="200"/>
    </w:pPr>
    <w:rPr>
      <w:rFonts w:hint="eastAsia" w:ascii="宋体" w:hAnsi="宋体"/>
      <w:sz w:val="24"/>
    </w:rPr>
  </w:style>
  <w:style w:type="paragraph" w:styleId="6">
    <w:name w:val="Normal Indent"/>
    <w:basedOn w:val="1"/>
    <w:next w:val="7"/>
    <w:qFormat/>
    <w:uiPriority w:val="0"/>
    <w:pPr>
      <w:ind w:firstLine="420"/>
    </w:pPr>
    <w:rPr>
      <w:szCs w:val="21"/>
    </w:rPr>
  </w:style>
  <w:style w:type="paragraph" w:styleId="7">
    <w:name w:val="Body Text First Indent 2"/>
    <w:basedOn w:val="8"/>
    <w:next w:val="1"/>
    <w:link w:val="36"/>
    <w:unhideWhenUsed/>
    <w:qFormat/>
    <w:uiPriority w:val="99"/>
    <w:pPr>
      <w:ind w:firstLine="420" w:firstLineChars="200"/>
    </w:pPr>
    <w:rPr>
      <w:kern w:val="0"/>
      <w:sz w:val="24"/>
      <w:szCs w:val="20"/>
    </w:rPr>
  </w:style>
  <w:style w:type="paragraph" w:styleId="8">
    <w:name w:val="Body Text Indent"/>
    <w:basedOn w:val="1"/>
    <w:link w:val="35"/>
    <w:unhideWhenUsed/>
    <w:uiPriority w:val="0"/>
    <w:pPr>
      <w:spacing w:after="120"/>
      <w:ind w:left="420" w:leftChars="200"/>
    </w:pPr>
  </w:style>
  <w:style w:type="paragraph" w:styleId="9">
    <w:name w:val="annotation text"/>
    <w:basedOn w:val="1"/>
    <w:link w:val="37"/>
    <w:semiHidden/>
    <w:uiPriority w:val="0"/>
    <w:pPr>
      <w:jc w:val="left"/>
    </w:pPr>
    <w:rPr>
      <w:kern w:val="0"/>
      <w:sz w:val="24"/>
      <w:szCs w:val="20"/>
    </w:rPr>
  </w:style>
  <w:style w:type="paragraph" w:styleId="10">
    <w:name w:val="Body Text"/>
    <w:basedOn w:val="1"/>
    <w:next w:val="11"/>
    <w:link w:val="38"/>
    <w:qFormat/>
    <w:uiPriority w:val="99"/>
    <w:pPr>
      <w:widowControl/>
      <w:snapToGrid w:val="0"/>
      <w:spacing w:before="60" w:after="160" w:line="259" w:lineRule="auto"/>
      <w:ind w:right="113"/>
    </w:pPr>
    <w:rPr>
      <w:kern w:val="0"/>
      <w:sz w:val="18"/>
      <w:szCs w:val="20"/>
    </w:rPr>
  </w:style>
  <w:style w:type="paragraph" w:styleId="11">
    <w:name w:val="Plain Text"/>
    <w:basedOn w:val="1"/>
    <w:next w:val="1"/>
    <w:link w:val="39"/>
    <w:qFormat/>
    <w:uiPriority w:val="0"/>
    <w:rPr>
      <w:rFonts w:ascii="宋体" w:hAnsi="Courier New"/>
    </w:rPr>
  </w:style>
  <w:style w:type="paragraph" w:styleId="12">
    <w:name w:val="Date"/>
    <w:basedOn w:val="1"/>
    <w:next w:val="1"/>
    <w:link w:val="40"/>
    <w:qFormat/>
    <w:uiPriority w:val="0"/>
    <w:pPr>
      <w:ind w:left="100" w:leftChars="2500"/>
    </w:pPr>
    <w:rPr>
      <w:kern w:val="0"/>
      <w:sz w:val="24"/>
      <w:szCs w:val="20"/>
    </w:rPr>
  </w:style>
  <w:style w:type="paragraph" w:styleId="13">
    <w:name w:val="Body Text Indent 2"/>
    <w:basedOn w:val="1"/>
    <w:next w:val="1"/>
    <w:link w:val="41"/>
    <w:qFormat/>
    <w:uiPriority w:val="0"/>
    <w:pPr>
      <w:spacing w:after="120" w:line="480" w:lineRule="auto"/>
      <w:ind w:left="420" w:leftChars="200"/>
    </w:pPr>
  </w:style>
  <w:style w:type="paragraph" w:styleId="14">
    <w:name w:val="Balloon Text"/>
    <w:basedOn w:val="1"/>
    <w:link w:val="42"/>
    <w:semiHidden/>
    <w:qFormat/>
    <w:uiPriority w:val="0"/>
    <w:rPr>
      <w:kern w:val="0"/>
      <w:sz w:val="18"/>
      <w:szCs w:val="20"/>
    </w:rPr>
  </w:style>
  <w:style w:type="paragraph" w:styleId="15">
    <w:name w:val="footer"/>
    <w:basedOn w:val="1"/>
    <w:link w:val="28"/>
    <w:unhideWhenUsed/>
    <w:qFormat/>
    <w:uiPriority w:val="99"/>
    <w:pPr>
      <w:tabs>
        <w:tab w:val="center" w:pos="4153"/>
        <w:tab w:val="right" w:pos="8306"/>
      </w:tabs>
      <w:snapToGrid w:val="0"/>
      <w:jc w:val="left"/>
    </w:pPr>
    <w:rPr>
      <w:sz w:val="18"/>
      <w:szCs w:val="18"/>
    </w:rPr>
  </w:style>
  <w:style w:type="paragraph" w:styleId="16">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link w:val="43"/>
    <w:qFormat/>
    <w:uiPriority w:val="0"/>
    <w:pPr>
      <w:widowControl/>
      <w:spacing w:before="100" w:beforeAutospacing="1" w:after="100" w:afterAutospacing="1"/>
      <w:jc w:val="left"/>
    </w:pPr>
    <w:rPr>
      <w:rFonts w:ascii="宋体" w:hAnsi="宋体"/>
      <w:kern w:val="0"/>
      <w:sz w:val="24"/>
      <w:szCs w:val="20"/>
    </w:rPr>
  </w:style>
  <w:style w:type="paragraph" w:styleId="18">
    <w:name w:val="annotation subject"/>
    <w:basedOn w:val="9"/>
    <w:next w:val="9"/>
    <w:link w:val="44"/>
    <w:semiHidden/>
    <w:qFormat/>
    <w:uiPriority w:val="0"/>
    <w:rPr>
      <w:b/>
      <w:kern w:val="2"/>
    </w:rPr>
  </w:style>
  <w:style w:type="paragraph" w:styleId="19">
    <w:name w:val="Body Text First Indent"/>
    <w:basedOn w:val="10"/>
    <w:link w:val="45"/>
    <w:unhideWhenUsed/>
    <w:qFormat/>
    <w:uiPriority w:val="99"/>
    <w:pPr>
      <w:spacing w:after="120" w:line="240" w:lineRule="auto"/>
      <w:ind w:firstLine="420" w:firstLineChars="100"/>
    </w:pPr>
    <w:rPr>
      <w:kern w:val="2"/>
      <w:sz w:val="21"/>
      <w:szCs w:val="22"/>
    </w:rPr>
  </w:style>
  <w:style w:type="table" w:styleId="21">
    <w:name w:val="Table Grid"/>
    <w:basedOn w:val="20"/>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0"/>
    <w:rPr>
      <w:b/>
    </w:rPr>
  </w:style>
  <w:style w:type="character" w:styleId="24">
    <w:name w:val="page number"/>
    <w:uiPriority w:val="0"/>
  </w:style>
  <w:style w:type="character" w:styleId="25">
    <w:name w:val="Hyperlink"/>
    <w:qFormat/>
    <w:uiPriority w:val="0"/>
    <w:rPr>
      <w:color w:val="0000FF"/>
      <w:u w:val="single"/>
    </w:rPr>
  </w:style>
  <w:style w:type="character" w:styleId="26">
    <w:name w:val="annotation reference"/>
    <w:semiHidden/>
    <w:qFormat/>
    <w:uiPriority w:val="0"/>
    <w:rPr>
      <w:sz w:val="21"/>
    </w:rPr>
  </w:style>
  <w:style w:type="character" w:customStyle="1" w:styleId="27">
    <w:name w:val="页眉 Char"/>
    <w:basedOn w:val="22"/>
    <w:link w:val="16"/>
    <w:uiPriority w:val="0"/>
    <w:rPr>
      <w:sz w:val="18"/>
      <w:szCs w:val="18"/>
    </w:rPr>
  </w:style>
  <w:style w:type="character" w:customStyle="1" w:styleId="28">
    <w:name w:val="页脚 Char"/>
    <w:basedOn w:val="22"/>
    <w:link w:val="15"/>
    <w:qFormat/>
    <w:uiPriority w:val="99"/>
    <w:rPr>
      <w:sz w:val="18"/>
      <w:szCs w:val="18"/>
    </w:rPr>
  </w:style>
  <w:style w:type="character" w:customStyle="1" w:styleId="29">
    <w:name w:val="标题 1 Char"/>
    <w:basedOn w:val="22"/>
    <w:link w:val="2"/>
    <w:uiPriority w:val="99"/>
    <w:rPr>
      <w:rFonts w:ascii="Times New Roman" w:hAnsi="Times New Roman" w:eastAsia="黑体" w:cs="Times New Roman"/>
      <w:b/>
      <w:bCs/>
      <w:color w:val="000000"/>
      <w:kern w:val="44"/>
      <w:sz w:val="30"/>
      <w:szCs w:val="30"/>
    </w:rPr>
  </w:style>
  <w:style w:type="character" w:customStyle="1" w:styleId="30">
    <w:name w:val="标题 2 Char"/>
    <w:basedOn w:val="22"/>
    <w:link w:val="3"/>
    <w:uiPriority w:val="0"/>
    <w:rPr>
      <w:rFonts w:ascii="Arial" w:hAnsi="Arial" w:eastAsia="黑体" w:cs="Times New Roman"/>
      <w:b/>
      <w:bCs/>
      <w:sz w:val="32"/>
      <w:szCs w:val="32"/>
    </w:rPr>
  </w:style>
  <w:style w:type="character" w:customStyle="1" w:styleId="31">
    <w:name w:val="标题 4 Char"/>
    <w:basedOn w:val="22"/>
    <w:link w:val="4"/>
    <w:uiPriority w:val="0"/>
    <w:rPr>
      <w:rFonts w:ascii="宋体" w:hAnsi="宋体" w:eastAsia="宋体" w:cs="宋体"/>
      <w:b/>
      <w:bCs/>
      <w:sz w:val="24"/>
      <w:szCs w:val="24"/>
    </w:rPr>
  </w:style>
  <w:style w:type="paragraph" w:customStyle="1" w:styleId="32">
    <w:name w:val="Default"/>
    <w:basedOn w:val="33"/>
    <w:next w:val="34"/>
    <w:qFormat/>
    <w:uiPriority w:val="0"/>
    <w:pPr>
      <w:autoSpaceDE w:val="0"/>
      <w:autoSpaceDN w:val="0"/>
    </w:pPr>
    <w:rPr>
      <w:rFonts w:ascii="宋体" w:hAnsi="Calibri" w:cs="宋体"/>
      <w:color w:val="000000"/>
      <w:sz w:val="24"/>
      <w:szCs w:val="24"/>
    </w:rPr>
  </w:style>
  <w:style w:type="paragraph" w:customStyle="1" w:styleId="33">
    <w:name w:val="纯文本1"/>
    <w:basedOn w:val="1"/>
    <w:qFormat/>
    <w:uiPriority w:val="0"/>
    <w:pPr>
      <w:adjustRightInd w:val="0"/>
    </w:pPr>
    <w:rPr>
      <w:rFonts w:hAnsi="Courier New"/>
      <w:szCs w:val="20"/>
    </w:rPr>
  </w:style>
  <w:style w:type="paragraph" w:customStyle="1" w:styleId="34">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character" w:customStyle="1" w:styleId="35">
    <w:name w:val="正文文本缩进 Char"/>
    <w:basedOn w:val="22"/>
    <w:link w:val="8"/>
    <w:uiPriority w:val="0"/>
    <w:rPr>
      <w:rFonts w:ascii="Times New Roman" w:hAnsi="Times New Roman" w:eastAsia="宋体" w:cs="Times New Roman"/>
      <w:szCs w:val="24"/>
    </w:rPr>
  </w:style>
  <w:style w:type="character" w:customStyle="1" w:styleId="36">
    <w:name w:val="正文首行缩进 2 Char"/>
    <w:basedOn w:val="35"/>
    <w:link w:val="7"/>
    <w:uiPriority w:val="99"/>
    <w:rPr>
      <w:kern w:val="0"/>
      <w:sz w:val="24"/>
      <w:szCs w:val="20"/>
    </w:rPr>
  </w:style>
  <w:style w:type="character" w:customStyle="1" w:styleId="37">
    <w:name w:val="批注文字 Char"/>
    <w:basedOn w:val="22"/>
    <w:link w:val="9"/>
    <w:semiHidden/>
    <w:uiPriority w:val="0"/>
    <w:rPr>
      <w:rFonts w:ascii="Times New Roman" w:hAnsi="Times New Roman" w:eastAsia="宋体" w:cs="Times New Roman"/>
      <w:kern w:val="0"/>
      <w:sz w:val="24"/>
      <w:szCs w:val="20"/>
    </w:rPr>
  </w:style>
  <w:style w:type="character" w:customStyle="1" w:styleId="38">
    <w:name w:val="正文文本 Char"/>
    <w:basedOn w:val="22"/>
    <w:link w:val="10"/>
    <w:qFormat/>
    <w:uiPriority w:val="99"/>
    <w:rPr>
      <w:rFonts w:ascii="Times New Roman" w:hAnsi="Times New Roman" w:eastAsia="宋体" w:cs="Times New Roman"/>
      <w:kern w:val="0"/>
      <w:sz w:val="18"/>
      <w:szCs w:val="20"/>
    </w:rPr>
  </w:style>
  <w:style w:type="character" w:customStyle="1" w:styleId="39">
    <w:name w:val="纯文本 Char"/>
    <w:basedOn w:val="22"/>
    <w:link w:val="11"/>
    <w:qFormat/>
    <w:uiPriority w:val="0"/>
    <w:rPr>
      <w:rFonts w:ascii="宋体" w:hAnsi="Courier New" w:eastAsia="宋体" w:cs="Times New Roman"/>
      <w:szCs w:val="24"/>
    </w:rPr>
  </w:style>
  <w:style w:type="character" w:customStyle="1" w:styleId="40">
    <w:name w:val="日期 Char"/>
    <w:basedOn w:val="22"/>
    <w:link w:val="12"/>
    <w:qFormat/>
    <w:uiPriority w:val="0"/>
    <w:rPr>
      <w:rFonts w:ascii="Times New Roman" w:hAnsi="Times New Roman" w:eastAsia="宋体" w:cs="Times New Roman"/>
      <w:kern w:val="0"/>
      <w:sz w:val="24"/>
      <w:szCs w:val="20"/>
    </w:rPr>
  </w:style>
  <w:style w:type="character" w:customStyle="1" w:styleId="41">
    <w:name w:val="正文文本缩进 2 Char"/>
    <w:basedOn w:val="22"/>
    <w:link w:val="13"/>
    <w:qFormat/>
    <w:uiPriority w:val="0"/>
    <w:rPr>
      <w:rFonts w:ascii="Times New Roman" w:hAnsi="Times New Roman" w:eastAsia="宋体" w:cs="Times New Roman"/>
      <w:szCs w:val="24"/>
    </w:rPr>
  </w:style>
  <w:style w:type="character" w:customStyle="1" w:styleId="42">
    <w:name w:val="批注框文本 Char"/>
    <w:basedOn w:val="22"/>
    <w:link w:val="14"/>
    <w:semiHidden/>
    <w:qFormat/>
    <w:uiPriority w:val="0"/>
    <w:rPr>
      <w:rFonts w:ascii="Times New Roman" w:hAnsi="Times New Roman" w:eastAsia="宋体" w:cs="Times New Roman"/>
      <w:kern w:val="0"/>
      <w:sz w:val="18"/>
      <w:szCs w:val="20"/>
    </w:rPr>
  </w:style>
  <w:style w:type="character" w:customStyle="1" w:styleId="43">
    <w:name w:val="普通(网站) Char"/>
    <w:link w:val="17"/>
    <w:qFormat/>
    <w:locked/>
    <w:uiPriority w:val="0"/>
    <w:rPr>
      <w:rFonts w:ascii="宋体" w:hAnsi="宋体" w:eastAsia="宋体" w:cs="Times New Roman"/>
      <w:kern w:val="0"/>
      <w:sz w:val="24"/>
      <w:szCs w:val="20"/>
    </w:rPr>
  </w:style>
  <w:style w:type="character" w:customStyle="1" w:styleId="44">
    <w:name w:val="批注主题 Char"/>
    <w:basedOn w:val="37"/>
    <w:link w:val="18"/>
    <w:semiHidden/>
    <w:uiPriority w:val="0"/>
    <w:rPr>
      <w:b/>
    </w:rPr>
  </w:style>
  <w:style w:type="character" w:customStyle="1" w:styleId="45">
    <w:name w:val="正文首行缩进 Char"/>
    <w:basedOn w:val="38"/>
    <w:link w:val="19"/>
    <w:uiPriority w:val="99"/>
  </w:style>
  <w:style w:type="character" w:customStyle="1" w:styleId="46">
    <w:name w:val="正文文本缩进 字符1"/>
    <w:qFormat/>
    <w:uiPriority w:val="0"/>
    <w:rPr>
      <w:rFonts w:ascii="Calibri" w:hAnsi="Calibri"/>
      <w:kern w:val="2"/>
      <w:sz w:val="21"/>
      <w:szCs w:val="21"/>
    </w:rPr>
  </w:style>
  <w:style w:type="paragraph" w:customStyle="1" w:styleId="47">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character" w:customStyle="1" w:styleId="48">
    <w:name w:val="批注文字 字符1"/>
    <w:semiHidden/>
    <w:uiPriority w:val="0"/>
    <w:rPr>
      <w:rFonts w:ascii="Times New Roman" w:hAnsi="Times New Roman" w:eastAsia="宋体"/>
      <w:sz w:val="24"/>
    </w:rPr>
  </w:style>
  <w:style w:type="character" w:customStyle="1" w:styleId="49">
    <w:name w:val="正文文本 字符1"/>
    <w:semiHidden/>
    <w:uiPriority w:val="0"/>
    <w:rPr>
      <w:rFonts w:ascii="Times New Roman" w:hAnsi="Times New Roman" w:eastAsia="宋体"/>
      <w:sz w:val="24"/>
    </w:rPr>
  </w:style>
  <w:style w:type="character" w:customStyle="1" w:styleId="50">
    <w:name w:val="页脚 字符"/>
    <w:uiPriority w:val="99"/>
  </w:style>
  <w:style w:type="character" w:customStyle="1" w:styleId="51">
    <w:name w:val="日期 字符"/>
    <w:semiHidden/>
    <w:uiPriority w:val="0"/>
    <w:rPr>
      <w:rFonts w:ascii="Times New Roman" w:hAnsi="Times New Roman" w:eastAsia="宋体"/>
      <w:sz w:val="24"/>
    </w:rPr>
  </w:style>
  <w:style w:type="character" w:customStyle="1" w:styleId="52">
    <w:name w:val="表格 Char"/>
    <w:link w:val="53"/>
    <w:locked/>
    <w:uiPriority w:val="0"/>
    <w:rPr>
      <w:rFonts w:ascii="宋体"/>
    </w:rPr>
  </w:style>
  <w:style w:type="paragraph" w:customStyle="1" w:styleId="53">
    <w:name w:val="表格"/>
    <w:basedOn w:val="54"/>
    <w:next w:val="1"/>
    <w:link w:val="52"/>
    <w:qFormat/>
    <w:uiPriority w:val="0"/>
    <w:pPr>
      <w:tabs>
        <w:tab w:val="center" w:pos="1053"/>
      </w:tabs>
      <w:adjustRightInd w:val="0"/>
      <w:spacing w:beforeLines="10" w:afterLines="10" w:line="259" w:lineRule="auto"/>
    </w:pPr>
    <w:rPr>
      <w:rFonts w:hAnsiTheme="minorHAnsi" w:eastAsiaTheme="minorEastAsia" w:cstheme="minorBidi"/>
      <w:kern w:val="2"/>
      <w:szCs w:val="22"/>
    </w:rPr>
  </w:style>
  <w:style w:type="paragraph" w:customStyle="1" w:styleId="54">
    <w:name w:val="表格文字"/>
    <w:basedOn w:val="1"/>
    <w:next w:val="1"/>
    <w:qFormat/>
    <w:uiPriority w:val="0"/>
    <w:pPr>
      <w:tabs>
        <w:tab w:val="center" w:pos="1053"/>
      </w:tabs>
      <w:snapToGrid w:val="0"/>
      <w:spacing w:line="360" w:lineRule="exact"/>
      <w:jc w:val="center"/>
    </w:pPr>
    <w:rPr>
      <w:rFonts w:ascii="宋体" w:hAnsi="宋体"/>
      <w:kern w:val="21"/>
      <w:szCs w:val="21"/>
      <w:u w:color="000000"/>
    </w:rPr>
  </w:style>
  <w:style w:type="paragraph" w:customStyle="1" w:styleId="55">
    <w:name w:val="报告正文"/>
    <w:basedOn w:val="1"/>
    <w:next w:val="1"/>
    <w:link w:val="92"/>
    <w:qFormat/>
    <w:uiPriority w:val="99"/>
    <w:pPr>
      <w:autoSpaceDE w:val="0"/>
      <w:autoSpaceDN w:val="0"/>
      <w:adjustRightInd w:val="0"/>
      <w:snapToGrid w:val="0"/>
      <w:spacing w:line="480" w:lineRule="atLeast"/>
      <w:ind w:firstLine="480" w:firstLineChars="200"/>
      <w:textAlignment w:val="baseline"/>
    </w:pPr>
    <w:rPr>
      <w:bCs/>
      <w:kern w:val="0"/>
      <w:sz w:val="24"/>
      <w:szCs w:val="20"/>
    </w:rPr>
  </w:style>
  <w:style w:type="paragraph" w:customStyle="1" w:styleId="56">
    <w:name w:val="无间隔1"/>
    <w:basedOn w:val="10"/>
    <w:next w:val="10"/>
    <w:qFormat/>
    <w:uiPriority w:val="1"/>
    <w:pPr>
      <w:adjustRightInd w:val="0"/>
      <w:spacing w:after="0" w:line="360" w:lineRule="exact"/>
      <w:jc w:val="center"/>
    </w:pPr>
    <w:rPr>
      <w:rFonts w:eastAsia="黑体"/>
      <w:szCs w:val="22"/>
    </w:rPr>
  </w:style>
  <w:style w:type="paragraph" w:customStyle="1" w:styleId="57">
    <w:name w:val="普通(网站)2"/>
    <w:basedOn w:val="1"/>
    <w:uiPriority w:val="0"/>
    <w:pPr>
      <w:widowControl/>
      <w:spacing w:before="100" w:beforeAutospacing="1" w:after="100" w:afterAutospacing="1"/>
      <w:jc w:val="left"/>
    </w:pPr>
    <w:rPr>
      <w:rFonts w:ascii="宋体" w:hAnsi="宋体"/>
      <w:sz w:val="24"/>
      <w:szCs w:val="20"/>
    </w:rPr>
  </w:style>
  <w:style w:type="paragraph" w:customStyle="1" w:styleId="58">
    <w:name w:val="标准正文"/>
    <w:basedOn w:val="1"/>
    <w:link w:val="99"/>
    <w:qFormat/>
    <w:uiPriority w:val="0"/>
    <w:pPr>
      <w:ind w:firstLine="480" w:firstLineChars="200"/>
    </w:pPr>
  </w:style>
  <w:style w:type="paragraph" w:customStyle="1" w:styleId="59">
    <w:name w:val="内容"/>
    <w:basedOn w:val="1"/>
    <w:qFormat/>
    <w:uiPriority w:val="0"/>
    <w:pPr>
      <w:ind w:firstLine="480" w:firstLineChars="200"/>
    </w:pPr>
    <w:rPr>
      <w:kern w:val="0"/>
      <w:szCs w:val="20"/>
    </w:rPr>
  </w:style>
  <w:style w:type="paragraph" w:customStyle="1" w:styleId="60">
    <w:name w:val="Table Paragraph"/>
    <w:basedOn w:val="1"/>
    <w:next w:val="11"/>
    <w:qFormat/>
    <w:uiPriority w:val="1"/>
    <w:rPr>
      <w:rFonts w:ascii="宋体" w:hAnsi="宋体" w:cs="宋体"/>
      <w:lang w:val="zh-CN" w:bidi="zh-CN"/>
    </w:rPr>
  </w:style>
  <w:style w:type="paragraph" w:customStyle="1" w:styleId="61">
    <w:name w:val="正文小四首缩1.3行距"/>
    <w:basedOn w:val="1"/>
    <w:qFormat/>
    <w:uiPriority w:val="0"/>
    <w:pPr>
      <w:spacing w:line="360" w:lineRule="auto"/>
      <w:ind w:firstLine="480" w:firstLineChars="200"/>
    </w:pPr>
    <w:rPr>
      <w:sz w:val="24"/>
    </w:rPr>
  </w:style>
  <w:style w:type="paragraph" w:customStyle="1" w:styleId="62">
    <w:name w:val="M正文"/>
    <w:basedOn w:val="13"/>
    <w:qFormat/>
    <w:uiPriority w:val="0"/>
    <w:pPr>
      <w:adjustRightInd w:val="0"/>
      <w:spacing w:after="0" w:line="360" w:lineRule="auto"/>
      <w:ind w:left="0" w:leftChars="0" w:firstLine="496" w:firstLineChars="200"/>
    </w:pPr>
    <w:rPr>
      <w:bCs/>
      <w:spacing w:val="4"/>
      <w:sz w:val="24"/>
      <w:szCs w:val="28"/>
    </w:rPr>
  </w:style>
  <w:style w:type="paragraph" w:customStyle="1" w:styleId="63">
    <w:name w:val="0007表格中文字"/>
    <w:basedOn w:val="1"/>
    <w:qFormat/>
    <w:uiPriority w:val="0"/>
    <w:pPr>
      <w:jc w:val="center"/>
    </w:pPr>
    <w:rPr>
      <w:szCs w:val="22"/>
    </w:rPr>
  </w:style>
  <w:style w:type="paragraph" w:customStyle="1" w:styleId="64">
    <w:name w:val="正文文字缩进"/>
    <w:basedOn w:val="1"/>
    <w:qFormat/>
    <w:uiPriority w:val="0"/>
    <w:pPr>
      <w:widowControl/>
      <w:spacing w:line="771" w:lineRule="atLeast"/>
      <w:ind w:firstLine="561"/>
      <w:textAlignment w:val="baseline"/>
    </w:pPr>
    <w:rPr>
      <w:color w:val="000000"/>
      <w:kern w:val="0"/>
      <w:sz w:val="28"/>
      <w:szCs w:val="20"/>
      <w:u w:color="000000"/>
    </w:rPr>
  </w:style>
  <w:style w:type="paragraph" w:customStyle="1" w:styleId="65">
    <w:name w:val="表中文字"/>
    <w:basedOn w:val="1"/>
    <w:unhideWhenUsed/>
    <w:qFormat/>
    <w:uiPriority w:val="0"/>
    <w:pPr>
      <w:widowControl/>
      <w:spacing w:line="280" w:lineRule="exact"/>
      <w:jc w:val="center"/>
    </w:pPr>
    <w:rPr>
      <w:color w:val="000000"/>
      <w:szCs w:val="20"/>
    </w:rPr>
  </w:style>
  <w:style w:type="paragraph" w:customStyle="1" w:styleId="66">
    <w:name w:val="正文_6"/>
    <w:qFormat/>
    <w:uiPriority w:val="0"/>
    <w:pPr>
      <w:widowControl w:val="0"/>
      <w:jc w:val="both"/>
    </w:pPr>
    <w:rPr>
      <w:rFonts w:ascii="Calibri" w:hAnsi="Calibri" w:eastAsia="宋体" w:cs="Times New Roman"/>
      <w:kern w:val="2"/>
      <w:sz w:val="21"/>
      <w:szCs w:val="20"/>
      <w:lang w:val="en-US" w:eastAsia="zh-CN" w:bidi="ar-SA"/>
    </w:rPr>
  </w:style>
  <w:style w:type="paragraph" w:customStyle="1" w:styleId="67">
    <w:name w:val="00表内字体"/>
    <w:basedOn w:val="1"/>
    <w:qFormat/>
    <w:uiPriority w:val="0"/>
    <w:pPr>
      <w:jc w:val="center"/>
    </w:pPr>
    <w:rPr>
      <w:szCs w:val="22"/>
      <w:u w:color="000000"/>
    </w:rPr>
  </w:style>
  <w:style w:type="paragraph" w:customStyle="1" w:styleId="68">
    <w:name w:val="zhang正文"/>
    <w:basedOn w:val="8"/>
    <w:qFormat/>
    <w:uiPriority w:val="0"/>
    <w:pPr>
      <w:autoSpaceDE w:val="0"/>
      <w:autoSpaceDN w:val="0"/>
      <w:adjustRightInd w:val="0"/>
      <w:snapToGrid w:val="0"/>
      <w:spacing w:after="0" w:line="500" w:lineRule="exact"/>
      <w:ind w:left="0" w:firstLine="539"/>
    </w:pPr>
    <w:rPr>
      <w:rFonts w:eastAsia="楷体_GB2312"/>
      <w:kern w:val="0"/>
      <w:sz w:val="28"/>
      <w:szCs w:val="20"/>
    </w:rPr>
  </w:style>
  <w:style w:type="paragraph" w:customStyle="1" w:styleId="69">
    <w:name w:val="正文_10"/>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0">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71">
    <w:name w:val="List Paragraph"/>
    <w:basedOn w:val="1"/>
    <w:qFormat/>
    <w:uiPriority w:val="0"/>
    <w:pPr>
      <w:ind w:left="1319" w:hanging="602"/>
    </w:pPr>
    <w:rPr>
      <w:rFonts w:ascii="宋体" w:hAnsi="宋体" w:cs="宋体"/>
      <w:lang w:val="zh-CN" w:bidi="zh-CN"/>
    </w:rPr>
  </w:style>
  <w:style w:type="paragraph" w:customStyle="1" w:styleId="72">
    <w:name w:val="4正文"/>
    <w:basedOn w:val="8"/>
    <w:next w:val="1"/>
    <w:qFormat/>
    <w:uiPriority w:val="0"/>
    <w:pPr>
      <w:adjustRightInd w:val="0"/>
      <w:snapToGrid w:val="0"/>
      <w:spacing w:line="480" w:lineRule="exact"/>
      <w:ind w:firstLine="200" w:firstLineChars="200"/>
    </w:pPr>
    <w:rPr>
      <w:kern w:val="0"/>
      <w:sz w:val="24"/>
      <w:szCs w:val="20"/>
    </w:rPr>
  </w:style>
  <w:style w:type="paragraph" w:customStyle="1" w:styleId="73">
    <w:name w:val="表格内容"/>
    <w:basedOn w:val="6"/>
    <w:next w:val="1"/>
    <w:qFormat/>
    <w:uiPriority w:val="0"/>
    <w:pPr>
      <w:ind w:firstLine="0"/>
      <w:jc w:val="center"/>
    </w:pPr>
    <w:rPr>
      <w:szCs w:val="20"/>
    </w:rPr>
  </w:style>
  <w:style w:type="character" w:customStyle="1" w:styleId="74">
    <w:name w:val="15"/>
    <w:qFormat/>
    <w:uiPriority w:val="0"/>
    <w:rPr>
      <w:rFonts w:hint="eastAsia" w:ascii="宋体" w:hAnsi="宋体" w:eastAsia="宋体" w:cs="宋体"/>
      <w:color w:val="000000"/>
      <w:sz w:val="20"/>
      <w:szCs w:val="20"/>
    </w:rPr>
  </w:style>
  <w:style w:type="character" w:customStyle="1" w:styleId="75">
    <w:name w:val="18"/>
    <w:qFormat/>
    <w:uiPriority w:val="0"/>
    <w:rPr>
      <w:rFonts w:hint="eastAsia" w:ascii="宋体" w:hAnsi="宋体" w:eastAsia="宋体" w:cs="宋体"/>
      <w:color w:val="000000"/>
      <w:sz w:val="20"/>
      <w:szCs w:val="20"/>
    </w:rPr>
  </w:style>
  <w:style w:type="paragraph" w:customStyle="1" w:styleId="76">
    <w:name w:val="p0"/>
    <w:basedOn w:val="1"/>
    <w:qFormat/>
    <w:uiPriority w:val="0"/>
    <w:pPr>
      <w:widowControl/>
    </w:pPr>
    <w:rPr>
      <w:rFonts w:ascii="Calibri" w:hAnsi="Calibri" w:cs="宋体"/>
      <w:szCs w:val="21"/>
    </w:rPr>
  </w:style>
  <w:style w:type="paragraph" w:customStyle="1" w:styleId="77">
    <w:name w:val="表格样式"/>
    <w:basedOn w:val="1"/>
    <w:qFormat/>
    <w:uiPriority w:val="0"/>
    <w:pPr>
      <w:jc w:val="center"/>
    </w:pPr>
  </w:style>
  <w:style w:type="paragraph" w:customStyle="1" w:styleId="78">
    <w:name w:val="表内容"/>
    <w:basedOn w:val="79"/>
    <w:next w:val="79"/>
    <w:qFormat/>
    <w:uiPriority w:val="99"/>
    <w:pPr>
      <w:spacing w:line="320" w:lineRule="exact"/>
      <w:jc w:val="center"/>
    </w:pPr>
  </w:style>
  <w:style w:type="paragraph" w:customStyle="1" w:styleId="79">
    <w:name w:val="正文 New"/>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80">
    <w:name w:val="00表格中文字"/>
    <w:basedOn w:val="1"/>
    <w:qFormat/>
    <w:uiPriority w:val="0"/>
    <w:pPr>
      <w:jc w:val="center"/>
    </w:pPr>
    <w:rPr>
      <w:rFonts w:ascii="Calibri" w:hAnsi="Calibri"/>
      <w:color w:val="000000"/>
      <w:szCs w:val="21"/>
    </w:rPr>
  </w:style>
  <w:style w:type="paragraph" w:customStyle="1" w:styleId="81">
    <w:name w:val="样式2"/>
    <w:basedOn w:val="1"/>
    <w:qFormat/>
    <w:uiPriority w:val="0"/>
    <w:pPr>
      <w:spacing w:line="400" w:lineRule="exact"/>
      <w:ind w:firstLine="200" w:firstLineChars="200"/>
    </w:pPr>
    <w:rPr>
      <w:sz w:val="24"/>
    </w:rPr>
  </w:style>
  <w:style w:type="paragraph" w:customStyle="1" w:styleId="82">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Cs w:val="21"/>
      <w:u w:color="000000"/>
    </w:rPr>
  </w:style>
  <w:style w:type="paragraph" w:customStyle="1" w:styleId="83">
    <w:name w:val="环评正文"/>
    <w:basedOn w:val="1"/>
    <w:qFormat/>
    <w:uiPriority w:val="0"/>
    <w:pPr>
      <w:adjustRightInd w:val="0"/>
      <w:snapToGrid w:val="0"/>
      <w:spacing w:beforeLines="50" w:line="480" w:lineRule="exact"/>
      <w:ind w:firstLine="200" w:firstLineChars="200"/>
      <w:jc w:val="left"/>
    </w:pPr>
    <w:rPr>
      <w:rFonts w:eastAsia="仿宋"/>
      <w:sz w:val="28"/>
      <w:szCs w:val="22"/>
      <w:lang w:val="zh-CN"/>
    </w:rPr>
  </w:style>
  <w:style w:type="paragraph" w:customStyle="1" w:styleId="84">
    <w:name w:val="Heading5"/>
    <w:basedOn w:val="1"/>
    <w:next w:val="1"/>
    <w:unhideWhenUsed/>
    <w:qFormat/>
    <w:uiPriority w:val="0"/>
    <w:pPr>
      <w:keepNext/>
      <w:keepLines/>
      <w:spacing w:before="280" w:after="290" w:line="376" w:lineRule="auto"/>
      <w:textAlignment w:val="baseline"/>
    </w:pPr>
    <w:rPr>
      <w:rFonts w:ascii="Calibri" w:hAnsi="Calibri"/>
      <w:b/>
      <w:sz w:val="28"/>
      <w:szCs w:val="28"/>
    </w:rPr>
  </w:style>
  <w:style w:type="paragraph" w:customStyle="1" w:styleId="85">
    <w:name w:val="c标题3"/>
    <w:qFormat/>
    <w:uiPriority w:val="0"/>
    <w:pPr>
      <w:adjustRightInd w:val="0"/>
      <w:snapToGrid w:val="0"/>
      <w:spacing w:line="500" w:lineRule="exact"/>
    </w:pPr>
    <w:rPr>
      <w:rFonts w:ascii="Calibri" w:hAnsi="Calibri" w:eastAsia="黑体" w:cs="Arial"/>
      <w:bCs/>
      <w:color w:val="000000"/>
      <w:kern w:val="44"/>
      <w:sz w:val="24"/>
      <w:szCs w:val="24"/>
      <w:lang w:val="en-US" w:eastAsia="zh-CN" w:bidi="ar-SA"/>
    </w:rPr>
  </w:style>
  <w:style w:type="paragraph" w:customStyle="1" w:styleId="86">
    <w:name w:val="表头"/>
    <w:basedOn w:val="87"/>
    <w:link w:val="91"/>
    <w:qFormat/>
    <w:uiPriority w:val="0"/>
    <w:rPr>
      <w:rFonts w:eastAsia="宋体"/>
      <w:sz w:val="21"/>
    </w:rPr>
  </w:style>
  <w:style w:type="paragraph" w:styleId="87">
    <w:name w:val="No Spacing"/>
    <w:qFormat/>
    <w:uiPriority w:val="0"/>
    <w:pPr>
      <w:widowControl w:val="0"/>
      <w:adjustRightInd w:val="0"/>
      <w:snapToGrid w:val="0"/>
      <w:spacing w:line="360" w:lineRule="exact"/>
      <w:jc w:val="center"/>
    </w:pPr>
    <w:rPr>
      <w:rFonts w:ascii="Times New Roman" w:hAnsi="Times New Roman" w:eastAsia="黑体" w:cs="Times New Roman"/>
      <w:b/>
      <w:kern w:val="2"/>
      <w:sz w:val="24"/>
      <w:szCs w:val="20"/>
      <w:lang w:val="en-US" w:eastAsia="zh-CN" w:bidi="ar-SA"/>
    </w:rPr>
  </w:style>
  <w:style w:type="paragraph" w:customStyle="1" w:styleId="88">
    <w:name w:val="附图正文"/>
    <w:basedOn w:val="1"/>
    <w:qFormat/>
    <w:uiPriority w:val="0"/>
    <w:pPr>
      <w:jc w:val="center"/>
    </w:pPr>
    <w:rPr>
      <w:rFonts w:ascii="TimesNewRomanPSMT" w:hAnsi="TimesNewRomanPSMT"/>
      <w:color w:val="000000"/>
    </w:rPr>
  </w:style>
  <w:style w:type="paragraph" w:customStyle="1" w:styleId="89">
    <w:name w:val="正文222"/>
    <w:basedOn w:val="10"/>
    <w:qFormat/>
    <w:uiPriority w:val="0"/>
    <w:pPr>
      <w:spacing w:line="480" w:lineRule="exact"/>
      <w:ind w:firstLine="400" w:firstLineChars="200"/>
    </w:pPr>
  </w:style>
  <w:style w:type="paragraph" w:customStyle="1" w:styleId="90">
    <w:name w:val="文本内容"/>
    <w:basedOn w:val="1"/>
    <w:qFormat/>
    <w:uiPriority w:val="0"/>
    <w:pPr>
      <w:adjustRightInd w:val="0"/>
      <w:snapToGrid w:val="0"/>
      <w:spacing w:line="360" w:lineRule="exact"/>
      <w:ind w:firstLine="200" w:firstLineChars="200"/>
    </w:pPr>
    <w:rPr>
      <w:rFonts w:ascii="宋体" w:hAnsi="宋体" w:cs="宋体"/>
      <w:kern w:val="0"/>
      <w:szCs w:val="21"/>
    </w:rPr>
  </w:style>
  <w:style w:type="character" w:customStyle="1" w:styleId="91">
    <w:name w:val="表头 Char"/>
    <w:basedOn w:val="22"/>
    <w:link w:val="86"/>
    <w:qFormat/>
    <w:locked/>
    <w:uiPriority w:val="0"/>
    <w:rPr>
      <w:rFonts w:ascii="Times New Roman" w:hAnsi="Times New Roman" w:eastAsia="宋体" w:cs="Times New Roman"/>
      <w:b/>
      <w:szCs w:val="20"/>
    </w:rPr>
  </w:style>
  <w:style w:type="character" w:customStyle="1" w:styleId="92">
    <w:name w:val="报告正文 Char"/>
    <w:link w:val="55"/>
    <w:qFormat/>
    <w:uiPriority w:val="99"/>
    <w:rPr>
      <w:rFonts w:ascii="Times New Roman" w:hAnsi="Times New Roman" w:eastAsia="宋体" w:cs="Times New Roman"/>
      <w:bCs/>
      <w:kern w:val="0"/>
      <w:sz w:val="24"/>
      <w:szCs w:val="20"/>
    </w:rPr>
  </w:style>
  <w:style w:type="character" w:customStyle="1" w:styleId="93">
    <w:name w:val="表格文字66 Char"/>
    <w:link w:val="94"/>
    <w:qFormat/>
    <w:locked/>
    <w:uiPriority w:val="0"/>
    <w:rPr>
      <w:rFonts w:ascii="宋体" w:hAnsi="宋体"/>
      <w:kern w:val="21"/>
      <w:szCs w:val="21"/>
      <w:u w:color="000000"/>
    </w:rPr>
  </w:style>
  <w:style w:type="paragraph" w:customStyle="1" w:styleId="94">
    <w:name w:val="表格文字66"/>
    <w:basedOn w:val="1"/>
    <w:next w:val="1"/>
    <w:link w:val="93"/>
    <w:qFormat/>
    <w:uiPriority w:val="0"/>
    <w:pPr>
      <w:tabs>
        <w:tab w:val="center" w:pos="1053"/>
      </w:tabs>
      <w:snapToGrid w:val="0"/>
      <w:spacing w:line="360" w:lineRule="exact"/>
      <w:jc w:val="center"/>
    </w:pPr>
    <w:rPr>
      <w:rFonts w:ascii="宋体" w:hAnsi="宋体" w:eastAsiaTheme="minorEastAsia" w:cstheme="minorBidi"/>
      <w:kern w:val="21"/>
      <w:szCs w:val="21"/>
      <w:u w:color="000000"/>
    </w:rPr>
  </w:style>
  <w:style w:type="paragraph" w:customStyle="1" w:styleId="95">
    <w:name w:val="表头14"/>
    <w:basedOn w:val="1"/>
    <w:next w:val="1"/>
    <w:qFormat/>
    <w:uiPriority w:val="0"/>
    <w:pPr>
      <w:spacing w:beforeLines="50" w:after="100" w:afterAutospacing="1"/>
      <w:jc w:val="center"/>
    </w:pPr>
    <w:rPr>
      <w:b/>
      <w:bCs/>
      <w:szCs w:val="21"/>
    </w:rPr>
  </w:style>
  <w:style w:type="paragraph" w:customStyle="1" w:styleId="96">
    <w:name w:val="0正文"/>
    <w:basedOn w:val="8"/>
    <w:qFormat/>
    <w:uiPriority w:val="0"/>
    <w:pPr>
      <w:spacing w:after="0" w:line="300" w:lineRule="auto"/>
      <w:ind w:left="0" w:leftChars="0" w:firstLine="480"/>
    </w:pPr>
    <w:rPr>
      <w:rFonts w:cs="宋体"/>
      <w:kern w:val="0"/>
      <w:sz w:val="24"/>
      <w:szCs w:val="20"/>
    </w:rPr>
  </w:style>
  <w:style w:type="paragraph" w:customStyle="1" w:styleId="97">
    <w:name w:val="报告书表格"/>
    <w:basedOn w:val="1"/>
    <w:qFormat/>
    <w:uiPriority w:val="0"/>
    <w:pPr>
      <w:adjustRightInd w:val="0"/>
      <w:snapToGrid w:val="0"/>
      <w:spacing w:before="100" w:beforeAutospacing="1" w:after="100" w:afterAutospacing="1" w:line="400" w:lineRule="exact"/>
      <w:jc w:val="center"/>
    </w:pPr>
  </w:style>
  <w:style w:type="paragraph" w:customStyle="1" w:styleId="98">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9">
    <w:name w:val="标准正文 Char"/>
    <w:link w:val="58"/>
    <w:qFormat/>
    <w:uiPriority w:val="0"/>
    <w:rPr>
      <w:rFonts w:ascii="Times New Roman" w:hAnsi="Times New Roman" w:eastAsia="宋体" w:cs="Times New Roman"/>
      <w:szCs w:val="24"/>
    </w:rPr>
  </w:style>
  <w:style w:type="paragraph" w:customStyle="1" w:styleId="100">
    <w:name w:val="正文修改"/>
    <w:qFormat/>
    <w:uiPriority w:val="0"/>
    <w:pPr>
      <w:spacing w:line="360" w:lineRule="auto"/>
      <w:ind w:firstLine="200" w:firstLineChars="200"/>
      <w:jc w:val="both"/>
    </w:pPr>
    <w:rPr>
      <w:rFonts w:ascii="Times New Roman" w:hAnsi="Times New Roman" w:eastAsia="宋体" w:cs="宋体"/>
      <w:kern w:val="2"/>
      <w:sz w:val="24"/>
      <w:szCs w:val="24"/>
      <w:lang w:val="en-US" w:eastAsia="zh-CN" w:bidi="ar-SA"/>
    </w:rPr>
  </w:style>
  <w:style w:type="paragraph" w:customStyle="1" w:styleId="101">
    <w:name w:val="真人表格内容"/>
    <w:basedOn w:val="1"/>
    <w:qFormat/>
    <w:uiPriority w:val="0"/>
    <w:pPr>
      <w:autoSpaceDE w:val="0"/>
      <w:autoSpaceDN w:val="0"/>
      <w:jc w:val="center"/>
    </w:pPr>
    <w:rPr>
      <w:rFonts w:ascii="宋体" w:hAnsi="宋体" w:cs="宋体"/>
      <w:kern w:val="0"/>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wmf"/><Relationship Id="rId16" Type="http://schemas.openxmlformats.org/officeDocument/2006/relationships/oleObject" Target="embeddings/oleObject3.bin"/><Relationship Id="rId15" Type="http://schemas.openxmlformats.org/officeDocument/2006/relationships/image" Target="media/image6.wmf"/><Relationship Id="rId14" Type="http://schemas.openxmlformats.org/officeDocument/2006/relationships/oleObject" Target="embeddings/oleObject2.bin"/><Relationship Id="rId13" Type="http://schemas.openxmlformats.org/officeDocument/2006/relationships/image" Target="media/image5.png"/><Relationship Id="rId12" Type="http://schemas.openxmlformats.org/officeDocument/2006/relationships/image" Target="media/image4.wmf"/><Relationship Id="rId11" Type="http://schemas.openxmlformats.org/officeDocument/2006/relationships/oleObject" Target="embeddings/oleObject1.bin"/><Relationship Id="rId10" Type="http://schemas.openxmlformats.org/officeDocument/2006/relationships/image" Target="media/image3.e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5"/>
    <customShpInfo spid="_x0000_s1027"/>
    <customShpInfo spid="_x0000_s2214"/>
    <customShpInfo spid="_x0000_s2209"/>
    <customShpInfo spid="_x0000_s2210"/>
    <customShpInfo spid="_x0000_s2204"/>
    <customShpInfo spid="_x0000_s2205"/>
    <customShpInfo spid="_x0000_s2206"/>
    <customShpInfo spid="_x0000_s2203"/>
    <customShpInfo spid="_x0000_s2211"/>
    <customShpInfo spid="_x0000_s2216"/>
    <customShpInfo spid="_x0000_s2213"/>
    <customShpInfo spid="_x0000_s2207"/>
    <customShpInfo spid="_x0000_s2212"/>
    <customShpInfo spid="_x0000_s2238"/>
    <customShpInfo spid="_x0000_s2208"/>
    <customShpInfo spid="_x0000_s2242"/>
    <customShpInfo spid="_x0000_s2244"/>
    <customShpInfo spid="_x0000_s2257"/>
    <customShpInfo spid="_x0000_s2258"/>
    <customShpInfo spid="_x0000_s2256"/>
    <customShpInfo spid="_x0000_s2248"/>
    <customShpInfo spid="_x0000_s2247"/>
    <customShpInfo spid="_x0000_s2245"/>
    <customShpInfo spid="_x0000_s2249"/>
    <customShpInfo spid="_x0000_s2260"/>
    <customShpInfo spid="_x0000_s2261"/>
    <customShpInfo spid="_x0000_s2259"/>
    <customShpInfo spid="_x0000_s2246"/>
    <customShpInfo spid="_x0000_s2263"/>
    <customShpInfo spid="_x0000_s2264"/>
    <customShpInfo spid="_x0000_s2262"/>
    <customShpInfo spid="_x0000_s2253"/>
    <customShpInfo spid="_x0000_s2250"/>
    <customShpInfo spid="_x0000_s2254"/>
    <customShpInfo spid="_x0000_s2251"/>
    <customShpInfo spid="_x0000_s2255"/>
    <customShpInfo spid="_x0000_s2243"/>
    <customShpInfo spid="_x0000_s2252"/>
    <customShpInfo spid="_x0000_s2240"/>
    <customShpInfo spid="_x0000_s223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BF884F-C4C6-4D6F-8F3C-BF2D6B193C20}">
  <ds:schemaRefs/>
</ds:datastoreItem>
</file>

<file path=docProps/app.xml><?xml version="1.0" encoding="utf-8"?>
<Properties xmlns="http://schemas.openxmlformats.org/officeDocument/2006/extended-properties" xmlns:vt="http://schemas.openxmlformats.org/officeDocument/2006/docPropsVTypes">
  <Template>Normal</Template>
  <Company>2012dnd.com</Company>
  <Pages>51</Pages>
  <Words>5039</Words>
  <Characters>28727</Characters>
  <Lines>239</Lines>
  <Paragraphs>67</Paragraphs>
  <TotalTime>1479</TotalTime>
  <ScaleCrop>false</ScaleCrop>
  <LinksUpToDate>false</LinksUpToDate>
  <CharactersWithSpaces>33699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2023-12-21T06:56:00Z</dcterms:created>
  <dc:creator>Administrator</dc:creator>
  <cp:lastModifiedBy>小崔崔</cp:lastModifiedBy>
  <dcterms:modified xsi:type="dcterms:W3CDTF">2023-12-25T08:27:34Z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D6E6D6D5D4F54D8B9F62F978C9B21E43_12</vt:lpwstr>
  </property>
</Properties>
</file>