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B239B3">
      <w:pPr>
        <w:spacing w:before="0" w:line="360" w:lineRule="auto"/>
        <w:ind w:left="0" w:leftChars="0" w:right="2102" w:firstLine="0" w:firstLineChars="0"/>
        <w:jc w:val="both"/>
        <w:rPr>
          <w:rFonts w:hint="eastAsia" w:ascii="仿宋" w:hAnsi="仿宋" w:eastAsia="仿宋" w:cs="仿宋"/>
          <w:b/>
          <w:bCs/>
          <w:w w:val="95"/>
          <w:sz w:val="40"/>
          <w:szCs w:val="40"/>
        </w:rPr>
      </w:pPr>
    </w:p>
    <w:p w14:paraId="186EF25C">
      <w:pPr>
        <w:pStyle w:val="2"/>
        <w:rPr>
          <w:rFonts w:hint="eastAsia" w:ascii="仿宋" w:hAnsi="仿宋" w:eastAsia="仿宋" w:cs="仿宋"/>
          <w:b/>
          <w:bCs/>
          <w:w w:val="95"/>
          <w:sz w:val="40"/>
          <w:szCs w:val="40"/>
          <w:lang w:eastAsia="zh-CN"/>
        </w:rPr>
      </w:pPr>
    </w:p>
    <w:p w14:paraId="264319F6">
      <w:pPr>
        <w:pStyle w:val="2"/>
        <w:rPr>
          <w:rFonts w:hint="eastAsia" w:ascii="仿宋" w:hAnsi="仿宋" w:eastAsia="仿宋" w:cs="仿宋"/>
          <w:b/>
          <w:bCs/>
          <w:w w:val="95"/>
          <w:sz w:val="40"/>
          <w:szCs w:val="40"/>
          <w:lang w:eastAsia="zh-CN"/>
        </w:rPr>
      </w:pPr>
    </w:p>
    <w:p w14:paraId="2C1E076E">
      <w:pPr>
        <w:pStyle w:val="2"/>
        <w:rPr>
          <w:rFonts w:hint="eastAsia" w:ascii="仿宋" w:hAnsi="仿宋" w:eastAsia="仿宋" w:cs="仿宋"/>
          <w:b/>
          <w:bCs/>
          <w:w w:val="95"/>
          <w:sz w:val="40"/>
          <w:szCs w:val="40"/>
        </w:rPr>
      </w:pPr>
    </w:p>
    <w:p w14:paraId="65151162">
      <w:pPr>
        <w:spacing w:before="0" w:line="360" w:lineRule="auto"/>
        <w:ind w:left="0" w:leftChars="0" w:right="2102" w:firstLine="0" w:firstLineChars="0"/>
        <w:jc w:val="center"/>
        <w:rPr>
          <w:rFonts w:hint="eastAsia" w:ascii="仿宋" w:hAnsi="仿宋" w:eastAsia="仿宋" w:cs="仿宋"/>
          <w:b/>
          <w:bCs/>
          <w:w w:val="95"/>
          <w:sz w:val="36"/>
          <w:szCs w:val="36"/>
          <w:lang w:eastAsia="zh-CN"/>
        </w:rPr>
      </w:pPr>
      <w:r>
        <w:rPr>
          <w:rFonts w:hint="eastAsia" w:ascii="仿宋" w:hAnsi="仿宋" w:eastAsia="仿宋" w:cs="仿宋"/>
          <w:b/>
          <w:bCs/>
          <w:w w:val="95"/>
          <w:sz w:val="36"/>
          <w:szCs w:val="36"/>
          <w:lang w:eastAsia="zh-CN"/>
        </w:rPr>
        <w:t>尖扎县尖扎滩乡40万千瓦“牧光储”一体化建设项目</w:t>
      </w:r>
    </w:p>
    <w:p w14:paraId="610DAD03">
      <w:pPr>
        <w:spacing w:before="0" w:line="360" w:lineRule="auto"/>
        <w:ind w:left="0" w:leftChars="0" w:right="2102" w:firstLine="0" w:firstLineChars="0"/>
        <w:jc w:val="center"/>
        <w:rPr>
          <w:rFonts w:hint="eastAsia" w:ascii="仿宋" w:hAnsi="仿宋" w:eastAsia="仿宋" w:cs="仿宋"/>
          <w:b/>
          <w:bCs/>
          <w:sz w:val="44"/>
          <w:szCs w:val="22"/>
        </w:rPr>
      </w:pPr>
      <w:r>
        <w:rPr>
          <w:rFonts w:hint="eastAsia" w:ascii="仿宋" w:hAnsi="仿宋" w:eastAsia="仿宋" w:cs="仿宋"/>
          <w:b/>
          <w:bCs/>
          <w:w w:val="95"/>
          <w:sz w:val="44"/>
          <w:szCs w:val="22"/>
        </w:rPr>
        <w:t>竣工环境保护设施</w:t>
      </w:r>
      <w:r>
        <w:rPr>
          <w:rFonts w:hint="eastAsia" w:ascii="仿宋" w:hAnsi="仿宋" w:eastAsia="仿宋" w:cs="仿宋"/>
          <w:b/>
          <w:bCs/>
          <w:sz w:val="44"/>
          <w:szCs w:val="22"/>
        </w:rPr>
        <w:t>验收调查报告表</w:t>
      </w:r>
    </w:p>
    <w:p w14:paraId="1923A287">
      <w:pPr>
        <w:bidi w:val="0"/>
        <w:rPr>
          <w:rFonts w:hint="eastAsia" w:ascii="仿宋" w:hAnsi="仿宋" w:eastAsia="仿宋" w:cs="仿宋"/>
        </w:rPr>
      </w:pPr>
    </w:p>
    <w:p w14:paraId="5FFCD717">
      <w:pPr>
        <w:bidi w:val="0"/>
        <w:rPr>
          <w:rFonts w:hint="eastAsia" w:ascii="仿宋" w:hAnsi="仿宋" w:eastAsia="仿宋" w:cs="仿宋"/>
        </w:rPr>
      </w:pPr>
    </w:p>
    <w:p w14:paraId="10BA9DFE">
      <w:pPr>
        <w:bidi w:val="0"/>
        <w:rPr>
          <w:rFonts w:hint="eastAsia" w:ascii="仿宋" w:hAnsi="仿宋" w:eastAsia="仿宋" w:cs="仿宋"/>
        </w:rPr>
      </w:pPr>
    </w:p>
    <w:p w14:paraId="23C591CD">
      <w:pPr>
        <w:bidi w:val="0"/>
        <w:rPr>
          <w:rFonts w:hint="eastAsia" w:ascii="仿宋" w:hAnsi="仿宋" w:eastAsia="仿宋" w:cs="仿宋"/>
        </w:rPr>
      </w:pPr>
    </w:p>
    <w:p w14:paraId="64580030">
      <w:pPr>
        <w:pStyle w:val="11"/>
        <w:rPr>
          <w:rFonts w:hint="eastAsia" w:ascii="仿宋" w:hAnsi="仿宋" w:eastAsia="仿宋" w:cs="仿宋"/>
        </w:rPr>
      </w:pPr>
    </w:p>
    <w:p w14:paraId="4B7A3258">
      <w:pPr>
        <w:pStyle w:val="11"/>
        <w:rPr>
          <w:rFonts w:hint="eastAsia"/>
        </w:rPr>
      </w:pPr>
    </w:p>
    <w:p w14:paraId="4AA2B02A">
      <w:pPr>
        <w:pStyle w:val="11"/>
        <w:rPr>
          <w:rFonts w:hint="eastAsia" w:ascii="仿宋" w:hAnsi="仿宋" w:eastAsia="仿宋" w:cs="仿宋"/>
        </w:rPr>
      </w:pPr>
    </w:p>
    <w:p w14:paraId="0FF326F9">
      <w:pPr>
        <w:bidi w:val="0"/>
        <w:rPr>
          <w:rFonts w:hint="eastAsia" w:ascii="仿宋" w:hAnsi="仿宋" w:eastAsia="仿宋" w:cs="仿宋"/>
        </w:rPr>
      </w:pPr>
    </w:p>
    <w:p w14:paraId="76A9E319">
      <w:pPr>
        <w:pStyle w:val="2"/>
        <w:rPr>
          <w:rFonts w:hint="eastAsia" w:ascii="仿宋" w:hAnsi="仿宋" w:eastAsia="仿宋" w:cs="仿宋"/>
        </w:rPr>
      </w:pPr>
    </w:p>
    <w:p w14:paraId="084212E9">
      <w:pPr>
        <w:pStyle w:val="2"/>
        <w:rPr>
          <w:rFonts w:hint="eastAsia" w:ascii="仿宋" w:hAnsi="仿宋" w:eastAsia="仿宋" w:cs="仿宋"/>
        </w:rPr>
      </w:pPr>
    </w:p>
    <w:p w14:paraId="28B5954A">
      <w:pPr>
        <w:pStyle w:val="11"/>
        <w:rPr>
          <w:rFonts w:hint="eastAsia" w:ascii="仿宋" w:hAnsi="仿宋" w:eastAsia="仿宋" w:cs="仿宋"/>
        </w:rPr>
      </w:pPr>
    </w:p>
    <w:p w14:paraId="49984763">
      <w:pPr>
        <w:rPr>
          <w:rFonts w:hint="eastAsia" w:ascii="仿宋" w:hAnsi="仿宋" w:eastAsia="仿宋" w:cs="仿宋"/>
        </w:rPr>
      </w:pPr>
    </w:p>
    <w:p w14:paraId="0775B4F3">
      <w:pPr>
        <w:pStyle w:val="11"/>
        <w:rPr>
          <w:rFonts w:hint="eastAsia" w:ascii="仿宋" w:hAnsi="仿宋" w:eastAsia="仿宋" w:cs="仿宋"/>
        </w:rPr>
      </w:pPr>
    </w:p>
    <w:p w14:paraId="7B5230B3">
      <w:pPr>
        <w:spacing w:before="0"/>
        <w:ind w:left="56" w:leftChars="0" w:right="0" w:hanging="56" w:hangingChars="20"/>
        <w:jc w:val="center"/>
        <w:rPr>
          <w:rFonts w:hint="eastAsia" w:ascii="仿宋" w:hAnsi="仿宋" w:eastAsia="仿宋" w:cs="仿宋"/>
          <w:b/>
          <w:sz w:val="28"/>
          <w:szCs w:val="28"/>
          <w:lang w:val="en-US" w:eastAsia="zh-CN"/>
        </w:rPr>
      </w:pPr>
      <w:r>
        <w:rPr>
          <w:rFonts w:hint="eastAsia" w:ascii="仿宋" w:hAnsi="仿宋" w:eastAsia="仿宋" w:cs="仿宋"/>
          <w:b/>
          <w:sz w:val="28"/>
          <w:szCs w:val="28"/>
        </w:rPr>
        <w:t>建设单位</w:t>
      </w:r>
      <w:r>
        <w:rPr>
          <w:rFonts w:hint="eastAsia" w:ascii="仿宋" w:hAnsi="仿宋" w:eastAsia="仿宋" w:cs="仿宋"/>
          <w:b/>
          <w:sz w:val="28"/>
          <w:szCs w:val="28"/>
          <w:lang w:eastAsia="zh-CN"/>
        </w:rPr>
        <w:t>：尖扎金能新能源有限公司</w:t>
      </w:r>
    </w:p>
    <w:p w14:paraId="591E31A6">
      <w:pPr>
        <w:bidi w:val="0"/>
        <w:rPr>
          <w:rFonts w:hint="eastAsia" w:ascii="仿宋" w:hAnsi="仿宋" w:eastAsia="仿宋" w:cs="仿宋"/>
          <w:sz w:val="24"/>
          <w:szCs w:val="24"/>
        </w:rPr>
      </w:pPr>
    </w:p>
    <w:p w14:paraId="6953B1DB">
      <w:pPr>
        <w:bidi w:val="0"/>
        <w:rPr>
          <w:rFonts w:hint="eastAsia" w:ascii="仿宋" w:hAnsi="仿宋" w:eastAsia="仿宋" w:cs="仿宋"/>
          <w:sz w:val="24"/>
          <w:szCs w:val="24"/>
        </w:rPr>
      </w:pPr>
    </w:p>
    <w:p w14:paraId="4AD386F0">
      <w:pPr>
        <w:pStyle w:val="6"/>
        <w:spacing w:before="5"/>
        <w:ind w:left="72" w:leftChars="30" w:firstLine="125" w:firstLineChars="52"/>
        <w:jc w:val="center"/>
        <w:rPr>
          <w:rFonts w:hint="eastAsia" w:ascii="仿宋" w:hAnsi="仿宋" w:eastAsia="仿宋" w:cs="仿宋"/>
          <w:b/>
          <w:sz w:val="30"/>
          <w:szCs w:val="30"/>
        </w:rPr>
      </w:pPr>
      <w:r>
        <w:rPr>
          <w:rFonts w:hint="eastAsia" w:ascii="仿宋" w:hAnsi="仿宋" w:eastAsia="仿宋" w:cs="仿宋"/>
          <w:b/>
          <w:sz w:val="24"/>
          <w:szCs w:val="24"/>
          <w:lang w:eastAsia="zh-CN"/>
        </w:rPr>
        <w:t>二〇二</w:t>
      </w:r>
      <w:r>
        <w:rPr>
          <w:rFonts w:hint="eastAsia" w:ascii="仿宋" w:hAnsi="仿宋" w:eastAsia="仿宋" w:cs="仿宋"/>
          <w:b/>
          <w:sz w:val="24"/>
          <w:szCs w:val="24"/>
          <w:lang w:val="en-US" w:eastAsia="zh-CN"/>
        </w:rPr>
        <w:t>四</w:t>
      </w:r>
      <w:r>
        <w:rPr>
          <w:rFonts w:hint="eastAsia" w:ascii="仿宋" w:hAnsi="仿宋" w:eastAsia="仿宋" w:cs="仿宋"/>
          <w:b/>
          <w:sz w:val="24"/>
          <w:szCs w:val="24"/>
        </w:rPr>
        <w:t>年</w:t>
      </w:r>
      <w:r>
        <w:rPr>
          <w:rFonts w:hint="eastAsia" w:ascii="仿宋" w:hAnsi="仿宋" w:eastAsia="仿宋" w:cs="仿宋"/>
          <w:b/>
          <w:sz w:val="24"/>
          <w:szCs w:val="24"/>
          <w:lang w:val="en-US" w:eastAsia="zh-CN"/>
        </w:rPr>
        <w:t>八</w:t>
      </w:r>
      <w:r>
        <w:rPr>
          <w:rFonts w:hint="eastAsia" w:ascii="仿宋" w:hAnsi="仿宋" w:eastAsia="仿宋" w:cs="仿宋"/>
          <w:b/>
          <w:sz w:val="24"/>
          <w:szCs w:val="24"/>
        </w:rPr>
        <w:t>月</w:t>
      </w:r>
    </w:p>
    <w:p w14:paraId="76A64B50">
      <w:pPr>
        <w:pStyle w:val="6"/>
        <w:ind w:firstLine="560"/>
        <w:rPr>
          <w:rFonts w:hint="eastAsia" w:ascii="Times New Roman" w:hAnsi="Times New Roman"/>
          <w:sz w:val="28"/>
          <w:szCs w:val="28"/>
        </w:rPr>
        <w:sectPr>
          <w:headerReference r:id="rId5" w:type="default"/>
          <w:footerReference r:id="rId6" w:type="default"/>
          <w:pgSz w:w="11910" w:h="16840"/>
          <w:pgMar w:top="1440" w:right="1800" w:bottom="1440" w:left="1800" w:header="0" w:footer="685" w:gutter="0"/>
          <w:pgNumType w:start="1"/>
          <w:cols w:space="720" w:num="1"/>
        </w:sectPr>
      </w:pPr>
    </w:p>
    <w:p w14:paraId="5D9701D2">
      <w:pPr>
        <w:pStyle w:val="6"/>
        <w:ind w:firstLine="560"/>
        <w:rPr>
          <w:rFonts w:ascii="Times New Roman" w:hAnsi="Times New Roman"/>
          <w:sz w:val="28"/>
          <w:szCs w:val="28"/>
        </w:rPr>
      </w:pPr>
      <w:r>
        <w:rPr>
          <w:rFonts w:hint="eastAsia" w:ascii="Times New Roman" w:hAnsi="Times New Roman"/>
          <w:sz w:val="28"/>
          <w:szCs w:val="28"/>
        </w:rPr>
        <w:t>表一</w:t>
      </w:r>
    </w:p>
    <w:tbl>
      <w:tblPr>
        <w:tblStyle w:val="12"/>
        <w:tblW w:w="8715" w:type="dxa"/>
        <w:tblInd w:w="-18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40"/>
        <w:gridCol w:w="2236"/>
        <w:gridCol w:w="2025"/>
        <w:gridCol w:w="1154"/>
        <w:gridCol w:w="714"/>
        <w:gridCol w:w="846"/>
      </w:tblGrid>
      <w:tr w14:paraId="74CE3D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40" w:type="dxa"/>
            <w:tcBorders>
              <w:bottom w:val="single" w:color="000000" w:sz="4" w:space="0"/>
              <w:right w:val="single" w:color="000000" w:sz="4" w:space="0"/>
            </w:tcBorders>
            <w:vAlign w:val="center"/>
          </w:tcPr>
          <w:p w14:paraId="09F94E51">
            <w:pPr>
              <w:spacing w:line="240" w:lineRule="auto"/>
              <w:ind w:left="0" w:leftChars="0" w:firstLine="0" w:firstLineChars="0"/>
              <w:jc w:val="center"/>
              <w:rPr>
                <w:b/>
                <w:bCs/>
              </w:rPr>
            </w:pPr>
            <w:r>
              <w:rPr>
                <w:b/>
                <w:bCs/>
              </w:rPr>
              <w:t>建设项目名称</w:t>
            </w:r>
          </w:p>
        </w:tc>
        <w:tc>
          <w:tcPr>
            <w:tcW w:w="6975" w:type="dxa"/>
            <w:gridSpan w:val="5"/>
            <w:tcBorders>
              <w:left w:val="single" w:color="000000" w:sz="4" w:space="0"/>
              <w:bottom w:val="single" w:color="000000" w:sz="4" w:space="0"/>
            </w:tcBorders>
            <w:vAlign w:val="center"/>
          </w:tcPr>
          <w:p w14:paraId="350ACB5C">
            <w:pPr>
              <w:spacing w:line="240" w:lineRule="auto"/>
              <w:ind w:left="0" w:leftChars="0" w:right="0" w:rightChars="0" w:firstLine="120" w:firstLineChars="50"/>
              <w:jc w:val="center"/>
              <w:rPr>
                <w:rFonts w:hint="eastAsia" w:eastAsia="宋体"/>
                <w:lang w:val="en-US" w:eastAsia="zh-CN"/>
              </w:rPr>
            </w:pPr>
            <w:r>
              <w:rPr>
                <w:rFonts w:hint="eastAsia"/>
                <w:lang w:val="en-US" w:eastAsia="zh-CN"/>
              </w:rPr>
              <w:t>尖扎县尖扎滩乡40万千瓦“牧光储”一体化建设项目</w:t>
            </w:r>
          </w:p>
        </w:tc>
      </w:tr>
      <w:tr w14:paraId="1CD5D4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trPr>
        <w:tc>
          <w:tcPr>
            <w:tcW w:w="1740" w:type="dxa"/>
            <w:tcBorders>
              <w:top w:val="single" w:color="000000" w:sz="4" w:space="0"/>
              <w:bottom w:val="single" w:color="000000" w:sz="4" w:space="0"/>
              <w:right w:val="single" w:color="000000" w:sz="4" w:space="0"/>
            </w:tcBorders>
            <w:vAlign w:val="center"/>
          </w:tcPr>
          <w:p w14:paraId="5E374C50">
            <w:pPr>
              <w:spacing w:line="240" w:lineRule="auto"/>
              <w:ind w:left="0" w:leftChars="0" w:firstLine="0" w:firstLineChars="0"/>
              <w:jc w:val="center"/>
              <w:rPr>
                <w:b/>
                <w:bCs/>
              </w:rPr>
            </w:pPr>
            <w:r>
              <w:rPr>
                <w:b/>
                <w:bCs/>
              </w:rPr>
              <w:t>建设单位名称</w:t>
            </w:r>
          </w:p>
        </w:tc>
        <w:tc>
          <w:tcPr>
            <w:tcW w:w="6975" w:type="dxa"/>
            <w:gridSpan w:val="5"/>
            <w:tcBorders>
              <w:top w:val="single" w:color="000000" w:sz="4" w:space="0"/>
              <w:left w:val="single" w:color="000000" w:sz="4" w:space="0"/>
              <w:bottom w:val="single" w:color="000000" w:sz="4" w:space="0"/>
            </w:tcBorders>
            <w:vAlign w:val="center"/>
          </w:tcPr>
          <w:p w14:paraId="69294E20">
            <w:pPr>
              <w:spacing w:line="240" w:lineRule="auto"/>
              <w:ind w:left="0" w:leftChars="0" w:right="0" w:rightChars="0" w:firstLine="120" w:firstLineChars="50"/>
              <w:jc w:val="center"/>
              <w:rPr>
                <w:rFonts w:hint="eastAsia" w:eastAsia="宋体"/>
                <w:color w:val="000000" w:themeColor="text1"/>
                <w:lang w:eastAsia="zh-CN"/>
                <w14:textFill>
                  <w14:solidFill>
                    <w14:schemeClr w14:val="tx1"/>
                  </w14:solidFill>
                </w14:textFill>
              </w:rPr>
            </w:pPr>
            <w:r>
              <w:rPr>
                <w:rFonts w:hint="eastAsia"/>
                <w:color w:val="000000" w:themeColor="text1"/>
                <w:szCs w:val="24"/>
                <w:lang w:eastAsia="zh-CN"/>
                <w14:textFill>
                  <w14:solidFill>
                    <w14:schemeClr w14:val="tx1"/>
                  </w14:solidFill>
                </w14:textFill>
              </w:rPr>
              <w:t>尖扎金能新能源有限公司</w:t>
            </w:r>
          </w:p>
        </w:tc>
      </w:tr>
      <w:tr w14:paraId="3EBEFA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trPr>
        <w:tc>
          <w:tcPr>
            <w:tcW w:w="1740" w:type="dxa"/>
            <w:tcBorders>
              <w:top w:val="single" w:color="000000" w:sz="4" w:space="0"/>
              <w:bottom w:val="single" w:color="000000" w:sz="4" w:space="0"/>
              <w:right w:val="single" w:color="000000" w:sz="4" w:space="0"/>
            </w:tcBorders>
            <w:vAlign w:val="center"/>
          </w:tcPr>
          <w:p w14:paraId="6C701F05">
            <w:pPr>
              <w:spacing w:line="240" w:lineRule="auto"/>
              <w:ind w:left="0" w:leftChars="0" w:firstLine="0" w:firstLineChars="0"/>
              <w:jc w:val="center"/>
              <w:rPr>
                <w:b/>
                <w:bCs/>
              </w:rPr>
            </w:pPr>
            <w:r>
              <w:rPr>
                <w:b/>
                <w:bCs/>
              </w:rPr>
              <w:t>建设项目性质</w:t>
            </w:r>
          </w:p>
        </w:tc>
        <w:tc>
          <w:tcPr>
            <w:tcW w:w="6975" w:type="dxa"/>
            <w:gridSpan w:val="5"/>
            <w:tcBorders>
              <w:top w:val="single" w:color="000000" w:sz="4" w:space="0"/>
              <w:left w:val="single" w:color="000000" w:sz="4" w:space="0"/>
              <w:bottom w:val="single" w:color="000000" w:sz="4" w:space="0"/>
            </w:tcBorders>
            <w:vAlign w:val="center"/>
          </w:tcPr>
          <w:p w14:paraId="1C82530E">
            <w:pPr>
              <w:spacing w:line="240" w:lineRule="auto"/>
              <w:ind w:firstLine="480"/>
              <w:jc w:val="center"/>
              <w:rPr>
                <w:color w:val="000000" w:themeColor="text1"/>
                <w14:textFill>
                  <w14:solidFill>
                    <w14:schemeClr w14:val="tx1"/>
                  </w14:solidFill>
                </w14:textFill>
              </w:rPr>
            </w:pPr>
            <w:r>
              <w:rPr>
                <w:color w:val="000000" w:themeColor="text1"/>
                <w:szCs w:val="24"/>
                <w14:textFill>
                  <w14:solidFill>
                    <w14:schemeClr w14:val="tx1"/>
                  </w14:solidFill>
                </w14:textFill>
              </w:rPr>
              <w:t>新建</w:t>
            </w:r>
            <w:r>
              <w:rPr>
                <w:rFonts w:hint="eastAsia"/>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改扩建</w:t>
            </w:r>
            <w:r>
              <w:rPr>
                <w:rFonts w:hint="eastAsia"/>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技改</w:t>
            </w:r>
            <w:r>
              <w:rPr>
                <w:rFonts w:hint="eastAsia"/>
                <w:color w:val="000000" w:themeColor="text1"/>
                <w:szCs w:val="24"/>
                <w14:textFill>
                  <w14:solidFill>
                    <w14:schemeClr w14:val="tx1"/>
                  </w14:solidFill>
                </w14:textFill>
              </w:rPr>
              <w:t>□</w:t>
            </w:r>
          </w:p>
        </w:tc>
      </w:tr>
      <w:tr w14:paraId="01466B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trPr>
        <w:tc>
          <w:tcPr>
            <w:tcW w:w="1740" w:type="dxa"/>
            <w:tcBorders>
              <w:top w:val="single" w:color="000000" w:sz="4" w:space="0"/>
              <w:bottom w:val="single" w:color="000000" w:sz="4" w:space="0"/>
              <w:right w:val="single" w:color="000000" w:sz="4" w:space="0"/>
            </w:tcBorders>
            <w:vAlign w:val="center"/>
          </w:tcPr>
          <w:p w14:paraId="2588BDF6">
            <w:pPr>
              <w:spacing w:line="240" w:lineRule="auto"/>
              <w:ind w:left="0" w:leftChars="0" w:firstLine="0" w:firstLineChars="0"/>
              <w:jc w:val="center"/>
              <w:rPr>
                <w:b/>
                <w:bCs/>
              </w:rPr>
            </w:pPr>
            <w:r>
              <w:rPr>
                <w:b/>
                <w:bCs/>
              </w:rPr>
              <w:t>建设地点</w:t>
            </w:r>
          </w:p>
        </w:tc>
        <w:tc>
          <w:tcPr>
            <w:tcW w:w="6975" w:type="dxa"/>
            <w:gridSpan w:val="5"/>
            <w:tcBorders>
              <w:top w:val="single" w:color="000000" w:sz="4" w:space="0"/>
              <w:left w:val="single" w:color="000000" w:sz="4" w:space="0"/>
              <w:bottom w:val="single" w:color="000000" w:sz="4" w:space="0"/>
            </w:tcBorders>
            <w:vAlign w:val="center"/>
          </w:tcPr>
          <w:p w14:paraId="2C8CE6B1">
            <w:pPr>
              <w:spacing w:line="240" w:lineRule="auto"/>
              <w:ind w:firstLine="480"/>
              <w:jc w:val="center"/>
              <w:rPr>
                <w:rFonts w:hint="default" w:eastAsia="宋体"/>
                <w:color w:val="000000" w:themeColor="text1"/>
                <w:lang w:val="en-US" w:eastAsia="zh-CN"/>
                <w14:textFill>
                  <w14:solidFill>
                    <w14:schemeClr w14:val="tx1"/>
                  </w14:solidFill>
                </w14:textFill>
              </w:rPr>
            </w:pPr>
            <w:r>
              <w:rPr>
                <w:rFonts w:hint="eastAsia"/>
                <w:color w:val="000000" w:themeColor="text1"/>
                <w:szCs w:val="24"/>
                <w:lang w:val="en-US" w:eastAsia="zh-CN"/>
                <w14:textFill>
                  <w14:solidFill>
                    <w14:schemeClr w14:val="tx1"/>
                  </w14:solidFill>
                </w14:textFill>
              </w:rPr>
              <w:t>青海省黄南州尖扎县尖扎滩</w:t>
            </w:r>
          </w:p>
        </w:tc>
      </w:tr>
      <w:tr w14:paraId="0ED16E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trPr>
        <w:tc>
          <w:tcPr>
            <w:tcW w:w="1740" w:type="dxa"/>
            <w:tcBorders>
              <w:top w:val="single" w:color="000000" w:sz="4" w:space="0"/>
              <w:bottom w:val="single" w:color="000000" w:sz="4" w:space="0"/>
              <w:right w:val="single" w:color="000000" w:sz="4" w:space="0"/>
            </w:tcBorders>
            <w:vAlign w:val="center"/>
          </w:tcPr>
          <w:p w14:paraId="4E4BB3D2">
            <w:pPr>
              <w:spacing w:line="240" w:lineRule="auto"/>
              <w:ind w:left="0" w:leftChars="0" w:firstLine="0" w:firstLineChars="0"/>
              <w:jc w:val="center"/>
              <w:rPr>
                <w:b/>
                <w:bCs/>
              </w:rPr>
            </w:pPr>
            <w:r>
              <w:rPr>
                <w:b/>
                <w:bCs/>
              </w:rPr>
              <w:t>环境影响报告表名称</w:t>
            </w:r>
          </w:p>
        </w:tc>
        <w:tc>
          <w:tcPr>
            <w:tcW w:w="6975" w:type="dxa"/>
            <w:gridSpan w:val="5"/>
            <w:tcBorders>
              <w:top w:val="single" w:color="000000" w:sz="4" w:space="0"/>
              <w:left w:val="single" w:color="000000" w:sz="4" w:space="0"/>
              <w:bottom w:val="single" w:color="000000" w:sz="4" w:space="0"/>
            </w:tcBorders>
            <w:vAlign w:val="center"/>
          </w:tcPr>
          <w:p w14:paraId="6BCC1CF3">
            <w:pPr>
              <w:spacing w:line="240" w:lineRule="auto"/>
              <w:ind w:left="0" w:leftChars="0" w:firstLine="0" w:firstLineChars="0"/>
              <w:jc w:val="cente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尖扎县尖扎滩乡40万千瓦“牧光储”一体化建设项目</w:t>
            </w:r>
          </w:p>
          <w:p w14:paraId="3DEB21F6">
            <w:pPr>
              <w:spacing w:line="240" w:lineRule="auto"/>
              <w:ind w:left="0" w:leftChars="0" w:firstLine="0" w:firstLineChars="0"/>
              <w:jc w:val="center"/>
              <w:rPr>
                <w:color w:val="000000" w:themeColor="text1"/>
                <w14:textFill>
                  <w14:solidFill>
                    <w14:schemeClr w14:val="tx1"/>
                  </w14:solidFill>
                </w14:textFill>
              </w:rPr>
            </w:pPr>
            <w:r>
              <w:rPr>
                <w:rFonts w:hint="eastAsia"/>
                <w:color w:val="000000" w:themeColor="text1"/>
                <w:szCs w:val="24"/>
                <w14:textFill>
                  <w14:solidFill>
                    <w14:schemeClr w14:val="tx1"/>
                  </w14:solidFill>
                </w14:textFill>
              </w:rPr>
              <w:t>环境影响报告表</w:t>
            </w:r>
          </w:p>
        </w:tc>
      </w:tr>
      <w:tr w14:paraId="03437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82" w:hRule="atLeast"/>
        </w:trPr>
        <w:tc>
          <w:tcPr>
            <w:tcW w:w="1740" w:type="dxa"/>
            <w:tcBorders>
              <w:top w:val="single" w:color="000000" w:sz="4" w:space="0"/>
              <w:bottom w:val="single" w:color="000000" w:sz="4" w:space="0"/>
              <w:right w:val="single" w:color="000000" w:sz="4" w:space="0"/>
            </w:tcBorders>
            <w:vAlign w:val="center"/>
          </w:tcPr>
          <w:p w14:paraId="4C7CF964">
            <w:pPr>
              <w:spacing w:line="240" w:lineRule="auto"/>
              <w:ind w:left="0" w:leftChars="0" w:firstLine="0" w:firstLineChars="0"/>
              <w:jc w:val="center"/>
              <w:rPr>
                <w:b/>
                <w:bCs/>
              </w:rPr>
            </w:pPr>
            <w:r>
              <w:rPr>
                <w:b/>
                <w:bCs/>
              </w:rPr>
              <w:t>环境影响报告表编制单位</w:t>
            </w:r>
          </w:p>
        </w:tc>
        <w:tc>
          <w:tcPr>
            <w:tcW w:w="6975" w:type="dxa"/>
            <w:gridSpan w:val="5"/>
            <w:tcBorders>
              <w:top w:val="single" w:color="000000" w:sz="4" w:space="0"/>
              <w:left w:val="single" w:color="000000" w:sz="4" w:space="0"/>
              <w:bottom w:val="single" w:color="000000" w:sz="4" w:space="0"/>
            </w:tcBorders>
          </w:tcPr>
          <w:p w14:paraId="626AEF97">
            <w:pPr>
              <w:pStyle w:val="16"/>
              <w:spacing w:before="91" w:line="240" w:lineRule="auto"/>
              <w:ind w:firstLine="480"/>
              <w:jc w:val="center"/>
              <w:rPr>
                <w:rFonts w:hint="eastAsia" w:eastAsia="宋体"/>
                <w:color w:val="000000" w:themeColor="text1"/>
                <w:lang w:eastAsia="zh-CN"/>
                <w14:textFill>
                  <w14:solidFill>
                    <w14:schemeClr w14:val="tx1"/>
                  </w14:solidFill>
                </w14:textFill>
              </w:rPr>
            </w:pPr>
            <w:r>
              <w:rPr>
                <w:rFonts w:hint="eastAsia"/>
                <w:color w:val="000000" w:themeColor="text1"/>
                <w:szCs w:val="24"/>
                <w:lang w:eastAsia="zh-CN"/>
                <w14:textFill>
                  <w14:solidFill>
                    <w14:schemeClr w14:val="tx1"/>
                  </w14:solidFill>
                </w14:textFill>
              </w:rPr>
              <w:t>青海青唐环境工程有限公司</w:t>
            </w:r>
          </w:p>
        </w:tc>
      </w:tr>
      <w:tr w14:paraId="416055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trPr>
        <w:tc>
          <w:tcPr>
            <w:tcW w:w="1740" w:type="dxa"/>
            <w:tcBorders>
              <w:top w:val="single" w:color="000000" w:sz="4" w:space="0"/>
              <w:bottom w:val="single" w:color="000000" w:sz="4" w:space="0"/>
              <w:right w:val="single" w:color="000000" w:sz="4" w:space="0"/>
            </w:tcBorders>
            <w:vAlign w:val="center"/>
          </w:tcPr>
          <w:p w14:paraId="5AC3F054">
            <w:pPr>
              <w:spacing w:line="240" w:lineRule="auto"/>
              <w:ind w:left="0" w:leftChars="0" w:firstLine="0" w:firstLineChars="0"/>
              <w:jc w:val="center"/>
              <w:rPr>
                <w:b/>
                <w:bCs/>
              </w:rPr>
            </w:pPr>
            <w:r>
              <w:rPr>
                <w:b/>
                <w:bCs/>
              </w:rPr>
              <w:t>初步设计单位</w:t>
            </w:r>
          </w:p>
        </w:tc>
        <w:tc>
          <w:tcPr>
            <w:tcW w:w="6975" w:type="dxa"/>
            <w:gridSpan w:val="5"/>
            <w:tcBorders>
              <w:top w:val="single" w:color="000000" w:sz="4" w:space="0"/>
              <w:left w:val="single" w:color="000000" w:sz="4" w:space="0"/>
              <w:bottom w:val="single" w:color="000000" w:sz="4" w:space="0"/>
            </w:tcBorders>
            <w:vAlign w:val="center"/>
          </w:tcPr>
          <w:p w14:paraId="2141ED77">
            <w:pPr>
              <w:spacing w:line="240" w:lineRule="auto"/>
              <w:ind w:firstLine="480"/>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r>
      <w:tr w14:paraId="4DB26C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2" w:hRule="atLeast"/>
        </w:trPr>
        <w:tc>
          <w:tcPr>
            <w:tcW w:w="1740" w:type="dxa"/>
            <w:tcBorders>
              <w:top w:val="single" w:color="000000" w:sz="4" w:space="0"/>
              <w:bottom w:val="single" w:color="000000" w:sz="4" w:space="0"/>
              <w:right w:val="single" w:color="000000" w:sz="4" w:space="0"/>
            </w:tcBorders>
            <w:vAlign w:val="center"/>
          </w:tcPr>
          <w:p w14:paraId="68E5AD8D">
            <w:pPr>
              <w:spacing w:line="240" w:lineRule="auto"/>
              <w:ind w:left="0" w:leftChars="0" w:firstLine="0" w:firstLineChars="0"/>
              <w:jc w:val="center"/>
              <w:rPr>
                <w:b/>
                <w:bCs/>
              </w:rPr>
            </w:pPr>
            <w:r>
              <w:rPr>
                <w:b/>
                <w:bCs/>
              </w:rPr>
              <w:t>环评审批部门</w:t>
            </w:r>
          </w:p>
        </w:tc>
        <w:tc>
          <w:tcPr>
            <w:tcW w:w="2236" w:type="dxa"/>
            <w:tcBorders>
              <w:top w:val="single" w:color="000000" w:sz="4" w:space="0"/>
              <w:left w:val="single" w:color="000000" w:sz="4" w:space="0"/>
              <w:bottom w:val="single" w:color="000000" w:sz="4" w:space="0"/>
              <w:right w:val="single" w:color="000000" w:sz="4" w:space="0"/>
            </w:tcBorders>
            <w:vAlign w:val="center"/>
          </w:tcPr>
          <w:p w14:paraId="06918B0C">
            <w:pPr>
              <w:spacing w:line="240" w:lineRule="auto"/>
              <w:ind w:left="0" w:leftChars="0" w:firstLine="0" w:firstLineChars="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黄南州生态环境局</w:t>
            </w:r>
          </w:p>
        </w:tc>
        <w:tc>
          <w:tcPr>
            <w:tcW w:w="2025" w:type="dxa"/>
            <w:tcBorders>
              <w:top w:val="single" w:color="000000" w:sz="4" w:space="0"/>
              <w:left w:val="single" w:color="000000" w:sz="4" w:space="0"/>
              <w:bottom w:val="single" w:color="000000" w:sz="4" w:space="0"/>
              <w:right w:val="single" w:color="000000" w:sz="4" w:space="0"/>
            </w:tcBorders>
            <w:vAlign w:val="center"/>
          </w:tcPr>
          <w:p w14:paraId="5E61E0B0">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审批文号及时间</w:t>
            </w:r>
          </w:p>
        </w:tc>
        <w:tc>
          <w:tcPr>
            <w:tcW w:w="2714" w:type="dxa"/>
            <w:gridSpan w:val="3"/>
            <w:tcBorders>
              <w:top w:val="single" w:color="000000" w:sz="4" w:space="0"/>
              <w:left w:val="single" w:color="000000" w:sz="4" w:space="0"/>
              <w:bottom w:val="single" w:color="000000" w:sz="4" w:space="0"/>
            </w:tcBorders>
            <w:vAlign w:val="center"/>
          </w:tcPr>
          <w:p w14:paraId="58D2A8A1">
            <w:pPr>
              <w:spacing w:line="240" w:lineRule="auto"/>
              <w:ind w:left="0" w:leftChars="0" w:firstLine="0" w:firstLineChars="0"/>
              <w:jc w:val="center"/>
              <w:rPr>
                <w:rFonts w:cs="Times New Roman"/>
                <w:color w:val="000000" w:themeColor="text1"/>
                <w14:textFill>
                  <w14:solidFill>
                    <w14:schemeClr w14:val="tx1"/>
                  </w14:solidFill>
                </w14:textFill>
              </w:rPr>
            </w:pPr>
            <w:r>
              <w:rPr>
                <w:rFonts w:hint="eastAsia" w:cs="Times New Roman"/>
                <w:color w:val="000000" w:themeColor="text1"/>
                <w:lang w:val="en-US" w:eastAsia="zh-CN"/>
                <w14:textFill>
                  <w14:solidFill>
                    <w14:schemeClr w14:val="tx1"/>
                  </w14:solidFill>
                </w14:textFill>
              </w:rPr>
              <w:t>黄生发</w:t>
            </w:r>
            <w:r>
              <w:rPr>
                <w:rFonts w:cs="Times New Roman"/>
                <w:color w:val="000000" w:themeColor="text1"/>
                <w14:textFill>
                  <w14:solidFill>
                    <w14:schemeClr w14:val="tx1"/>
                  </w14:solidFill>
                </w14:textFill>
              </w:rPr>
              <w:t>〔20</w:t>
            </w:r>
            <w:r>
              <w:rPr>
                <w:rFonts w:cs="Times New Roman"/>
                <w:color w:val="000000" w:themeColor="text1"/>
                <w:lang w:val="en-US"/>
                <w14:textFill>
                  <w14:solidFill>
                    <w14:schemeClr w14:val="tx1"/>
                  </w14:solidFill>
                </w14:textFill>
              </w:rPr>
              <w:t>2</w:t>
            </w:r>
            <w:r>
              <w:rPr>
                <w:rFonts w:hint="eastAsia" w:cs="Times New Roman"/>
                <w:color w:val="000000" w:themeColor="text1"/>
                <w:lang w:val="en-US" w:eastAsia="zh-CN"/>
                <w14:textFill>
                  <w14:solidFill>
                    <w14:schemeClr w14:val="tx1"/>
                  </w14:solidFill>
                </w14:textFill>
              </w:rPr>
              <w:t>2</w:t>
            </w:r>
            <w:r>
              <w:rPr>
                <w:rFonts w:cs="Times New Roman"/>
                <w:color w:val="000000" w:themeColor="text1"/>
                <w14:textFill>
                  <w14:solidFill>
                    <w14:schemeClr w14:val="tx1"/>
                  </w14:solidFill>
                </w14:textFill>
              </w:rPr>
              <w:t>〕</w:t>
            </w:r>
            <w:r>
              <w:rPr>
                <w:rFonts w:hint="eastAsia" w:cs="Times New Roman"/>
                <w:color w:val="000000" w:themeColor="text1"/>
                <w:lang w:val="en-US" w:eastAsia="zh-CN"/>
                <w14:textFill>
                  <w14:solidFill>
                    <w14:schemeClr w14:val="tx1"/>
                  </w14:solidFill>
                </w14:textFill>
              </w:rPr>
              <w:t>89</w:t>
            </w:r>
            <w:r>
              <w:rPr>
                <w:rFonts w:cs="Times New Roman"/>
                <w:color w:val="000000" w:themeColor="text1"/>
                <w14:textFill>
                  <w14:solidFill>
                    <w14:schemeClr w14:val="tx1"/>
                  </w14:solidFill>
                </w14:textFill>
              </w:rPr>
              <w:t>号</w:t>
            </w:r>
          </w:p>
          <w:p w14:paraId="7834197F">
            <w:pPr>
              <w:pStyle w:val="11"/>
              <w:ind w:left="0" w:leftChars="0" w:firstLine="0" w:firstLineChars="0"/>
              <w:jc w:val="center"/>
              <w:rPr>
                <w:rFonts w:hint="default" w:ascii="Times New Roman" w:eastAsia="仿宋_GB2312" w:cs="Times New Roman"/>
                <w:color w:val="000000" w:themeColor="text1"/>
                <w:lang w:val="en-US" w:eastAsia="zh-CN"/>
                <w14:textFill>
                  <w14:solidFill>
                    <w14:schemeClr w14:val="tx1"/>
                  </w14:solidFill>
                </w14:textFill>
              </w:rPr>
            </w:pPr>
            <w:r>
              <w:rPr>
                <w:rFonts w:hint="eastAsia" w:ascii="Times New Roman" w:cs="Times New Roman"/>
                <w:color w:val="000000" w:themeColor="text1"/>
                <w:sz w:val="24"/>
                <w:szCs w:val="24"/>
                <w:lang w:val="en-US" w:eastAsia="zh-CN"/>
                <w14:textFill>
                  <w14:solidFill>
                    <w14:schemeClr w14:val="tx1"/>
                  </w14:solidFill>
                </w14:textFill>
              </w:rPr>
              <w:t>2022.10.14</w:t>
            </w:r>
          </w:p>
        </w:tc>
      </w:tr>
      <w:tr w14:paraId="4920C1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1" w:hRule="atLeast"/>
        </w:trPr>
        <w:tc>
          <w:tcPr>
            <w:tcW w:w="1740" w:type="dxa"/>
            <w:tcBorders>
              <w:top w:val="single" w:color="000000" w:sz="4" w:space="0"/>
              <w:bottom w:val="single" w:color="000000" w:sz="4" w:space="0"/>
              <w:right w:val="single" w:color="000000" w:sz="4" w:space="0"/>
            </w:tcBorders>
            <w:vAlign w:val="center"/>
          </w:tcPr>
          <w:p w14:paraId="525E63EE">
            <w:pPr>
              <w:spacing w:line="240" w:lineRule="auto"/>
              <w:ind w:left="0" w:leftChars="0" w:firstLine="0" w:firstLineChars="0"/>
              <w:jc w:val="center"/>
              <w:rPr>
                <w:b/>
                <w:bCs/>
              </w:rPr>
            </w:pPr>
            <w:r>
              <w:rPr>
                <w:b/>
                <w:bCs/>
              </w:rPr>
              <w:t>初步设计审批部门</w:t>
            </w:r>
          </w:p>
        </w:tc>
        <w:tc>
          <w:tcPr>
            <w:tcW w:w="2236" w:type="dxa"/>
            <w:tcBorders>
              <w:top w:val="single" w:color="000000" w:sz="4" w:space="0"/>
              <w:left w:val="single" w:color="000000" w:sz="4" w:space="0"/>
              <w:bottom w:val="single" w:color="000000" w:sz="4" w:space="0"/>
              <w:right w:val="single" w:color="000000" w:sz="4" w:space="0"/>
            </w:tcBorders>
            <w:vAlign w:val="center"/>
          </w:tcPr>
          <w:p w14:paraId="1E745537">
            <w:pPr>
              <w:spacing w:line="240" w:lineRule="auto"/>
              <w:ind w:left="0" w:leftChars="0" w:firstLine="0" w:firstLineChars="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尖扎县发展和改革局</w:t>
            </w:r>
          </w:p>
        </w:tc>
        <w:tc>
          <w:tcPr>
            <w:tcW w:w="2025" w:type="dxa"/>
            <w:tcBorders>
              <w:top w:val="single" w:color="000000" w:sz="4" w:space="0"/>
              <w:left w:val="single" w:color="000000" w:sz="4" w:space="0"/>
              <w:bottom w:val="single" w:color="000000" w:sz="4" w:space="0"/>
              <w:right w:val="single" w:color="000000" w:sz="4" w:space="0"/>
            </w:tcBorders>
            <w:vAlign w:val="center"/>
          </w:tcPr>
          <w:p w14:paraId="2DA320F0">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审批文号及时间</w:t>
            </w:r>
          </w:p>
        </w:tc>
        <w:tc>
          <w:tcPr>
            <w:tcW w:w="2714" w:type="dxa"/>
            <w:gridSpan w:val="3"/>
            <w:tcBorders>
              <w:top w:val="single" w:color="000000" w:sz="4" w:space="0"/>
              <w:left w:val="single" w:color="000000" w:sz="4" w:space="0"/>
              <w:bottom w:val="single" w:color="000000" w:sz="4" w:space="0"/>
            </w:tcBorders>
            <w:vAlign w:val="center"/>
          </w:tcPr>
          <w:p w14:paraId="4AA3D9C8">
            <w:pPr>
              <w:spacing w:line="240" w:lineRule="auto"/>
              <w:ind w:left="0" w:leftChars="0" w:firstLine="0" w:firstLineChars="0"/>
              <w:jc w:val="center"/>
              <w:rPr>
                <w:rFonts w:cs="Times New Roman"/>
                <w:color w:val="000000" w:themeColor="text1"/>
                <w14:textFill>
                  <w14:solidFill>
                    <w14:schemeClr w14:val="tx1"/>
                  </w14:solidFill>
                </w14:textFill>
              </w:rPr>
            </w:pPr>
            <w:r>
              <w:rPr>
                <w:rFonts w:hint="eastAsia" w:cs="Times New Roman"/>
                <w:color w:val="000000" w:themeColor="text1"/>
                <w:lang w:val="en-US" w:eastAsia="zh-CN"/>
                <w14:textFill>
                  <w14:solidFill>
                    <w14:schemeClr w14:val="tx1"/>
                  </w14:solidFill>
                </w14:textFill>
              </w:rPr>
              <w:t>尖发改</w:t>
            </w:r>
            <w:r>
              <w:rPr>
                <w:rFonts w:cs="Times New Roman"/>
                <w:color w:val="000000" w:themeColor="text1"/>
                <w14:textFill>
                  <w14:solidFill>
                    <w14:schemeClr w14:val="tx1"/>
                  </w14:solidFill>
                </w14:textFill>
              </w:rPr>
              <w:t>〔20</w:t>
            </w:r>
            <w:r>
              <w:rPr>
                <w:rFonts w:cs="Times New Roman"/>
                <w:color w:val="000000" w:themeColor="text1"/>
                <w:lang w:val="en-US"/>
                <w14:textFill>
                  <w14:solidFill>
                    <w14:schemeClr w14:val="tx1"/>
                  </w14:solidFill>
                </w14:textFill>
              </w:rPr>
              <w:t>2</w:t>
            </w:r>
            <w:r>
              <w:rPr>
                <w:rFonts w:hint="eastAsia" w:cs="Times New Roman"/>
                <w:color w:val="000000" w:themeColor="text1"/>
                <w:lang w:val="en-US" w:eastAsia="zh-CN"/>
                <w14:textFill>
                  <w14:solidFill>
                    <w14:schemeClr w14:val="tx1"/>
                  </w14:solidFill>
                </w14:textFill>
              </w:rPr>
              <w:t>1</w:t>
            </w:r>
            <w:r>
              <w:rPr>
                <w:rFonts w:cs="Times New Roman"/>
                <w:color w:val="000000" w:themeColor="text1"/>
                <w14:textFill>
                  <w14:solidFill>
                    <w14:schemeClr w14:val="tx1"/>
                  </w14:solidFill>
                </w14:textFill>
              </w:rPr>
              <w:t>〕</w:t>
            </w:r>
            <w:r>
              <w:rPr>
                <w:rFonts w:hint="eastAsia" w:cs="Times New Roman"/>
                <w:color w:val="000000" w:themeColor="text1"/>
                <w:lang w:val="en-US" w:eastAsia="zh-CN"/>
                <w14:textFill>
                  <w14:solidFill>
                    <w14:schemeClr w14:val="tx1"/>
                  </w14:solidFill>
                </w14:textFill>
              </w:rPr>
              <w:t>144</w:t>
            </w:r>
            <w:r>
              <w:rPr>
                <w:rFonts w:cs="Times New Roman"/>
                <w:color w:val="000000" w:themeColor="text1"/>
                <w14:textFill>
                  <w14:solidFill>
                    <w14:schemeClr w14:val="tx1"/>
                  </w14:solidFill>
                </w14:textFill>
              </w:rPr>
              <w:t>号</w:t>
            </w:r>
          </w:p>
          <w:p w14:paraId="5AA84155">
            <w:pPr>
              <w:pStyle w:val="17"/>
              <w:spacing w:line="240" w:lineRule="auto"/>
              <w:rPr>
                <w:rFonts w:hint="default"/>
                <w:color w:val="000000" w:themeColor="text1"/>
                <w:lang w:val="en-US"/>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2021.9.30</w:t>
            </w:r>
          </w:p>
        </w:tc>
      </w:tr>
      <w:tr w14:paraId="4A45C3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1740" w:type="dxa"/>
            <w:tcBorders>
              <w:top w:val="single" w:color="000000" w:sz="4" w:space="0"/>
              <w:bottom w:val="single" w:color="000000" w:sz="4" w:space="0"/>
              <w:right w:val="single" w:color="000000" w:sz="4" w:space="0"/>
            </w:tcBorders>
            <w:vAlign w:val="center"/>
          </w:tcPr>
          <w:p w14:paraId="188A494A">
            <w:pPr>
              <w:spacing w:line="240" w:lineRule="auto"/>
              <w:ind w:left="0" w:leftChars="0" w:firstLine="0" w:firstLineChars="0"/>
              <w:jc w:val="center"/>
              <w:rPr>
                <w:b/>
                <w:bCs/>
              </w:rPr>
            </w:pPr>
            <w:r>
              <w:rPr>
                <w:b/>
                <w:bCs/>
              </w:rPr>
              <w:t>环境保护设施设计单位</w:t>
            </w:r>
          </w:p>
        </w:tc>
        <w:tc>
          <w:tcPr>
            <w:tcW w:w="2236" w:type="dxa"/>
            <w:tcBorders>
              <w:top w:val="single" w:color="000000" w:sz="4" w:space="0"/>
              <w:left w:val="single" w:color="000000" w:sz="4" w:space="0"/>
              <w:bottom w:val="single" w:color="000000" w:sz="4" w:space="0"/>
              <w:right w:val="single" w:color="000000" w:sz="4" w:space="0"/>
            </w:tcBorders>
            <w:vAlign w:val="center"/>
          </w:tcPr>
          <w:p w14:paraId="6E4A8D67">
            <w:pPr>
              <w:spacing w:line="240" w:lineRule="auto"/>
              <w:ind w:left="0" w:leftChars="0" w:firstLine="0" w:firstLineChars="0"/>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c>
          <w:tcPr>
            <w:tcW w:w="2025" w:type="dxa"/>
            <w:tcBorders>
              <w:top w:val="single" w:color="000000" w:sz="4" w:space="0"/>
              <w:left w:val="single" w:color="000000" w:sz="4" w:space="0"/>
              <w:bottom w:val="single" w:color="000000" w:sz="4" w:space="0"/>
              <w:right w:val="single" w:color="000000" w:sz="4" w:space="0"/>
            </w:tcBorders>
            <w:vAlign w:val="center"/>
          </w:tcPr>
          <w:p w14:paraId="055F1B86">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环境保护设施施工单位</w:t>
            </w:r>
          </w:p>
        </w:tc>
        <w:tc>
          <w:tcPr>
            <w:tcW w:w="2714" w:type="dxa"/>
            <w:gridSpan w:val="3"/>
            <w:tcBorders>
              <w:top w:val="single" w:color="000000" w:sz="4" w:space="0"/>
              <w:left w:val="single" w:color="000000" w:sz="4" w:space="0"/>
              <w:bottom w:val="single" w:color="000000" w:sz="4" w:space="0"/>
            </w:tcBorders>
            <w:vAlign w:val="center"/>
          </w:tcPr>
          <w:p w14:paraId="62EFA157">
            <w:pPr>
              <w:spacing w:line="240" w:lineRule="auto"/>
              <w:ind w:left="0" w:leftChars="0" w:firstLine="0" w:firstLineChars="0"/>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r>
      <w:tr w14:paraId="51D00E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1740" w:type="dxa"/>
            <w:tcBorders>
              <w:top w:val="single" w:color="000000" w:sz="4" w:space="0"/>
              <w:bottom w:val="single" w:color="000000" w:sz="4" w:space="0"/>
              <w:right w:val="single" w:color="000000" w:sz="4" w:space="0"/>
            </w:tcBorders>
            <w:vAlign w:val="center"/>
          </w:tcPr>
          <w:p w14:paraId="7F825617">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验收调查单位</w:t>
            </w:r>
          </w:p>
        </w:tc>
        <w:tc>
          <w:tcPr>
            <w:tcW w:w="2236" w:type="dxa"/>
            <w:tcBorders>
              <w:top w:val="single" w:color="000000" w:sz="4" w:space="0"/>
              <w:left w:val="single" w:color="000000" w:sz="4" w:space="0"/>
              <w:bottom w:val="single" w:color="000000" w:sz="4" w:space="0"/>
              <w:right w:val="single" w:color="000000" w:sz="4" w:space="0"/>
            </w:tcBorders>
            <w:vAlign w:val="center"/>
          </w:tcPr>
          <w:p w14:paraId="07411C6E">
            <w:pPr>
              <w:spacing w:line="240" w:lineRule="auto"/>
              <w:ind w:left="0" w:leftChars="0"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尖扎金能新能源有限公司</w:t>
            </w:r>
          </w:p>
        </w:tc>
        <w:tc>
          <w:tcPr>
            <w:tcW w:w="2025" w:type="dxa"/>
            <w:tcBorders>
              <w:top w:val="single" w:color="000000" w:sz="4" w:space="0"/>
              <w:left w:val="single" w:color="000000" w:sz="4" w:space="0"/>
              <w:bottom w:val="single" w:color="000000" w:sz="4" w:space="0"/>
              <w:right w:val="single" w:color="000000" w:sz="4" w:space="0"/>
            </w:tcBorders>
            <w:vAlign w:val="center"/>
          </w:tcPr>
          <w:p w14:paraId="488A48D6">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调查日期</w:t>
            </w:r>
          </w:p>
        </w:tc>
        <w:tc>
          <w:tcPr>
            <w:tcW w:w="2714" w:type="dxa"/>
            <w:gridSpan w:val="3"/>
            <w:tcBorders>
              <w:top w:val="single" w:color="000000" w:sz="4" w:space="0"/>
              <w:left w:val="single" w:color="000000" w:sz="4" w:space="0"/>
              <w:bottom w:val="single" w:color="000000" w:sz="4" w:space="0"/>
            </w:tcBorders>
            <w:vAlign w:val="center"/>
          </w:tcPr>
          <w:p w14:paraId="5882415F">
            <w:pPr>
              <w:spacing w:line="240" w:lineRule="auto"/>
              <w:ind w:left="0" w:leftChars="0" w:firstLine="0" w:firstLineChars="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2024.7</w:t>
            </w:r>
          </w:p>
        </w:tc>
      </w:tr>
      <w:tr w14:paraId="74B95F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1740" w:type="dxa"/>
            <w:tcBorders>
              <w:top w:val="single" w:color="000000" w:sz="4" w:space="0"/>
              <w:bottom w:val="single" w:color="000000" w:sz="4" w:space="0"/>
              <w:right w:val="single" w:color="000000" w:sz="4" w:space="0"/>
            </w:tcBorders>
            <w:vAlign w:val="center"/>
          </w:tcPr>
          <w:p w14:paraId="2C6DC94F">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设计生产规模</w:t>
            </w:r>
          </w:p>
        </w:tc>
        <w:tc>
          <w:tcPr>
            <w:tcW w:w="2236" w:type="dxa"/>
            <w:tcBorders>
              <w:top w:val="single" w:color="000000" w:sz="4" w:space="0"/>
              <w:left w:val="single" w:color="000000" w:sz="4" w:space="0"/>
              <w:bottom w:val="single" w:color="000000" w:sz="4" w:space="0"/>
              <w:right w:val="single" w:color="000000" w:sz="4" w:space="0"/>
            </w:tcBorders>
            <w:vAlign w:val="center"/>
          </w:tcPr>
          <w:p w14:paraId="30677936">
            <w:pPr>
              <w:pStyle w:val="17"/>
              <w:keepNext w:val="0"/>
              <w:keepLines w:val="0"/>
              <w:pageBreakBefore w:val="0"/>
              <w:widowControl/>
              <w:kinsoku/>
              <w:wordWrap/>
              <w:overflowPunct/>
              <w:topLinePunct w:val="0"/>
              <w:autoSpaceDE/>
              <w:autoSpaceDN/>
              <w:bidi w:val="0"/>
              <w:adjustRightInd w:val="0"/>
              <w:snapToGrid/>
              <w:spacing w:line="240" w:lineRule="auto"/>
              <w:ind w:left="48" w:leftChars="20" w:right="48" w:rightChars="20"/>
              <w:jc w:val="center"/>
              <w:textAlignment w:val="auto"/>
              <w:rPr>
                <w:rFonts w:hint="default" w:eastAsia="宋体"/>
                <w:color w:val="000000" w:themeColor="text1"/>
                <w:sz w:val="24"/>
                <w:szCs w:val="24"/>
                <w:lang w:val="en-US" w:eastAsia="zh-CN"/>
                <w14:textFill>
                  <w14:solidFill>
                    <w14:schemeClr w14:val="tx1"/>
                  </w14:solidFill>
                </w14:textFill>
              </w:rPr>
            </w:pPr>
            <w:r>
              <w:rPr>
                <w:rFonts w:hint="default" w:eastAsia="宋体"/>
                <w:color w:val="000000" w:themeColor="text1"/>
                <w:sz w:val="24"/>
                <w:szCs w:val="24"/>
                <w:lang w:val="en-US" w:eastAsia="zh-CN"/>
                <w14:textFill>
                  <w14:solidFill>
                    <w14:schemeClr w14:val="tx1"/>
                  </w14:solidFill>
                </w14:textFill>
              </w:rPr>
              <w:t>总装机容量400MW</w:t>
            </w:r>
          </w:p>
        </w:tc>
        <w:tc>
          <w:tcPr>
            <w:tcW w:w="2025" w:type="dxa"/>
            <w:tcBorders>
              <w:top w:val="single" w:color="000000" w:sz="4" w:space="0"/>
              <w:left w:val="single" w:color="000000" w:sz="4" w:space="0"/>
              <w:bottom w:val="single" w:color="000000" w:sz="4" w:space="0"/>
              <w:right w:val="single" w:color="000000" w:sz="4" w:space="0"/>
            </w:tcBorders>
            <w:vAlign w:val="center"/>
          </w:tcPr>
          <w:p w14:paraId="1917E542">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建设</w:t>
            </w:r>
            <w:r>
              <w:rPr>
                <w:rFonts w:hint="eastAsia"/>
                <w:b/>
                <w:bCs/>
                <w:color w:val="000000" w:themeColor="text1"/>
                <w:lang w:eastAsia="zh-CN"/>
                <w14:textFill>
                  <w14:solidFill>
                    <w14:schemeClr w14:val="tx1"/>
                  </w14:solidFill>
                </w14:textFill>
              </w:rPr>
              <w:t>项目</w:t>
            </w:r>
            <w:r>
              <w:rPr>
                <w:b/>
                <w:bCs/>
                <w:color w:val="000000" w:themeColor="text1"/>
                <w14:textFill>
                  <w14:solidFill>
                    <w14:schemeClr w14:val="tx1"/>
                  </w14:solidFill>
                </w14:textFill>
              </w:rPr>
              <w:t>开工日期</w:t>
            </w:r>
          </w:p>
        </w:tc>
        <w:tc>
          <w:tcPr>
            <w:tcW w:w="2714" w:type="dxa"/>
            <w:gridSpan w:val="3"/>
            <w:tcBorders>
              <w:top w:val="single" w:color="000000" w:sz="4" w:space="0"/>
              <w:left w:val="single" w:color="000000" w:sz="4" w:space="0"/>
              <w:bottom w:val="single" w:color="000000" w:sz="4" w:space="0"/>
            </w:tcBorders>
            <w:vAlign w:val="center"/>
          </w:tcPr>
          <w:p w14:paraId="6A61A484">
            <w:pPr>
              <w:spacing w:line="240" w:lineRule="auto"/>
              <w:ind w:left="0" w:leftChars="0" w:firstLine="0" w:firstLineChars="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2022.10</w:t>
            </w:r>
          </w:p>
        </w:tc>
      </w:tr>
      <w:tr w14:paraId="6BD589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3" w:hRule="atLeast"/>
        </w:trPr>
        <w:tc>
          <w:tcPr>
            <w:tcW w:w="1740" w:type="dxa"/>
            <w:tcBorders>
              <w:top w:val="single" w:color="000000" w:sz="4" w:space="0"/>
              <w:bottom w:val="single" w:color="000000" w:sz="4" w:space="0"/>
              <w:right w:val="single" w:color="000000" w:sz="4" w:space="0"/>
            </w:tcBorders>
            <w:vAlign w:val="center"/>
          </w:tcPr>
          <w:p w14:paraId="38654EE5">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实际生产规模</w:t>
            </w:r>
          </w:p>
        </w:tc>
        <w:tc>
          <w:tcPr>
            <w:tcW w:w="2236" w:type="dxa"/>
            <w:tcBorders>
              <w:top w:val="single" w:color="000000" w:sz="4" w:space="0"/>
              <w:left w:val="single" w:color="000000" w:sz="4" w:space="0"/>
              <w:bottom w:val="single" w:color="000000" w:sz="4" w:space="0"/>
              <w:right w:val="single" w:color="000000" w:sz="4" w:space="0"/>
            </w:tcBorders>
            <w:vAlign w:val="center"/>
          </w:tcPr>
          <w:p w14:paraId="10D27B7F">
            <w:pPr>
              <w:pStyle w:val="17"/>
              <w:keepNext w:val="0"/>
              <w:keepLines w:val="0"/>
              <w:pageBreakBefore w:val="0"/>
              <w:widowControl/>
              <w:kinsoku/>
              <w:wordWrap/>
              <w:overflowPunct/>
              <w:topLinePunct w:val="0"/>
              <w:autoSpaceDE/>
              <w:autoSpaceDN/>
              <w:bidi w:val="0"/>
              <w:adjustRightInd w:val="0"/>
              <w:snapToGrid/>
              <w:spacing w:line="240" w:lineRule="auto"/>
              <w:ind w:left="48" w:leftChars="20" w:right="48" w:rightChars="20"/>
              <w:jc w:val="center"/>
              <w:textAlignment w:val="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总装机容量400MW</w:t>
            </w:r>
          </w:p>
        </w:tc>
        <w:tc>
          <w:tcPr>
            <w:tcW w:w="2025" w:type="dxa"/>
            <w:tcBorders>
              <w:top w:val="single" w:color="000000" w:sz="4" w:space="0"/>
              <w:left w:val="single" w:color="000000" w:sz="4" w:space="0"/>
              <w:bottom w:val="single" w:color="000000" w:sz="4" w:space="0"/>
              <w:right w:val="single" w:color="000000" w:sz="4" w:space="0"/>
            </w:tcBorders>
            <w:vAlign w:val="center"/>
          </w:tcPr>
          <w:p w14:paraId="14B41C41">
            <w:pPr>
              <w:spacing w:line="240" w:lineRule="auto"/>
              <w:ind w:left="0" w:leftChars="0" w:firstLine="0" w:firstLineChars="0"/>
              <w:jc w:val="center"/>
              <w:rPr>
                <w:rFonts w:hint="eastAsia" w:eastAsia="宋体"/>
                <w:b/>
                <w:bCs/>
                <w:color w:val="FF0000"/>
                <w:lang w:eastAsia="zh-CN"/>
              </w:rPr>
            </w:pPr>
            <w:r>
              <w:rPr>
                <w:rFonts w:hint="eastAsia"/>
                <w:b/>
                <w:bCs/>
                <w:color w:val="000000" w:themeColor="text1"/>
                <w:lang w:eastAsia="zh-CN"/>
                <w14:textFill>
                  <w14:solidFill>
                    <w14:schemeClr w14:val="tx1"/>
                  </w14:solidFill>
                </w14:textFill>
              </w:rPr>
              <w:t>调试日期</w:t>
            </w:r>
          </w:p>
        </w:tc>
        <w:tc>
          <w:tcPr>
            <w:tcW w:w="2714" w:type="dxa"/>
            <w:gridSpan w:val="3"/>
            <w:tcBorders>
              <w:top w:val="single" w:color="000000" w:sz="4" w:space="0"/>
              <w:left w:val="single" w:color="000000" w:sz="4" w:space="0"/>
              <w:bottom w:val="single" w:color="000000" w:sz="4" w:space="0"/>
            </w:tcBorders>
            <w:vAlign w:val="center"/>
          </w:tcPr>
          <w:p w14:paraId="7763DC07">
            <w:pPr>
              <w:spacing w:line="240" w:lineRule="auto"/>
              <w:ind w:left="0" w:leftChars="0" w:firstLine="0" w:firstLineChars="0"/>
              <w:jc w:val="center"/>
              <w:rPr>
                <w:rFonts w:hint="default" w:eastAsia="宋体"/>
                <w:color w:val="FF0000"/>
                <w:lang w:val="en-US" w:eastAsia="zh-CN"/>
              </w:rPr>
            </w:pPr>
            <w:r>
              <w:rPr>
                <w:rFonts w:hint="eastAsia"/>
                <w:color w:val="000000" w:themeColor="text1"/>
                <w:lang w:val="en-US" w:eastAsia="zh-CN"/>
                <w14:textFill>
                  <w14:solidFill>
                    <w14:schemeClr w14:val="tx1"/>
                  </w14:solidFill>
                </w14:textFill>
              </w:rPr>
              <w:t>2023.10</w:t>
            </w:r>
          </w:p>
        </w:tc>
      </w:tr>
      <w:tr w14:paraId="0BE600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1740" w:type="dxa"/>
            <w:tcBorders>
              <w:top w:val="single" w:color="000000" w:sz="4" w:space="0"/>
              <w:bottom w:val="single" w:color="000000" w:sz="4" w:space="0"/>
              <w:right w:val="single" w:color="000000" w:sz="4" w:space="0"/>
            </w:tcBorders>
            <w:vAlign w:val="center"/>
          </w:tcPr>
          <w:p w14:paraId="42D25F2A">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验收调查期间生产规模</w:t>
            </w:r>
          </w:p>
        </w:tc>
        <w:tc>
          <w:tcPr>
            <w:tcW w:w="2236" w:type="dxa"/>
            <w:tcBorders>
              <w:top w:val="single" w:color="000000" w:sz="4" w:space="0"/>
              <w:left w:val="single" w:color="000000" w:sz="4" w:space="0"/>
              <w:bottom w:val="single" w:color="000000" w:sz="4" w:space="0"/>
              <w:right w:val="single" w:color="000000" w:sz="4" w:space="0"/>
            </w:tcBorders>
            <w:vAlign w:val="center"/>
          </w:tcPr>
          <w:p w14:paraId="0003F82B">
            <w:pPr>
              <w:spacing w:line="240" w:lineRule="auto"/>
              <w:ind w:left="0" w:leftChars="0" w:firstLine="0" w:firstLineChars="0"/>
              <w:jc w:val="center"/>
              <w:rPr>
                <w:color w:val="000000" w:themeColor="text1"/>
                <w:lang w:val="en-US"/>
                <w14:textFill>
                  <w14:solidFill>
                    <w14:schemeClr w14:val="tx1"/>
                  </w14:solidFill>
                </w14:textFill>
              </w:rPr>
            </w:pPr>
            <w:r>
              <w:rPr>
                <w:rFonts w:hint="eastAsia"/>
                <w:color w:val="000000" w:themeColor="text1"/>
                <w:szCs w:val="24"/>
                <w14:textFill>
                  <w14:solidFill>
                    <w14:schemeClr w14:val="tx1"/>
                  </w14:solidFill>
                </w14:textFill>
              </w:rPr>
              <w:t>项目所建设施均正常运行</w:t>
            </w:r>
          </w:p>
        </w:tc>
        <w:tc>
          <w:tcPr>
            <w:tcW w:w="2025" w:type="dxa"/>
            <w:tcBorders>
              <w:top w:val="single" w:color="000000" w:sz="4" w:space="0"/>
              <w:left w:val="single" w:color="000000" w:sz="4" w:space="0"/>
              <w:bottom w:val="single" w:color="000000" w:sz="4" w:space="0"/>
              <w:right w:val="single" w:color="000000" w:sz="4" w:space="0"/>
            </w:tcBorders>
            <w:vAlign w:val="center"/>
          </w:tcPr>
          <w:p w14:paraId="08BA13B3">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验收工况负荷</w:t>
            </w:r>
          </w:p>
        </w:tc>
        <w:tc>
          <w:tcPr>
            <w:tcW w:w="2714" w:type="dxa"/>
            <w:gridSpan w:val="3"/>
            <w:tcBorders>
              <w:top w:val="single" w:color="000000" w:sz="4" w:space="0"/>
              <w:left w:val="single" w:color="000000" w:sz="4" w:space="0"/>
              <w:bottom w:val="single" w:color="000000" w:sz="4" w:space="0"/>
            </w:tcBorders>
            <w:vAlign w:val="center"/>
          </w:tcPr>
          <w:p w14:paraId="2C620E32">
            <w:pPr>
              <w:spacing w:line="240" w:lineRule="auto"/>
              <w:ind w:left="0" w:leftChars="0" w:firstLine="0" w:firstLineChars="0"/>
              <w:jc w:val="cente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w:t>
            </w:r>
          </w:p>
        </w:tc>
      </w:tr>
      <w:tr w14:paraId="77A384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45" w:hRule="atLeast"/>
        </w:trPr>
        <w:tc>
          <w:tcPr>
            <w:tcW w:w="1740" w:type="dxa"/>
            <w:tcBorders>
              <w:top w:val="single" w:color="000000" w:sz="4" w:space="0"/>
              <w:bottom w:val="single" w:color="000000" w:sz="4" w:space="0"/>
              <w:right w:val="single" w:color="000000" w:sz="4" w:space="0"/>
            </w:tcBorders>
            <w:vAlign w:val="center"/>
          </w:tcPr>
          <w:p w14:paraId="1AF48E64">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投资总概算</w:t>
            </w:r>
          </w:p>
          <w:p w14:paraId="506FCB1B">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（万元）</w:t>
            </w:r>
          </w:p>
        </w:tc>
        <w:tc>
          <w:tcPr>
            <w:tcW w:w="2236" w:type="dxa"/>
            <w:tcBorders>
              <w:top w:val="single" w:color="000000" w:sz="4" w:space="0"/>
              <w:left w:val="single" w:color="000000" w:sz="4" w:space="0"/>
              <w:bottom w:val="single" w:color="000000" w:sz="4" w:space="0"/>
              <w:right w:val="single" w:color="000000" w:sz="4" w:space="0"/>
            </w:tcBorders>
            <w:vAlign w:val="center"/>
          </w:tcPr>
          <w:p w14:paraId="20507C5E">
            <w:pPr>
              <w:pStyle w:val="17"/>
              <w:spacing w:line="240" w:lineRule="auto"/>
              <w:rPr>
                <w:rFonts w:hint="default" w:eastAsia="宋体"/>
                <w:color w:val="000000" w:themeColor="text1"/>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199705.13</w:t>
            </w:r>
          </w:p>
        </w:tc>
        <w:tc>
          <w:tcPr>
            <w:tcW w:w="2025" w:type="dxa"/>
            <w:tcBorders>
              <w:top w:val="single" w:color="000000" w:sz="4" w:space="0"/>
              <w:left w:val="single" w:color="000000" w:sz="4" w:space="0"/>
              <w:bottom w:val="single" w:color="000000" w:sz="4" w:space="0"/>
              <w:right w:val="single" w:color="000000" w:sz="4" w:space="0"/>
            </w:tcBorders>
            <w:vAlign w:val="center"/>
          </w:tcPr>
          <w:p w14:paraId="793D50DC">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环境保护投资总概算（万元）</w:t>
            </w:r>
          </w:p>
        </w:tc>
        <w:tc>
          <w:tcPr>
            <w:tcW w:w="1154" w:type="dxa"/>
            <w:tcBorders>
              <w:top w:val="single" w:color="000000" w:sz="4" w:space="0"/>
              <w:left w:val="single" w:color="000000" w:sz="4" w:space="0"/>
              <w:bottom w:val="single" w:color="000000" w:sz="4" w:space="0"/>
              <w:right w:val="single" w:color="000000" w:sz="4" w:space="0"/>
            </w:tcBorders>
            <w:vAlign w:val="center"/>
          </w:tcPr>
          <w:p w14:paraId="094201D5">
            <w:pPr>
              <w:pStyle w:val="17"/>
              <w:spacing w:line="240" w:lineRule="auto"/>
              <w:rPr>
                <w:rFonts w:hint="default" w:eastAsia="宋体"/>
                <w:color w:val="000000" w:themeColor="text1"/>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672</w:t>
            </w:r>
          </w:p>
        </w:tc>
        <w:tc>
          <w:tcPr>
            <w:tcW w:w="714" w:type="dxa"/>
            <w:tcBorders>
              <w:top w:val="single" w:color="000000" w:sz="4" w:space="0"/>
              <w:left w:val="single" w:color="000000" w:sz="4" w:space="0"/>
              <w:bottom w:val="single" w:color="000000" w:sz="4" w:space="0"/>
              <w:right w:val="single" w:color="000000" w:sz="4" w:space="0"/>
            </w:tcBorders>
            <w:vAlign w:val="center"/>
          </w:tcPr>
          <w:p w14:paraId="04B06A09">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比例</w:t>
            </w:r>
          </w:p>
        </w:tc>
        <w:tc>
          <w:tcPr>
            <w:tcW w:w="846" w:type="dxa"/>
            <w:tcBorders>
              <w:top w:val="single" w:color="000000" w:sz="4" w:space="0"/>
              <w:left w:val="single" w:color="000000" w:sz="4" w:space="0"/>
              <w:bottom w:val="single" w:color="000000" w:sz="4" w:space="0"/>
            </w:tcBorders>
            <w:vAlign w:val="center"/>
          </w:tcPr>
          <w:p w14:paraId="467D8429">
            <w:pPr>
              <w:pStyle w:val="17"/>
              <w:spacing w:line="240" w:lineRule="auto"/>
              <w:rPr>
                <w:color w:val="000000" w:themeColor="text1"/>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0.34</w:t>
            </w:r>
            <w:r>
              <w:rPr>
                <w:rFonts w:hint="eastAsia"/>
                <w:color w:val="000000" w:themeColor="text1"/>
                <w:sz w:val="24"/>
                <w:szCs w:val="24"/>
                <w14:textFill>
                  <w14:solidFill>
                    <w14:schemeClr w14:val="tx1"/>
                  </w14:solidFill>
                </w14:textFill>
              </w:rPr>
              <w:t>%</w:t>
            </w:r>
          </w:p>
        </w:tc>
      </w:tr>
      <w:tr w14:paraId="3CD11B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7" w:hRule="atLeast"/>
        </w:trPr>
        <w:tc>
          <w:tcPr>
            <w:tcW w:w="1740" w:type="dxa"/>
            <w:tcBorders>
              <w:top w:val="single" w:color="000000" w:sz="4" w:space="0"/>
              <w:bottom w:val="single" w:color="000000" w:sz="4" w:space="0"/>
              <w:right w:val="single" w:color="000000" w:sz="4" w:space="0"/>
            </w:tcBorders>
            <w:vAlign w:val="center"/>
          </w:tcPr>
          <w:p w14:paraId="55504506">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实际总概算</w:t>
            </w:r>
          </w:p>
          <w:p w14:paraId="4C883F18">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（万元）</w:t>
            </w:r>
          </w:p>
        </w:tc>
        <w:tc>
          <w:tcPr>
            <w:tcW w:w="2236" w:type="dxa"/>
            <w:tcBorders>
              <w:top w:val="single" w:color="000000" w:sz="4" w:space="0"/>
              <w:left w:val="single" w:color="000000" w:sz="4" w:space="0"/>
              <w:bottom w:val="single" w:color="000000" w:sz="4" w:space="0"/>
              <w:right w:val="single" w:color="000000" w:sz="4" w:space="0"/>
            </w:tcBorders>
            <w:vAlign w:val="center"/>
          </w:tcPr>
          <w:p w14:paraId="3BC7E66F">
            <w:pPr>
              <w:pStyle w:val="17"/>
              <w:spacing w:line="240" w:lineRule="auto"/>
              <w:rPr>
                <w:rFonts w:hint="default" w:eastAsia="宋体"/>
                <w:color w:val="000000" w:themeColor="text1"/>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199705.13</w:t>
            </w:r>
          </w:p>
        </w:tc>
        <w:tc>
          <w:tcPr>
            <w:tcW w:w="2025" w:type="dxa"/>
            <w:tcBorders>
              <w:top w:val="single" w:color="000000" w:sz="4" w:space="0"/>
              <w:left w:val="single" w:color="000000" w:sz="4" w:space="0"/>
              <w:bottom w:val="single" w:color="000000" w:sz="4" w:space="0"/>
              <w:right w:val="single" w:color="000000" w:sz="4" w:space="0"/>
            </w:tcBorders>
            <w:vAlign w:val="center"/>
          </w:tcPr>
          <w:p w14:paraId="16EBB29A">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环境保护投资</w:t>
            </w:r>
          </w:p>
          <w:p w14:paraId="5B727BDD">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（万元）</w:t>
            </w:r>
          </w:p>
        </w:tc>
        <w:tc>
          <w:tcPr>
            <w:tcW w:w="1154" w:type="dxa"/>
            <w:tcBorders>
              <w:top w:val="single" w:color="000000" w:sz="4" w:space="0"/>
              <w:left w:val="single" w:color="000000" w:sz="4" w:space="0"/>
              <w:bottom w:val="single" w:color="000000" w:sz="4" w:space="0"/>
              <w:right w:val="single" w:color="000000" w:sz="4" w:space="0"/>
            </w:tcBorders>
            <w:vAlign w:val="center"/>
          </w:tcPr>
          <w:p w14:paraId="4F40A539">
            <w:pPr>
              <w:pStyle w:val="17"/>
              <w:spacing w:line="240" w:lineRule="auto"/>
              <w:rPr>
                <w:rFonts w:hint="default" w:eastAsia="宋体"/>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681</w:t>
            </w:r>
          </w:p>
        </w:tc>
        <w:tc>
          <w:tcPr>
            <w:tcW w:w="714" w:type="dxa"/>
            <w:tcBorders>
              <w:top w:val="single" w:color="000000" w:sz="4" w:space="0"/>
              <w:left w:val="single" w:color="000000" w:sz="4" w:space="0"/>
              <w:bottom w:val="single" w:color="000000" w:sz="4" w:space="0"/>
              <w:right w:val="single" w:color="000000" w:sz="4" w:space="0"/>
            </w:tcBorders>
            <w:vAlign w:val="center"/>
          </w:tcPr>
          <w:p w14:paraId="524B27D4">
            <w:pPr>
              <w:spacing w:line="240" w:lineRule="auto"/>
              <w:ind w:left="0" w:leftChars="0" w:firstLine="0" w:firstLineChars="0"/>
              <w:jc w:val="center"/>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比例</w:t>
            </w:r>
          </w:p>
        </w:tc>
        <w:tc>
          <w:tcPr>
            <w:tcW w:w="846" w:type="dxa"/>
            <w:tcBorders>
              <w:top w:val="single" w:color="000000" w:sz="4" w:space="0"/>
              <w:left w:val="single" w:color="000000" w:sz="4" w:space="0"/>
              <w:bottom w:val="single" w:color="000000" w:sz="4" w:space="0"/>
            </w:tcBorders>
            <w:vAlign w:val="center"/>
          </w:tcPr>
          <w:p w14:paraId="59C8FBF1">
            <w:pPr>
              <w:pStyle w:val="17"/>
              <w:spacing w:line="240" w:lineRule="auto"/>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0.34</w:t>
            </w:r>
            <w:r>
              <w:rPr>
                <w:rFonts w:hint="eastAsia"/>
                <w:color w:val="000000" w:themeColor="text1"/>
                <w:sz w:val="24"/>
                <w:szCs w:val="24"/>
                <w14:textFill>
                  <w14:solidFill>
                    <w14:schemeClr w14:val="tx1"/>
                  </w14:solidFill>
                </w14:textFill>
              </w:rPr>
              <w:t>%</w:t>
            </w:r>
          </w:p>
        </w:tc>
      </w:tr>
      <w:tr w14:paraId="52F6CA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c>
          <w:tcPr>
            <w:tcW w:w="1740" w:type="dxa"/>
            <w:tcBorders>
              <w:top w:val="single" w:color="000000" w:sz="4" w:space="0"/>
              <w:bottom w:val="single" w:color="000000" w:sz="4" w:space="0"/>
              <w:right w:val="single" w:color="000000" w:sz="4" w:space="0"/>
            </w:tcBorders>
            <w:vAlign w:val="center"/>
          </w:tcPr>
          <w:p w14:paraId="7E77C112">
            <w:pPr>
              <w:spacing w:line="240" w:lineRule="auto"/>
              <w:ind w:left="0" w:leftChars="0" w:firstLine="0" w:firstLineChars="0"/>
              <w:jc w:val="center"/>
              <w:rPr>
                <w:b/>
                <w:bCs/>
                <w:color w:val="000000" w:themeColor="text1"/>
                <w14:textFill>
                  <w14:solidFill>
                    <w14:schemeClr w14:val="tx1"/>
                  </w14:solidFill>
                </w14:textFill>
              </w:rPr>
            </w:pPr>
            <w:r>
              <w:rPr>
                <w:b/>
                <w:bCs/>
                <w:color w:val="000000" w:themeColor="text1"/>
                <w14:textFill>
                  <w14:solidFill>
                    <w14:schemeClr w14:val="tx1"/>
                  </w14:solidFill>
                </w14:textFill>
              </w:rPr>
              <w:t>项目建设</w:t>
            </w:r>
          </w:p>
          <w:p w14:paraId="687FE919">
            <w:pPr>
              <w:spacing w:line="240" w:lineRule="auto"/>
              <w:ind w:left="0" w:leftChars="0" w:firstLine="0" w:firstLineChars="0"/>
              <w:jc w:val="center"/>
              <w:rPr>
                <w:color w:val="000000" w:themeColor="text1"/>
                <w14:textFill>
                  <w14:solidFill>
                    <w14:schemeClr w14:val="tx1"/>
                  </w14:solidFill>
                </w14:textFill>
              </w:rPr>
            </w:pPr>
            <w:r>
              <w:rPr>
                <w:b/>
                <w:bCs/>
                <w:color w:val="000000" w:themeColor="text1"/>
                <w14:textFill>
                  <w14:solidFill>
                    <w14:schemeClr w14:val="tx1"/>
                  </w14:solidFill>
                </w14:textFill>
              </w:rPr>
              <w:t>过程简述</w:t>
            </w:r>
          </w:p>
        </w:tc>
        <w:tc>
          <w:tcPr>
            <w:tcW w:w="6975" w:type="dxa"/>
            <w:gridSpan w:val="5"/>
            <w:tcBorders>
              <w:top w:val="single" w:color="000000" w:sz="4" w:space="0"/>
              <w:left w:val="single" w:color="000000" w:sz="4" w:space="0"/>
              <w:bottom w:val="single" w:color="000000" w:sz="4" w:space="0"/>
            </w:tcBorders>
            <w:vAlign w:val="center"/>
          </w:tcPr>
          <w:p w14:paraId="7E8A2411">
            <w:pPr>
              <w:ind w:firstLine="480"/>
              <w:jc w:val="both"/>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尖扎金能新能源有限公司</w:t>
            </w:r>
            <w:r>
              <w:rPr>
                <w:color w:val="000000" w:themeColor="text1"/>
                <w:lang w:val="en-US"/>
                <w14:textFill>
                  <w14:solidFill>
                    <w14:schemeClr w14:val="tx1"/>
                  </w14:solidFill>
                </w14:textFill>
              </w:rPr>
              <w:t>于</w:t>
            </w:r>
            <w:r>
              <w:rPr>
                <w:rFonts w:hint="eastAsia"/>
                <w:color w:val="000000" w:themeColor="text1"/>
                <w:lang w:val="en-US"/>
                <w14:textFill>
                  <w14:solidFill>
                    <w14:schemeClr w14:val="tx1"/>
                  </w14:solidFill>
                </w14:textFill>
              </w:rPr>
              <w:t>202</w:t>
            </w:r>
            <w:r>
              <w:rPr>
                <w:rFonts w:hint="eastAsia"/>
                <w:color w:val="000000" w:themeColor="text1"/>
                <w:lang w:val="en-US" w:eastAsia="zh-CN"/>
                <w14:textFill>
                  <w14:solidFill>
                    <w14:schemeClr w14:val="tx1"/>
                  </w14:solidFill>
                </w14:textFill>
              </w:rPr>
              <w:t>2</w:t>
            </w:r>
            <w:r>
              <w:rPr>
                <w:color w:val="000000" w:themeColor="text1"/>
                <w:lang w:val="en-US"/>
                <w14:textFill>
                  <w14:solidFill>
                    <w14:schemeClr w14:val="tx1"/>
                  </w14:solidFill>
                </w14:textFill>
              </w:rPr>
              <w:t>年</w:t>
            </w:r>
            <w:r>
              <w:rPr>
                <w:rFonts w:hint="eastAsia"/>
                <w:color w:val="000000" w:themeColor="text1"/>
                <w:lang w:val="en-US" w:eastAsia="zh-CN"/>
                <w14:textFill>
                  <w14:solidFill>
                    <w14:schemeClr w14:val="tx1"/>
                  </w14:solidFill>
                </w14:textFill>
              </w:rPr>
              <w:t>5</w:t>
            </w:r>
            <w:r>
              <w:rPr>
                <w:color w:val="000000" w:themeColor="text1"/>
                <w:lang w:val="en-US"/>
                <w14:textFill>
                  <w14:solidFill>
                    <w14:schemeClr w14:val="tx1"/>
                  </w14:solidFill>
                </w14:textFill>
              </w:rPr>
              <w:t>月委托</w:t>
            </w:r>
            <w:r>
              <w:rPr>
                <w:rFonts w:hint="eastAsia"/>
                <w:color w:val="000000" w:themeColor="text1"/>
                <w:szCs w:val="24"/>
                <w:lang w:eastAsia="zh-CN"/>
                <w14:textFill>
                  <w14:solidFill>
                    <w14:schemeClr w14:val="tx1"/>
                  </w14:solidFill>
                </w14:textFill>
              </w:rPr>
              <w:t>青海青唐环境工程有限公司</w:t>
            </w:r>
            <w:r>
              <w:rPr>
                <w:color w:val="000000" w:themeColor="text1"/>
                <w:lang w:val="en-US"/>
                <w14:textFill>
                  <w14:solidFill>
                    <w14:schemeClr w14:val="tx1"/>
                  </w14:solidFill>
                </w14:textFill>
              </w:rPr>
              <w:t>进行该项目的环境影响评价工作，并编制完成了《</w:t>
            </w:r>
            <w:r>
              <w:rPr>
                <w:rFonts w:hint="eastAsia"/>
                <w:color w:val="000000" w:themeColor="text1"/>
                <w:lang w:val="en-US" w:eastAsia="zh-CN"/>
                <w14:textFill>
                  <w14:solidFill>
                    <w14:schemeClr w14:val="tx1"/>
                  </w14:solidFill>
                </w14:textFill>
              </w:rPr>
              <w:t>尖扎县尖扎滩乡40万千瓦“牧光储”一体化建设项目</w:t>
            </w:r>
            <w:r>
              <w:rPr>
                <w:color w:val="000000" w:themeColor="text1"/>
                <w:lang w:val="en-US"/>
                <w14:textFill>
                  <w14:solidFill>
                    <w14:schemeClr w14:val="tx1"/>
                  </w14:solidFill>
                </w14:textFill>
              </w:rPr>
              <w:t>环境影响报告表》。</w:t>
            </w:r>
          </w:p>
          <w:p w14:paraId="50A89944">
            <w:pPr>
              <w:ind w:firstLine="480"/>
              <w:jc w:val="both"/>
              <w:rPr>
                <w:color w:val="000000" w:themeColor="text1"/>
                <w:lang w:val="en-US"/>
                <w14:textFill>
                  <w14:solidFill>
                    <w14:schemeClr w14:val="tx1"/>
                  </w14:solidFill>
                </w14:textFill>
              </w:rPr>
            </w:pPr>
            <w:r>
              <w:rPr>
                <w:color w:val="000000" w:themeColor="text1"/>
                <w:lang w:val="en-US"/>
                <w14:textFill>
                  <w14:solidFill>
                    <w14:schemeClr w14:val="tx1"/>
                  </w14:solidFill>
                </w14:textFill>
              </w:rPr>
              <w:t>20</w:t>
            </w:r>
            <w:r>
              <w:rPr>
                <w:rFonts w:hint="eastAsia"/>
                <w:color w:val="000000" w:themeColor="text1"/>
                <w:lang w:val="en-US"/>
                <w14:textFill>
                  <w14:solidFill>
                    <w14:schemeClr w14:val="tx1"/>
                  </w14:solidFill>
                </w14:textFill>
              </w:rPr>
              <w:t>2</w:t>
            </w:r>
            <w:r>
              <w:rPr>
                <w:rFonts w:hint="eastAsia"/>
                <w:color w:val="000000" w:themeColor="text1"/>
                <w:lang w:val="en-US" w:eastAsia="zh-CN"/>
                <w14:textFill>
                  <w14:solidFill>
                    <w14:schemeClr w14:val="tx1"/>
                  </w14:solidFill>
                </w14:textFill>
              </w:rPr>
              <w:t>2</w:t>
            </w:r>
            <w:r>
              <w:rPr>
                <w:color w:val="000000" w:themeColor="text1"/>
                <w:lang w:val="en-US"/>
                <w14:textFill>
                  <w14:solidFill>
                    <w14:schemeClr w14:val="tx1"/>
                  </w14:solidFill>
                </w14:textFill>
              </w:rPr>
              <w:t>年</w:t>
            </w:r>
            <w:r>
              <w:rPr>
                <w:rFonts w:hint="eastAsia"/>
                <w:color w:val="000000" w:themeColor="text1"/>
                <w:lang w:val="en-US" w:eastAsia="zh-CN"/>
                <w14:textFill>
                  <w14:solidFill>
                    <w14:schemeClr w14:val="tx1"/>
                  </w14:solidFill>
                </w14:textFill>
              </w:rPr>
              <w:t>10</w:t>
            </w:r>
            <w:r>
              <w:rPr>
                <w:color w:val="000000" w:themeColor="text1"/>
                <w:lang w:val="en-US"/>
                <w14:textFill>
                  <w14:solidFill>
                    <w14:schemeClr w14:val="tx1"/>
                  </w14:solidFill>
                </w14:textFill>
              </w:rPr>
              <w:t>月</w:t>
            </w:r>
            <w:r>
              <w:rPr>
                <w:rFonts w:hint="eastAsia"/>
                <w:color w:val="000000" w:themeColor="text1"/>
                <w:lang w:val="en-US" w:eastAsia="zh-CN"/>
                <w14:textFill>
                  <w14:solidFill>
                    <w14:schemeClr w14:val="tx1"/>
                  </w14:solidFill>
                </w14:textFill>
              </w:rPr>
              <w:t>14</w:t>
            </w:r>
            <w:r>
              <w:rPr>
                <w:color w:val="000000" w:themeColor="text1"/>
                <w:lang w:val="en-US"/>
                <w14:textFill>
                  <w14:solidFill>
                    <w14:schemeClr w14:val="tx1"/>
                  </w14:solidFill>
                </w14:textFill>
              </w:rPr>
              <w:t>日，</w:t>
            </w:r>
            <w:r>
              <w:rPr>
                <w:rFonts w:hint="eastAsia"/>
                <w:color w:val="000000" w:themeColor="text1"/>
                <w:lang w:val="en-US" w:eastAsia="zh-CN"/>
                <w14:textFill>
                  <w14:solidFill>
                    <w14:schemeClr w14:val="tx1"/>
                  </w14:solidFill>
                </w14:textFill>
              </w:rPr>
              <w:t>黄南州生态环境局</w:t>
            </w:r>
            <w:r>
              <w:rPr>
                <w:color w:val="000000" w:themeColor="text1"/>
                <w:lang w:val="en-US"/>
                <w14:textFill>
                  <w14:solidFill>
                    <w14:schemeClr w14:val="tx1"/>
                  </w14:solidFill>
                </w14:textFill>
              </w:rPr>
              <w:t>对《</w:t>
            </w:r>
            <w:r>
              <w:rPr>
                <w:rFonts w:hint="eastAsia"/>
                <w:color w:val="000000" w:themeColor="text1"/>
                <w:lang w:val="en-US" w:eastAsia="zh-CN"/>
                <w14:textFill>
                  <w14:solidFill>
                    <w14:schemeClr w14:val="tx1"/>
                  </w14:solidFill>
                </w14:textFill>
              </w:rPr>
              <w:t>中国电建集团尖扎县尖扎滩乡40万千瓦“牧光储”一体化建设项目</w:t>
            </w:r>
            <w:r>
              <w:rPr>
                <w:color w:val="000000" w:themeColor="text1"/>
                <w:lang w:val="en-US"/>
                <w14:textFill>
                  <w14:solidFill>
                    <w14:schemeClr w14:val="tx1"/>
                  </w14:solidFill>
                </w14:textFill>
              </w:rPr>
              <w:t>环境影响报告表》进行了批复（</w:t>
            </w:r>
            <w:r>
              <w:rPr>
                <w:rFonts w:hint="eastAsia"/>
                <w:color w:val="000000" w:themeColor="text1"/>
                <w:lang w:val="en-US"/>
                <w14:textFill>
                  <w14:solidFill>
                    <w14:schemeClr w14:val="tx1"/>
                  </w14:solidFill>
                </w14:textFill>
              </w:rPr>
              <w:t>黄生发〔2022〕89号</w:t>
            </w:r>
            <w:r>
              <w:rPr>
                <w:rFonts w:hint="eastAsia"/>
                <w:color w:val="000000" w:themeColor="text1"/>
                <w:lang w:val="en-US" w:eastAsia="zh-CN"/>
                <w14:textFill>
                  <w14:solidFill>
                    <w14:schemeClr w14:val="tx1"/>
                  </w14:solidFill>
                </w14:textFill>
              </w:rPr>
              <w:t xml:space="preserve"> </w:t>
            </w:r>
            <w:r>
              <w:rPr>
                <w:color w:val="000000" w:themeColor="text1"/>
                <w:lang w:val="en-US"/>
                <w14:textFill>
                  <w14:solidFill>
                    <w14:schemeClr w14:val="tx1"/>
                  </w14:solidFill>
                </w14:textFill>
              </w:rPr>
              <w:t>），同意项目建设。</w:t>
            </w:r>
          </w:p>
          <w:p w14:paraId="0B27A481">
            <w:pPr>
              <w:ind w:firstLine="480"/>
              <w:jc w:val="both"/>
              <w:rPr>
                <w:rFonts w:hint="eastAsia"/>
                <w:color w:val="000000" w:themeColor="text1"/>
                <w:lang w:val="en-US" w:eastAsia="zh-CN"/>
                <w14:textFill>
                  <w14:solidFill>
                    <w14:schemeClr w14:val="tx1"/>
                  </w14:solidFill>
                </w14:textFill>
              </w:rPr>
            </w:pPr>
            <w:r>
              <w:rPr>
                <w:color w:val="000000" w:themeColor="text1"/>
                <w:lang w:val="en-US"/>
                <w14:textFill>
                  <w14:solidFill>
                    <w14:schemeClr w14:val="tx1"/>
                  </w14:solidFill>
                </w14:textFill>
              </w:rPr>
              <w:t>根据《中华人民共和国环境保护法》、《建设项目竣工环境保护验收暂行办法》、《建设项目竣工环境保护验收调查技术规范－生态影响类》等相关规定，</w:t>
            </w:r>
            <w:r>
              <w:rPr>
                <w:rFonts w:hint="eastAsia"/>
                <w:color w:val="000000" w:themeColor="text1"/>
                <w:lang w:eastAsia="zh-CN"/>
                <w14:textFill>
                  <w14:solidFill>
                    <w14:schemeClr w14:val="tx1"/>
                  </w14:solidFill>
                </w14:textFill>
              </w:rPr>
              <w:t>尖扎金能新能源有限公司</w:t>
            </w:r>
            <w:r>
              <w:rPr>
                <w:color w:val="000000" w:themeColor="text1"/>
                <w:lang w:val="en-US"/>
                <w14:textFill>
                  <w14:solidFill>
                    <w14:schemeClr w14:val="tx1"/>
                  </w14:solidFill>
                </w14:textFill>
              </w:rPr>
              <w:t>于20</w:t>
            </w:r>
            <w:r>
              <w:rPr>
                <w:rFonts w:hint="eastAsia"/>
                <w:color w:val="000000" w:themeColor="text1"/>
                <w:lang w:val="en-US"/>
                <w14:textFill>
                  <w14:solidFill>
                    <w14:schemeClr w14:val="tx1"/>
                  </w14:solidFill>
                </w14:textFill>
              </w:rPr>
              <w:t>2</w:t>
            </w:r>
            <w:r>
              <w:rPr>
                <w:rFonts w:hint="eastAsia"/>
                <w:color w:val="000000" w:themeColor="text1"/>
                <w:lang w:val="en-US" w:eastAsia="zh-CN"/>
                <w14:textFill>
                  <w14:solidFill>
                    <w14:schemeClr w14:val="tx1"/>
                  </w14:solidFill>
                </w14:textFill>
              </w:rPr>
              <w:t>4</w:t>
            </w:r>
            <w:r>
              <w:rPr>
                <w:color w:val="000000" w:themeColor="text1"/>
                <w:lang w:val="en-US"/>
                <w14:textFill>
                  <w14:solidFill>
                    <w14:schemeClr w14:val="tx1"/>
                  </w14:solidFill>
                </w14:textFill>
              </w:rPr>
              <w:t>年</w:t>
            </w:r>
            <w:r>
              <w:rPr>
                <w:rFonts w:hint="eastAsia"/>
                <w:color w:val="000000" w:themeColor="text1"/>
                <w:lang w:val="en-US" w:eastAsia="zh-CN"/>
                <w14:textFill>
                  <w14:solidFill>
                    <w14:schemeClr w14:val="tx1"/>
                  </w14:solidFill>
                </w14:textFill>
              </w:rPr>
              <w:t>7</w:t>
            </w:r>
            <w:r>
              <w:rPr>
                <w:color w:val="000000" w:themeColor="text1"/>
                <w:lang w:val="en-US"/>
                <w14:textFill>
                  <w14:solidFill>
                    <w14:schemeClr w14:val="tx1"/>
                  </w14:solidFill>
                </w14:textFill>
              </w:rPr>
              <w:t>月</w:t>
            </w:r>
            <w:r>
              <w:rPr>
                <w:rFonts w:hint="eastAsia"/>
                <w:color w:val="000000" w:themeColor="text1"/>
                <w:lang w:val="en-US" w:eastAsia="zh-CN"/>
                <w14:textFill>
                  <w14:solidFill>
                    <w14:schemeClr w14:val="tx1"/>
                  </w14:solidFill>
                </w14:textFill>
              </w:rPr>
              <w:t>成立</w:t>
            </w:r>
            <w:r>
              <w:rPr>
                <w:color w:val="000000" w:themeColor="text1"/>
                <w:lang w:val="en-US"/>
                <w14:textFill>
                  <w14:solidFill>
                    <w14:schemeClr w14:val="tx1"/>
                  </w14:solidFill>
                </w14:textFill>
              </w:rPr>
              <w:t>竣工环境保护验收</w:t>
            </w:r>
            <w:r>
              <w:rPr>
                <w:rFonts w:hint="eastAsia"/>
                <w:color w:val="000000" w:themeColor="text1"/>
                <w:lang w:val="en-US" w:eastAsia="zh-CN"/>
                <w14:textFill>
                  <w14:solidFill>
                    <w14:schemeClr w14:val="tx1"/>
                  </w14:solidFill>
                </w14:textFill>
              </w:rPr>
              <w:t>调查工作组，</w:t>
            </w:r>
            <w:r>
              <w:rPr>
                <w:color w:val="000000" w:themeColor="text1"/>
                <w:lang w:val="en-US"/>
                <w14:textFill>
                  <w14:solidFill>
                    <w14:schemeClr w14:val="tx1"/>
                  </w14:solidFill>
                </w14:textFill>
              </w:rPr>
              <w:t>进行</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尖扎县尖扎滩乡40万千瓦“牧光储”一体化建设项目</w:t>
            </w:r>
            <w:r>
              <w:rPr>
                <w:rFonts w:hint="eastAsia"/>
                <w:color w:val="000000" w:themeColor="text1"/>
                <w:lang w:val="en-US"/>
                <w14:textFill>
                  <w14:solidFill>
                    <w14:schemeClr w14:val="tx1"/>
                  </w14:solidFill>
                </w14:textFill>
              </w:rPr>
              <w:t>”</w:t>
            </w:r>
            <w:r>
              <w:rPr>
                <w:color w:val="000000" w:themeColor="text1"/>
                <w:lang w:val="en-US"/>
                <w14:textFill>
                  <w14:solidFill>
                    <w14:schemeClr w14:val="tx1"/>
                  </w14:solidFill>
                </w14:textFill>
              </w:rPr>
              <w:t>竣工环境保护验收工作</w:t>
            </w:r>
            <w:r>
              <w:rPr>
                <w:rFonts w:hint="eastAsia"/>
                <w:color w:val="000000" w:themeColor="text1"/>
                <w:lang w:val="en-US" w:eastAsia="zh-CN"/>
                <w14:textFill>
                  <w14:solidFill>
                    <w14:schemeClr w14:val="tx1"/>
                  </w14:solidFill>
                </w14:textFill>
              </w:rPr>
              <w:t>。</w:t>
            </w:r>
          </w:p>
          <w:p w14:paraId="19E8F8FC">
            <w:pPr>
              <w:ind w:firstLine="480"/>
              <w:jc w:val="both"/>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工作组在</w:t>
            </w:r>
            <w:r>
              <w:rPr>
                <w:color w:val="000000" w:themeColor="text1"/>
                <w:lang w:val="en-US"/>
                <w14:textFill>
                  <w14:solidFill>
                    <w14:schemeClr w14:val="tx1"/>
                  </w14:solidFill>
                </w14:textFill>
              </w:rPr>
              <w:t>对项目环境状况进行了实地踏勘、资料收集，并认真研究了相关技术资料和竣工资料，对本项目环境保护治理措施、环境敏感点、施工占地的生态恢复及环保措施的执行情况等方面进行了重点调查，在此基础上编制完成了</w:t>
            </w:r>
            <w:r>
              <w:rPr>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尖扎县尖扎滩乡40万千瓦“牧光储”一体化建设项目</w:t>
            </w:r>
            <w:r>
              <w:rPr>
                <w:color w:val="000000" w:themeColor="text1"/>
                <w:lang w:val="en-US"/>
                <w14:textFill>
                  <w14:solidFill>
                    <w14:schemeClr w14:val="tx1"/>
                  </w14:solidFill>
                </w14:textFill>
              </w:rPr>
              <w:t>竣工环境保护设施验收调查报告表</w:t>
            </w:r>
            <w:r>
              <w:rPr>
                <w:color w:val="000000" w:themeColor="text1"/>
                <w14:textFill>
                  <w14:solidFill>
                    <w14:schemeClr w14:val="tx1"/>
                  </w14:solidFill>
                </w14:textFill>
              </w:rPr>
              <w:t>》</w:t>
            </w:r>
            <w:r>
              <w:rPr>
                <w:color w:val="000000" w:themeColor="text1"/>
                <w:lang w:val="en-US"/>
                <w14:textFill>
                  <w14:solidFill>
                    <w14:schemeClr w14:val="tx1"/>
                  </w14:solidFill>
                </w14:textFill>
              </w:rPr>
              <w:t>。</w:t>
            </w:r>
          </w:p>
        </w:tc>
      </w:tr>
      <w:tr w14:paraId="5F603F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632" w:hRule="atLeast"/>
        </w:trPr>
        <w:tc>
          <w:tcPr>
            <w:tcW w:w="1740" w:type="dxa"/>
            <w:tcBorders>
              <w:top w:val="single" w:color="000000" w:sz="4" w:space="0"/>
              <w:right w:val="single" w:color="000000" w:sz="4" w:space="0"/>
            </w:tcBorders>
            <w:vAlign w:val="center"/>
          </w:tcPr>
          <w:p w14:paraId="6B663527">
            <w:pPr>
              <w:pStyle w:val="16"/>
              <w:ind w:left="0" w:leftChars="0" w:right="0" w:rightChars="0" w:firstLine="482"/>
              <w:jc w:val="both"/>
              <w:rPr>
                <w:color w:val="000000" w:themeColor="text1"/>
                <w14:textFill>
                  <w14:solidFill>
                    <w14:schemeClr w14:val="tx1"/>
                  </w14:solidFill>
                </w14:textFill>
              </w:rPr>
            </w:pPr>
            <w:r>
              <w:rPr>
                <w:b/>
                <w:color w:val="000000" w:themeColor="text1"/>
                <w:szCs w:val="24"/>
                <w14:textFill>
                  <w14:solidFill>
                    <w14:schemeClr w14:val="tx1"/>
                  </w14:solidFill>
                </w14:textFill>
              </w:rPr>
              <w:t>验收依据</w:t>
            </w:r>
          </w:p>
        </w:tc>
        <w:tc>
          <w:tcPr>
            <w:tcW w:w="6975" w:type="dxa"/>
            <w:gridSpan w:val="5"/>
            <w:tcBorders>
              <w:top w:val="single" w:color="000000" w:sz="4" w:space="0"/>
              <w:left w:val="single" w:color="000000" w:sz="4" w:space="0"/>
            </w:tcBorders>
            <w:vAlign w:val="center"/>
          </w:tcPr>
          <w:p w14:paraId="50F4A45B">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1.法律、法规与技术规范</w:t>
            </w:r>
          </w:p>
          <w:p w14:paraId="529B1FF1">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（1）《中华人民共和国环境保护法》（2015年1月1日）；</w:t>
            </w:r>
          </w:p>
          <w:p w14:paraId="05291A25">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（2）《中华人民共和国环境影响评价法》（2018年12月29日）；</w:t>
            </w:r>
          </w:p>
          <w:p w14:paraId="37448BDD">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（3）《建设项目竣工环境保护验收技术规范 生态影响类》（2008年2月1日）；</w:t>
            </w:r>
          </w:p>
          <w:p w14:paraId="19DC4165">
            <w:pPr>
              <w:pStyle w:val="2"/>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（4）《建设项目竣工环境保护验收技术规范</w:t>
            </w:r>
            <w:r>
              <w:rPr>
                <w:rFonts w:hint="eastAsia"/>
                <w:color w:val="000000" w:themeColor="text1"/>
                <w:lang w:val="en-US"/>
                <w14:textFill>
                  <w14:solidFill>
                    <w14:schemeClr w14:val="tx1"/>
                  </w14:solidFill>
                </w14:textFill>
              </w:rPr>
              <w:t xml:space="preserve"> </w:t>
            </w:r>
            <w:r>
              <w:rPr>
                <w:rFonts w:hint="eastAsia"/>
                <w:color w:val="000000" w:themeColor="text1"/>
                <w14:textFill>
                  <w14:solidFill>
                    <w14:schemeClr w14:val="tx1"/>
                  </w14:solidFill>
                </w14:textFill>
              </w:rPr>
              <w:t>生态影响类》</w:t>
            </w:r>
            <w:r>
              <w:rPr>
                <w:rFonts w:hint="eastAsia"/>
                <w:color w:val="000000" w:themeColor="text1"/>
                <w:lang w:val="en-US" w:eastAsia="zh-CN"/>
                <w14:textFill>
                  <w14:solidFill>
                    <w14:schemeClr w14:val="tx1"/>
                  </w14:solidFill>
                </w14:textFill>
              </w:rPr>
              <w:t>征求意见</w:t>
            </w:r>
            <w:r>
              <w:rPr>
                <w:rFonts w:hint="eastAsia"/>
                <w:color w:val="000000" w:themeColor="text1"/>
                <w14:textFill>
                  <w14:solidFill>
                    <w14:schemeClr w14:val="tx1"/>
                  </w14:solidFill>
                </w14:textFill>
              </w:rPr>
              <w:t>稿（2018年9月25日）；</w:t>
            </w:r>
          </w:p>
          <w:p w14:paraId="5E0D2021">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lang w:val="en-US"/>
                <w14:textFill>
                  <w14:solidFill>
                    <w14:schemeClr w14:val="tx1"/>
                  </w14:solidFill>
                </w14:textFill>
              </w:rPr>
              <w:t>5</w:t>
            </w:r>
            <w:r>
              <w:rPr>
                <w:rFonts w:hint="eastAsia"/>
                <w:color w:val="000000" w:themeColor="text1"/>
                <w14:textFill>
                  <w14:solidFill>
                    <w14:schemeClr w14:val="tx1"/>
                  </w14:solidFill>
                </w14:textFill>
              </w:rPr>
              <w:t>）《建设项目环境保护管理条例》（国务院682号令，2017.10.1）；</w:t>
            </w:r>
          </w:p>
          <w:p w14:paraId="7B30D8EC">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lang w:val="en-US"/>
                <w14:textFill>
                  <w14:solidFill>
                    <w14:schemeClr w14:val="tx1"/>
                  </w14:solidFill>
                </w14:textFill>
              </w:rPr>
              <w:t>6</w:t>
            </w:r>
            <w:r>
              <w:rPr>
                <w:rFonts w:hint="eastAsia"/>
                <w:color w:val="000000" w:themeColor="text1"/>
                <w14:textFill>
                  <w14:solidFill>
                    <w14:schemeClr w14:val="tx1"/>
                  </w14:solidFill>
                </w14:textFill>
              </w:rPr>
              <w:t>）《建设项目环境保护设施竣工验收暂行办法》（国环规环评</w:t>
            </w:r>
            <w:r>
              <w:rPr>
                <w:color w:val="000000" w:themeColor="text1"/>
                <w:szCs w:val="24"/>
                <w14:textFill>
                  <w14:solidFill>
                    <w14:schemeClr w14:val="tx1"/>
                  </w14:solidFill>
                </w14:textFill>
              </w:rPr>
              <w:t>〔201</w:t>
            </w:r>
            <w:r>
              <w:rPr>
                <w:rFonts w:hint="eastAsia"/>
                <w:color w:val="000000" w:themeColor="text1"/>
                <w:szCs w:val="24"/>
                <w:lang w:val="en-US"/>
                <w14:textFill>
                  <w14:solidFill>
                    <w14:schemeClr w14:val="tx1"/>
                  </w14:solidFill>
                </w14:textFill>
              </w:rPr>
              <w:t>7</w:t>
            </w:r>
            <w:r>
              <w:rPr>
                <w:color w:val="000000" w:themeColor="text1"/>
                <w:szCs w:val="24"/>
                <w14:textFill>
                  <w14:solidFill>
                    <w14:schemeClr w14:val="tx1"/>
                  </w14:solidFill>
                </w14:textFill>
              </w:rPr>
              <w:t>〕</w:t>
            </w:r>
            <w:r>
              <w:rPr>
                <w:rFonts w:hint="eastAsia"/>
                <w:color w:val="000000" w:themeColor="text1"/>
                <w14:textFill>
                  <w14:solidFill>
                    <w14:schemeClr w14:val="tx1"/>
                  </w14:solidFill>
                </w14:textFill>
              </w:rPr>
              <w:t>4号）；</w:t>
            </w:r>
          </w:p>
          <w:p w14:paraId="4A43744A">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lang w:val="en-US"/>
                <w14:textFill>
                  <w14:solidFill>
                    <w14:schemeClr w14:val="tx1"/>
                  </w14:solidFill>
                </w14:textFill>
              </w:rPr>
              <w:t>7</w:t>
            </w:r>
            <w:r>
              <w:rPr>
                <w:rFonts w:hint="eastAsia"/>
                <w:color w:val="000000" w:themeColor="text1"/>
                <w14:textFill>
                  <w14:solidFill>
                    <w14:schemeClr w14:val="tx1"/>
                  </w14:solidFill>
                </w14:textFill>
              </w:rPr>
              <w:t>）《关于印发环评管理中部分行业建设项目重大变动清单的通知》（环办</w:t>
            </w:r>
            <w:r>
              <w:rPr>
                <w:color w:val="000000" w:themeColor="text1"/>
                <w:szCs w:val="24"/>
                <w14:textFill>
                  <w14:solidFill>
                    <w14:schemeClr w14:val="tx1"/>
                  </w14:solidFill>
                </w14:textFill>
              </w:rPr>
              <w:t>〔201</w:t>
            </w:r>
            <w:r>
              <w:rPr>
                <w:rFonts w:hint="eastAsia"/>
                <w:color w:val="000000" w:themeColor="text1"/>
                <w:szCs w:val="24"/>
                <w:lang w:val="en-US"/>
                <w14:textFill>
                  <w14:solidFill>
                    <w14:schemeClr w14:val="tx1"/>
                  </w14:solidFill>
                </w14:textFill>
              </w:rPr>
              <w:t>5</w:t>
            </w:r>
            <w:r>
              <w:rPr>
                <w:color w:val="000000" w:themeColor="text1"/>
                <w:szCs w:val="24"/>
                <w14:textFill>
                  <w14:solidFill>
                    <w14:schemeClr w14:val="tx1"/>
                  </w14:solidFill>
                </w14:textFill>
              </w:rPr>
              <w:t>〕</w:t>
            </w:r>
            <w:r>
              <w:rPr>
                <w:rFonts w:hint="eastAsia"/>
                <w:color w:val="000000" w:themeColor="text1"/>
                <w14:textFill>
                  <w14:solidFill>
                    <w14:schemeClr w14:val="tx1"/>
                  </w14:solidFill>
                </w14:textFill>
              </w:rPr>
              <w:t>52号）。</w:t>
            </w:r>
          </w:p>
          <w:p w14:paraId="5DEC0931">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2、</w:t>
            </w:r>
            <w:r>
              <w:rPr>
                <w:color w:val="000000" w:themeColor="text1"/>
                <w14:textFill>
                  <w14:solidFill>
                    <w14:schemeClr w14:val="tx1"/>
                  </w14:solidFill>
                </w14:textFill>
              </w:rPr>
              <w:t>工程资料</w:t>
            </w:r>
          </w:p>
          <w:p w14:paraId="74773A80">
            <w:pPr>
              <w:ind w:firstLine="480"/>
              <w:jc w:val="both"/>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1</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工程建设竣工资料。</w:t>
            </w:r>
          </w:p>
          <w:p w14:paraId="00B5E420">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3</w:t>
            </w:r>
            <w:r>
              <w:rPr>
                <w:color w:val="000000" w:themeColor="text1"/>
                <w14:textFill>
                  <w14:solidFill>
                    <w14:schemeClr w14:val="tx1"/>
                  </w14:solidFill>
                </w14:textFill>
              </w:rPr>
              <w:t>、环评报告及批复文件</w:t>
            </w:r>
          </w:p>
          <w:p w14:paraId="06EA1986">
            <w:pPr>
              <w:ind w:firstLine="480"/>
              <w:jc w:val="both"/>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szCs w:val="24"/>
                <w:lang w:eastAsia="zh-CN"/>
              </w:rPr>
              <w:t>青海青唐环境工程有限公司</w:t>
            </w:r>
            <w:r>
              <w:rPr>
                <w:color w:val="000000" w:themeColor="text1"/>
                <w14:textFill>
                  <w14:solidFill>
                    <w14:schemeClr w14:val="tx1"/>
                  </w14:solidFill>
                </w14:textFill>
              </w:rPr>
              <w:t>《</w:t>
            </w:r>
            <w:r>
              <w:rPr>
                <w:rFonts w:hint="eastAsia"/>
                <w:lang w:val="en-US" w:eastAsia="zh-CN"/>
              </w:rPr>
              <w:t>尖扎县尖扎滩乡40万千瓦“牧光储”一体化建设项目</w:t>
            </w:r>
            <w:r>
              <w:rPr>
                <w:color w:val="000000" w:themeColor="text1"/>
                <w14:textFill>
                  <w14:solidFill>
                    <w14:schemeClr w14:val="tx1"/>
                  </w14:solidFill>
                </w14:textFill>
              </w:rPr>
              <w:t>环境影响报告表》20</w:t>
            </w:r>
            <w:r>
              <w:rPr>
                <w:rFonts w:hint="eastAsia"/>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t>年</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t>月；</w:t>
            </w:r>
          </w:p>
          <w:p w14:paraId="1537034F">
            <w:pPr>
              <w:ind w:firstLine="480"/>
              <w:jc w:val="both"/>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黄南州</w:t>
            </w:r>
            <w:r>
              <w:rPr>
                <w:rFonts w:hint="eastAsia"/>
                <w:color w:val="000000" w:themeColor="text1"/>
                <w14:textFill>
                  <w14:solidFill>
                    <w14:schemeClr w14:val="tx1"/>
                  </w14:solidFill>
                </w14:textFill>
              </w:rPr>
              <w:t>生态环境局</w:t>
            </w:r>
            <w:r>
              <w:rPr>
                <w:color w:val="000000" w:themeColor="text1"/>
                <w14:textFill>
                  <w14:solidFill>
                    <w14:schemeClr w14:val="tx1"/>
                  </w14:solidFill>
                </w14:textFill>
              </w:rPr>
              <w:t>《关于</w:t>
            </w:r>
            <w:r>
              <w:rPr>
                <w:rFonts w:hint="eastAsia"/>
                <w:lang w:val="en-US" w:eastAsia="zh-CN"/>
              </w:rPr>
              <w:t>中国电建集团 尖扎县尖扎滩乡40万千瓦“牧光储”一体化建设项目</w:t>
            </w:r>
            <w:r>
              <w:rPr>
                <w:color w:val="000000" w:themeColor="text1"/>
                <w14:textFill>
                  <w14:solidFill>
                    <w14:schemeClr w14:val="tx1"/>
                  </w14:solidFill>
                </w14:textFill>
              </w:rPr>
              <w:t>环境影响报告表的批复》</w:t>
            </w:r>
            <w:r>
              <w:rPr>
                <w:rFonts w:hint="eastAsia"/>
                <w:color w:val="000000" w:themeColor="text1"/>
                <w14:textFill>
                  <w14:solidFill>
                    <w14:schemeClr w14:val="tx1"/>
                  </w14:solidFill>
                </w14:textFill>
              </w:rPr>
              <w:t>（黄生发〔2022〕89号</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2022.10.14）</w:t>
            </w:r>
            <w:r>
              <w:rPr>
                <w:color w:val="000000" w:themeColor="text1"/>
                <w14:textFill>
                  <w14:solidFill>
                    <w14:schemeClr w14:val="tx1"/>
                  </w14:solidFill>
                </w14:textFill>
              </w:rPr>
              <w:t>。</w:t>
            </w:r>
          </w:p>
          <w:p w14:paraId="3A83481C">
            <w:pPr>
              <w:pStyle w:val="2"/>
            </w:pPr>
          </w:p>
          <w:p w14:paraId="40944DEF">
            <w:pPr>
              <w:ind w:firstLine="480"/>
              <w:jc w:val="both"/>
            </w:pPr>
          </w:p>
          <w:p w14:paraId="1963F3D7">
            <w:pPr>
              <w:ind w:firstLine="480"/>
              <w:jc w:val="both"/>
            </w:pPr>
          </w:p>
          <w:p w14:paraId="60F166DE">
            <w:pPr>
              <w:ind w:firstLine="480"/>
              <w:jc w:val="both"/>
            </w:pPr>
          </w:p>
          <w:p w14:paraId="047773BD">
            <w:pPr>
              <w:ind w:firstLine="480"/>
              <w:jc w:val="both"/>
            </w:pPr>
          </w:p>
          <w:p w14:paraId="6D6D8294">
            <w:pPr>
              <w:ind w:firstLine="480"/>
              <w:jc w:val="both"/>
            </w:pPr>
          </w:p>
          <w:p w14:paraId="3688C3CA">
            <w:pPr>
              <w:pStyle w:val="2"/>
            </w:pPr>
          </w:p>
          <w:p w14:paraId="7F648456">
            <w:pPr>
              <w:pStyle w:val="2"/>
            </w:pPr>
          </w:p>
          <w:p w14:paraId="1DCD3F70">
            <w:pPr>
              <w:pStyle w:val="2"/>
            </w:pPr>
          </w:p>
          <w:p w14:paraId="2DA3B047">
            <w:pPr>
              <w:ind w:firstLine="480"/>
              <w:jc w:val="both"/>
            </w:pPr>
          </w:p>
          <w:p w14:paraId="1E452DA9">
            <w:pPr>
              <w:ind w:firstLine="480"/>
              <w:jc w:val="both"/>
            </w:pPr>
          </w:p>
          <w:p w14:paraId="6FEF97AB">
            <w:pPr>
              <w:ind w:firstLine="480"/>
              <w:jc w:val="both"/>
            </w:pPr>
          </w:p>
          <w:p w14:paraId="7856B1E9">
            <w:pPr>
              <w:ind w:firstLine="480"/>
              <w:jc w:val="both"/>
              <w:rPr>
                <w:rFonts w:hint="eastAsia"/>
              </w:rPr>
            </w:pPr>
          </w:p>
          <w:p w14:paraId="7EC1B42C">
            <w:pPr>
              <w:pStyle w:val="15"/>
              <w:spacing w:before="240"/>
              <w:ind w:firstLine="482"/>
              <w:rPr>
                <w:rFonts w:hint="eastAsia"/>
              </w:rPr>
            </w:pPr>
          </w:p>
          <w:p w14:paraId="6684C6C0">
            <w:pPr>
              <w:ind w:firstLine="480"/>
              <w:rPr>
                <w:rFonts w:hint="eastAsia"/>
              </w:rPr>
            </w:pPr>
          </w:p>
          <w:p w14:paraId="5291E632">
            <w:pPr>
              <w:pStyle w:val="2"/>
              <w:rPr>
                <w:rFonts w:hint="eastAsia"/>
              </w:rPr>
            </w:pPr>
          </w:p>
          <w:p w14:paraId="13E1EEF2">
            <w:pPr>
              <w:pStyle w:val="15"/>
              <w:spacing w:before="240"/>
              <w:ind w:firstLine="482"/>
              <w:rPr>
                <w:rFonts w:hint="eastAsia"/>
              </w:rPr>
            </w:pPr>
          </w:p>
          <w:p w14:paraId="6EE5364F">
            <w:pPr>
              <w:ind w:firstLine="480"/>
              <w:rPr>
                <w:rFonts w:hint="eastAsia"/>
              </w:rPr>
            </w:pPr>
          </w:p>
          <w:p w14:paraId="6B57F9DD">
            <w:pPr>
              <w:pStyle w:val="15"/>
              <w:spacing w:before="240"/>
              <w:ind w:firstLine="482"/>
            </w:pPr>
          </w:p>
          <w:p w14:paraId="097375B4">
            <w:pPr>
              <w:ind w:firstLine="480"/>
              <w:jc w:val="both"/>
            </w:pPr>
          </w:p>
          <w:p w14:paraId="39C526EF">
            <w:pPr>
              <w:pStyle w:val="2"/>
            </w:pPr>
          </w:p>
          <w:p w14:paraId="52FC2390">
            <w:pPr>
              <w:ind w:firstLine="480"/>
              <w:jc w:val="both"/>
            </w:pPr>
          </w:p>
          <w:p w14:paraId="3E1AF81E">
            <w:pPr>
              <w:pStyle w:val="2"/>
            </w:pPr>
          </w:p>
          <w:p w14:paraId="2DF0D9CB">
            <w:pPr>
              <w:pStyle w:val="2"/>
            </w:pPr>
          </w:p>
          <w:p w14:paraId="14DFF824">
            <w:pPr>
              <w:pStyle w:val="2"/>
            </w:pPr>
          </w:p>
          <w:p w14:paraId="512E1EBC">
            <w:pPr>
              <w:pStyle w:val="2"/>
            </w:pPr>
          </w:p>
          <w:p w14:paraId="0CB28418">
            <w:pPr>
              <w:pStyle w:val="2"/>
            </w:pPr>
          </w:p>
          <w:p w14:paraId="370EBE3A">
            <w:pPr>
              <w:pStyle w:val="2"/>
            </w:pPr>
          </w:p>
          <w:p w14:paraId="2B673B20">
            <w:pPr>
              <w:ind w:left="0" w:leftChars="0" w:firstLine="0" w:firstLineChars="0"/>
              <w:jc w:val="both"/>
            </w:pPr>
          </w:p>
        </w:tc>
      </w:tr>
    </w:tbl>
    <w:p w14:paraId="7CA1FA6E">
      <w:pPr>
        <w:ind w:firstLine="480"/>
        <w:rPr>
          <w:color w:val="000000" w:themeColor="text1"/>
          <w14:textFill>
            <w14:solidFill>
              <w14:schemeClr w14:val="tx1"/>
            </w14:solidFill>
          </w14:textFill>
        </w:rPr>
        <w:sectPr>
          <w:headerReference r:id="rId7" w:type="default"/>
          <w:pgSz w:w="11910" w:h="16840"/>
          <w:pgMar w:top="1440" w:right="1800" w:bottom="1440" w:left="1800" w:header="0" w:footer="685" w:gutter="0"/>
          <w:pgNumType w:start="1"/>
          <w:cols w:space="720" w:num="1"/>
        </w:sectPr>
      </w:pPr>
    </w:p>
    <w:p w14:paraId="6785C4B0">
      <w:pPr>
        <w:pStyle w:val="6"/>
        <w:spacing w:before="42"/>
        <w:ind w:firstLine="560"/>
        <w:rPr>
          <w:rFonts w:ascii="Times New Roman" w:hAnsi="Times New Roman"/>
          <w:color w:val="000000" w:themeColor="text1"/>
          <w:sz w:val="28"/>
          <w:szCs w:val="28"/>
          <w14:textFill>
            <w14:solidFill>
              <w14:schemeClr w14:val="tx1"/>
            </w14:solidFill>
          </w14:textFill>
        </w:rPr>
      </w:pPr>
      <w:r>
        <w:rPr>
          <w:rFonts w:hint="eastAsia" w:ascii="Times New Roman" w:hAnsi="Times New Roman"/>
          <w:color w:val="000000" w:themeColor="text1"/>
          <w:sz w:val="28"/>
          <w:szCs w:val="28"/>
          <w14:textFill>
            <w14:solidFill>
              <w14:schemeClr w14:val="tx1"/>
            </w14:solidFill>
          </w14:textFill>
        </w:rPr>
        <w:t>表二</w:t>
      </w:r>
    </w:p>
    <w:tbl>
      <w:tblPr>
        <w:tblStyle w:val="12"/>
        <w:tblW w:w="8756" w:type="dxa"/>
        <w:tblInd w:w="-2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756"/>
      </w:tblGrid>
      <w:tr w14:paraId="285046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trPr>
        <w:tc>
          <w:tcPr>
            <w:tcW w:w="8756" w:type="dxa"/>
            <w:tcBorders>
              <w:bottom w:val="single" w:color="000000" w:sz="4" w:space="0"/>
            </w:tcBorders>
          </w:tcPr>
          <w:p w14:paraId="188DE21D">
            <w:pPr>
              <w:ind w:firstLine="482"/>
              <w:jc w:val="both"/>
              <w:rPr>
                <w:b/>
                <w:bCs/>
                <w:color w:val="000000" w:themeColor="text1"/>
                <w14:textFill>
                  <w14:solidFill>
                    <w14:schemeClr w14:val="tx1"/>
                  </w14:solidFill>
                </w14:textFill>
              </w:rPr>
            </w:pPr>
            <w:r>
              <w:rPr>
                <w:b/>
                <w:bCs/>
                <w:color w:val="000000" w:themeColor="text1"/>
                <w14:textFill>
                  <w14:solidFill>
                    <w14:schemeClr w14:val="tx1"/>
                  </w14:solidFill>
                </w14:textFill>
              </w:rPr>
              <w:t>工程建设内容：</w:t>
            </w:r>
          </w:p>
          <w:p w14:paraId="2B401D0B">
            <w:pPr>
              <w:keepNext w:val="0"/>
              <w:keepLines w:val="0"/>
              <w:pageBreakBefore w:val="0"/>
              <w:widowControl w:val="0"/>
              <w:kinsoku/>
              <w:wordWrap/>
              <w:overflowPunct/>
              <w:topLinePunct w:val="0"/>
              <w:autoSpaceDE w:val="0"/>
              <w:autoSpaceDN w:val="0"/>
              <w:bidi w:val="0"/>
              <w:adjustRightInd/>
              <w:snapToGrid/>
              <w:ind w:left="48" w:leftChars="20" w:right="48" w:rightChars="20" w:firstLine="0" w:firstLineChars="0"/>
              <w:jc w:val="both"/>
              <w:textAlignment w:val="auto"/>
              <w:rPr>
                <w:rFonts w:cs="Times New Roman"/>
                <w:b/>
                <w:bCs/>
                <w:color w:val="000000" w:themeColor="text1"/>
                <w:lang w:val="en-US"/>
                <w14:textFill>
                  <w14:solidFill>
                    <w14:schemeClr w14:val="tx1"/>
                  </w14:solidFill>
                </w14:textFill>
              </w:rPr>
            </w:pPr>
            <w:r>
              <w:rPr>
                <w:rFonts w:hint="eastAsia" w:cs="Times New Roman"/>
                <w:b/>
                <w:bCs/>
                <w:color w:val="000000" w:themeColor="text1"/>
                <w:lang w:val="en-US"/>
                <w14:textFill>
                  <w14:solidFill>
                    <w14:schemeClr w14:val="tx1"/>
                  </w14:solidFill>
                </w14:textFill>
              </w:rPr>
              <w:t>1、项目概况</w:t>
            </w:r>
          </w:p>
          <w:p w14:paraId="002443C0">
            <w:pPr>
              <w:keepNext w:val="0"/>
              <w:keepLines w:val="0"/>
              <w:pageBreakBefore w:val="0"/>
              <w:widowControl w:val="0"/>
              <w:kinsoku/>
              <w:wordWrap/>
              <w:overflowPunct/>
              <w:topLinePunct w:val="0"/>
              <w:autoSpaceDE w:val="0"/>
              <w:autoSpaceDN w:val="0"/>
              <w:bidi w:val="0"/>
              <w:adjustRightInd/>
              <w:snapToGrid/>
              <w:ind w:left="48" w:leftChars="20" w:right="48" w:rightChars="20" w:firstLine="482"/>
              <w:jc w:val="both"/>
              <w:textAlignment w:val="auto"/>
              <w:rPr>
                <w:rFonts w:hint="eastAsia" w:eastAsia="宋体" w:cs="Times New Roman"/>
                <w:color w:val="000000" w:themeColor="text1"/>
                <w:lang w:eastAsia="zh-CN"/>
                <w14:textFill>
                  <w14:solidFill>
                    <w14:schemeClr w14:val="tx1"/>
                  </w14:solidFill>
                </w14:textFill>
              </w:rPr>
            </w:pPr>
            <w:r>
              <w:rPr>
                <w:rFonts w:cs="Times New Roman"/>
                <w:b/>
                <w:bCs/>
                <w:color w:val="000000" w:themeColor="text1"/>
                <w14:textFill>
                  <w14:solidFill>
                    <w14:schemeClr w14:val="tx1"/>
                  </w14:solidFill>
                </w14:textFill>
              </w:rPr>
              <w:t>项目名称：</w:t>
            </w:r>
            <w:r>
              <w:rPr>
                <w:rFonts w:hint="eastAsia"/>
                <w:color w:val="000000" w:themeColor="text1"/>
                <w:lang w:val="en-US" w:eastAsia="zh-CN"/>
                <w14:textFill>
                  <w14:solidFill>
                    <w14:schemeClr w14:val="tx1"/>
                  </w14:solidFill>
                </w14:textFill>
              </w:rPr>
              <w:t>尖扎县尖扎滩乡40万千瓦“牧光储”一体化建设项目</w:t>
            </w:r>
          </w:p>
          <w:p w14:paraId="5124D8C2">
            <w:pPr>
              <w:keepNext w:val="0"/>
              <w:keepLines w:val="0"/>
              <w:pageBreakBefore w:val="0"/>
              <w:widowControl w:val="0"/>
              <w:kinsoku/>
              <w:wordWrap/>
              <w:overflowPunct/>
              <w:topLinePunct w:val="0"/>
              <w:autoSpaceDE w:val="0"/>
              <w:autoSpaceDN w:val="0"/>
              <w:bidi w:val="0"/>
              <w:adjustRightInd/>
              <w:snapToGrid/>
              <w:ind w:left="48" w:leftChars="20" w:right="48" w:rightChars="20" w:firstLine="482"/>
              <w:jc w:val="both"/>
              <w:textAlignment w:val="auto"/>
              <w:rPr>
                <w:rFonts w:cs="Times New Roman"/>
                <w:color w:val="000000" w:themeColor="text1"/>
                <w14:textFill>
                  <w14:solidFill>
                    <w14:schemeClr w14:val="tx1"/>
                  </w14:solidFill>
                </w14:textFill>
              </w:rPr>
            </w:pPr>
            <w:r>
              <w:rPr>
                <w:rFonts w:hint="eastAsia" w:cs="Times New Roman"/>
                <w:b/>
                <w:bCs/>
                <w:color w:val="000000" w:themeColor="text1"/>
                <w14:textFill>
                  <w14:solidFill>
                    <w14:schemeClr w14:val="tx1"/>
                  </w14:solidFill>
                </w14:textFill>
              </w:rPr>
              <w:t>建设</w:t>
            </w:r>
            <w:r>
              <w:rPr>
                <w:rFonts w:cs="Times New Roman"/>
                <w:b/>
                <w:bCs/>
                <w:color w:val="000000" w:themeColor="text1"/>
                <w14:textFill>
                  <w14:solidFill>
                    <w14:schemeClr w14:val="tx1"/>
                  </w14:solidFill>
                </w14:textFill>
              </w:rPr>
              <w:t>地点：</w:t>
            </w:r>
            <w:r>
              <w:rPr>
                <w:rFonts w:hint="eastAsia" w:cs="Times New Roman" w:eastAsiaTheme="minorEastAsia"/>
                <w:color w:val="000000" w:themeColor="text1"/>
                <w:szCs w:val="24"/>
                <w:lang w:val="en-US" w:eastAsia="zh-CN"/>
                <w14:textFill>
                  <w14:solidFill>
                    <w14:schemeClr w14:val="tx1"/>
                  </w14:solidFill>
                </w14:textFill>
              </w:rPr>
              <w:t>青海省黄南州尖扎县尖扎滩</w:t>
            </w:r>
            <w:r>
              <w:rPr>
                <w:rFonts w:hint="eastAsia" w:cs="Times New Roman" w:eastAsiaTheme="minorEastAsia"/>
                <w:color w:val="000000" w:themeColor="text1"/>
                <w14:textFill>
                  <w14:solidFill>
                    <w14:schemeClr w14:val="tx1"/>
                  </w14:solidFill>
                </w14:textFill>
              </w:rPr>
              <w:t>。</w:t>
            </w:r>
            <w:r>
              <w:rPr>
                <w:rFonts w:cs="Times New Roman"/>
                <w:color w:val="000000" w:themeColor="text1"/>
                <w14:textFill>
                  <w14:solidFill>
                    <w14:schemeClr w14:val="tx1"/>
                  </w14:solidFill>
                </w14:textFill>
              </w:rPr>
              <w:t>地理位置</w:t>
            </w:r>
            <w:r>
              <w:rPr>
                <w:rFonts w:hint="eastAsia" w:cs="Times New Roman"/>
                <w:color w:val="000000" w:themeColor="text1"/>
                <w14:textFill>
                  <w14:solidFill>
                    <w14:schemeClr w14:val="tx1"/>
                  </w14:solidFill>
                </w14:textFill>
              </w:rPr>
              <w:t>详</w:t>
            </w:r>
            <w:r>
              <w:rPr>
                <w:rFonts w:cs="Times New Roman"/>
                <w:color w:val="000000" w:themeColor="text1"/>
                <w14:textFill>
                  <w14:solidFill>
                    <w14:schemeClr w14:val="tx1"/>
                  </w14:solidFill>
                </w14:textFill>
              </w:rPr>
              <w:t>见图1。</w:t>
            </w:r>
          </w:p>
          <w:p w14:paraId="05E83B3E">
            <w:pPr>
              <w:keepNext w:val="0"/>
              <w:keepLines w:val="0"/>
              <w:pageBreakBefore w:val="0"/>
              <w:widowControl w:val="0"/>
              <w:kinsoku/>
              <w:wordWrap/>
              <w:overflowPunct/>
              <w:topLinePunct w:val="0"/>
              <w:autoSpaceDE w:val="0"/>
              <w:autoSpaceDN w:val="0"/>
              <w:bidi w:val="0"/>
              <w:adjustRightInd/>
              <w:snapToGrid/>
              <w:ind w:left="48" w:leftChars="20" w:right="48" w:rightChars="20" w:firstLine="482"/>
              <w:jc w:val="both"/>
              <w:textAlignment w:val="auto"/>
              <w:rPr>
                <w:rFonts w:cs="Times New Roman"/>
                <w:color w:val="000000" w:themeColor="text1"/>
                <w14:textFill>
                  <w14:solidFill>
                    <w14:schemeClr w14:val="tx1"/>
                  </w14:solidFill>
                </w14:textFill>
              </w:rPr>
            </w:pPr>
            <w:r>
              <w:rPr>
                <w:rFonts w:cs="Times New Roman"/>
                <w:b/>
                <w:bCs/>
                <w:color w:val="000000" w:themeColor="text1"/>
                <w14:textFill>
                  <w14:solidFill>
                    <w14:schemeClr w14:val="tx1"/>
                  </w14:solidFill>
                </w14:textFill>
              </w:rPr>
              <w:t>项目性质：</w:t>
            </w:r>
            <w:r>
              <w:rPr>
                <w:rFonts w:hint="eastAsia" w:cs="Times New Roman"/>
                <w:color w:val="000000" w:themeColor="text1"/>
                <w14:textFill>
                  <w14:solidFill>
                    <w14:schemeClr w14:val="tx1"/>
                  </w14:solidFill>
                </w14:textFill>
              </w:rPr>
              <w:t>新建</w:t>
            </w:r>
          </w:p>
          <w:p w14:paraId="108B6CA8">
            <w:pPr>
              <w:keepNext w:val="0"/>
              <w:keepLines w:val="0"/>
              <w:pageBreakBefore w:val="0"/>
              <w:widowControl w:val="0"/>
              <w:kinsoku/>
              <w:wordWrap/>
              <w:overflowPunct/>
              <w:topLinePunct w:val="0"/>
              <w:autoSpaceDE w:val="0"/>
              <w:autoSpaceDN w:val="0"/>
              <w:bidi w:val="0"/>
              <w:adjustRightInd/>
              <w:snapToGrid/>
              <w:ind w:left="48" w:leftChars="20" w:right="48" w:rightChars="20" w:firstLine="482"/>
              <w:jc w:val="both"/>
              <w:textAlignment w:val="auto"/>
              <w:rPr>
                <w:rFonts w:hint="default" w:eastAsia="宋体" w:cs="Times New Roman"/>
                <w:b w:val="0"/>
                <w:bCs w:val="0"/>
                <w:color w:val="000000" w:themeColor="text1"/>
                <w:lang w:val="en-US" w:eastAsia="zh-CN"/>
                <w14:textFill>
                  <w14:solidFill>
                    <w14:schemeClr w14:val="tx1"/>
                  </w14:solidFill>
                </w14:textFill>
              </w:rPr>
            </w:pPr>
            <w:r>
              <w:rPr>
                <w:rFonts w:hint="eastAsia" w:cs="Times New Roman"/>
                <w:b/>
                <w:bCs/>
                <w:color w:val="000000" w:themeColor="text1"/>
                <w14:textFill>
                  <w14:solidFill>
                    <w14:schemeClr w14:val="tx1"/>
                  </w14:solidFill>
                </w14:textFill>
              </w:rPr>
              <w:t>建设单位：</w:t>
            </w:r>
            <w:r>
              <w:rPr>
                <w:rFonts w:hint="eastAsia" w:cs="Times New Roman"/>
                <w:b w:val="0"/>
                <w:bCs w:val="0"/>
                <w:color w:val="000000" w:themeColor="text1"/>
                <w:lang w:val="en-US" w:eastAsia="zh-CN"/>
                <w14:textFill>
                  <w14:solidFill>
                    <w14:schemeClr w14:val="tx1"/>
                  </w14:solidFill>
                </w14:textFill>
              </w:rPr>
              <w:t>尖扎金能新能源有限公司</w:t>
            </w:r>
          </w:p>
          <w:p w14:paraId="1ECFBE2F">
            <w:pPr>
              <w:keepNext w:val="0"/>
              <w:keepLines w:val="0"/>
              <w:pageBreakBefore w:val="0"/>
              <w:widowControl w:val="0"/>
              <w:kinsoku/>
              <w:wordWrap/>
              <w:overflowPunct/>
              <w:topLinePunct w:val="0"/>
              <w:autoSpaceDE w:val="0"/>
              <w:autoSpaceDN w:val="0"/>
              <w:bidi w:val="0"/>
              <w:adjustRightInd/>
              <w:snapToGrid/>
              <w:ind w:left="48" w:leftChars="20" w:right="48" w:rightChars="20" w:firstLine="482"/>
              <w:jc w:val="both"/>
              <w:textAlignment w:val="auto"/>
              <w:rPr>
                <w:rFonts w:cs="Times New Roman"/>
                <w:color w:val="000000" w:themeColor="text1"/>
                <w14:textFill>
                  <w14:solidFill>
                    <w14:schemeClr w14:val="tx1"/>
                  </w14:solidFill>
                </w14:textFill>
              </w:rPr>
            </w:pPr>
            <w:r>
              <w:rPr>
                <w:rFonts w:cs="Times New Roman"/>
                <w:b/>
                <w:bCs/>
                <w:color w:val="000000" w:themeColor="text1"/>
                <w14:textFill>
                  <w14:solidFill>
                    <w14:schemeClr w14:val="tx1"/>
                  </w14:solidFill>
                </w14:textFill>
              </w:rPr>
              <w:t>项目总投资：</w:t>
            </w:r>
            <w:r>
              <w:rPr>
                <w:rFonts w:hint="eastAsia"/>
                <w:color w:val="000000" w:themeColor="text1"/>
                <w:szCs w:val="24"/>
                <w:lang w:val="en-US" w:eastAsia="zh-CN"/>
                <w14:textFill>
                  <w14:solidFill>
                    <w14:schemeClr w14:val="tx1"/>
                  </w14:solidFill>
                </w14:textFill>
              </w:rPr>
              <w:t>199705.13</w:t>
            </w:r>
            <w:r>
              <w:rPr>
                <w:rFonts w:cs="Times New Roman"/>
                <w:color w:val="000000" w:themeColor="text1"/>
                <w14:textFill>
                  <w14:solidFill>
                    <w14:schemeClr w14:val="tx1"/>
                  </w14:solidFill>
                </w14:textFill>
              </w:rPr>
              <w:t>万元</w:t>
            </w:r>
          </w:p>
          <w:p w14:paraId="54AD8E97">
            <w:pPr>
              <w:pStyle w:val="2"/>
              <w:keepNext w:val="0"/>
              <w:keepLines w:val="0"/>
              <w:pageBreakBefore w:val="0"/>
              <w:widowControl w:val="0"/>
              <w:kinsoku/>
              <w:wordWrap/>
              <w:overflowPunct/>
              <w:topLinePunct w:val="0"/>
              <w:autoSpaceDE w:val="0"/>
              <w:autoSpaceDN w:val="0"/>
              <w:bidi w:val="0"/>
              <w:adjustRightInd/>
              <w:snapToGrid/>
              <w:ind w:left="48" w:leftChars="20" w:right="48" w:rightChars="20" w:firstLine="0" w:firstLineChars="0"/>
              <w:jc w:val="both"/>
              <w:textAlignment w:val="auto"/>
              <w:rPr>
                <w:color w:val="000000" w:themeColor="text1"/>
                <w14:textFill>
                  <w14:solidFill>
                    <w14:schemeClr w14:val="tx1"/>
                  </w14:solidFill>
                </w14:textFill>
              </w:rPr>
            </w:pPr>
            <w:r>
              <w:rPr>
                <w:rFonts w:cs="Times New Roman"/>
                <w:b/>
                <w:bCs/>
                <w:color w:val="000000" w:themeColor="text1"/>
                <w14:textFill>
                  <w14:solidFill>
                    <w14:schemeClr w14:val="tx1"/>
                  </w14:solidFill>
                </w14:textFill>
              </w:rPr>
              <w:t>2、项目建设内容</w:t>
            </w:r>
          </w:p>
          <w:p w14:paraId="662C3248">
            <w:pPr>
              <w:keepNext w:val="0"/>
              <w:keepLines w:val="0"/>
              <w:pageBreakBefore w:val="0"/>
              <w:widowControl w:val="0"/>
              <w:kinsoku/>
              <w:wordWrap/>
              <w:overflowPunct/>
              <w:topLinePunct w:val="0"/>
              <w:autoSpaceDE w:val="0"/>
              <w:autoSpaceDN w:val="0"/>
              <w:bidi w:val="0"/>
              <w:adjustRightInd/>
              <w:snapToGrid/>
              <w:ind w:left="48" w:leftChars="20" w:right="48" w:rightChars="20" w:firstLine="48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本工程建设总装机容量400MW。根据本光伏电场规划容量，将系统分成128个3.125MW固定集中式并网发电单元。</w:t>
            </w:r>
          </w:p>
          <w:p w14:paraId="2A26C756">
            <w:pPr>
              <w:keepNext w:val="0"/>
              <w:keepLines w:val="0"/>
              <w:pageBreakBefore w:val="0"/>
              <w:widowControl w:val="0"/>
              <w:kinsoku/>
              <w:wordWrap/>
              <w:overflowPunct/>
              <w:topLinePunct w:val="0"/>
              <w:autoSpaceDE w:val="0"/>
              <w:autoSpaceDN w:val="0"/>
              <w:bidi w:val="0"/>
              <w:adjustRightInd/>
              <w:snapToGrid/>
              <w:ind w:left="48" w:leftChars="20" w:right="48" w:rightChars="20" w:firstLine="48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采用540Wp单晶硅双面双玻组件+固定支架+3125kW一体化集中式逆变器，共792064块组件，3125kW的逆变器共128台。光伏厂区共分为128个子方阵，每个子方阵配置1台3125kW并网逆变器接入一台3150kVA双绕组升压变压器，逆变器与变压器为集成装置，一体化就地布置+1台油浸变压器。每个3.125MW光伏方阵中，通过1台3125kW逆变器将直流电逆变为1500V交流后，接入1台3150kVA箱变低压侧。全场共128台箱变，每8台35kV箱变串并联为1回集电线路，直流逆变为交流，就地升压至35kV后分别以16回35kV集电线路接入330kV升压站。</w:t>
            </w:r>
          </w:p>
          <w:p w14:paraId="3656B90F">
            <w:pPr>
              <w:keepNext w:val="0"/>
              <w:keepLines w:val="0"/>
              <w:pageBreakBefore w:val="0"/>
              <w:widowControl w:val="0"/>
              <w:kinsoku/>
              <w:wordWrap/>
              <w:overflowPunct/>
              <w:topLinePunct w:val="0"/>
              <w:autoSpaceDE w:val="0"/>
              <w:autoSpaceDN w:val="0"/>
              <w:bidi w:val="0"/>
              <w:adjustRightInd/>
              <w:snapToGrid/>
              <w:ind w:left="48" w:leftChars="20" w:right="48" w:rightChars="20" w:firstLine="48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配备储能系统，工程光伏总装机容量为400MW（AC），储能系统由1台20尺“逆”“变”一体储能变流器集装箱和2台45尺磷酸铁锂电池集装箱组成，储能系统交流侧并网电压等级为35kV，每12个储能发电单元为1回储能发电系统，共2回储能发电系统接入330kV升压站35kV储能进线间隔。项目配置48套箱式储能电池系统，每套含5000kWh的电池；24套变流升压系统，每套含1台储能变流器和1台0.55kV/35kV，Dy11，2500kVA箱变。</w:t>
            </w:r>
          </w:p>
          <w:p w14:paraId="2308BCD7">
            <w:pPr>
              <w:keepNext w:val="0"/>
              <w:keepLines w:val="0"/>
              <w:pageBreakBefore w:val="0"/>
              <w:widowControl w:val="0"/>
              <w:kinsoku/>
              <w:wordWrap/>
              <w:overflowPunct/>
              <w:topLinePunct w:val="0"/>
              <w:autoSpaceDE w:val="0"/>
              <w:autoSpaceDN w:val="0"/>
              <w:bidi w:val="0"/>
              <w:adjustRightInd/>
              <w:snapToGrid/>
              <w:ind w:left="48" w:leftChars="20" w:right="48" w:rightChars="20" w:firstLine="480"/>
              <w:jc w:val="both"/>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本次建设不包含330kV升压站送出线路。</w:t>
            </w:r>
          </w:p>
          <w:p w14:paraId="716BD8C0">
            <w:pPr>
              <w:keepNext w:val="0"/>
              <w:keepLines w:val="0"/>
              <w:pageBreakBefore w:val="0"/>
              <w:widowControl w:val="0"/>
              <w:kinsoku/>
              <w:wordWrap/>
              <w:overflowPunct/>
              <w:topLinePunct w:val="0"/>
              <w:autoSpaceDE w:val="0"/>
              <w:autoSpaceDN w:val="0"/>
              <w:bidi w:val="0"/>
              <w:adjustRightInd/>
              <w:snapToGrid/>
              <w:ind w:left="48" w:leftChars="20" w:right="48" w:rightChars="20" w:firstLine="480"/>
              <w:jc w:val="both"/>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根据现场调查及业主提供的资料，本项目建设阶段与环评阶段一致。</w:t>
            </w:r>
          </w:p>
          <w:p w14:paraId="5E7F8E25">
            <w:pPr>
              <w:keepNext w:val="0"/>
              <w:keepLines w:val="0"/>
              <w:pageBreakBefore w:val="0"/>
              <w:widowControl w:val="0"/>
              <w:kinsoku/>
              <w:wordWrap/>
              <w:overflowPunct/>
              <w:topLinePunct w:val="0"/>
              <w:autoSpaceDE w:val="0"/>
              <w:autoSpaceDN w:val="0"/>
              <w:bidi w:val="0"/>
              <w:adjustRightInd/>
              <w:snapToGrid/>
              <w:ind w:left="48" w:leftChars="20" w:right="48" w:rightChars="20" w:firstLine="480"/>
              <w:jc w:val="both"/>
              <w:textAlignment w:val="auto"/>
              <w:rPr>
                <w:rFonts w:hint="eastAsia"/>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工程组成一览表</w:t>
            </w:r>
            <w:r>
              <w:rPr>
                <w:rFonts w:hint="eastAsia"/>
                <w:color w:val="000000" w:themeColor="text1"/>
                <w:lang w:val="en-US" w:eastAsia="zh-CN"/>
                <w14:textFill>
                  <w14:solidFill>
                    <w14:schemeClr w14:val="tx1"/>
                  </w14:solidFill>
                </w14:textFill>
              </w:rPr>
              <w:t>详</w:t>
            </w:r>
            <w:r>
              <w:rPr>
                <w:rFonts w:hint="eastAsia"/>
                <w:color w:val="000000" w:themeColor="text1"/>
                <w14:textFill>
                  <w14:solidFill>
                    <w14:schemeClr w14:val="tx1"/>
                  </w14:solidFill>
                </w14:textFill>
              </w:rPr>
              <w:t>见表</w:t>
            </w:r>
            <w:r>
              <w:rPr>
                <w:rFonts w:hint="eastAsia"/>
                <w:color w:val="000000" w:themeColor="text1"/>
                <w:lang w:val="en-US"/>
                <w14:textFill>
                  <w14:solidFill>
                    <w14:schemeClr w14:val="tx1"/>
                  </w14:solidFill>
                </w14:textFill>
              </w:rPr>
              <w:t>2</w:t>
            </w:r>
            <w:r>
              <w:rPr>
                <w:rFonts w:hint="eastAsia"/>
                <w:color w:val="000000" w:themeColor="text1"/>
                <w14:textFill>
                  <w14:solidFill>
                    <w14:schemeClr w14:val="tx1"/>
                  </w14:solidFill>
                </w14:textFill>
              </w:rPr>
              <w:t>-1</w:t>
            </w:r>
            <w:r>
              <w:rPr>
                <w:rFonts w:hint="eastAsia"/>
                <w:color w:val="000000" w:themeColor="text1"/>
                <w:lang w:eastAsia="zh-CN"/>
                <w14:textFill>
                  <w14:solidFill>
                    <w14:schemeClr w14:val="tx1"/>
                  </w14:solidFill>
                </w14:textFill>
              </w:rPr>
              <w:t>。</w:t>
            </w:r>
          </w:p>
          <w:p w14:paraId="5A136AF8">
            <w:pPr>
              <w:pStyle w:val="17"/>
              <w:spacing w:line="360" w:lineRule="auto"/>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表2-1 </w:t>
            </w:r>
            <w:r>
              <w:rPr>
                <w:rFonts w:hint="eastAsia"/>
                <w:b/>
                <w:bCs/>
                <w:color w:val="000000" w:themeColor="text1"/>
                <w:sz w:val="24"/>
                <w:szCs w:val="24"/>
                <w:lang w:val="en-US" w:eastAsia="zh-CN"/>
                <w14:textFill>
                  <w14:solidFill>
                    <w14:schemeClr w14:val="tx1"/>
                  </w14:solidFill>
                </w14:textFill>
              </w:rPr>
              <w:t xml:space="preserve">  </w:t>
            </w:r>
            <w:r>
              <w:rPr>
                <w:rFonts w:hint="eastAsia"/>
                <w:b/>
                <w:bCs/>
                <w:color w:val="000000" w:themeColor="text1"/>
                <w:sz w:val="24"/>
                <w:szCs w:val="24"/>
                <w14:textFill>
                  <w14:solidFill>
                    <w14:schemeClr w14:val="tx1"/>
                  </w14:solidFill>
                </w14:textFill>
              </w:rPr>
              <w:t>本项目主要工程建设情况调查一览表</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4"/>
              <w:gridCol w:w="282"/>
              <w:gridCol w:w="182"/>
              <w:gridCol w:w="713"/>
              <w:gridCol w:w="3295"/>
              <w:gridCol w:w="3083"/>
              <w:gridCol w:w="660"/>
            </w:tblGrid>
            <w:tr w14:paraId="5376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561" w:type="dxa"/>
                  <w:gridSpan w:val="4"/>
                  <w:vAlign w:val="center"/>
                </w:tcPr>
                <w:p w14:paraId="67FAB63F">
                  <w:pPr>
                    <w:pStyle w:val="17"/>
                    <w:widowControl w:val="0"/>
                    <w:spacing w:line="240" w:lineRule="auto"/>
                    <w:jc w:val="left"/>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工程组成</w:t>
                  </w:r>
                </w:p>
              </w:tc>
              <w:tc>
                <w:tcPr>
                  <w:tcW w:w="3295" w:type="dxa"/>
                  <w:vAlign w:val="center"/>
                </w:tcPr>
                <w:p w14:paraId="0E400F5C">
                  <w:pPr>
                    <w:pStyle w:val="17"/>
                    <w:widowControl w:val="0"/>
                    <w:spacing w:line="240" w:lineRule="auto"/>
                    <w:ind w:firstLine="422"/>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环评内容</w:t>
                  </w:r>
                </w:p>
              </w:tc>
              <w:tc>
                <w:tcPr>
                  <w:tcW w:w="3083" w:type="dxa"/>
                  <w:vAlign w:val="center"/>
                </w:tcPr>
                <w:p w14:paraId="4B46B45B">
                  <w:pPr>
                    <w:pStyle w:val="17"/>
                    <w:widowControl w:val="0"/>
                    <w:spacing w:line="240" w:lineRule="auto"/>
                    <w:ind w:firstLine="422"/>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实际建设情况</w:t>
                  </w:r>
                </w:p>
              </w:tc>
              <w:tc>
                <w:tcPr>
                  <w:tcW w:w="660" w:type="dxa"/>
                  <w:vAlign w:val="center"/>
                </w:tcPr>
                <w:p w14:paraId="2D61BA93">
                  <w:pPr>
                    <w:pStyle w:val="17"/>
                    <w:widowControl w:val="0"/>
                    <w:spacing w:line="240" w:lineRule="auto"/>
                    <w:jc w:val="center"/>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变化情况</w:t>
                  </w:r>
                </w:p>
              </w:tc>
            </w:tr>
            <w:tr w14:paraId="5042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restart"/>
                  <w:vAlign w:val="center"/>
                </w:tcPr>
                <w:p w14:paraId="20FFEF7E">
                  <w:pPr>
                    <w:pStyle w:val="17"/>
                    <w:widowControl w:val="0"/>
                    <w:spacing w:line="240" w:lineRule="auto"/>
                    <w:jc w:val="center"/>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主体工程</w:t>
                  </w:r>
                </w:p>
              </w:tc>
              <w:tc>
                <w:tcPr>
                  <w:tcW w:w="282" w:type="dxa"/>
                  <w:vMerge w:val="restart"/>
                  <w:vAlign w:val="center"/>
                </w:tcPr>
                <w:p w14:paraId="04B7B7E2">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生产区</w:t>
                  </w:r>
                </w:p>
              </w:tc>
              <w:tc>
                <w:tcPr>
                  <w:tcW w:w="895" w:type="dxa"/>
                  <w:gridSpan w:val="2"/>
                  <w:vAlign w:val="center"/>
                </w:tcPr>
                <w:p w14:paraId="21E57C2A">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光伏子方阵</w:t>
                  </w:r>
                </w:p>
              </w:tc>
              <w:tc>
                <w:tcPr>
                  <w:tcW w:w="3295" w:type="dxa"/>
                  <w:vAlign w:val="center"/>
                </w:tcPr>
                <w:p w14:paraId="0B0FAB77">
                  <w:pPr>
                    <w:pStyle w:val="17"/>
                    <w:widowControl w:val="0"/>
                    <w:spacing w:line="240" w:lineRule="auto"/>
                    <w:jc w:val="both"/>
                    <w:rPr>
                      <w:rFonts w:hint="eastAsia"/>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本项目总装机容量约400MW，选用固定安装的光伏子阵的单体模块由竖向2×26光伏单列组成，每个光伏单列可以组成2串光伏组件串，每3.125MW光伏子阵</w:t>
                  </w:r>
                </w:p>
                <w:p w14:paraId="18173A27">
                  <w:pPr>
                    <w:pStyle w:val="17"/>
                    <w:widowControl w:val="0"/>
                    <w:spacing w:line="240" w:lineRule="auto"/>
                    <w:jc w:val="both"/>
                    <w:rPr>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包含238并组串，238并组串通过12台20进1出的直流汇流箱汇流后经逆变器逆变接入1台3125kW箱式升压变压器。光伏阵列采用38°倾角，支架中轴南北间距9.2m，光伏组件最低点距离地面1800mm，整个项目共分128个子方阵，单个子方阵配备1台3125kW并网逆变器接入一台3150kVA双绕组升压变压器，逆变器与变压器为集成装置，一体化就地布置+1台油浸变压器</w:t>
                  </w:r>
                </w:p>
              </w:tc>
              <w:tc>
                <w:tcPr>
                  <w:tcW w:w="3083" w:type="dxa"/>
                  <w:vAlign w:val="center"/>
                </w:tcPr>
                <w:p w14:paraId="07682102">
                  <w:pPr>
                    <w:pStyle w:val="17"/>
                    <w:widowControl w:val="0"/>
                    <w:spacing w:line="240" w:lineRule="auto"/>
                    <w:jc w:val="both"/>
                    <w:rPr>
                      <w:rFonts w:ascii="Times New Roman" w:hAnsi="Times New Roman" w:eastAsia="宋体" w:cs="Times New Roman"/>
                      <w:b w:val="0"/>
                      <w:bCs w:val="0"/>
                      <w:color w:val="000000" w:themeColor="text1"/>
                      <w:kern w:val="18"/>
                      <w:sz w:val="21"/>
                      <w:szCs w:val="21"/>
                      <w:lang w:val="en-US" w:eastAsia="zh-CN" w:bidi="ar-SA"/>
                      <w14:textFill>
                        <w14:solidFill>
                          <w14:schemeClr w14:val="tx1"/>
                        </w14:solidFill>
                      </w14:textFill>
                    </w:rPr>
                  </w:pPr>
                  <w:r>
                    <w:rPr>
                      <w:rFonts w:hint="eastAsia"/>
                      <w:b w:val="0"/>
                      <w:bCs w:val="0"/>
                      <w:color w:val="000000" w:themeColor="text1"/>
                      <w:sz w:val="21"/>
                      <w:szCs w:val="21"/>
                      <w14:textFill>
                        <w14:solidFill>
                          <w14:schemeClr w14:val="tx1"/>
                        </w14:solidFill>
                      </w14:textFill>
                    </w:rPr>
                    <w:t>本项目</w:t>
                  </w:r>
                  <w:r>
                    <w:rPr>
                      <w:rFonts w:hint="eastAsia"/>
                      <w:b w:val="0"/>
                      <w:bCs w:val="0"/>
                      <w:color w:val="000000" w:themeColor="text1"/>
                      <w:sz w:val="21"/>
                      <w:szCs w:val="21"/>
                      <w:lang w:val="en-US" w:eastAsia="zh-CN"/>
                      <w14:textFill>
                        <w14:solidFill>
                          <w14:schemeClr w14:val="tx1"/>
                        </w14:solidFill>
                      </w14:textFill>
                    </w:rPr>
                    <w:t>实际</w:t>
                  </w:r>
                  <w:r>
                    <w:rPr>
                      <w:rFonts w:hint="eastAsia"/>
                      <w:b w:val="0"/>
                      <w:bCs w:val="0"/>
                      <w:color w:val="000000" w:themeColor="text1"/>
                      <w:sz w:val="21"/>
                      <w:szCs w:val="21"/>
                      <w14:textFill>
                        <w14:solidFill>
                          <w14:schemeClr w14:val="tx1"/>
                        </w14:solidFill>
                      </w14:textFill>
                    </w:rPr>
                    <w:t>总装机容量</w:t>
                  </w:r>
                  <w:r>
                    <w:rPr>
                      <w:rFonts w:hint="eastAsia"/>
                      <w:b w:val="0"/>
                      <w:bCs w:val="0"/>
                      <w:color w:val="000000" w:themeColor="text1"/>
                      <w:sz w:val="21"/>
                      <w:szCs w:val="21"/>
                      <w:lang w:val="en-US" w:eastAsia="zh-CN"/>
                      <w14:textFill>
                        <w14:solidFill>
                          <w14:schemeClr w14:val="tx1"/>
                        </w14:solidFill>
                      </w14:textFill>
                    </w:rPr>
                    <w:t>为</w:t>
                  </w:r>
                  <w:r>
                    <w:rPr>
                      <w:rFonts w:hint="eastAsia"/>
                      <w:b w:val="0"/>
                      <w:bCs w:val="0"/>
                      <w:color w:val="000000" w:themeColor="text1"/>
                      <w:sz w:val="21"/>
                      <w:szCs w:val="21"/>
                      <w14:textFill>
                        <w14:solidFill>
                          <w14:schemeClr w14:val="tx1"/>
                        </w14:solidFill>
                      </w14:textFill>
                    </w:rPr>
                    <w:t>400MW，选用</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固定安装的光伏子阵的单体模块由竖向2×26光伏单列组成，每个光伏单列组成2串光伏组件串，每3.125MW光伏子阵包含238并组串，238并组串通过12台20进1出的直流汇流箱汇流后经逆变器逆变接入</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1台3125kW箱式升压变压器。光伏阵列采用</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38°倾角，支架中轴南北间距</w:t>
                  </w:r>
                  <w:r>
                    <w:rPr>
                      <w:rFonts w:hint="eastAsia"/>
                      <w:b w:val="0"/>
                      <w:bCs w:val="0"/>
                      <w:color w:val="000000" w:themeColor="text1"/>
                      <w:sz w:val="21"/>
                      <w:szCs w:val="21"/>
                      <w:lang w:val="en-US" w:eastAsia="zh-CN"/>
                      <w14:textFill>
                        <w14:solidFill>
                          <w14:schemeClr w14:val="tx1"/>
                        </w14:solidFill>
                      </w14:textFill>
                    </w:rPr>
                    <w:t>为</w:t>
                  </w:r>
                  <w:r>
                    <w:rPr>
                      <w:rFonts w:hint="eastAsia"/>
                      <w:b w:val="0"/>
                      <w:bCs w:val="0"/>
                      <w:color w:val="000000" w:themeColor="text1"/>
                      <w:sz w:val="21"/>
                      <w:szCs w:val="21"/>
                      <w14:textFill>
                        <w14:solidFill>
                          <w14:schemeClr w14:val="tx1"/>
                        </w14:solidFill>
                      </w14:textFill>
                    </w:rPr>
                    <w:t>9.2m，光伏组件最低点距离地面</w:t>
                  </w:r>
                  <w:r>
                    <w:rPr>
                      <w:rFonts w:hint="eastAsia"/>
                      <w:b w:val="0"/>
                      <w:bCs w:val="0"/>
                      <w:color w:val="000000" w:themeColor="text1"/>
                      <w:sz w:val="21"/>
                      <w:szCs w:val="21"/>
                      <w:lang w:val="en-US" w:eastAsia="zh-CN"/>
                      <w14:textFill>
                        <w14:solidFill>
                          <w14:schemeClr w14:val="tx1"/>
                        </w14:solidFill>
                      </w14:textFill>
                    </w:rPr>
                    <w:t>为</w:t>
                  </w:r>
                  <w:r>
                    <w:rPr>
                      <w:rFonts w:hint="eastAsia"/>
                      <w:b w:val="0"/>
                      <w:bCs w:val="0"/>
                      <w:color w:val="000000" w:themeColor="text1"/>
                      <w:sz w:val="21"/>
                      <w:szCs w:val="21"/>
                      <w14:textFill>
                        <w14:solidFill>
                          <w14:schemeClr w14:val="tx1"/>
                        </w14:solidFill>
                      </w14:textFill>
                    </w:rPr>
                    <w:t>1800mm，整个项目共分</w:t>
                  </w:r>
                  <w:r>
                    <w:rPr>
                      <w:rFonts w:hint="eastAsia"/>
                      <w:b w:val="0"/>
                      <w:bCs w:val="0"/>
                      <w:color w:val="000000" w:themeColor="text1"/>
                      <w:sz w:val="21"/>
                      <w:szCs w:val="21"/>
                      <w:lang w:val="en-US" w:eastAsia="zh-CN"/>
                      <w14:textFill>
                        <w14:solidFill>
                          <w14:schemeClr w14:val="tx1"/>
                        </w14:solidFill>
                      </w14:textFill>
                    </w:rPr>
                    <w:t>成了</w:t>
                  </w:r>
                  <w:r>
                    <w:rPr>
                      <w:rFonts w:hint="eastAsia"/>
                      <w:b w:val="0"/>
                      <w:bCs w:val="0"/>
                      <w:color w:val="000000" w:themeColor="text1"/>
                      <w:sz w:val="21"/>
                      <w:szCs w:val="21"/>
                      <w14:textFill>
                        <w14:solidFill>
                          <w14:schemeClr w14:val="tx1"/>
                        </w14:solidFill>
                      </w14:textFill>
                    </w:rPr>
                    <w:t>128个子方阵，单个子方阵配备</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1台3125kW并网逆变器接入</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一台3150kVA双绕组升压变压器，逆变器与变压器为集成装置，一体化就地布置+1台油浸变压器</w:t>
                  </w:r>
                </w:p>
              </w:tc>
              <w:tc>
                <w:tcPr>
                  <w:tcW w:w="660" w:type="dxa"/>
                  <w:vAlign w:val="center"/>
                </w:tcPr>
                <w:p w14:paraId="69040AA1">
                  <w:pPr>
                    <w:pStyle w:val="17"/>
                    <w:widowControl w:val="0"/>
                    <w:spacing w:line="240" w:lineRule="auto"/>
                    <w:jc w:val="center"/>
                    <w:rPr>
                      <w:rFonts w:hint="eastAsia" w:eastAsia="宋体"/>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7BFD1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74CE74E4">
                  <w:pPr>
                    <w:pStyle w:val="17"/>
                    <w:widowControl w:val="0"/>
                    <w:spacing w:line="240" w:lineRule="auto"/>
                    <w:jc w:val="center"/>
                    <w:rPr>
                      <w:rFonts w:hint="eastAsia"/>
                      <w:b/>
                      <w:bCs/>
                      <w:color w:val="FF0000"/>
                      <w:sz w:val="21"/>
                      <w:szCs w:val="21"/>
                    </w:rPr>
                  </w:pPr>
                </w:p>
              </w:tc>
              <w:tc>
                <w:tcPr>
                  <w:tcW w:w="282" w:type="dxa"/>
                  <w:vMerge w:val="continue"/>
                  <w:vAlign w:val="center"/>
                </w:tcPr>
                <w:p w14:paraId="0DDA51CB">
                  <w:pPr>
                    <w:pStyle w:val="17"/>
                    <w:widowControl w:val="0"/>
                    <w:spacing w:line="240" w:lineRule="auto"/>
                    <w:jc w:val="center"/>
                    <w:rPr>
                      <w:rFonts w:hint="eastAsia" w:eastAsia="宋体"/>
                      <w:b w:val="0"/>
                      <w:bCs w:val="0"/>
                      <w:color w:val="FF0000"/>
                      <w:sz w:val="21"/>
                      <w:szCs w:val="21"/>
                      <w:lang w:eastAsia="zh-CN"/>
                    </w:rPr>
                  </w:pPr>
                </w:p>
              </w:tc>
              <w:tc>
                <w:tcPr>
                  <w:tcW w:w="895" w:type="dxa"/>
                  <w:gridSpan w:val="2"/>
                  <w:vAlign w:val="center"/>
                </w:tcPr>
                <w:p w14:paraId="43351B5F">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330KV升压站</w:t>
                  </w:r>
                </w:p>
              </w:tc>
              <w:tc>
                <w:tcPr>
                  <w:tcW w:w="3295" w:type="dxa"/>
                  <w:vAlign w:val="center"/>
                </w:tcPr>
                <w:p w14:paraId="47E37262">
                  <w:pPr>
                    <w:pStyle w:val="17"/>
                    <w:widowControl w:val="0"/>
                    <w:spacing w:line="240" w:lineRule="auto"/>
                    <w:jc w:val="both"/>
                    <w:rPr>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站区西侧布置电池集装箱、储能变流器集装箱，包括48个电池集装箱及24个储能变流器集装箱。330kV配电装置采用户外布置在站区北侧，330kV配电装置向南出线，主变压器采用户外布置，变压器位于330kV站址中部，主变东侧为二次设备室，主变北侧依次为35kV配电装置室及接地变、交直流配电装置室及站用变、SVG室及无功补偿装置、箱式储能站用变，主变南侧为330kV配电装置区、洗水喷雾集装箱、危废间、事故油池、雨淋阀室。站区东北角为调相机预留区，其南侧为调相机配电装置室预留区。站区大门位于站址东侧，进站道路南侧为主控通信室，进站道路北侧为综合泵房、消防水池。全站设置40米独立避雷针8座</w:t>
                  </w:r>
                </w:p>
              </w:tc>
              <w:tc>
                <w:tcPr>
                  <w:tcW w:w="3083" w:type="dxa"/>
                  <w:vAlign w:val="center"/>
                </w:tcPr>
                <w:p w14:paraId="73B65C60">
                  <w:pPr>
                    <w:pStyle w:val="17"/>
                    <w:widowControl w:val="0"/>
                    <w:spacing w:line="240" w:lineRule="auto"/>
                    <w:jc w:val="both"/>
                    <w:rPr>
                      <w:rFonts w:hint="default" w:ascii="Times New Roman" w:hAnsi="Times New Roman" w:eastAsia="宋体" w:cs="Times New Roman"/>
                      <w:b w:val="0"/>
                      <w:bCs w:val="0"/>
                      <w:color w:val="000000" w:themeColor="text1"/>
                      <w:kern w:val="18"/>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本项目330KV升压站已另做环评文件《尖扎县尖扎滩乡40万千瓦牧光储送出输变电项目环境影响报告表》，其中建设内容为：330千伏升压站包括2台容量为250兆瓦的主变压器；站内主要布设330千伏配电装置区、主变压器区、35千伏配电装置区、SVG室、主控楼、事故油池及引接长度约400米，路面宽度6米进站道路等330千伏输电包括线路全线为单回路架空走线，线路路径长度约为47公里，共计使用单回路铁塔120基，其中单回路耐张塔32基，单回路直线塔88基。并取得黄南州生态环境局下发的《关于尖扎县尖扎滩乡40万千瓦牧光储送出输变电项目环境影响报告表的批复》黄生发〔2023〕66号，330KV、升压站不在本次验收范围内。</w:t>
                  </w:r>
                </w:p>
              </w:tc>
              <w:tc>
                <w:tcPr>
                  <w:tcW w:w="660" w:type="dxa"/>
                  <w:vAlign w:val="center"/>
                </w:tcPr>
                <w:p w14:paraId="2498F857">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w:t>
                  </w:r>
                </w:p>
              </w:tc>
            </w:tr>
            <w:tr w14:paraId="7A980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58166ABD">
                  <w:pPr>
                    <w:pStyle w:val="17"/>
                    <w:widowControl w:val="0"/>
                    <w:spacing w:line="240" w:lineRule="auto"/>
                    <w:jc w:val="center"/>
                    <w:rPr>
                      <w:rFonts w:hint="eastAsia"/>
                      <w:b/>
                      <w:bCs/>
                      <w:color w:val="000000" w:themeColor="text1"/>
                      <w:sz w:val="21"/>
                      <w:szCs w:val="21"/>
                      <w14:textFill>
                        <w14:solidFill>
                          <w14:schemeClr w14:val="tx1"/>
                        </w14:solidFill>
                      </w14:textFill>
                    </w:rPr>
                  </w:pPr>
                </w:p>
              </w:tc>
              <w:tc>
                <w:tcPr>
                  <w:tcW w:w="282" w:type="dxa"/>
                  <w:vMerge w:val="continue"/>
                  <w:vAlign w:val="center"/>
                </w:tcPr>
                <w:p w14:paraId="142902BA">
                  <w:pPr>
                    <w:pStyle w:val="17"/>
                    <w:widowControl w:val="0"/>
                    <w:spacing w:line="240" w:lineRule="auto"/>
                    <w:jc w:val="center"/>
                    <w:rPr>
                      <w:rFonts w:hint="eastAsia" w:eastAsia="宋体"/>
                      <w:b w:val="0"/>
                      <w:bCs w:val="0"/>
                      <w:color w:val="000000" w:themeColor="text1"/>
                      <w:sz w:val="21"/>
                      <w:szCs w:val="21"/>
                      <w:lang w:eastAsia="zh-CN"/>
                      <w14:textFill>
                        <w14:solidFill>
                          <w14:schemeClr w14:val="tx1"/>
                        </w14:solidFill>
                      </w14:textFill>
                    </w:rPr>
                  </w:pPr>
                </w:p>
              </w:tc>
              <w:tc>
                <w:tcPr>
                  <w:tcW w:w="895" w:type="dxa"/>
                  <w:gridSpan w:val="2"/>
                  <w:vAlign w:val="center"/>
                </w:tcPr>
                <w:p w14:paraId="2D70123D">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箱式变压器</w:t>
                  </w:r>
                </w:p>
              </w:tc>
              <w:tc>
                <w:tcPr>
                  <w:tcW w:w="3295" w:type="dxa"/>
                  <w:vAlign w:val="center"/>
                </w:tcPr>
                <w:p w14:paraId="27D29EE1">
                  <w:pPr>
                    <w:pStyle w:val="17"/>
                    <w:widowControl w:val="0"/>
                    <w:spacing w:line="240" w:lineRule="auto"/>
                    <w:jc w:val="both"/>
                    <w:rPr>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每个3.125MW光伏方阵中，通过1台3125kW逆变器将直流电逆变为1500V交流后，接入1台3150kVA箱变低压侧。全场共128台箱变，每8台35kV箱变串并联为1回集电线路，直流逆变为交流，就地升压至35kV后分别以16回35kV集电线路接入330kV升压站</w:t>
                  </w:r>
                </w:p>
              </w:tc>
              <w:tc>
                <w:tcPr>
                  <w:tcW w:w="3083" w:type="dxa"/>
                  <w:vAlign w:val="center"/>
                </w:tcPr>
                <w:p w14:paraId="3416B85E">
                  <w:pPr>
                    <w:pStyle w:val="17"/>
                    <w:widowControl w:val="0"/>
                    <w:spacing w:line="240" w:lineRule="auto"/>
                    <w:jc w:val="both"/>
                    <w:rPr>
                      <w:rFonts w:ascii="Times New Roman" w:hAnsi="Times New Roman" w:eastAsia="宋体" w:cs="Times New Roman"/>
                      <w:b w:val="0"/>
                      <w:bCs w:val="0"/>
                      <w:color w:val="000000" w:themeColor="text1"/>
                      <w:kern w:val="18"/>
                      <w:sz w:val="21"/>
                      <w:szCs w:val="21"/>
                      <w:lang w:val="en-US" w:eastAsia="zh-CN" w:bidi="ar-SA"/>
                      <w14:textFill>
                        <w14:solidFill>
                          <w14:schemeClr w14:val="tx1"/>
                        </w14:solidFill>
                      </w14:textFill>
                    </w:rPr>
                  </w:pPr>
                  <w:r>
                    <w:rPr>
                      <w:rFonts w:hint="eastAsia"/>
                      <w:b w:val="0"/>
                      <w:bCs w:val="0"/>
                      <w:color w:val="000000" w:themeColor="text1"/>
                      <w:sz w:val="21"/>
                      <w:szCs w:val="21"/>
                      <w14:textFill>
                        <w14:solidFill>
                          <w14:schemeClr w14:val="tx1"/>
                        </w14:solidFill>
                      </w14:textFill>
                    </w:rPr>
                    <w:t>每个3.125MW光伏方阵中，通过1台3125kW逆变器将直流电逆变为1500V交流后，接入</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1台3150kVA箱变低压侧。全场共128台箱变，每8台35kV箱变串并联为1回集电线路，直流逆变为交流，就地升压至35kV后分别以16回35kV集电线路接入330kV升压站</w:t>
                  </w:r>
                </w:p>
              </w:tc>
              <w:tc>
                <w:tcPr>
                  <w:tcW w:w="660" w:type="dxa"/>
                  <w:vAlign w:val="center"/>
                </w:tcPr>
                <w:p w14:paraId="39F8F668">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无变动</w:t>
                  </w:r>
                </w:p>
              </w:tc>
            </w:tr>
            <w:tr w14:paraId="4473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5435E550">
                  <w:pPr>
                    <w:pStyle w:val="17"/>
                    <w:widowControl w:val="0"/>
                    <w:spacing w:line="240" w:lineRule="auto"/>
                    <w:jc w:val="center"/>
                    <w:rPr>
                      <w:rFonts w:hint="eastAsia"/>
                      <w:b/>
                      <w:bCs/>
                      <w:color w:val="000000" w:themeColor="text1"/>
                      <w:sz w:val="21"/>
                      <w:szCs w:val="21"/>
                      <w14:textFill>
                        <w14:solidFill>
                          <w14:schemeClr w14:val="tx1"/>
                        </w14:solidFill>
                      </w14:textFill>
                    </w:rPr>
                  </w:pPr>
                </w:p>
              </w:tc>
              <w:tc>
                <w:tcPr>
                  <w:tcW w:w="282" w:type="dxa"/>
                  <w:vMerge w:val="continue"/>
                  <w:vAlign w:val="center"/>
                </w:tcPr>
                <w:p w14:paraId="3BFB534D">
                  <w:pPr>
                    <w:pStyle w:val="17"/>
                    <w:widowControl w:val="0"/>
                    <w:spacing w:line="240" w:lineRule="auto"/>
                    <w:jc w:val="center"/>
                    <w:rPr>
                      <w:rFonts w:hint="eastAsia" w:eastAsia="宋体"/>
                      <w:b w:val="0"/>
                      <w:bCs w:val="0"/>
                      <w:color w:val="000000" w:themeColor="text1"/>
                      <w:sz w:val="21"/>
                      <w:szCs w:val="21"/>
                      <w:lang w:eastAsia="zh-CN"/>
                      <w14:textFill>
                        <w14:solidFill>
                          <w14:schemeClr w14:val="tx1"/>
                        </w14:solidFill>
                      </w14:textFill>
                    </w:rPr>
                  </w:pPr>
                </w:p>
              </w:tc>
              <w:tc>
                <w:tcPr>
                  <w:tcW w:w="895" w:type="dxa"/>
                  <w:gridSpan w:val="2"/>
                  <w:vAlign w:val="center"/>
                </w:tcPr>
                <w:p w14:paraId="4AE53010">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逆变器</w:t>
                  </w:r>
                </w:p>
              </w:tc>
              <w:tc>
                <w:tcPr>
                  <w:tcW w:w="3295" w:type="dxa"/>
                  <w:vAlign w:val="center"/>
                </w:tcPr>
                <w:p w14:paraId="44CAF5A1">
                  <w:pPr>
                    <w:pStyle w:val="17"/>
                    <w:widowControl w:val="0"/>
                    <w:spacing w:line="240" w:lineRule="auto"/>
                    <w:jc w:val="both"/>
                    <w:rPr>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3125kW一体化集中式逆变器共128台</w:t>
                  </w:r>
                </w:p>
              </w:tc>
              <w:tc>
                <w:tcPr>
                  <w:tcW w:w="3083" w:type="dxa"/>
                  <w:vAlign w:val="center"/>
                </w:tcPr>
                <w:p w14:paraId="214FAC0F">
                  <w:pPr>
                    <w:pStyle w:val="17"/>
                    <w:widowControl w:val="0"/>
                    <w:spacing w:line="240" w:lineRule="auto"/>
                    <w:jc w:val="both"/>
                    <w:rPr>
                      <w:rFonts w:ascii="Times New Roman" w:hAnsi="Times New Roman" w:eastAsia="宋体" w:cs="Times New Roman"/>
                      <w:b w:val="0"/>
                      <w:bCs w:val="0"/>
                      <w:color w:val="000000" w:themeColor="text1"/>
                      <w:kern w:val="18"/>
                      <w:sz w:val="21"/>
                      <w:szCs w:val="21"/>
                      <w:lang w:val="en-US" w:eastAsia="zh-CN" w:bidi="ar-SA"/>
                      <w14:textFill>
                        <w14:solidFill>
                          <w14:schemeClr w14:val="tx1"/>
                        </w14:solidFill>
                      </w14:textFill>
                    </w:rPr>
                  </w:pPr>
                  <w:r>
                    <w:rPr>
                      <w:rFonts w:hint="eastAsia"/>
                      <w:b w:val="0"/>
                      <w:bCs w:val="0"/>
                      <w:color w:val="000000" w:themeColor="text1"/>
                      <w:sz w:val="21"/>
                      <w:szCs w:val="21"/>
                      <w14:textFill>
                        <w14:solidFill>
                          <w14:schemeClr w14:val="tx1"/>
                        </w14:solidFill>
                      </w14:textFill>
                    </w:rPr>
                    <w:t>共</w:t>
                  </w:r>
                  <w:r>
                    <w:rPr>
                      <w:rFonts w:hint="eastAsia"/>
                      <w:b w:val="0"/>
                      <w:bCs w:val="0"/>
                      <w:color w:val="000000" w:themeColor="text1"/>
                      <w:sz w:val="21"/>
                      <w:szCs w:val="21"/>
                      <w:lang w:val="en-US" w:eastAsia="zh-CN"/>
                      <w14:textFill>
                        <w14:solidFill>
                          <w14:schemeClr w14:val="tx1"/>
                        </w14:solidFill>
                      </w14:textFill>
                    </w:rPr>
                    <w:t>设了</w:t>
                  </w:r>
                  <w:r>
                    <w:rPr>
                      <w:rFonts w:hint="eastAsia"/>
                      <w:b w:val="0"/>
                      <w:bCs w:val="0"/>
                      <w:color w:val="000000" w:themeColor="text1"/>
                      <w:sz w:val="21"/>
                      <w:szCs w:val="21"/>
                      <w14:textFill>
                        <w14:solidFill>
                          <w14:schemeClr w14:val="tx1"/>
                        </w14:solidFill>
                      </w14:textFill>
                    </w:rPr>
                    <w:t>128台3125kW一体化集中式逆变器</w:t>
                  </w:r>
                </w:p>
              </w:tc>
              <w:tc>
                <w:tcPr>
                  <w:tcW w:w="660" w:type="dxa"/>
                  <w:vAlign w:val="center"/>
                </w:tcPr>
                <w:p w14:paraId="74E2951F">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无变动</w:t>
                  </w:r>
                </w:p>
              </w:tc>
            </w:tr>
            <w:tr w14:paraId="5D2E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1D9F9547">
                  <w:pPr>
                    <w:pStyle w:val="17"/>
                    <w:widowControl w:val="0"/>
                    <w:spacing w:line="240" w:lineRule="auto"/>
                    <w:jc w:val="center"/>
                    <w:rPr>
                      <w:rFonts w:hint="eastAsia"/>
                      <w:b/>
                      <w:bCs/>
                      <w:color w:val="000000" w:themeColor="text1"/>
                      <w:sz w:val="21"/>
                      <w:szCs w:val="21"/>
                      <w14:textFill>
                        <w14:solidFill>
                          <w14:schemeClr w14:val="tx1"/>
                        </w14:solidFill>
                      </w14:textFill>
                    </w:rPr>
                  </w:pPr>
                </w:p>
              </w:tc>
              <w:tc>
                <w:tcPr>
                  <w:tcW w:w="1177" w:type="dxa"/>
                  <w:gridSpan w:val="3"/>
                  <w:vAlign w:val="center"/>
                </w:tcPr>
                <w:p w14:paraId="4903E9A3">
                  <w:pPr>
                    <w:pStyle w:val="17"/>
                    <w:widowControl w:val="0"/>
                    <w:spacing w:line="240" w:lineRule="auto"/>
                    <w:jc w:val="center"/>
                    <w:rPr>
                      <w:rFonts w:hint="default" w:eastAsia="宋体"/>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储能系统</w:t>
                  </w:r>
                </w:p>
              </w:tc>
              <w:tc>
                <w:tcPr>
                  <w:tcW w:w="3295" w:type="dxa"/>
                  <w:vAlign w:val="center"/>
                </w:tcPr>
                <w:p w14:paraId="50495644">
                  <w:pPr>
                    <w:pStyle w:val="17"/>
                    <w:widowControl w:val="0"/>
                    <w:spacing w:line="240" w:lineRule="auto"/>
                    <w:jc w:val="both"/>
                    <w:rPr>
                      <w:rFonts w:hint="eastAsia"/>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本工程设置1台储能用工作变和1台储能用备用工作变。储能容量为60MW/240MWh，分为24个</w:t>
                  </w:r>
                </w:p>
                <w:p w14:paraId="37A1E7F3">
                  <w:pPr>
                    <w:pStyle w:val="17"/>
                    <w:widowControl w:val="0"/>
                    <w:spacing w:line="240" w:lineRule="auto"/>
                    <w:jc w:val="both"/>
                    <w:rPr>
                      <w:b w:val="0"/>
                      <w:bCs w:val="0"/>
                      <w:color w:val="000000" w:themeColor="text1"/>
                      <w:sz w:val="21"/>
                      <w:szCs w:val="21"/>
                      <w14:textFill>
                        <w14:solidFill>
                          <w14:schemeClr w14:val="tx1"/>
                        </w14:solidFill>
                      </w14:textFill>
                    </w:rPr>
                  </w:pPr>
                  <w:r>
                    <w:rPr>
                      <w:rFonts w:hint="eastAsia"/>
                      <w:b w:val="0"/>
                      <w:bCs w:val="0"/>
                      <w:color w:val="000000" w:themeColor="text1"/>
                      <w:sz w:val="21"/>
                      <w:szCs w:val="21"/>
                      <w14:textFill>
                        <w14:solidFill>
                          <w14:schemeClr w14:val="tx1"/>
                        </w14:solidFill>
                      </w14:textFill>
                    </w:rPr>
                    <w:t>2.5MW/10MWh储能单元，电池选用长寿命的磷酸铁锂电池；项目配置48套箱式储能电池系统，每套含5000kWh的电池；24套变流升压系统，每套含1台储能变流器和1台0.55kV/35kV，Dy11，2500kVA箱变</w:t>
                  </w:r>
                </w:p>
              </w:tc>
              <w:tc>
                <w:tcPr>
                  <w:tcW w:w="3083" w:type="dxa"/>
                  <w:vAlign w:val="center"/>
                </w:tcPr>
                <w:p w14:paraId="226DD4CD">
                  <w:pPr>
                    <w:pStyle w:val="17"/>
                    <w:widowControl w:val="0"/>
                    <w:spacing w:line="240" w:lineRule="auto"/>
                    <w:jc w:val="both"/>
                    <w:rPr>
                      <w:rFonts w:ascii="Times New Roman" w:hAnsi="Times New Roman" w:eastAsia="宋体" w:cs="Times New Roman"/>
                      <w:b w:val="0"/>
                      <w:bCs w:val="0"/>
                      <w:color w:val="000000" w:themeColor="text1"/>
                      <w:kern w:val="18"/>
                      <w:sz w:val="21"/>
                      <w:szCs w:val="21"/>
                      <w:lang w:val="en-US" w:eastAsia="zh-CN" w:bidi="ar-SA"/>
                      <w14:textFill>
                        <w14:solidFill>
                          <w14:schemeClr w14:val="tx1"/>
                        </w14:solidFill>
                      </w14:textFill>
                    </w:rPr>
                  </w:pPr>
                  <w:r>
                    <w:rPr>
                      <w:rFonts w:hint="eastAsia"/>
                      <w:b w:val="0"/>
                      <w:bCs w:val="0"/>
                      <w:color w:val="000000" w:themeColor="text1"/>
                      <w:sz w:val="21"/>
                      <w:szCs w:val="21"/>
                      <w14:textFill>
                        <w14:solidFill>
                          <w14:schemeClr w14:val="tx1"/>
                        </w14:solidFill>
                      </w14:textFill>
                    </w:rPr>
                    <w:t>设置</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1台储能用工作变和1台储能用备用工作变。储能容量为60MW/240MWh，分为24个2.5MW/10MWh储能单元，电池选用</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长寿命的磷酸铁锂电池；项目配置</w:t>
                  </w:r>
                  <w:r>
                    <w:rPr>
                      <w:rFonts w:hint="eastAsia"/>
                      <w:b w:val="0"/>
                      <w:bCs w:val="0"/>
                      <w:color w:val="000000" w:themeColor="text1"/>
                      <w:sz w:val="21"/>
                      <w:szCs w:val="21"/>
                      <w:lang w:eastAsia="zh-CN"/>
                      <w14:textFill>
                        <w14:solidFill>
                          <w14:schemeClr w14:val="tx1"/>
                        </w14:solidFill>
                      </w14:textFill>
                    </w:rPr>
                    <w:t>了</w:t>
                  </w:r>
                  <w:r>
                    <w:rPr>
                      <w:rFonts w:hint="eastAsia"/>
                      <w:b w:val="0"/>
                      <w:bCs w:val="0"/>
                      <w:color w:val="000000" w:themeColor="text1"/>
                      <w:sz w:val="21"/>
                      <w:szCs w:val="21"/>
                      <w14:textFill>
                        <w14:solidFill>
                          <w14:schemeClr w14:val="tx1"/>
                        </w14:solidFill>
                      </w14:textFill>
                    </w:rPr>
                    <w:t>48套箱式储能电池系统，每套含5000kWh的电池；24套变流升压系统，每套</w:t>
                  </w:r>
                  <w:r>
                    <w:rPr>
                      <w:rFonts w:hint="eastAsia"/>
                      <w:b w:val="0"/>
                      <w:bCs w:val="0"/>
                      <w:color w:val="000000" w:themeColor="text1"/>
                      <w:sz w:val="21"/>
                      <w:szCs w:val="21"/>
                      <w:lang w:val="en-US" w:eastAsia="zh-CN"/>
                      <w14:textFill>
                        <w14:solidFill>
                          <w14:schemeClr w14:val="tx1"/>
                        </w14:solidFill>
                      </w14:textFill>
                    </w:rPr>
                    <w:t>包含了</w:t>
                  </w:r>
                  <w:r>
                    <w:rPr>
                      <w:rFonts w:hint="eastAsia"/>
                      <w:b w:val="0"/>
                      <w:bCs w:val="0"/>
                      <w:color w:val="000000" w:themeColor="text1"/>
                      <w:sz w:val="21"/>
                      <w:szCs w:val="21"/>
                      <w14:textFill>
                        <w14:solidFill>
                          <w14:schemeClr w14:val="tx1"/>
                        </w14:solidFill>
                      </w14:textFill>
                    </w:rPr>
                    <w:t>1台储能变流器和1台0.55kV/35kV，Dy11，2500kVA箱变</w:t>
                  </w:r>
                </w:p>
              </w:tc>
              <w:tc>
                <w:tcPr>
                  <w:tcW w:w="660" w:type="dxa"/>
                  <w:vAlign w:val="center"/>
                </w:tcPr>
                <w:p w14:paraId="757E1610">
                  <w:pPr>
                    <w:pStyle w:val="17"/>
                    <w:widowControl w:val="0"/>
                    <w:spacing w:line="240" w:lineRule="auto"/>
                    <w:jc w:val="center"/>
                    <w:rPr>
                      <w:b w:val="0"/>
                      <w:bCs w:val="0"/>
                      <w:color w:val="000000" w:themeColor="text1"/>
                      <w:sz w:val="21"/>
                      <w:szCs w:val="21"/>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567F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restart"/>
                  <w:vAlign w:val="center"/>
                </w:tcPr>
                <w:p w14:paraId="3C363B57">
                  <w:pPr>
                    <w:pStyle w:val="17"/>
                    <w:widowControl w:val="0"/>
                    <w:spacing w:line="240" w:lineRule="auto"/>
                    <w:jc w:val="center"/>
                    <w:rPr>
                      <w:b/>
                      <w:bCs/>
                      <w:color w:val="000000" w:themeColor="text1"/>
                      <w:sz w:val="21"/>
                      <w:szCs w:val="21"/>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公用工</w:t>
                  </w:r>
                  <w:r>
                    <w:rPr>
                      <w:rFonts w:hint="eastAsia"/>
                      <w:b/>
                      <w:bCs/>
                      <w:color w:val="000000" w:themeColor="text1"/>
                      <w:sz w:val="21"/>
                      <w:szCs w:val="21"/>
                      <w14:textFill>
                        <w14:solidFill>
                          <w14:schemeClr w14:val="tx1"/>
                        </w14:solidFill>
                      </w14:textFill>
                    </w:rPr>
                    <w:t>程</w:t>
                  </w:r>
                </w:p>
              </w:tc>
              <w:tc>
                <w:tcPr>
                  <w:tcW w:w="1177" w:type="dxa"/>
                  <w:gridSpan w:val="3"/>
                  <w:vAlign w:val="center"/>
                </w:tcPr>
                <w:p w14:paraId="22ADA1A2">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用水</w:t>
                  </w:r>
                </w:p>
              </w:tc>
              <w:tc>
                <w:tcPr>
                  <w:tcW w:w="3295" w:type="dxa"/>
                  <w:vAlign w:val="center"/>
                </w:tcPr>
                <w:p w14:paraId="57E37A04">
                  <w:pPr>
                    <w:pStyle w:val="17"/>
                    <w:widowControl w:val="0"/>
                    <w:spacing w:line="240" w:lineRule="auto"/>
                    <w:jc w:val="both"/>
                    <w:rPr>
                      <w:rFonts w:hint="default"/>
                      <w:color w:val="000000" w:themeColor="text1"/>
                      <w:sz w:val="21"/>
                      <w:szCs w:val="21"/>
                      <w:lang w:val="en-US"/>
                      <w14:textFill>
                        <w14:solidFill>
                          <w14:schemeClr w14:val="tx1"/>
                        </w14:solidFill>
                      </w14:textFill>
                    </w:rPr>
                  </w:pPr>
                  <w:r>
                    <w:rPr>
                      <w:rFonts w:hint="default"/>
                      <w:color w:val="000000" w:themeColor="text1"/>
                      <w:sz w:val="21"/>
                      <w:szCs w:val="21"/>
                      <w:lang w:val="en-US"/>
                      <w14:textFill>
                        <w14:solidFill>
                          <w14:schemeClr w14:val="tx1"/>
                        </w14:solidFill>
                      </w14:textFill>
                    </w:rPr>
                    <w:t>本项目用水包括施工用水、生活用水等，距离场址区最近的水源地为尖扎滩乡五星村饮用水水源地，为地下水取水井，水量和水</w:t>
                  </w:r>
                </w:p>
                <w:p w14:paraId="6BAB1B8A">
                  <w:pPr>
                    <w:pStyle w:val="17"/>
                    <w:widowControl w:val="0"/>
                    <w:spacing w:line="240" w:lineRule="auto"/>
                    <w:jc w:val="both"/>
                    <w:rPr>
                      <w:rFonts w:hint="default"/>
                      <w:color w:val="000000" w:themeColor="text1"/>
                      <w:sz w:val="21"/>
                      <w:szCs w:val="21"/>
                      <w:lang w:val="en-US"/>
                      <w14:textFill>
                        <w14:solidFill>
                          <w14:schemeClr w14:val="tx1"/>
                        </w14:solidFill>
                      </w14:textFill>
                    </w:rPr>
                  </w:pPr>
                  <w:r>
                    <w:rPr>
                      <w:rFonts w:hint="default"/>
                      <w:color w:val="000000" w:themeColor="text1"/>
                      <w:sz w:val="21"/>
                      <w:szCs w:val="21"/>
                      <w:lang w:val="en-US"/>
                      <w14:textFill>
                        <w14:solidFill>
                          <w14:schemeClr w14:val="tx1"/>
                        </w14:solidFill>
                      </w14:textFill>
                    </w:rPr>
                    <w:t>质满足场址区生活和施工用水质量要求，距场址区约2km。在施工临时区设置移动式蓄水箱作为补充</w:t>
                  </w:r>
                </w:p>
              </w:tc>
              <w:tc>
                <w:tcPr>
                  <w:tcW w:w="3083" w:type="dxa"/>
                  <w:vAlign w:val="center"/>
                </w:tcPr>
                <w:p w14:paraId="2DDC38B4">
                  <w:pPr>
                    <w:pStyle w:val="17"/>
                    <w:widowControl w:val="0"/>
                    <w:spacing w:line="240" w:lineRule="auto"/>
                    <w:jc w:val="both"/>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项目</w:t>
                  </w:r>
                  <w:r>
                    <w:rPr>
                      <w:rFonts w:hint="default"/>
                      <w:color w:val="000000" w:themeColor="text1"/>
                      <w:sz w:val="21"/>
                      <w:szCs w:val="21"/>
                      <w:lang w:val="en-US"/>
                      <w14:textFill>
                        <w14:solidFill>
                          <w14:schemeClr w14:val="tx1"/>
                        </w14:solidFill>
                      </w14:textFill>
                    </w:rPr>
                    <w:t>用水包括施工用水</w:t>
                  </w:r>
                  <w:r>
                    <w:rPr>
                      <w:rFonts w:hint="eastAsia"/>
                      <w:color w:val="000000" w:themeColor="text1"/>
                      <w:sz w:val="21"/>
                      <w:szCs w:val="21"/>
                      <w:lang w:val="en-US" w:eastAsia="zh-CN"/>
                      <w14:textFill>
                        <w14:solidFill>
                          <w14:schemeClr w14:val="tx1"/>
                        </w14:solidFill>
                      </w14:textFill>
                    </w:rPr>
                    <w:t>和</w:t>
                  </w:r>
                  <w:r>
                    <w:rPr>
                      <w:rFonts w:hint="default"/>
                      <w:color w:val="000000" w:themeColor="text1"/>
                      <w:sz w:val="21"/>
                      <w:szCs w:val="21"/>
                      <w:lang w:val="en-US"/>
                      <w14:textFill>
                        <w14:solidFill>
                          <w14:schemeClr w14:val="tx1"/>
                        </w14:solidFill>
                      </w14:textFill>
                    </w:rPr>
                    <w:t>生活用水，</w:t>
                  </w:r>
                  <w:r>
                    <w:rPr>
                      <w:rFonts w:hint="eastAsia"/>
                      <w:color w:val="000000" w:themeColor="text1"/>
                      <w:sz w:val="21"/>
                      <w:szCs w:val="21"/>
                      <w:lang w:val="en-US" w:eastAsia="zh-CN"/>
                      <w14:textFill>
                        <w14:solidFill>
                          <w14:schemeClr w14:val="tx1"/>
                        </w14:solidFill>
                      </w14:textFill>
                    </w:rPr>
                    <w:t>从</w:t>
                  </w:r>
                  <w:r>
                    <w:rPr>
                      <w:rFonts w:hint="default"/>
                      <w:color w:val="000000" w:themeColor="text1"/>
                      <w:sz w:val="21"/>
                      <w:szCs w:val="21"/>
                      <w:lang w:val="en-US"/>
                      <w14:textFill>
                        <w14:solidFill>
                          <w14:schemeClr w14:val="tx1"/>
                        </w14:solidFill>
                      </w14:textFill>
                    </w:rPr>
                    <w:t>离场址区2km的水源地尖扎滩乡五星村饮用水水源地，</w:t>
                  </w:r>
                  <w:r>
                    <w:rPr>
                      <w:rFonts w:hint="eastAsia"/>
                      <w:color w:val="000000" w:themeColor="text1"/>
                      <w:sz w:val="21"/>
                      <w:szCs w:val="21"/>
                      <w:lang w:val="en-US" w:eastAsia="zh-CN"/>
                      <w14:textFill>
                        <w14:solidFill>
                          <w14:schemeClr w14:val="tx1"/>
                        </w14:solidFill>
                      </w14:textFill>
                    </w:rPr>
                    <w:t>的地下</w:t>
                  </w:r>
                  <w:r>
                    <w:rPr>
                      <w:rFonts w:hint="default"/>
                      <w:color w:val="000000" w:themeColor="text1"/>
                      <w:sz w:val="21"/>
                      <w:szCs w:val="21"/>
                      <w:lang w:val="en-US"/>
                      <w14:textFill>
                        <w14:solidFill>
                          <w14:schemeClr w14:val="tx1"/>
                        </w14:solidFill>
                      </w14:textFill>
                    </w:rPr>
                    <w:t>取水井</w:t>
                  </w:r>
                  <w:r>
                    <w:rPr>
                      <w:rFonts w:hint="eastAsia"/>
                      <w:color w:val="000000" w:themeColor="text1"/>
                      <w:sz w:val="21"/>
                      <w:szCs w:val="21"/>
                      <w:lang w:val="en-US" w:eastAsia="zh-CN"/>
                      <w14:textFill>
                        <w14:solidFill>
                          <w14:schemeClr w14:val="tx1"/>
                        </w14:solidFill>
                      </w14:textFill>
                    </w:rPr>
                    <w:t>取水</w:t>
                  </w:r>
                  <w:r>
                    <w:rPr>
                      <w:rFonts w:hint="default"/>
                      <w:color w:val="000000" w:themeColor="text1"/>
                      <w:sz w:val="21"/>
                      <w:szCs w:val="21"/>
                      <w:lang w:val="en-US"/>
                      <w14:textFill>
                        <w14:solidFill>
                          <w14:schemeClr w14:val="tx1"/>
                        </w14:solidFill>
                      </w14:textFill>
                    </w:rPr>
                    <w:t>，水量和水质</w:t>
                  </w:r>
                  <w:r>
                    <w:rPr>
                      <w:rFonts w:hint="eastAsia"/>
                      <w:color w:val="000000" w:themeColor="text1"/>
                      <w:sz w:val="21"/>
                      <w:szCs w:val="21"/>
                      <w:lang w:val="en-US" w:eastAsia="zh-CN"/>
                      <w14:textFill>
                        <w14:solidFill>
                          <w14:schemeClr w14:val="tx1"/>
                        </w14:solidFill>
                      </w14:textFill>
                    </w:rPr>
                    <w:t>均能</w:t>
                  </w:r>
                  <w:r>
                    <w:rPr>
                      <w:rFonts w:hint="default"/>
                      <w:color w:val="000000" w:themeColor="text1"/>
                      <w:sz w:val="21"/>
                      <w:szCs w:val="21"/>
                      <w:lang w:val="en-US"/>
                      <w14:textFill>
                        <w14:solidFill>
                          <w14:schemeClr w14:val="tx1"/>
                        </w14:solidFill>
                      </w14:textFill>
                    </w:rPr>
                    <w:t>满足场址区生活和施工用水质量要求，</w:t>
                  </w:r>
                  <w:r>
                    <w:rPr>
                      <w:rFonts w:hint="eastAsia"/>
                      <w:color w:val="000000" w:themeColor="text1"/>
                      <w:sz w:val="21"/>
                      <w:szCs w:val="21"/>
                      <w:lang w:val="en-US" w:eastAsia="zh-CN"/>
                      <w14:textFill>
                        <w14:solidFill>
                          <w14:schemeClr w14:val="tx1"/>
                        </w14:solidFill>
                      </w14:textFill>
                    </w:rPr>
                    <w:t>并</w:t>
                  </w:r>
                  <w:r>
                    <w:rPr>
                      <w:rFonts w:hint="default"/>
                      <w:color w:val="000000" w:themeColor="text1"/>
                      <w:sz w:val="21"/>
                      <w:szCs w:val="21"/>
                      <w:lang w:val="en-US"/>
                      <w14:textFill>
                        <w14:solidFill>
                          <w14:schemeClr w14:val="tx1"/>
                        </w14:solidFill>
                      </w14:textFill>
                    </w:rPr>
                    <w:t>在施工临时区设置</w:t>
                  </w:r>
                  <w:r>
                    <w:rPr>
                      <w:rFonts w:hint="eastAsia"/>
                      <w:color w:val="000000" w:themeColor="text1"/>
                      <w:sz w:val="21"/>
                      <w:szCs w:val="21"/>
                      <w:lang w:val="en-US" w:eastAsia="zh-CN"/>
                      <w14:textFill>
                        <w14:solidFill>
                          <w14:schemeClr w14:val="tx1"/>
                        </w14:solidFill>
                      </w14:textFill>
                    </w:rPr>
                    <w:t>了</w:t>
                  </w:r>
                  <w:r>
                    <w:rPr>
                      <w:rFonts w:hint="default"/>
                      <w:color w:val="000000" w:themeColor="text1"/>
                      <w:sz w:val="21"/>
                      <w:szCs w:val="21"/>
                      <w:lang w:val="en-US"/>
                      <w14:textFill>
                        <w14:solidFill>
                          <w14:schemeClr w14:val="tx1"/>
                        </w14:solidFill>
                      </w14:textFill>
                    </w:rPr>
                    <w:t>移动式蓄水箱作为补充</w:t>
                  </w:r>
                </w:p>
              </w:tc>
              <w:tc>
                <w:tcPr>
                  <w:tcW w:w="660" w:type="dxa"/>
                  <w:vAlign w:val="center"/>
                </w:tcPr>
                <w:p w14:paraId="37BED0B1">
                  <w:pPr>
                    <w:pStyle w:val="17"/>
                    <w:widowControl w:val="0"/>
                    <w:spacing w:line="240" w:lineRule="auto"/>
                    <w:jc w:val="center"/>
                    <w:rPr>
                      <w:color w:val="000000" w:themeColor="text1"/>
                      <w:sz w:val="21"/>
                      <w:szCs w:val="21"/>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3EBC8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2BE8CAAD">
                  <w:pPr>
                    <w:pStyle w:val="17"/>
                    <w:widowControl w:val="0"/>
                    <w:spacing w:line="240" w:lineRule="auto"/>
                    <w:jc w:val="center"/>
                    <w:rPr>
                      <w:rFonts w:hint="eastAsia"/>
                      <w:b/>
                      <w:bCs/>
                      <w:color w:val="000000" w:themeColor="text1"/>
                      <w:sz w:val="21"/>
                      <w:szCs w:val="21"/>
                      <w14:textFill>
                        <w14:solidFill>
                          <w14:schemeClr w14:val="tx1"/>
                        </w14:solidFill>
                      </w14:textFill>
                    </w:rPr>
                  </w:pPr>
                </w:p>
              </w:tc>
              <w:tc>
                <w:tcPr>
                  <w:tcW w:w="1177" w:type="dxa"/>
                  <w:gridSpan w:val="3"/>
                  <w:vAlign w:val="center"/>
                </w:tcPr>
                <w:p w14:paraId="2EB86FC7">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用电</w:t>
                  </w:r>
                </w:p>
              </w:tc>
              <w:tc>
                <w:tcPr>
                  <w:tcW w:w="3295" w:type="dxa"/>
                  <w:vAlign w:val="center"/>
                </w:tcPr>
                <w:p w14:paraId="148749E9">
                  <w:pPr>
                    <w:pStyle w:val="17"/>
                    <w:widowControl w:val="0"/>
                    <w:spacing w:line="240" w:lineRule="auto"/>
                    <w:jc w:val="both"/>
                    <w:rPr>
                      <w:rFonts w:hint="default"/>
                      <w:color w:val="000000" w:themeColor="text1"/>
                      <w:sz w:val="21"/>
                      <w:szCs w:val="21"/>
                      <w:lang w:val="en-US"/>
                      <w14:textFill>
                        <w14:solidFill>
                          <w14:schemeClr w14:val="tx1"/>
                        </w14:solidFill>
                      </w14:textFill>
                    </w:rPr>
                  </w:pPr>
                  <w:r>
                    <w:rPr>
                      <w:rFonts w:hint="default"/>
                      <w:color w:val="000000" w:themeColor="text1"/>
                      <w:sz w:val="21"/>
                      <w:szCs w:val="21"/>
                      <w:lang w:val="en-US"/>
                      <w14:textFill>
                        <w14:solidFill>
                          <w14:schemeClr w14:val="tx1"/>
                        </w14:solidFill>
                      </w14:textFill>
                    </w:rPr>
                    <w:t>本工程施工期临时电源就近接引，变电站容量在满足当地用户用电的情况下，能满足本电站施工期最大日负荷200kW的要求，柴油发电机备用</w:t>
                  </w:r>
                </w:p>
              </w:tc>
              <w:tc>
                <w:tcPr>
                  <w:tcW w:w="3083" w:type="dxa"/>
                  <w:vAlign w:val="center"/>
                </w:tcPr>
                <w:p w14:paraId="4A807C29">
                  <w:pPr>
                    <w:pStyle w:val="17"/>
                    <w:widowControl w:val="0"/>
                    <w:spacing w:line="240" w:lineRule="auto"/>
                    <w:jc w:val="both"/>
                    <w:rPr>
                      <w:color w:val="000000" w:themeColor="text1"/>
                      <w:sz w:val="21"/>
                      <w:szCs w:val="21"/>
                      <w14:textFill>
                        <w14:solidFill>
                          <w14:schemeClr w14:val="tx1"/>
                        </w14:solidFill>
                      </w14:textFill>
                    </w:rPr>
                  </w:pPr>
                  <w:r>
                    <w:rPr>
                      <w:rFonts w:hint="default"/>
                      <w:color w:val="000000" w:themeColor="text1"/>
                      <w:sz w:val="21"/>
                      <w:szCs w:val="21"/>
                      <w:lang w:val="en-US"/>
                      <w14:textFill>
                        <w14:solidFill>
                          <w14:schemeClr w14:val="tx1"/>
                        </w14:solidFill>
                      </w14:textFill>
                    </w:rPr>
                    <w:t>施工期临时电源就近接引</w:t>
                  </w:r>
                  <w:r>
                    <w:rPr>
                      <w:rFonts w:hint="eastAsia"/>
                      <w:color w:val="000000" w:themeColor="text1"/>
                      <w:sz w:val="21"/>
                      <w:szCs w:val="21"/>
                      <w:lang w:val="en-US" w:eastAsia="zh-CN"/>
                      <w14:textFill>
                        <w14:solidFill>
                          <w14:schemeClr w14:val="tx1"/>
                        </w14:solidFill>
                      </w14:textFill>
                    </w:rPr>
                    <w:t>并配备了</w:t>
                  </w:r>
                  <w:r>
                    <w:rPr>
                      <w:rFonts w:hint="default"/>
                      <w:color w:val="000000" w:themeColor="text1"/>
                      <w:sz w:val="21"/>
                      <w:szCs w:val="21"/>
                      <w:lang w:val="en-US"/>
                      <w14:textFill>
                        <w14:solidFill>
                          <w14:schemeClr w14:val="tx1"/>
                        </w14:solidFill>
                      </w14:textFill>
                    </w:rPr>
                    <w:t>柴油发电机</w:t>
                  </w:r>
                  <w:r>
                    <w:rPr>
                      <w:rFonts w:hint="eastAsia"/>
                      <w:color w:val="000000" w:themeColor="text1"/>
                      <w:sz w:val="21"/>
                      <w:szCs w:val="21"/>
                      <w:lang w:val="en-US" w:eastAsia="zh-CN"/>
                      <w14:textFill>
                        <w14:solidFill>
                          <w14:schemeClr w14:val="tx1"/>
                        </w14:solidFill>
                      </w14:textFill>
                    </w:rPr>
                    <w:t>以</w:t>
                  </w:r>
                  <w:r>
                    <w:rPr>
                      <w:rFonts w:hint="default"/>
                      <w:color w:val="000000" w:themeColor="text1"/>
                      <w:sz w:val="21"/>
                      <w:szCs w:val="21"/>
                      <w:lang w:val="en-US"/>
                      <w14:textFill>
                        <w14:solidFill>
                          <w14:schemeClr w14:val="tx1"/>
                        </w14:solidFill>
                      </w14:textFill>
                    </w:rPr>
                    <w:t>备用</w:t>
                  </w:r>
                </w:p>
              </w:tc>
              <w:tc>
                <w:tcPr>
                  <w:tcW w:w="660" w:type="dxa"/>
                  <w:vAlign w:val="center"/>
                </w:tcPr>
                <w:p w14:paraId="6913F034">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0855C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1F7AC03C">
                  <w:pPr>
                    <w:pStyle w:val="17"/>
                    <w:widowControl w:val="0"/>
                    <w:spacing w:line="240" w:lineRule="auto"/>
                    <w:jc w:val="center"/>
                    <w:rPr>
                      <w:rFonts w:hint="eastAsia"/>
                      <w:b/>
                      <w:bCs/>
                      <w:color w:val="000000" w:themeColor="text1"/>
                      <w:sz w:val="21"/>
                      <w:szCs w:val="21"/>
                      <w14:textFill>
                        <w14:solidFill>
                          <w14:schemeClr w14:val="tx1"/>
                        </w14:solidFill>
                      </w14:textFill>
                    </w:rPr>
                  </w:pPr>
                </w:p>
              </w:tc>
              <w:tc>
                <w:tcPr>
                  <w:tcW w:w="1177" w:type="dxa"/>
                  <w:gridSpan w:val="3"/>
                  <w:vAlign w:val="center"/>
                </w:tcPr>
                <w:p w14:paraId="5F33CDBF">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道路</w:t>
                  </w:r>
                </w:p>
              </w:tc>
              <w:tc>
                <w:tcPr>
                  <w:tcW w:w="3295" w:type="dxa"/>
                  <w:vAlign w:val="center"/>
                </w:tcPr>
                <w:p w14:paraId="77CE935F">
                  <w:pPr>
                    <w:pStyle w:val="17"/>
                    <w:widowControl w:val="0"/>
                    <w:spacing w:line="240" w:lineRule="auto"/>
                    <w:jc w:val="both"/>
                    <w:rPr>
                      <w:rFonts w:hint="default"/>
                      <w:color w:val="000000" w:themeColor="text1"/>
                      <w:sz w:val="21"/>
                      <w:szCs w:val="21"/>
                      <w:lang w:val="en-US"/>
                      <w14:textFill>
                        <w14:solidFill>
                          <w14:schemeClr w14:val="tx1"/>
                        </w14:solidFill>
                      </w14:textFill>
                    </w:rPr>
                  </w:pPr>
                  <w:r>
                    <w:rPr>
                      <w:rFonts w:hint="default"/>
                      <w:color w:val="000000" w:themeColor="text1"/>
                      <w:sz w:val="21"/>
                      <w:szCs w:val="21"/>
                      <w:lang w:val="en-US"/>
                      <w14:textFill>
                        <w14:solidFill>
                          <w14:schemeClr w14:val="tx1"/>
                        </w14:solidFill>
                      </w14:textFill>
                    </w:rPr>
                    <w:t>光伏电场场区道路由四条南北向道路和两条东西向道路组成，所有场区采用施工临时道路，站区出入口主干道道路宽度为6.0m，次干道（环形道路）宽度为4.0m，满足设备运输和消防要求。场区</w:t>
                  </w:r>
                </w:p>
                <w:p w14:paraId="7EAD88FA">
                  <w:pPr>
                    <w:pStyle w:val="17"/>
                    <w:widowControl w:val="0"/>
                    <w:spacing w:line="240" w:lineRule="auto"/>
                    <w:jc w:val="both"/>
                    <w:rPr>
                      <w:rFonts w:hint="default"/>
                      <w:color w:val="000000" w:themeColor="text1"/>
                      <w:sz w:val="21"/>
                      <w:szCs w:val="21"/>
                      <w:lang w:val="en-US"/>
                      <w14:textFill>
                        <w14:solidFill>
                          <w14:schemeClr w14:val="tx1"/>
                        </w14:solidFill>
                      </w14:textFill>
                    </w:rPr>
                  </w:pPr>
                  <w:r>
                    <w:rPr>
                      <w:rFonts w:hint="default"/>
                      <w:color w:val="000000" w:themeColor="text1"/>
                      <w:sz w:val="21"/>
                      <w:szCs w:val="21"/>
                      <w:lang w:val="en-US"/>
                      <w14:textFill>
                        <w14:solidFill>
                          <w14:schemeClr w14:val="tx1"/>
                        </w14:solidFill>
                      </w14:textFill>
                    </w:rPr>
                    <w:t>进站道路长度为650m，宽度为4.0m，每隔50m需设置会车道。进站道路采用碎石路面，碎石面层150mm厚，底部原土夯实</w:t>
                  </w:r>
                </w:p>
              </w:tc>
              <w:tc>
                <w:tcPr>
                  <w:tcW w:w="3083" w:type="dxa"/>
                  <w:vAlign w:val="center"/>
                </w:tcPr>
                <w:p w14:paraId="405D8158">
                  <w:pPr>
                    <w:pStyle w:val="17"/>
                    <w:widowControl w:val="0"/>
                    <w:spacing w:line="240" w:lineRule="auto"/>
                    <w:jc w:val="both"/>
                    <w:rPr>
                      <w:color w:val="000000" w:themeColor="text1"/>
                      <w:sz w:val="21"/>
                      <w:szCs w:val="21"/>
                      <w14:textFill>
                        <w14:solidFill>
                          <w14:schemeClr w14:val="tx1"/>
                        </w14:solidFill>
                      </w14:textFill>
                    </w:rPr>
                  </w:pPr>
                  <w:r>
                    <w:rPr>
                      <w:rFonts w:hint="default"/>
                      <w:color w:val="000000" w:themeColor="text1"/>
                      <w:sz w:val="21"/>
                      <w:szCs w:val="21"/>
                      <w:lang w:val="en-US"/>
                      <w14:textFill>
                        <w14:solidFill>
                          <w14:schemeClr w14:val="tx1"/>
                        </w14:solidFill>
                      </w14:textFill>
                    </w:rPr>
                    <w:t>光伏电场场区道路由四条南北向道路和两条东西向道路组成，所有场区采用施工临时道路，站区出入口主干道道路宽度为6.0m，次干道（环形道路）宽度为4.0m。场区进站道路长度为650m，宽度为4.0m，每隔50m设置</w:t>
                  </w:r>
                  <w:r>
                    <w:rPr>
                      <w:rFonts w:hint="eastAsia"/>
                      <w:color w:val="000000" w:themeColor="text1"/>
                      <w:sz w:val="21"/>
                      <w:szCs w:val="21"/>
                      <w:lang w:val="en-US" w:eastAsia="zh-CN"/>
                      <w14:textFill>
                        <w14:solidFill>
                          <w14:schemeClr w14:val="tx1"/>
                        </w14:solidFill>
                      </w14:textFill>
                    </w:rPr>
                    <w:t>了</w:t>
                  </w:r>
                  <w:r>
                    <w:rPr>
                      <w:rFonts w:hint="default"/>
                      <w:color w:val="000000" w:themeColor="text1"/>
                      <w:sz w:val="21"/>
                      <w:szCs w:val="21"/>
                      <w:lang w:val="en-US"/>
                      <w14:textFill>
                        <w14:solidFill>
                          <w14:schemeClr w14:val="tx1"/>
                        </w14:solidFill>
                      </w14:textFill>
                    </w:rPr>
                    <w:t>会车道。进站道路采用</w:t>
                  </w:r>
                  <w:r>
                    <w:rPr>
                      <w:rFonts w:hint="eastAsia"/>
                      <w:color w:val="000000" w:themeColor="text1"/>
                      <w:sz w:val="21"/>
                      <w:szCs w:val="21"/>
                      <w:lang w:val="en-US" w:eastAsia="zh-CN"/>
                      <w14:textFill>
                        <w14:solidFill>
                          <w14:schemeClr w14:val="tx1"/>
                        </w14:solidFill>
                      </w14:textFill>
                    </w:rPr>
                    <w:t>了</w:t>
                  </w:r>
                  <w:r>
                    <w:rPr>
                      <w:rFonts w:hint="default"/>
                      <w:color w:val="000000" w:themeColor="text1"/>
                      <w:sz w:val="21"/>
                      <w:szCs w:val="21"/>
                      <w:lang w:val="en-US"/>
                      <w14:textFill>
                        <w14:solidFill>
                          <w14:schemeClr w14:val="tx1"/>
                        </w14:solidFill>
                      </w14:textFill>
                    </w:rPr>
                    <w:t>碎石路面，碎石面层150mm厚，底部原土夯实</w:t>
                  </w:r>
                </w:p>
              </w:tc>
              <w:tc>
                <w:tcPr>
                  <w:tcW w:w="660" w:type="dxa"/>
                  <w:vAlign w:val="center"/>
                </w:tcPr>
                <w:p w14:paraId="20300400">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0018E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7E3D1F61">
                  <w:pPr>
                    <w:pStyle w:val="17"/>
                    <w:widowControl w:val="0"/>
                    <w:spacing w:line="240" w:lineRule="auto"/>
                    <w:jc w:val="center"/>
                    <w:rPr>
                      <w:rFonts w:hint="eastAsia"/>
                      <w:b/>
                      <w:bCs/>
                      <w:color w:val="000000" w:themeColor="text1"/>
                      <w:sz w:val="21"/>
                      <w:szCs w:val="21"/>
                      <w14:textFill>
                        <w14:solidFill>
                          <w14:schemeClr w14:val="tx1"/>
                        </w14:solidFill>
                      </w14:textFill>
                    </w:rPr>
                  </w:pPr>
                </w:p>
              </w:tc>
              <w:tc>
                <w:tcPr>
                  <w:tcW w:w="1177" w:type="dxa"/>
                  <w:gridSpan w:val="3"/>
                  <w:vAlign w:val="center"/>
                </w:tcPr>
                <w:p w14:paraId="36F410DF">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集电线路</w:t>
                  </w:r>
                </w:p>
              </w:tc>
              <w:tc>
                <w:tcPr>
                  <w:tcW w:w="3295" w:type="dxa"/>
                  <w:vAlign w:val="center"/>
                </w:tcPr>
                <w:p w14:paraId="61E234BB">
                  <w:pPr>
                    <w:pStyle w:val="17"/>
                    <w:widowControl w:val="0"/>
                    <w:spacing w:line="240" w:lineRule="auto"/>
                    <w:jc w:val="both"/>
                    <w:rPr>
                      <w:rFonts w:hint="default"/>
                      <w:color w:val="000000" w:themeColor="text1"/>
                      <w:sz w:val="21"/>
                      <w:szCs w:val="21"/>
                      <w:lang w:val="en-US"/>
                      <w14:textFill>
                        <w14:solidFill>
                          <w14:schemeClr w14:val="tx1"/>
                        </w14:solidFill>
                      </w14:textFill>
                    </w:rPr>
                  </w:pPr>
                  <w:r>
                    <w:rPr>
                      <w:rFonts w:hint="default"/>
                      <w:color w:val="000000" w:themeColor="text1"/>
                      <w:sz w:val="21"/>
                      <w:szCs w:val="21"/>
                      <w:lang w:val="en-US"/>
                      <w14:textFill>
                        <w14:solidFill>
                          <w14:schemeClr w14:val="tx1"/>
                        </w14:solidFill>
                      </w14:textFill>
                    </w:rPr>
                    <w:t>本工程共16回35kV集电线路，每回集电线路分别连接8台箱逆一体机35kV集电线路采用三芯铝芯和铜芯电缆，采用直埋敷设。</w:t>
                  </w:r>
                </w:p>
                <w:p w14:paraId="67989DE8">
                  <w:pPr>
                    <w:pStyle w:val="17"/>
                    <w:widowControl w:val="0"/>
                    <w:spacing w:line="240" w:lineRule="auto"/>
                    <w:jc w:val="both"/>
                    <w:rPr>
                      <w:rFonts w:hint="default"/>
                      <w:color w:val="000000" w:themeColor="text1"/>
                      <w:sz w:val="21"/>
                      <w:szCs w:val="21"/>
                      <w:lang w:val="en-US"/>
                      <w14:textFill>
                        <w14:solidFill>
                          <w14:schemeClr w14:val="tx1"/>
                        </w14:solidFill>
                      </w14:textFill>
                    </w:rPr>
                  </w:pPr>
                  <w:r>
                    <w:rPr>
                      <w:rFonts w:hint="default"/>
                      <w:color w:val="000000" w:themeColor="text1"/>
                      <w:sz w:val="21"/>
                      <w:szCs w:val="21"/>
                      <w:lang w:val="en-US"/>
                      <w14:textFill>
                        <w14:solidFill>
                          <w14:schemeClr w14:val="tx1"/>
                        </w14:solidFill>
                      </w14:textFill>
                    </w:rPr>
                    <w:t>约每25MW组成1回集电线路，由箱变串并联后接入升压站35kV配电装置室</w:t>
                  </w:r>
                </w:p>
              </w:tc>
              <w:tc>
                <w:tcPr>
                  <w:tcW w:w="3083" w:type="dxa"/>
                  <w:vAlign w:val="center"/>
                </w:tcPr>
                <w:p w14:paraId="6C50EAB1">
                  <w:pPr>
                    <w:pStyle w:val="17"/>
                    <w:widowControl w:val="0"/>
                    <w:spacing w:line="240" w:lineRule="auto"/>
                    <w:jc w:val="both"/>
                    <w:rPr>
                      <w:color w:val="000000" w:themeColor="text1"/>
                      <w:sz w:val="21"/>
                      <w:szCs w:val="21"/>
                      <w14:textFill>
                        <w14:solidFill>
                          <w14:schemeClr w14:val="tx1"/>
                        </w14:solidFill>
                      </w14:textFill>
                    </w:rPr>
                  </w:pPr>
                  <w:r>
                    <w:rPr>
                      <w:rFonts w:hint="default"/>
                      <w:color w:val="000000" w:themeColor="text1"/>
                      <w:sz w:val="21"/>
                      <w:szCs w:val="21"/>
                      <w:lang w:val="en-US"/>
                      <w14:textFill>
                        <w14:solidFill>
                          <w14:schemeClr w14:val="tx1"/>
                        </w14:solidFill>
                      </w14:textFill>
                    </w:rPr>
                    <w:t>本工程共16回35kV集电线路，每回集电线路分别连接</w:t>
                  </w:r>
                  <w:r>
                    <w:rPr>
                      <w:rFonts w:hint="eastAsia"/>
                      <w:color w:val="000000" w:themeColor="text1"/>
                      <w:sz w:val="21"/>
                      <w:szCs w:val="21"/>
                      <w:lang w:val="en-US" w:eastAsia="zh-CN"/>
                      <w14:textFill>
                        <w14:solidFill>
                          <w14:schemeClr w14:val="tx1"/>
                        </w14:solidFill>
                      </w14:textFill>
                    </w:rPr>
                    <w:t>了</w:t>
                  </w:r>
                  <w:r>
                    <w:rPr>
                      <w:rFonts w:hint="default"/>
                      <w:color w:val="000000" w:themeColor="text1"/>
                      <w:sz w:val="21"/>
                      <w:szCs w:val="21"/>
                      <w:lang w:val="en-US"/>
                      <w14:textFill>
                        <w14:solidFill>
                          <w14:schemeClr w14:val="tx1"/>
                        </w14:solidFill>
                      </w14:textFill>
                    </w:rPr>
                    <w:t>8台箱逆一体机35kV集电线路</w:t>
                  </w:r>
                  <w:r>
                    <w:rPr>
                      <w:rFonts w:hint="eastAsia"/>
                      <w:color w:val="000000" w:themeColor="text1"/>
                      <w:sz w:val="21"/>
                      <w:szCs w:val="21"/>
                      <w:lang w:val="en-US" w:eastAsia="zh-CN"/>
                      <w14:textFill>
                        <w14:solidFill>
                          <w14:schemeClr w14:val="tx1"/>
                        </w14:solidFill>
                      </w14:textFill>
                    </w:rPr>
                    <w:t>，</w:t>
                  </w:r>
                  <w:r>
                    <w:rPr>
                      <w:rFonts w:hint="default"/>
                      <w:color w:val="000000" w:themeColor="text1"/>
                      <w:sz w:val="21"/>
                      <w:szCs w:val="21"/>
                      <w:lang w:val="en-US"/>
                      <w14:textFill>
                        <w14:solidFill>
                          <w14:schemeClr w14:val="tx1"/>
                        </w14:solidFill>
                      </w14:textFill>
                    </w:rPr>
                    <w:t>采用三芯铝芯和铜芯电缆，采用</w:t>
                  </w:r>
                  <w:r>
                    <w:rPr>
                      <w:rFonts w:hint="eastAsia"/>
                      <w:color w:val="000000" w:themeColor="text1"/>
                      <w:sz w:val="21"/>
                      <w:szCs w:val="21"/>
                      <w:lang w:val="en-US" w:eastAsia="zh-CN"/>
                      <w14:textFill>
                        <w14:solidFill>
                          <w14:schemeClr w14:val="tx1"/>
                        </w14:solidFill>
                      </w14:textFill>
                    </w:rPr>
                    <w:t>了</w:t>
                  </w:r>
                  <w:r>
                    <w:rPr>
                      <w:rFonts w:hint="default"/>
                      <w:color w:val="000000" w:themeColor="text1"/>
                      <w:sz w:val="21"/>
                      <w:szCs w:val="21"/>
                      <w:lang w:val="en-US"/>
                      <w14:textFill>
                        <w14:solidFill>
                          <w14:schemeClr w14:val="tx1"/>
                        </w14:solidFill>
                      </w14:textFill>
                    </w:rPr>
                    <w:t>直埋敷设。每25MW组成</w:t>
                  </w:r>
                  <w:r>
                    <w:rPr>
                      <w:rFonts w:hint="eastAsia"/>
                      <w:color w:val="000000" w:themeColor="text1"/>
                      <w:sz w:val="21"/>
                      <w:szCs w:val="21"/>
                      <w:lang w:val="en-US" w:eastAsia="zh-CN"/>
                      <w14:textFill>
                        <w14:solidFill>
                          <w14:schemeClr w14:val="tx1"/>
                        </w14:solidFill>
                      </w14:textFill>
                    </w:rPr>
                    <w:t>了</w:t>
                  </w:r>
                  <w:r>
                    <w:rPr>
                      <w:rFonts w:hint="default"/>
                      <w:color w:val="000000" w:themeColor="text1"/>
                      <w:sz w:val="21"/>
                      <w:szCs w:val="21"/>
                      <w:lang w:val="en-US"/>
                      <w14:textFill>
                        <w14:solidFill>
                          <w14:schemeClr w14:val="tx1"/>
                        </w14:solidFill>
                      </w14:textFill>
                    </w:rPr>
                    <w:t>1回集电线路，由箱变串并联后接入</w:t>
                  </w:r>
                  <w:r>
                    <w:rPr>
                      <w:rFonts w:hint="eastAsia"/>
                      <w:color w:val="000000" w:themeColor="text1"/>
                      <w:sz w:val="21"/>
                      <w:szCs w:val="21"/>
                      <w:lang w:val="en-US" w:eastAsia="zh-CN"/>
                      <w14:textFill>
                        <w14:solidFill>
                          <w14:schemeClr w14:val="tx1"/>
                        </w14:solidFill>
                      </w14:textFill>
                    </w:rPr>
                    <w:t>了</w:t>
                  </w:r>
                  <w:r>
                    <w:rPr>
                      <w:rFonts w:hint="default"/>
                      <w:color w:val="000000" w:themeColor="text1"/>
                      <w:sz w:val="21"/>
                      <w:szCs w:val="21"/>
                      <w:lang w:val="en-US"/>
                      <w14:textFill>
                        <w14:solidFill>
                          <w14:schemeClr w14:val="tx1"/>
                        </w14:solidFill>
                      </w14:textFill>
                    </w:rPr>
                    <w:t>升压站35kV配电装置室</w:t>
                  </w:r>
                </w:p>
              </w:tc>
              <w:tc>
                <w:tcPr>
                  <w:tcW w:w="660" w:type="dxa"/>
                  <w:vAlign w:val="center"/>
                </w:tcPr>
                <w:p w14:paraId="1B478966">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08B35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4AB69D20">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1177" w:type="dxa"/>
                  <w:gridSpan w:val="3"/>
                  <w:vAlign w:val="center"/>
                </w:tcPr>
                <w:p w14:paraId="54CA9E09">
                  <w:pPr>
                    <w:pStyle w:val="17"/>
                    <w:widowControl w:val="0"/>
                    <w:spacing w:line="240" w:lineRule="auto"/>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排水</w:t>
                  </w:r>
                </w:p>
              </w:tc>
              <w:tc>
                <w:tcPr>
                  <w:tcW w:w="3295" w:type="dxa"/>
                  <w:vAlign w:val="center"/>
                </w:tcPr>
                <w:p w14:paraId="7101487C">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根据当地的地质情况及干燥的气候等原因，场地内不考虑排水施，道路为径流，排向周围场地。场地内的雨水为自然渗透</w:t>
                  </w:r>
                </w:p>
              </w:tc>
              <w:tc>
                <w:tcPr>
                  <w:tcW w:w="3083" w:type="dxa"/>
                  <w:vAlign w:val="center"/>
                </w:tcPr>
                <w:p w14:paraId="421EC1DA">
                  <w:pPr>
                    <w:pStyle w:val="17"/>
                    <w:widowControl w:val="0"/>
                    <w:spacing w:line="240" w:lineRule="auto"/>
                    <w:jc w:val="both"/>
                    <w:rPr>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由于</w:t>
                  </w:r>
                  <w:r>
                    <w:rPr>
                      <w:rFonts w:hint="eastAsia" w:eastAsia="宋体"/>
                      <w:color w:val="000000" w:themeColor="text1"/>
                      <w:sz w:val="21"/>
                      <w:szCs w:val="21"/>
                      <w:lang w:eastAsia="zh-CN"/>
                      <w14:textFill>
                        <w14:solidFill>
                          <w14:schemeClr w14:val="tx1"/>
                        </w14:solidFill>
                      </w14:textFill>
                    </w:rPr>
                    <w:t>当地的地质情况及干燥的气候等原因，道路为径流，排向周围场地。场地内的雨水为自然渗透</w:t>
                  </w:r>
                </w:p>
              </w:tc>
              <w:tc>
                <w:tcPr>
                  <w:tcW w:w="660" w:type="dxa"/>
                  <w:vAlign w:val="center"/>
                </w:tcPr>
                <w:p w14:paraId="37B95FF6">
                  <w:pPr>
                    <w:pStyle w:val="17"/>
                    <w:widowControl w:val="0"/>
                    <w:spacing w:line="240" w:lineRule="auto"/>
                    <w:jc w:val="center"/>
                    <w:rPr>
                      <w:color w:val="000000" w:themeColor="text1"/>
                      <w:sz w:val="21"/>
                      <w:szCs w:val="21"/>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3B1E7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58FCF31C">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1177" w:type="dxa"/>
                  <w:gridSpan w:val="3"/>
                  <w:vAlign w:val="center"/>
                </w:tcPr>
                <w:p w14:paraId="59F9FB2C">
                  <w:pPr>
                    <w:pStyle w:val="17"/>
                    <w:widowControl w:val="0"/>
                    <w:spacing w:line="240" w:lineRule="auto"/>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围栏</w:t>
                  </w:r>
                </w:p>
              </w:tc>
              <w:tc>
                <w:tcPr>
                  <w:tcW w:w="3295" w:type="dxa"/>
                  <w:vAlign w:val="center"/>
                </w:tcPr>
                <w:p w14:paraId="396330D5">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本工程为牧光储一体化项目，光伏场区四周不设置围栏。在站区围墙设置电子围栏，防止非法分子翻墙入内；高度1.8m高铁丝</w:t>
                  </w:r>
                </w:p>
                <w:p w14:paraId="14B4167B">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网围栏</w:t>
                  </w:r>
                </w:p>
              </w:tc>
              <w:tc>
                <w:tcPr>
                  <w:tcW w:w="3083" w:type="dxa"/>
                  <w:vAlign w:val="center"/>
                </w:tcPr>
                <w:p w14:paraId="3767E5B1">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本工程为牧光储一体化项目，光伏场区四周不设置围栏。在站</w:t>
                  </w:r>
                </w:p>
                <w:p w14:paraId="7DF86280">
                  <w:pPr>
                    <w:pStyle w:val="17"/>
                    <w:widowControl w:val="0"/>
                    <w:spacing w:line="240" w:lineRule="auto"/>
                    <w:jc w:val="both"/>
                    <w:rPr>
                      <w:color w:val="000000" w:themeColor="text1"/>
                      <w:sz w:val="21"/>
                      <w:szCs w:val="21"/>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区围墙设置</w:t>
                  </w:r>
                  <w:r>
                    <w:rPr>
                      <w:rFonts w:hint="eastAsia"/>
                      <w:color w:val="000000" w:themeColor="text1"/>
                      <w:sz w:val="21"/>
                      <w:szCs w:val="21"/>
                      <w:lang w:eastAsia="zh-CN"/>
                      <w14:textFill>
                        <w14:solidFill>
                          <w14:schemeClr w14:val="tx1"/>
                        </w14:solidFill>
                      </w14:textFill>
                    </w:rPr>
                    <w:t>了</w:t>
                  </w:r>
                  <w:r>
                    <w:rPr>
                      <w:rFonts w:hint="eastAsia" w:eastAsia="宋体"/>
                      <w:color w:val="000000" w:themeColor="text1"/>
                      <w:sz w:val="21"/>
                      <w:szCs w:val="21"/>
                      <w:lang w:eastAsia="zh-CN"/>
                      <w14:textFill>
                        <w14:solidFill>
                          <w14:schemeClr w14:val="tx1"/>
                        </w14:solidFill>
                      </w14:textFill>
                    </w:rPr>
                    <w:t>高1.8m</w:t>
                  </w:r>
                  <w:r>
                    <w:rPr>
                      <w:rFonts w:hint="eastAsia"/>
                      <w:color w:val="000000" w:themeColor="text1"/>
                      <w:sz w:val="21"/>
                      <w:szCs w:val="21"/>
                      <w:lang w:val="en-US" w:eastAsia="zh-CN"/>
                      <w14:textFill>
                        <w14:solidFill>
                          <w14:schemeClr w14:val="tx1"/>
                        </w14:solidFill>
                      </w14:textFill>
                    </w:rPr>
                    <w:t>的</w:t>
                  </w:r>
                  <w:r>
                    <w:rPr>
                      <w:rFonts w:hint="eastAsia" w:eastAsia="宋体"/>
                      <w:color w:val="000000" w:themeColor="text1"/>
                      <w:sz w:val="21"/>
                      <w:szCs w:val="21"/>
                      <w:lang w:eastAsia="zh-CN"/>
                      <w14:textFill>
                        <w14:solidFill>
                          <w14:schemeClr w14:val="tx1"/>
                        </w14:solidFill>
                      </w14:textFill>
                    </w:rPr>
                    <w:t>铁丝网电子围栏，防止非法分子翻墙入内</w:t>
                  </w:r>
                </w:p>
              </w:tc>
              <w:tc>
                <w:tcPr>
                  <w:tcW w:w="660" w:type="dxa"/>
                  <w:vAlign w:val="center"/>
                </w:tcPr>
                <w:p w14:paraId="0031861D">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4274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restart"/>
                  <w:vAlign w:val="center"/>
                </w:tcPr>
                <w:p w14:paraId="32AE1286">
                  <w:pPr>
                    <w:pStyle w:val="17"/>
                    <w:widowControl w:val="0"/>
                    <w:spacing w:line="240" w:lineRule="auto"/>
                    <w:jc w:val="both"/>
                    <w:rPr>
                      <w:rFonts w:hint="default" w:eastAsia="宋体"/>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辅助工程</w:t>
                  </w:r>
                </w:p>
              </w:tc>
              <w:tc>
                <w:tcPr>
                  <w:tcW w:w="1177" w:type="dxa"/>
                  <w:gridSpan w:val="3"/>
                  <w:vAlign w:val="center"/>
                </w:tcPr>
                <w:p w14:paraId="0033DABB">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综合楼</w:t>
                  </w:r>
                </w:p>
              </w:tc>
              <w:tc>
                <w:tcPr>
                  <w:tcW w:w="3295" w:type="dxa"/>
                  <w:vAlign w:val="center"/>
                </w:tcPr>
                <w:p w14:paraId="1F153435">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站区东南角为综合楼，综合楼采用三层布置，根据使用功能进行区分。综合楼结构型式为混凝土框架结构，建筑面积4350m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。平面布置有计算机室、中控室、通信设备室、资料室、厨房餐厅、</w:t>
                  </w:r>
                </w:p>
                <w:p w14:paraId="34DA7EB3">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卫生间、宿舍、会议室等</w:t>
                  </w:r>
                </w:p>
              </w:tc>
              <w:tc>
                <w:tcPr>
                  <w:tcW w:w="3083" w:type="dxa"/>
                  <w:vAlign w:val="center"/>
                </w:tcPr>
                <w:p w14:paraId="551B4B07">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站区东南角为综合楼，综合楼采用</w:t>
                  </w:r>
                  <w:r>
                    <w:rPr>
                      <w:rFonts w:hint="eastAsia"/>
                      <w:color w:val="000000" w:themeColor="text1"/>
                      <w:sz w:val="21"/>
                      <w:szCs w:val="21"/>
                      <w:lang w:eastAsia="zh-CN"/>
                      <w14:textFill>
                        <w14:solidFill>
                          <w14:schemeClr w14:val="tx1"/>
                        </w14:solidFill>
                      </w14:textFill>
                    </w:rPr>
                    <w:t>了</w:t>
                  </w:r>
                  <w:r>
                    <w:rPr>
                      <w:rFonts w:hint="eastAsia" w:eastAsia="宋体"/>
                      <w:color w:val="000000" w:themeColor="text1"/>
                      <w:sz w:val="21"/>
                      <w:szCs w:val="21"/>
                      <w:lang w:eastAsia="zh-CN"/>
                      <w14:textFill>
                        <w14:solidFill>
                          <w14:schemeClr w14:val="tx1"/>
                        </w14:solidFill>
                      </w14:textFill>
                    </w:rPr>
                    <w:t>三层布置，根据使用功能进</w:t>
                  </w:r>
                </w:p>
                <w:p w14:paraId="16B292D8">
                  <w:pPr>
                    <w:pStyle w:val="17"/>
                    <w:widowControl w:val="0"/>
                    <w:spacing w:line="240" w:lineRule="auto"/>
                    <w:jc w:val="both"/>
                    <w:rPr>
                      <w:color w:val="000000" w:themeColor="text1"/>
                      <w:sz w:val="21"/>
                      <w:szCs w:val="21"/>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行</w:t>
                  </w:r>
                  <w:r>
                    <w:rPr>
                      <w:rFonts w:hint="eastAsia"/>
                      <w:color w:val="000000" w:themeColor="text1"/>
                      <w:sz w:val="21"/>
                      <w:szCs w:val="21"/>
                      <w:lang w:eastAsia="zh-CN"/>
                      <w14:textFill>
                        <w14:solidFill>
                          <w14:schemeClr w14:val="tx1"/>
                        </w14:solidFill>
                      </w14:textFill>
                    </w:rPr>
                    <w:t>了</w:t>
                  </w:r>
                  <w:r>
                    <w:rPr>
                      <w:rFonts w:hint="eastAsia" w:eastAsia="宋体"/>
                      <w:color w:val="000000" w:themeColor="text1"/>
                      <w:sz w:val="21"/>
                      <w:szCs w:val="21"/>
                      <w:lang w:eastAsia="zh-CN"/>
                      <w14:textFill>
                        <w14:solidFill>
                          <w14:schemeClr w14:val="tx1"/>
                        </w14:solidFill>
                      </w14:textFill>
                    </w:rPr>
                    <w:t>区分。综合楼结构型式为混凝土框架结构，建筑面积</w:t>
                  </w:r>
                  <w:r>
                    <w:rPr>
                      <w:rFonts w:hint="eastAsia"/>
                      <w:color w:val="000000" w:themeColor="text1"/>
                      <w:sz w:val="21"/>
                      <w:szCs w:val="21"/>
                      <w:lang w:val="en-US" w:eastAsia="zh-CN"/>
                      <w14:textFill>
                        <w14:solidFill>
                          <w14:schemeClr w14:val="tx1"/>
                        </w14:solidFill>
                      </w14:textFill>
                    </w:rPr>
                    <w:t>为</w:t>
                  </w:r>
                  <w:r>
                    <w:rPr>
                      <w:rFonts w:hint="eastAsia" w:eastAsia="宋体"/>
                      <w:color w:val="000000" w:themeColor="text1"/>
                      <w:sz w:val="21"/>
                      <w:szCs w:val="21"/>
                      <w:lang w:eastAsia="zh-CN"/>
                      <w14:textFill>
                        <w14:solidFill>
                          <w14:schemeClr w14:val="tx1"/>
                        </w14:solidFill>
                      </w14:textFill>
                    </w:rPr>
                    <w:t>4350m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。平面布置有计算机室、中控室、通信设备室、资料室、厨房餐厅、卫生间、宿舍、会议室等</w:t>
                  </w:r>
                </w:p>
              </w:tc>
              <w:tc>
                <w:tcPr>
                  <w:tcW w:w="660" w:type="dxa"/>
                  <w:vAlign w:val="center"/>
                </w:tcPr>
                <w:p w14:paraId="512E44F2">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5E4F5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1DEC9310">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1177" w:type="dxa"/>
                  <w:gridSpan w:val="3"/>
                  <w:vAlign w:val="center"/>
                </w:tcPr>
                <w:p w14:paraId="24B88854">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控制室</w:t>
                  </w:r>
                </w:p>
              </w:tc>
              <w:tc>
                <w:tcPr>
                  <w:tcW w:w="3295" w:type="dxa"/>
                  <w:vAlign w:val="center"/>
                </w:tcPr>
                <w:p w14:paraId="3A3FD459">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控制室为单层现浇钢筋混凝土框架结构建筑，轴线尺寸21.6x17.4</w:t>
                  </w:r>
                </w:p>
                <w:p w14:paraId="5ED41578">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（m），建筑面积为400m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，建筑层高3.9m，室内外高差为0.30m</w:t>
                  </w:r>
                </w:p>
              </w:tc>
              <w:tc>
                <w:tcPr>
                  <w:tcW w:w="3083" w:type="dxa"/>
                  <w:vAlign w:val="center"/>
                </w:tcPr>
                <w:p w14:paraId="5AEBFB0C">
                  <w:pPr>
                    <w:pStyle w:val="17"/>
                    <w:widowControl w:val="0"/>
                    <w:spacing w:line="240" w:lineRule="auto"/>
                    <w:jc w:val="both"/>
                    <w:rPr>
                      <w:color w:val="000000" w:themeColor="text1"/>
                      <w:sz w:val="21"/>
                      <w:szCs w:val="21"/>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控制室为单层现浇钢筋混凝土框架结构建筑，轴线尺寸21.6x17.4（m），建筑面积为400m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，建筑层高3.9m，室内外高差为0.30m</w:t>
                  </w:r>
                </w:p>
              </w:tc>
              <w:tc>
                <w:tcPr>
                  <w:tcW w:w="660" w:type="dxa"/>
                  <w:vAlign w:val="center"/>
                </w:tcPr>
                <w:p w14:paraId="0BE65ADF">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365B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02A76E0B">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1177" w:type="dxa"/>
                  <w:gridSpan w:val="3"/>
                  <w:vAlign w:val="center"/>
                </w:tcPr>
                <w:p w14:paraId="1C7C0338">
                  <w:pPr>
                    <w:pStyle w:val="17"/>
                    <w:widowControl w:val="0"/>
                    <w:spacing w:line="24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35kV配电</w:t>
                  </w:r>
                </w:p>
                <w:p w14:paraId="2D2FE6B5">
                  <w:pPr>
                    <w:pStyle w:val="17"/>
                    <w:widowControl w:val="0"/>
                    <w:spacing w:line="240" w:lineRule="auto"/>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装置室</w:t>
                  </w:r>
                </w:p>
              </w:tc>
              <w:tc>
                <w:tcPr>
                  <w:tcW w:w="3295" w:type="dxa"/>
                  <w:vAlign w:val="center"/>
                </w:tcPr>
                <w:p w14:paraId="6D2920E2">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为单层现浇钢筋混凝土框架结构建筑，轴线尺寸28.1x12.0（m），</w:t>
                  </w:r>
                </w:p>
                <w:p w14:paraId="4B8D94D3">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建筑面积为516m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 5.4m，室内外高差为0.30m</w:t>
                  </w:r>
                </w:p>
              </w:tc>
              <w:tc>
                <w:tcPr>
                  <w:tcW w:w="3083" w:type="dxa"/>
                  <w:vAlign w:val="center"/>
                </w:tcPr>
                <w:p w14:paraId="67BE79FB">
                  <w:pPr>
                    <w:pStyle w:val="17"/>
                    <w:widowControl w:val="0"/>
                    <w:spacing w:line="240" w:lineRule="auto"/>
                    <w:jc w:val="both"/>
                    <w:rPr>
                      <w:color w:val="000000" w:themeColor="text1"/>
                      <w:sz w:val="21"/>
                      <w:szCs w:val="21"/>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为单层现浇钢筋混凝土框架结构建筑，轴线尺寸28.1x12.0（m），建筑面积为516m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 5.4m，室内外高差为0.30m</w:t>
                  </w:r>
                </w:p>
              </w:tc>
              <w:tc>
                <w:tcPr>
                  <w:tcW w:w="660" w:type="dxa"/>
                  <w:vAlign w:val="center"/>
                </w:tcPr>
                <w:p w14:paraId="4194496B">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687CA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37B52F62">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1177" w:type="dxa"/>
                  <w:gridSpan w:val="3"/>
                  <w:vAlign w:val="center"/>
                </w:tcPr>
                <w:p w14:paraId="23B8B5F0">
                  <w:pPr>
                    <w:pStyle w:val="17"/>
                    <w:widowControl w:val="0"/>
                    <w:spacing w:line="24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交直流配电</w:t>
                  </w:r>
                </w:p>
                <w:p w14:paraId="0779B726">
                  <w:pPr>
                    <w:pStyle w:val="17"/>
                    <w:widowControl w:val="0"/>
                    <w:spacing w:line="240" w:lineRule="auto"/>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装置室</w:t>
                  </w:r>
                </w:p>
              </w:tc>
              <w:tc>
                <w:tcPr>
                  <w:tcW w:w="3295" w:type="dxa"/>
                  <w:vAlign w:val="center"/>
                </w:tcPr>
                <w:p w14:paraId="5556A61E">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为单层现浇钢筋混凝土框架结构建筑，轴线尺寸24.3x7.2（m），</w:t>
                  </w:r>
                </w:p>
                <w:p w14:paraId="5EFD0C65">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建筑面积为200m</w:t>
                  </w:r>
                  <w:r>
                    <w:rPr>
                      <w:rFonts w:hint="eastAsia"/>
                      <w:color w:val="000000" w:themeColor="text1"/>
                      <w:sz w:val="21"/>
                      <w:szCs w:val="21"/>
                      <w:vertAlign w:val="superscript"/>
                      <w:lang w:val="en-US"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，建筑层高5.4m，室内外高差为0.30m</w:t>
                  </w:r>
                </w:p>
              </w:tc>
              <w:tc>
                <w:tcPr>
                  <w:tcW w:w="3083" w:type="dxa"/>
                  <w:vAlign w:val="center"/>
                </w:tcPr>
                <w:p w14:paraId="37578511">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为单层现浇钢筋混凝土框架结构建筑，轴线尺寸24.3x7.2（m），</w:t>
                  </w:r>
                </w:p>
                <w:p w14:paraId="28696282">
                  <w:pPr>
                    <w:pStyle w:val="17"/>
                    <w:widowControl w:val="0"/>
                    <w:spacing w:line="240" w:lineRule="auto"/>
                    <w:jc w:val="both"/>
                    <w:rPr>
                      <w:color w:val="000000" w:themeColor="text1"/>
                      <w:sz w:val="21"/>
                      <w:szCs w:val="21"/>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建筑面积为200m</w:t>
                  </w:r>
                  <w:r>
                    <w:rPr>
                      <w:rFonts w:hint="eastAsia"/>
                      <w:color w:val="000000" w:themeColor="text1"/>
                      <w:sz w:val="21"/>
                      <w:szCs w:val="21"/>
                      <w:vertAlign w:val="superscript"/>
                      <w:lang w:val="en-US"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 5.4m，室内外高差为0.30m</w:t>
                  </w:r>
                </w:p>
              </w:tc>
              <w:tc>
                <w:tcPr>
                  <w:tcW w:w="660" w:type="dxa"/>
                  <w:vAlign w:val="center"/>
                </w:tcPr>
                <w:p w14:paraId="37C83421">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2AF92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Align w:val="center"/>
                </w:tcPr>
                <w:p w14:paraId="7263574A">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1177" w:type="dxa"/>
                  <w:gridSpan w:val="3"/>
                  <w:vAlign w:val="center"/>
                </w:tcPr>
                <w:p w14:paraId="4426E154">
                  <w:pPr>
                    <w:pStyle w:val="17"/>
                    <w:widowControl w:val="0"/>
                    <w:spacing w:line="24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综合泵房</w:t>
                  </w:r>
                </w:p>
              </w:tc>
              <w:tc>
                <w:tcPr>
                  <w:tcW w:w="3295" w:type="dxa"/>
                  <w:vAlign w:val="center"/>
                </w:tcPr>
                <w:p w14:paraId="27FEFF6E">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为单层现浇钢筋混凝土框架结构建筑，轴线尺寸15.5x9.5（m），建筑面积为165m</w:t>
                  </w:r>
                  <w:r>
                    <w:rPr>
                      <w:rFonts w:hint="eastAsia"/>
                      <w:color w:val="000000" w:themeColor="text1"/>
                      <w:sz w:val="21"/>
                      <w:szCs w:val="21"/>
                      <w:vertAlign w:val="superscript"/>
                      <w:lang w:val="en-US"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，建筑层高地上4.0m、地下-3.5m，室内外高差为</w:t>
                  </w:r>
                </w:p>
                <w:p w14:paraId="30B7F30E">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0.30m</w:t>
                  </w:r>
                </w:p>
              </w:tc>
              <w:tc>
                <w:tcPr>
                  <w:tcW w:w="3083" w:type="dxa"/>
                  <w:vAlign w:val="center"/>
                </w:tcPr>
                <w:p w14:paraId="641246BD">
                  <w:pPr>
                    <w:pStyle w:val="17"/>
                    <w:widowControl w:val="0"/>
                    <w:spacing w:line="240" w:lineRule="auto"/>
                    <w:jc w:val="both"/>
                    <w:rPr>
                      <w:color w:val="000000" w:themeColor="text1"/>
                      <w:sz w:val="21"/>
                      <w:szCs w:val="21"/>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为单层现浇钢筋混凝土框架结构建筑，轴线尺寸15.5x9.5（m），建筑面积为165m</w:t>
                  </w:r>
                  <w:r>
                    <w:rPr>
                      <w:rFonts w:hint="eastAsia"/>
                      <w:color w:val="000000" w:themeColor="text1"/>
                      <w:sz w:val="21"/>
                      <w:szCs w:val="21"/>
                      <w:vertAlign w:val="superscript"/>
                      <w:lang w:val="en-US"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，建筑层高地上4.0m、地下-3.5m，室内外高差为0.30m</w:t>
                  </w:r>
                </w:p>
              </w:tc>
              <w:tc>
                <w:tcPr>
                  <w:tcW w:w="660" w:type="dxa"/>
                  <w:vAlign w:val="center"/>
                </w:tcPr>
                <w:p w14:paraId="5316CEAB">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694C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Align w:val="center"/>
                </w:tcPr>
                <w:p w14:paraId="0229A6AC">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1177" w:type="dxa"/>
                  <w:gridSpan w:val="3"/>
                  <w:vAlign w:val="center"/>
                </w:tcPr>
                <w:p w14:paraId="76B11809">
                  <w:pPr>
                    <w:pStyle w:val="17"/>
                    <w:widowControl w:val="0"/>
                    <w:spacing w:line="240" w:lineRule="auto"/>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雨淋阀室</w:t>
                  </w:r>
                </w:p>
              </w:tc>
              <w:tc>
                <w:tcPr>
                  <w:tcW w:w="3295" w:type="dxa"/>
                  <w:vAlign w:val="center"/>
                </w:tcPr>
                <w:p w14:paraId="14F8A419">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为单层现浇钢筋混凝土框架结构建筑，轴线尺寸11.5x7.5（m），</w:t>
                  </w:r>
                </w:p>
                <w:p w14:paraId="5856E79C">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建筑面积为95m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，建筑层高地上4.0m、地下-3.5m，室内外高差为0.30m</w:t>
                  </w:r>
                </w:p>
              </w:tc>
              <w:tc>
                <w:tcPr>
                  <w:tcW w:w="3083" w:type="dxa"/>
                  <w:vAlign w:val="center"/>
                </w:tcPr>
                <w:p w14:paraId="5DA5F081">
                  <w:pPr>
                    <w:pStyle w:val="17"/>
                    <w:widowControl w:val="0"/>
                    <w:spacing w:line="240" w:lineRule="auto"/>
                    <w:jc w:val="both"/>
                    <w:rPr>
                      <w:rFonts w:hint="eastAsia" w:eastAsia="宋体"/>
                      <w:color w:val="000000" w:themeColor="text1"/>
                      <w:sz w:val="21"/>
                      <w:szCs w:val="21"/>
                      <w:lang w:eastAsia="zh-CN"/>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为单层现浇钢筋混凝土框架结构建筑，轴线尺寸11.5x7.5（m），</w:t>
                  </w:r>
                </w:p>
                <w:p w14:paraId="53CC8B62">
                  <w:pPr>
                    <w:pStyle w:val="17"/>
                    <w:widowControl w:val="0"/>
                    <w:spacing w:line="240" w:lineRule="auto"/>
                    <w:jc w:val="both"/>
                    <w:rPr>
                      <w:color w:val="000000" w:themeColor="text1"/>
                      <w:sz w:val="21"/>
                      <w:szCs w:val="21"/>
                      <w14:textFill>
                        <w14:solidFill>
                          <w14:schemeClr w14:val="tx1"/>
                        </w14:solidFill>
                      </w14:textFill>
                    </w:rPr>
                  </w:pPr>
                  <w:r>
                    <w:rPr>
                      <w:rFonts w:hint="eastAsia" w:eastAsia="宋体"/>
                      <w:color w:val="000000" w:themeColor="text1"/>
                      <w:sz w:val="21"/>
                      <w:szCs w:val="21"/>
                      <w:lang w:eastAsia="zh-CN"/>
                      <w14:textFill>
                        <w14:solidFill>
                          <w14:schemeClr w14:val="tx1"/>
                        </w14:solidFill>
                      </w14:textFill>
                    </w:rPr>
                    <w:t>建筑面积为95m</w:t>
                  </w:r>
                  <w:r>
                    <w:rPr>
                      <w:rFonts w:hint="eastAsia" w:eastAsia="宋体"/>
                      <w:color w:val="000000" w:themeColor="text1"/>
                      <w:sz w:val="21"/>
                      <w:szCs w:val="21"/>
                      <w:vertAlign w:val="superscript"/>
                      <w:lang w:eastAsia="zh-CN"/>
                      <w14:textFill>
                        <w14:solidFill>
                          <w14:schemeClr w14:val="tx1"/>
                        </w14:solidFill>
                      </w14:textFill>
                    </w:rPr>
                    <w:t>2</w:t>
                  </w:r>
                  <w:r>
                    <w:rPr>
                      <w:rFonts w:hint="eastAsia" w:eastAsia="宋体"/>
                      <w:color w:val="000000" w:themeColor="text1"/>
                      <w:sz w:val="21"/>
                      <w:szCs w:val="21"/>
                      <w:lang w:eastAsia="zh-CN"/>
                      <w14:textFill>
                        <w14:solidFill>
                          <w14:schemeClr w14:val="tx1"/>
                        </w14:solidFill>
                      </w14:textFill>
                    </w:rPr>
                    <w:t>，建筑层高地上4.0m、地下-3.5m，室内外高差为0.30m</w:t>
                  </w:r>
                </w:p>
              </w:tc>
              <w:tc>
                <w:tcPr>
                  <w:tcW w:w="660" w:type="dxa"/>
                  <w:vAlign w:val="center"/>
                </w:tcPr>
                <w:p w14:paraId="47EBA7D0">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7277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restart"/>
                  <w:vAlign w:val="center"/>
                </w:tcPr>
                <w:p w14:paraId="47E7F8AD">
                  <w:pPr>
                    <w:pStyle w:val="17"/>
                    <w:widowControl w:val="0"/>
                    <w:spacing w:line="240" w:lineRule="auto"/>
                    <w:jc w:val="center"/>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环保工程</w:t>
                  </w:r>
                </w:p>
              </w:tc>
              <w:tc>
                <w:tcPr>
                  <w:tcW w:w="1177" w:type="dxa"/>
                  <w:gridSpan w:val="3"/>
                  <w:vAlign w:val="center"/>
                </w:tcPr>
                <w:p w14:paraId="20CA32E3">
                  <w:pPr>
                    <w:pStyle w:val="17"/>
                    <w:widowControl w:val="0"/>
                    <w:spacing w:line="240" w:lineRule="auto"/>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废气</w:t>
                  </w:r>
                </w:p>
              </w:tc>
              <w:tc>
                <w:tcPr>
                  <w:tcW w:w="3295" w:type="dxa"/>
                  <w:vAlign w:val="center"/>
                </w:tcPr>
                <w:p w14:paraId="4584EA92">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施工期：临时堆放的土方进行防尘网苫盖；施工现场气候干燥</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14:textFill>
                        <w14:solidFill>
                          <w14:schemeClr w14:val="tx1"/>
                        </w14:solidFill>
                      </w14:textFill>
                    </w:rPr>
                    <w:t>定期安排洒水降尘；合理安排施工进度以及施工方式，尽量采用场地平整、电池板基础安装等土石方项目集中进行；运输车辆应减速慢行并覆盖蓬布进行有效遮掩</w:t>
                  </w:r>
                </w:p>
              </w:tc>
              <w:tc>
                <w:tcPr>
                  <w:tcW w:w="3083" w:type="dxa"/>
                  <w:vAlign w:val="center"/>
                </w:tcPr>
                <w:p w14:paraId="758E27FF">
                  <w:pPr>
                    <w:pStyle w:val="17"/>
                    <w:widowControl w:val="0"/>
                    <w:spacing w:line="240" w:lineRule="auto"/>
                    <w:jc w:val="both"/>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施工期：临时堆放的土方</w:t>
                  </w:r>
                  <w:r>
                    <w:rPr>
                      <w:rFonts w:hint="eastAsia"/>
                      <w:color w:val="000000" w:themeColor="text1"/>
                      <w:sz w:val="21"/>
                      <w:szCs w:val="21"/>
                      <w:lang w:val="en-US" w:eastAsia="zh-CN"/>
                      <w14:textFill>
                        <w14:solidFill>
                          <w14:schemeClr w14:val="tx1"/>
                        </w14:solidFill>
                      </w14:textFill>
                    </w:rPr>
                    <w:t>采用</w:t>
                  </w:r>
                  <w:r>
                    <w:rPr>
                      <w:rFonts w:hint="eastAsia"/>
                      <w:color w:val="000000" w:themeColor="text1"/>
                      <w:sz w:val="21"/>
                      <w:szCs w:val="21"/>
                      <w14:textFill>
                        <w14:solidFill>
                          <w14:schemeClr w14:val="tx1"/>
                        </w14:solidFill>
                      </w14:textFill>
                    </w:rPr>
                    <w:t>防尘网苫盖；定期安排</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洒水降尘；合理安排</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施工进度以及施工方式</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en-US" w:eastAsia="zh-CN"/>
                      <w14:textFill>
                        <w14:solidFill>
                          <w14:schemeClr w14:val="tx1"/>
                        </w14:solidFill>
                      </w14:textFill>
                    </w:rPr>
                    <w:t>对运输车辆采取了</w:t>
                  </w:r>
                  <w:r>
                    <w:rPr>
                      <w:rFonts w:hint="eastAsia"/>
                      <w:color w:val="000000" w:themeColor="text1"/>
                      <w:sz w:val="21"/>
                      <w:szCs w:val="21"/>
                      <w14:textFill>
                        <w14:solidFill>
                          <w14:schemeClr w14:val="tx1"/>
                        </w14:solidFill>
                      </w14:textFill>
                    </w:rPr>
                    <w:t>减速</w:t>
                  </w:r>
                  <w:r>
                    <w:rPr>
                      <w:rFonts w:hint="eastAsia"/>
                      <w:color w:val="000000" w:themeColor="text1"/>
                      <w:sz w:val="21"/>
                      <w:szCs w:val="21"/>
                      <w:lang w:val="en-US" w:eastAsia="zh-CN"/>
                      <w14:textFill>
                        <w14:solidFill>
                          <w14:schemeClr w14:val="tx1"/>
                        </w14:solidFill>
                      </w14:textFill>
                    </w:rPr>
                    <w:t>限行</w:t>
                  </w:r>
                  <w:r>
                    <w:rPr>
                      <w:rFonts w:hint="eastAsia"/>
                      <w:color w:val="000000" w:themeColor="text1"/>
                      <w:sz w:val="21"/>
                      <w:szCs w:val="21"/>
                      <w14:textFill>
                        <w14:solidFill>
                          <w14:schemeClr w14:val="tx1"/>
                        </w14:solidFill>
                      </w14:textFill>
                    </w:rPr>
                    <w:t>并覆盖蓬布</w:t>
                  </w:r>
                  <w:r>
                    <w:rPr>
                      <w:rFonts w:hint="eastAsia"/>
                      <w:color w:val="000000" w:themeColor="text1"/>
                      <w:sz w:val="21"/>
                      <w:szCs w:val="21"/>
                      <w:lang w:val="en-US" w:eastAsia="zh-CN"/>
                      <w14:textFill>
                        <w14:solidFill>
                          <w14:schemeClr w14:val="tx1"/>
                        </w14:solidFill>
                      </w14:textFill>
                    </w:rPr>
                    <w:t>的措施</w:t>
                  </w:r>
                </w:p>
              </w:tc>
              <w:tc>
                <w:tcPr>
                  <w:tcW w:w="660" w:type="dxa"/>
                  <w:vAlign w:val="center"/>
                </w:tcPr>
                <w:p w14:paraId="64B453D4">
                  <w:pPr>
                    <w:pStyle w:val="17"/>
                    <w:widowControl w:val="0"/>
                    <w:spacing w:line="240" w:lineRule="auto"/>
                    <w:jc w:val="center"/>
                    <w:rPr>
                      <w:color w:val="000000" w:themeColor="text1"/>
                      <w:sz w:val="21"/>
                      <w:szCs w:val="21"/>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2770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424D7ED5">
                  <w:pPr>
                    <w:pStyle w:val="17"/>
                    <w:widowControl w:val="0"/>
                    <w:spacing w:line="240" w:lineRule="auto"/>
                    <w:ind w:firstLine="420"/>
                    <w:jc w:val="center"/>
                    <w:rPr>
                      <w:color w:val="000000" w:themeColor="text1"/>
                      <w:sz w:val="21"/>
                      <w:szCs w:val="21"/>
                      <w14:textFill>
                        <w14:solidFill>
                          <w14:schemeClr w14:val="tx1"/>
                        </w14:solidFill>
                      </w14:textFill>
                    </w:rPr>
                  </w:pPr>
                </w:p>
              </w:tc>
              <w:tc>
                <w:tcPr>
                  <w:tcW w:w="1177" w:type="dxa"/>
                  <w:gridSpan w:val="3"/>
                  <w:vAlign w:val="center"/>
                </w:tcPr>
                <w:p w14:paraId="0E0AB6E0">
                  <w:pPr>
                    <w:pStyle w:val="17"/>
                    <w:widowControl w:val="0"/>
                    <w:spacing w:line="240" w:lineRule="auto"/>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废水</w:t>
                  </w:r>
                </w:p>
              </w:tc>
              <w:tc>
                <w:tcPr>
                  <w:tcW w:w="3295" w:type="dxa"/>
                  <w:vAlign w:val="center"/>
                </w:tcPr>
                <w:p w14:paraId="61D800E9">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施工期：施工废水：在施工营地设置简易沉砂池，施工废水经沉砂池沉淀后 回用于洒水降尘、设备车辆冲洗等，不外排。生活污水：施工人员洗漱废水、粪便及上厕废水经施工营地新建防渗旱厕进行收集处理，施工结束后旱厕安全填埋；</w:t>
                  </w:r>
                </w:p>
                <w:p w14:paraId="4583F98C">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运营期：本项目雨水采用无组织排水。场区主要排水为光伏组件清洗用水，由于采用喷雾式水枪，故冲洗排水在无有害物质条件下直接排至光伏板下地面绿化，不进行收集。站区生活污水及含有废水排至站内一体化地埋式污水处理装置，由污水车定期抽排清掏外运；主变压器、站用变压器事故时，其绝缘油可经事故排油管分别排入事故油池，事故油池具有油水分离功能</w:t>
                  </w:r>
                </w:p>
              </w:tc>
              <w:tc>
                <w:tcPr>
                  <w:tcW w:w="3083" w:type="dxa"/>
                  <w:vAlign w:val="center"/>
                </w:tcPr>
                <w:p w14:paraId="38E10BA5">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施工期：</w:t>
                  </w:r>
                  <w:r>
                    <w:rPr>
                      <w:rFonts w:hint="eastAsia"/>
                      <w:color w:val="000000" w:themeColor="text1"/>
                      <w:sz w:val="21"/>
                      <w:szCs w:val="21"/>
                      <w:lang w:val="en-US" w:eastAsia="zh-CN"/>
                      <w14:textFill>
                        <w14:solidFill>
                          <w14:schemeClr w14:val="tx1"/>
                        </w14:solidFill>
                      </w14:textFill>
                    </w:rPr>
                    <w:t>通过</w:t>
                  </w:r>
                  <w:r>
                    <w:rPr>
                      <w:rFonts w:hint="eastAsia"/>
                      <w:color w:val="000000" w:themeColor="text1"/>
                      <w:sz w:val="21"/>
                      <w:szCs w:val="21"/>
                      <w14:textFill>
                        <w14:solidFill>
                          <w14:schemeClr w14:val="tx1"/>
                        </w14:solidFill>
                      </w14:textFill>
                    </w:rPr>
                    <w:t>在施工营地设置</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简易沉砂池，施工废水经沉砂池沉淀后回用于</w:t>
                  </w:r>
                  <w:r>
                    <w:rPr>
                      <w:rFonts w:hint="eastAsia"/>
                      <w:color w:val="000000" w:themeColor="text1"/>
                      <w:sz w:val="21"/>
                      <w:szCs w:val="21"/>
                      <w:lang w:val="en-US" w:eastAsia="zh-CN"/>
                      <w14:textFill>
                        <w14:solidFill>
                          <w14:schemeClr w14:val="tx1"/>
                        </w14:solidFill>
                      </w14:textFill>
                    </w:rPr>
                    <w:t>场地内</w:t>
                  </w:r>
                  <w:r>
                    <w:rPr>
                      <w:rFonts w:hint="eastAsia"/>
                      <w:color w:val="000000" w:themeColor="text1"/>
                      <w:sz w:val="21"/>
                      <w:szCs w:val="21"/>
                      <w14:textFill>
                        <w14:solidFill>
                          <w14:schemeClr w14:val="tx1"/>
                        </w14:solidFill>
                      </w14:textFill>
                    </w:rPr>
                    <w:t>洒水降尘、设备车辆冲洗等，</w:t>
                  </w:r>
                  <w:r>
                    <w:rPr>
                      <w:rFonts w:hint="eastAsia"/>
                      <w:color w:val="000000" w:themeColor="text1"/>
                      <w:sz w:val="21"/>
                      <w:szCs w:val="21"/>
                      <w:lang w:val="en-US" w:eastAsia="zh-CN"/>
                      <w14:textFill>
                        <w14:solidFill>
                          <w14:schemeClr w14:val="tx1"/>
                        </w14:solidFill>
                      </w14:textFill>
                    </w:rPr>
                    <w:t>没有</w:t>
                  </w:r>
                  <w:r>
                    <w:rPr>
                      <w:rFonts w:hint="eastAsia"/>
                      <w:color w:val="000000" w:themeColor="text1"/>
                      <w:sz w:val="21"/>
                      <w:szCs w:val="21"/>
                      <w14:textFill>
                        <w14:solidFill>
                          <w14:schemeClr w14:val="tx1"/>
                        </w14:solidFill>
                      </w14:textFill>
                    </w:rPr>
                    <w:t>外排。施工人员洗漱废水、粪便及上厕废水经施工营地新建防渗旱厕进行</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收集处理，施工结束后旱厕</w:t>
                  </w:r>
                  <w:r>
                    <w:rPr>
                      <w:rFonts w:hint="eastAsia"/>
                      <w:color w:val="000000" w:themeColor="text1"/>
                      <w:sz w:val="21"/>
                      <w:szCs w:val="21"/>
                      <w:lang w:val="en-US" w:eastAsia="zh-CN"/>
                      <w14:textFill>
                        <w14:solidFill>
                          <w14:schemeClr w14:val="tx1"/>
                        </w14:solidFill>
                      </w14:textFill>
                    </w:rPr>
                    <w:t>全部进行了</w:t>
                  </w:r>
                  <w:r>
                    <w:rPr>
                      <w:rFonts w:hint="eastAsia"/>
                      <w:color w:val="000000" w:themeColor="text1"/>
                      <w:sz w:val="21"/>
                      <w:szCs w:val="21"/>
                      <w14:textFill>
                        <w14:solidFill>
                          <w14:schemeClr w14:val="tx1"/>
                        </w14:solidFill>
                      </w14:textFill>
                    </w:rPr>
                    <w:t>安全填埋；</w:t>
                  </w:r>
                </w:p>
                <w:p w14:paraId="4544AE36">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运营期：采用喷雾式水枪</w:t>
                  </w:r>
                  <w:r>
                    <w:rPr>
                      <w:rFonts w:hint="eastAsia"/>
                      <w:color w:val="000000" w:themeColor="text1"/>
                      <w:sz w:val="21"/>
                      <w:szCs w:val="21"/>
                      <w:lang w:val="en-US" w:eastAsia="zh-CN"/>
                      <w14:textFill>
                        <w14:solidFill>
                          <w14:schemeClr w14:val="tx1"/>
                        </w14:solidFill>
                      </w14:textFill>
                    </w:rPr>
                    <w:t>对</w:t>
                  </w:r>
                  <w:r>
                    <w:rPr>
                      <w:rFonts w:hint="eastAsia"/>
                      <w:color w:val="000000" w:themeColor="text1"/>
                      <w:sz w:val="21"/>
                      <w:szCs w:val="21"/>
                      <w14:textFill>
                        <w14:solidFill>
                          <w14:schemeClr w14:val="tx1"/>
                        </w14:solidFill>
                      </w14:textFill>
                    </w:rPr>
                    <w:t>光伏组件清洗</w:t>
                  </w:r>
                  <w:r>
                    <w:rPr>
                      <w:rFonts w:hint="eastAsia"/>
                      <w:color w:val="000000" w:themeColor="text1"/>
                      <w:sz w:val="21"/>
                      <w:szCs w:val="21"/>
                      <w:lang w:val="en-US" w:eastAsia="zh-CN"/>
                      <w14:textFill>
                        <w14:solidFill>
                          <w14:schemeClr w14:val="tx1"/>
                        </w14:solidFill>
                      </w14:textFill>
                    </w:rPr>
                    <w:t>时产生的废水直接</w:t>
                  </w:r>
                  <w:r>
                    <w:rPr>
                      <w:rFonts w:hint="eastAsia"/>
                      <w:color w:val="000000" w:themeColor="text1"/>
                      <w:sz w:val="21"/>
                      <w:szCs w:val="21"/>
                      <w14:textFill>
                        <w14:solidFill>
                          <w14:schemeClr w14:val="tx1"/>
                        </w14:solidFill>
                      </w14:textFill>
                    </w:rPr>
                    <w:t>排</w:t>
                  </w:r>
                  <w:r>
                    <w:rPr>
                      <w:rFonts w:hint="eastAsia"/>
                      <w:color w:val="000000" w:themeColor="text1"/>
                      <w:sz w:val="21"/>
                      <w:szCs w:val="21"/>
                      <w:lang w:val="en-US" w:eastAsia="zh-CN"/>
                      <w14:textFill>
                        <w14:solidFill>
                          <w14:schemeClr w14:val="tx1"/>
                        </w14:solidFill>
                      </w14:textFill>
                    </w:rPr>
                    <w:t>到了</w:t>
                  </w:r>
                  <w:r>
                    <w:rPr>
                      <w:rFonts w:hint="eastAsia"/>
                      <w:color w:val="000000" w:themeColor="text1"/>
                      <w:sz w:val="21"/>
                      <w:szCs w:val="21"/>
                      <w14:textFill>
                        <w14:solidFill>
                          <w14:schemeClr w14:val="tx1"/>
                        </w14:solidFill>
                      </w14:textFill>
                    </w:rPr>
                    <w:t>光伏板下地面</w:t>
                  </w:r>
                  <w:r>
                    <w:rPr>
                      <w:rFonts w:hint="eastAsia"/>
                      <w:color w:val="000000" w:themeColor="text1"/>
                      <w:sz w:val="21"/>
                      <w:szCs w:val="21"/>
                      <w:lang w:val="en-US" w:eastAsia="zh-CN"/>
                      <w14:textFill>
                        <w14:solidFill>
                          <w14:schemeClr w14:val="tx1"/>
                        </w14:solidFill>
                      </w14:textFill>
                    </w:rPr>
                    <w:t>进行了</w:t>
                  </w:r>
                  <w:r>
                    <w:rPr>
                      <w:rFonts w:hint="eastAsia"/>
                      <w:color w:val="000000" w:themeColor="text1"/>
                      <w:sz w:val="21"/>
                      <w:szCs w:val="21"/>
                      <w14:textFill>
                        <w14:solidFill>
                          <w14:schemeClr w14:val="tx1"/>
                        </w14:solidFill>
                      </w14:textFill>
                    </w:rPr>
                    <w:t>绿化。站区生活污水及含</w:t>
                  </w:r>
                  <w:r>
                    <w:rPr>
                      <w:rFonts w:hint="eastAsia"/>
                      <w:color w:val="000000" w:themeColor="text1"/>
                      <w:sz w:val="21"/>
                      <w:szCs w:val="21"/>
                      <w:lang w:val="en-US" w:eastAsia="zh-CN"/>
                      <w14:textFill>
                        <w14:solidFill>
                          <w14:schemeClr w14:val="tx1"/>
                        </w14:solidFill>
                      </w14:textFill>
                    </w:rPr>
                    <w:t>油</w:t>
                  </w:r>
                  <w:r>
                    <w:rPr>
                      <w:rFonts w:hint="eastAsia"/>
                      <w:color w:val="000000" w:themeColor="text1"/>
                      <w:sz w:val="21"/>
                      <w:szCs w:val="21"/>
                      <w14:textFill>
                        <w14:solidFill>
                          <w14:schemeClr w14:val="tx1"/>
                        </w14:solidFill>
                      </w14:textFill>
                    </w:rPr>
                    <w:t>废水排</w:t>
                  </w:r>
                  <w:r>
                    <w:rPr>
                      <w:rFonts w:hint="eastAsia"/>
                      <w:color w:val="000000" w:themeColor="text1"/>
                      <w:sz w:val="21"/>
                      <w:szCs w:val="21"/>
                      <w:lang w:val="en-US" w:eastAsia="zh-CN"/>
                      <w14:textFill>
                        <w14:solidFill>
                          <w14:schemeClr w14:val="tx1"/>
                        </w14:solidFill>
                      </w14:textFill>
                    </w:rPr>
                    <w:t>到了</w:t>
                  </w:r>
                  <w:r>
                    <w:rPr>
                      <w:rFonts w:hint="eastAsia"/>
                      <w:color w:val="000000" w:themeColor="text1"/>
                      <w:sz w:val="21"/>
                      <w:szCs w:val="21"/>
                      <w14:textFill>
                        <w14:solidFill>
                          <w14:schemeClr w14:val="tx1"/>
                        </w14:solidFill>
                      </w14:textFill>
                    </w:rPr>
                    <w:t>站内一体化地埋式污水处理装置，由污水车定期抽排清掏外运；主变压器、站用变压器事故时，其绝缘油经事故排油管分别排入</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事故油池</w:t>
                  </w:r>
                </w:p>
              </w:tc>
              <w:tc>
                <w:tcPr>
                  <w:tcW w:w="660" w:type="dxa"/>
                  <w:vAlign w:val="center"/>
                </w:tcPr>
                <w:p w14:paraId="2F9836B3">
                  <w:pPr>
                    <w:pStyle w:val="17"/>
                    <w:widowControl w:val="0"/>
                    <w:spacing w:line="240" w:lineRule="auto"/>
                    <w:jc w:val="center"/>
                    <w:rPr>
                      <w:color w:val="000000" w:themeColor="text1"/>
                      <w:sz w:val="21"/>
                      <w:szCs w:val="21"/>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6C6A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6A92160A">
                  <w:pPr>
                    <w:pStyle w:val="17"/>
                    <w:widowControl w:val="0"/>
                    <w:spacing w:line="240" w:lineRule="auto"/>
                    <w:ind w:firstLine="420"/>
                    <w:jc w:val="center"/>
                    <w:rPr>
                      <w:color w:val="000000" w:themeColor="text1"/>
                      <w:sz w:val="21"/>
                      <w:szCs w:val="21"/>
                      <w14:textFill>
                        <w14:solidFill>
                          <w14:schemeClr w14:val="tx1"/>
                        </w14:solidFill>
                      </w14:textFill>
                    </w:rPr>
                  </w:pPr>
                </w:p>
              </w:tc>
              <w:tc>
                <w:tcPr>
                  <w:tcW w:w="1177" w:type="dxa"/>
                  <w:gridSpan w:val="3"/>
                  <w:vAlign w:val="center"/>
                </w:tcPr>
                <w:p w14:paraId="45CE9114">
                  <w:pPr>
                    <w:pStyle w:val="17"/>
                    <w:widowControl w:val="0"/>
                    <w:spacing w:line="240" w:lineRule="auto"/>
                    <w:jc w:val="center"/>
                    <w:rPr>
                      <w:rFonts w:hint="eastAsia"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噪声</w:t>
                  </w:r>
                </w:p>
              </w:tc>
              <w:tc>
                <w:tcPr>
                  <w:tcW w:w="3295" w:type="dxa"/>
                  <w:vAlign w:val="center"/>
                </w:tcPr>
                <w:p w14:paraId="66AA8D54">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施工期：合理布置设备位置、合理组织施工；</w:t>
                  </w:r>
                </w:p>
                <w:p w14:paraId="264FA6C8">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运行期：选用低噪声变压器</w:t>
                  </w:r>
                </w:p>
              </w:tc>
              <w:tc>
                <w:tcPr>
                  <w:tcW w:w="3083" w:type="dxa"/>
                  <w:vAlign w:val="center"/>
                </w:tcPr>
                <w:p w14:paraId="1D96B5E9">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施工期：合理布置</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设备位置、</w:t>
                  </w:r>
                  <w:r>
                    <w:rPr>
                      <w:rFonts w:hint="eastAsia"/>
                      <w:color w:val="000000" w:themeColor="text1"/>
                      <w:sz w:val="21"/>
                      <w:szCs w:val="21"/>
                      <w:lang w:val="en-US" w:eastAsia="zh-CN"/>
                      <w14:textFill>
                        <w14:solidFill>
                          <w14:schemeClr w14:val="tx1"/>
                        </w14:solidFill>
                      </w14:textFill>
                    </w:rPr>
                    <w:t>高噪声设备集中放置，</w:t>
                  </w:r>
                  <w:r>
                    <w:rPr>
                      <w:rFonts w:hint="eastAsia"/>
                      <w:color w:val="000000" w:themeColor="text1"/>
                      <w:sz w:val="21"/>
                      <w:szCs w:val="21"/>
                      <w14:textFill>
                        <w14:solidFill>
                          <w14:schemeClr w14:val="tx1"/>
                        </w14:solidFill>
                      </w14:textFill>
                    </w:rPr>
                    <w:t>合理组织施工；</w:t>
                  </w:r>
                </w:p>
                <w:p w14:paraId="3BA73E4C">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运行期：选用</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低噪声变压器</w:t>
                  </w:r>
                </w:p>
              </w:tc>
              <w:tc>
                <w:tcPr>
                  <w:tcW w:w="660" w:type="dxa"/>
                  <w:vAlign w:val="center"/>
                </w:tcPr>
                <w:p w14:paraId="3F5E4041">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4965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568B7676">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464" w:type="dxa"/>
                  <w:gridSpan w:val="2"/>
                  <w:vMerge w:val="restart"/>
                  <w:vAlign w:val="center"/>
                </w:tcPr>
                <w:p w14:paraId="17876154">
                  <w:pPr>
                    <w:pStyle w:val="17"/>
                    <w:widowControl w:val="0"/>
                    <w:spacing w:line="240" w:lineRule="auto"/>
                    <w:jc w:val="center"/>
                    <w:rPr>
                      <w:rFonts w:hint="eastAsia"/>
                      <w:color w:val="000000" w:themeColor="text1"/>
                      <w:sz w:val="21"/>
                      <w:szCs w:val="21"/>
                      <w14:textFill>
                        <w14:solidFill>
                          <w14:schemeClr w14:val="tx1"/>
                        </w14:solidFill>
                      </w14:textFill>
                    </w:rPr>
                  </w:pPr>
                </w:p>
              </w:tc>
              <w:tc>
                <w:tcPr>
                  <w:tcW w:w="713" w:type="dxa"/>
                  <w:vAlign w:val="center"/>
                </w:tcPr>
                <w:p w14:paraId="6AC0F14C">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废旧电子元件</w:t>
                  </w:r>
                </w:p>
              </w:tc>
              <w:tc>
                <w:tcPr>
                  <w:tcW w:w="3295" w:type="dxa"/>
                  <w:vAlign w:val="center"/>
                </w:tcPr>
                <w:p w14:paraId="27D9F289">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废旧、损坏的电池及电子元件暂存于新建的一座40m</w:t>
                  </w:r>
                  <w:r>
                    <w:rPr>
                      <w:rFonts w:hint="eastAsia"/>
                      <w:color w:val="000000" w:themeColor="text1"/>
                      <w:sz w:val="21"/>
                      <w:szCs w:val="21"/>
                      <w:vertAlign w:val="superscript"/>
                      <w14:textFill>
                        <w14:solidFill>
                          <w14:schemeClr w14:val="tx1"/>
                        </w14:solidFill>
                      </w14:textFill>
                    </w:rPr>
                    <w:t>2</w:t>
                  </w:r>
                  <w:r>
                    <w:rPr>
                      <w:rFonts w:hint="eastAsia"/>
                      <w:color w:val="000000" w:themeColor="text1"/>
                      <w:sz w:val="21"/>
                      <w:szCs w:val="21"/>
                      <w14:textFill>
                        <w14:solidFill>
                          <w14:schemeClr w14:val="tx1"/>
                        </w14:solidFill>
                      </w14:textFill>
                    </w:rPr>
                    <w:t>危险废物临时暂存间暂存后，最终交由有危废资质的单位进行处置</w:t>
                  </w:r>
                </w:p>
              </w:tc>
              <w:tc>
                <w:tcPr>
                  <w:tcW w:w="3083" w:type="dxa"/>
                  <w:vAlign w:val="center"/>
                </w:tcPr>
                <w:p w14:paraId="75305259">
                  <w:pPr>
                    <w:pStyle w:val="17"/>
                    <w:widowControl w:val="0"/>
                    <w:spacing w:line="240" w:lineRule="auto"/>
                    <w:jc w:val="both"/>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废旧、损坏的电池及电子元件暂存</w:t>
                  </w:r>
                  <w:r>
                    <w:rPr>
                      <w:rFonts w:hint="eastAsia"/>
                      <w:color w:val="000000" w:themeColor="text1"/>
                      <w:sz w:val="21"/>
                      <w:szCs w:val="21"/>
                      <w:lang w:val="en-US" w:eastAsia="zh-CN"/>
                      <w14:textFill>
                        <w14:solidFill>
                          <w14:schemeClr w14:val="tx1"/>
                        </w14:solidFill>
                      </w14:textFill>
                    </w:rPr>
                    <w:t>至了</w:t>
                  </w:r>
                  <w:r>
                    <w:rPr>
                      <w:rFonts w:hint="eastAsia"/>
                      <w:color w:val="000000" w:themeColor="text1"/>
                      <w:sz w:val="21"/>
                      <w:szCs w:val="21"/>
                      <w14:textFill>
                        <w14:solidFill>
                          <w14:schemeClr w14:val="tx1"/>
                        </w14:solidFill>
                      </w14:textFill>
                    </w:rPr>
                    <w:t>新建的40m</w:t>
                  </w:r>
                  <w:r>
                    <w:rPr>
                      <w:rFonts w:hint="eastAsia"/>
                      <w:color w:val="000000" w:themeColor="text1"/>
                      <w:sz w:val="21"/>
                      <w:szCs w:val="21"/>
                      <w:vertAlign w:val="superscript"/>
                      <w14:textFill>
                        <w14:solidFill>
                          <w14:schemeClr w14:val="tx1"/>
                        </w14:solidFill>
                      </w14:textFill>
                    </w:rPr>
                    <w:t>2</w:t>
                  </w:r>
                  <w:r>
                    <w:rPr>
                      <w:rFonts w:hint="eastAsia"/>
                      <w:color w:val="000000" w:themeColor="text1"/>
                      <w:sz w:val="21"/>
                      <w:szCs w:val="21"/>
                      <w14:textFill>
                        <w14:solidFill>
                          <w14:schemeClr w14:val="tx1"/>
                        </w14:solidFill>
                      </w14:textFill>
                    </w:rPr>
                    <w:t>的</w:t>
                  </w:r>
                  <w:r>
                    <w:rPr>
                      <w:rFonts w:hint="eastAsia"/>
                      <w:color w:val="000000" w:themeColor="text1"/>
                      <w:sz w:val="21"/>
                      <w:szCs w:val="21"/>
                      <w:lang w:val="en-US" w:eastAsia="zh-CN"/>
                      <w14:textFill>
                        <w14:solidFill>
                          <w14:schemeClr w14:val="tx1"/>
                        </w14:solidFill>
                      </w14:textFill>
                    </w:rPr>
                    <w:t>危废暂存间暂存后</w:t>
                  </w:r>
                  <w:r>
                    <w:rPr>
                      <w:rFonts w:hint="eastAsia"/>
                      <w:color w:val="000000" w:themeColor="text1"/>
                      <w:sz w:val="21"/>
                      <w:szCs w:val="21"/>
                      <w14:textFill>
                        <w14:solidFill>
                          <w14:schemeClr w14:val="tx1"/>
                        </w14:solidFill>
                      </w14:textFill>
                    </w:rPr>
                    <w:t>，最终交由</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lang w:val="en-US" w:eastAsia="zh-CN"/>
                      <w14:textFill>
                        <w14:solidFill>
                          <w14:schemeClr w14:val="tx1"/>
                        </w14:solidFill>
                      </w14:textFill>
                    </w:rPr>
                    <w:t>有资质单位进行处置</w:t>
                  </w:r>
                </w:p>
              </w:tc>
              <w:tc>
                <w:tcPr>
                  <w:tcW w:w="660" w:type="dxa"/>
                  <w:vAlign w:val="center"/>
                </w:tcPr>
                <w:p w14:paraId="0676C3DF">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78264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28A8F0B7">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464" w:type="dxa"/>
                  <w:gridSpan w:val="2"/>
                  <w:vMerge w:val="continue"/>
                  <w:vAlign w:val="center"/>
                </w:tcPr>
                <w:p w14:paraId="3647F386">
                  <w:pPr>
                    <w:pStyle w:val="17"/>
                    <w:widowControl w:val="0"/>
                    <w:spacing w:line="240" w:lineRule="auto"/>
                    <w:jc w:val="center"/>
                    <w:rPr>
                      <w:rFonts w:hint="eastAsia"/>
                      <w:color w:val="000000" w:themeColor="text1"/>
                      <w:sz w:val="21"/>
                      <w:szCs w:val="21"/>
                      <w14:textFill>
                        <w14:solidFill>
                          <w14:schemeClr w14:val="tx1"/>
                        </w14:solidFill>
                      </w14:textFill>
                    </w:rPr>
                  </w:pPr>
                </w:p>
              </w:tc>
              <w:tc>
                <w:tcPr>
                  <w:tcW w:w="713" w:type="dxa"/>
                  <w:vAlign w:val="center"/>
                </w:tcPr>
                <w:p w14:paraId="3B0EBB74">
                  <w:pPr>
                    <w:pStyle w:val="17"/>
                    <w:widowControl w:val="0"/>
                    <w:spacing w:line="240" w:lineRule="auto"/>
                    <w:jc w:val="center"/>
                    <w:rPr>
                      <w:rFonts w:hint="default" w:eastAsia="宋体"/>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废变压器油</w:t>
                  </w:r>
                </w:p>
              </w:tc>
              <w:tc>
                <w:tcPr>
                  <w:tcW w:w="3295" w:type="dxa"/>
                  <w:vAlign w:val="center"/>
                </w:tcPr>
                <w:p w14:paraId="4F914D2F">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废变压器油由油泵抽至专用收集桶内，密封存放于危险废物临时贮存库内，最终交由有资质的单位处置</w:t>
                  </w:r>
                </w:p>
              </w:tc>
              <w:tc>
                <w:tcPr>
                  <w:tcW w:w="3083" w:type="dxa"/>
                  <w:vAlign w:val="center"/>
                </w:tcPr>
                <w:p w14:paraId="0307E75B">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废变压器油由油泵抽至专用收集桶内，密封</w:t>
                  </w:r>
                  <w:r>
                    <w:rPr>
                      <w:rFonts w:hint="eastAsia"/>
                      <w:color w:val="000000" w:themeColor="text1"/>
                      <w:sz w:val="21"/>
                      <w:szCs w:val="21"/>
                      <w:lang w:val="en-US" w:eastAsia="zh-CN"/>
                      <w14:textFill>
                        <w14:solidFill>
                          <w14:schemeClr w14:val="tx1"/>
                        </w14:solidFill>
                      </w14:textFill>
                    </w:rPr>
                    <w:t>暂存于危废暂存间后</w:t>
                  </w:r>
                  <w:r>
                    <w:rPr>
                      <w:rFonts w:hint="eastAsia"/>
                      <w:color w:val="000000" w:themeColor="text1"/>
                      <w:sz w:val="21"/>
                      <w:szCs w:val="21"/>
                      <w14:textFill>
                        <w14:solidFill>
                          <w14:schemeClr w14:val="tx1"/>
                        </w14:solidFill>
                      </w14:textFill>
                    </w:rPr>
                    <w:t>，最终交由</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lang w:val="en-US" w:eastAsia="zh-CN"/>
                      <w14:textFill>
                        <w14:solidFill>
                          <w14:schemeClr w14:val="tx1"/>
                        </w14:solidFill>
                      </w14:textFill>
                    </w:rPr>
                    <w:t>有资质单位进行处置</w:t>
                  </w:r>
                </w:p>
              </w:tc>
              <w:tc>
                <w:tcPr>
                  <w:tcW w:w="660" w:type="dxa"/>
                  <w:vAlign w:val="center"/>
                </w:tcPr>
                <w:p w14:paraId="0A848F96">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r w14:paraId="55F5E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84" w:type="dxa"/>
                  <w:vMerge w:val="continue"/>
                  <w:vAlign w:val="center"/>
                </w:tcPr>
                <w:p w14:paraId="5C747B2B">
                  <w:pPr>
                    <w:pStyle w:val="17"/>
                    <w:widowControl w:val="0"/>
                    <w:spacing w:line="240" w:lineRule="auto"/>
                    <w:ind w:firstLine="422"/>
                    <w:jc w:val="center"/>
                    <w:rPr>
                      <w:b/>
                      <w:bCs/>
                      <w:color w:val="000000" w:themeColor="text1"/>
                      <w:sz w:val="21"/>
                      <w:szCs w:val="21"/>
                      <w14:textFill>
                        <w14:solidFill>
                          <w14:schemeClr w14:val="tx1"/>
                        </w14:solidFill>
                      </w14:textFill>
                    </w:rPr>
                  </w:pPr>
                </w:p>
              </w:tc>
              <w:tc>
                <w:tcPr>
                  <w:tcW w:w="464" w:type="dxa"/>
                  <w:gridSpan w:val="2"/>
                  <w:vMerge w:val="continue"/>
                  <w:vAlign w:val="center"/>
                </w:tcPr>
                <w:p w14:paraId="4B0F038E">
                  <w:pPr>
                    <w:pStyle w:val="17"/>
                    <w:widowControl w:val="0"/>
                    <w:spacing w:line="240" w:lineRule="auto"/>
                    <w:jc w:val="center"/>
                    <w:rPr>
                      <w:rFonts w:hint="eastAsia"/>
                      <w:color w:val="000000" w:themeColor="text1"/>
                      <w:sz w:val="21"/>
                      <w:szCs w:val="21"/>
                      <w14:textFill>
                        <w14:solidFill>
                          <w14:schemeClr w14:val="tx1"/>
                        </w14:solidFill>
                      </w14:textFill>
                    </w:rPr>
                  </w:pPr>
                </w:p>
              </w:tc>
              <w:tc>
                <w:tcPr>
                  <w:tcW w:w="713" w:type="dxa"/>
                  <w:vAlign w:val="center"/>
                </w:tcPr>
                <w:p w14:paraId="4AEECCF5">
                  <w:pPr>
                    <w:pStyle w:val="17"/>
                    <w:widowControl w:val="0"/>
                    <w:spacing w:line="240" w:lineRule="auto"/>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事故油池</w:t>
                  </w:r>
                </w:p>
              </w:tc>
              <w:tc>
                <w:tcPr>
                  <w:tcW w:w="3295" w:type="dxa"/>
                  <w:vAlign w:val="center"/>
                </w:tcPr>
                <w:p w14:paraId="490C2C12">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设置1座总事故油池采用钢筋混凝土结构，其有效容积按最大一台主变油量的100%设计，并能使油水分离，将分离处的水排出池外。进油管直径不小于100mm，其标高高出出水口标高，出水口的流速小于进水口的流速，保证</w:t>
                  </w:r>
                </w:p>
                <w:p w14:paraId="13180D62">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油水分离，自流排水。主变贮油坑采用混凝土侧壁及底板。贮油坑比变压器外轮廓大1.0m，四周侧壁比地面高出100mm，内铺250mm厚卵石层，基础顶面高出卵石层100mm以上，底面设置坡度，将油排至集油坑，并用管道</w:t>
                  </w:r>
                </w:p>
                <w:p w14:paraId="7AF62105">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与事故油池相连。主变压器、站用变压器事故时，其绝缘油可经事故排油管分别排入事故油池，事故油池具有油水分离功能。2台变压器共用一个事故油池，进油管标高一致。128个箱变共设置64座4.0m</w:t>
                  </w:r>
                  <w:r>
                    <w:rPr>
                      <w:rFonts w:hint="eastAsia"/>
                      <w:color w:val="000000" w:themeColor="text1"/>
                      <w:sz w:val="21"/>
                      <w:szCs w:val="21"/>
                      <w:vertAlign w:val="superscript"/>
                      <w14:textFill>
                        <w14:solidFill>
                          <w14:schemeClr w14:val="tx1"/>
                        </w14:solidFill>
                      </w14:textFill>
                    </w:rPr>
                    <w:t>3</w:t>
                  </w:r>
                  <w:r>
                    <w:rPr>
                      <w:rFonts w:hint="eastAsia"/>
                      <w:color w:val="000000" w:themeColor="text1"/>
                      <w:sz w:val="21"/>
                      <w:szCs w:val="21"/>
                      <w14:textFill>
                        <w14:solidFill>
                          <w14:schemeClr w14:val="tx1"/>
                        </w14:solidFill>
                      </w14:textFill>
                    </w:rPr>
                    <w:t>的防渗事故油池，采用钢筋混凝土结构，内壁涂刷沥青防腐防渗层，需满足《3-110kV高压配电装置设计规范》（GB50060-2008）中的防渗漏、防流失、防燃爆等相关规定</w:t>
                  </w:r>
                </w:p>
              </w:tc>
              <w:tc>
                <w:tcPr>
                  <w:tcW w:w="3083" w:type="dxa"/>
                  <w:vAlign w:val="center"/>
                </w:tcPr>
                <w:p w14:paraId="56304341">
                  <w:pPr>
                    <w:pStyle w:val="17"/>
                    <w:widowControl w:val="0"/>
                    <w:spacing w:line="240" w:lineRule="auto"/>
                    <w:jc w:val="both"/>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设置</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1座总事故油池</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14:textFill>
                        <w14:solidFill>
                          <w14:schemeClr w14:val="tx1"/>
                        </w14:solidFill>
                      </w14:textFill>
                    </w:rPr>
                    <w:t>采用钢筋混凝土结构，其有效容积按最大一台主变油量的100%设计，并能使油水分离，将分离</w:t>
                  </w:r>
                  <w:r>
                    <w:rPr>
                      <w:rFonts w:hint="eastAsia"/>
                      <w:color w:val="000000" w:themeColor="text1"/>
                      <w:sz w:val="21"/>
                      <w:szCs w:val="21"/>
                      <w:lang w:val="en-US" w:eastAsia="zh-CN"/>
                      <w14:textFill>
                        <w14:solidFill>
                          <w14:schemeClr w14:val="tx1"/>
                        </w14:solidFill>
                      </w14:textFill>
                    </w:rPr>
                    <w:t>出</w:t>
                  </w:r>
                  <w:r>
                    <w:rPr>
                      <w:rFonts w:hint="eastAsia"/>
                      <w:color w:val="000000" w:themeColor="text1"/>
                      <w:sz w:val="21"/>
                      <w:szCs w:val="21"/>
                      <w14:textFill>
                        <w14:solidFill>
                          <w14:schemeClr w14:val="tx1"/>
                        </w14:solidFill>
                      </w14:textFill>
                    </w:rPr>
                    <w:t>的水排出池外。进油管直径</w:t>
                  </w:r>
                  <w:r>
                    <w:rPr>
                      <w:rFonts w:hint="eastAsia"/>
                      <w:color w:val="000000" w:themeColor="text1"/>
                      <w:sz w:val="21"/>
                      <w:szCs w:val="21"/>
                      <w:lang w:val="en-US" w:eastAsia="zh-CN"/>
                      <w14:textFill>
                        <w14:solidFill>
                          <w14:schemeClr w14:val="tx1"/>
                        </w14:solidFill>
                      </w14:textFill>
                    </w:rPr>
                    <w:t>为</w:t>
                  </w:r>
                  <w:r>
                    <w:rPr>
                      <w:rFonts w:hint="eastAsia"/>
                      <w:color w:val="000000" w:themeColor="text1"/>
                      <w:sz w:val="21"/>
                      <w:szCs w:val="21"/>
                      <w14:textFill>
                        <w14:solidFill>
                          <w14:schemeClr w14:val="tx1"/>
                        </w14:solidFill>
                      </w14:textFill>
                    </w:rPr>
                    <w:t>100mm，其标高高出出水口标高，出水口的流速小于进水口的流速，保证</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油水分离，自流排水。主变贮油坑采用</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混凝土侧壁及底板。贮油坑比变压器外轮廓大1.0m，四周侧壁比地面高出100mm，内铺250mm厚卵石层，基础顶面高出卵石层100mm以上，底面设置坡度，将油排至集油坑，并用管道与事故油池相连。主变压器、站用变压器事故时，其绝缘油可经事故排油管分别排入事故油池，事故油池具有油水分离功能。2台变压器共用一个事故油池，进油管标高一致。128个箱变共设置</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64座4.0m</w:t>
                  </w:r>
                  <w:r>
                    <w:rPr>
                      <w:rFonts w:hint="eastAsia"/>
                      <w:color w:val="000000" w:themeColor="text1"/>
                      <w:sz w:val="21"/>
                      <w:szCs w:val="21"/>
                      <w:vertAlign w:val="superscript"/>
                      <w14:textFill>
                        <w14:solidFill>
                          <w14:schemeClr w14:val="tx1"/>
                        </w14:solidFill>
                      </w14:textFill>
                    </w:rPr>
                    <w:t>3</w:t>
                  </w:r>
                  <w:r>
                    <w:rPr>
                      <w:rFonts w:hint="eastAsia"/>
                      <w:color w:val="000000" w:themeColor="text1"/>
                      <w:sz w:val="21"/>
                      <w:szCs w:val="21"/>
                      <w14:textFill>
                        <w14:solidFill>
                          <w14:schemeClr w14:val="tx1"/>
                        </w14:solidFill>
                      </w14:textFill>
                    </w:rPr>
                    <w:t>的防渗事故油池，采用</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钢筋混凝土结构，内壁涂刷</w:t>
                  </w:r>
                  <w:r>
                    <w:rPr>
                      <w:rFonts w:hint="eastAsia"/>
                      <w:color w:val="000000" w:themeColor="text1"/>
                      <w:sz w:val="21"/>
                      <w:szCs w:val="21"/>
                      <w:lang w:eastAsia="zh-CN"/>
                      <w14:textFill>
                        <w14:solidFill>
                          <w14:schemeClr w14:val="tx1"/>
                        </w14:solidFill>
                      </w14:textFill>
                    </w:rPr>
                    <w:t>了</w:t>
                  </w:r>
                  <w:r>
                    <w:rPr>
                      <w:rFonts w:hint="eastAsia"/>
                      <w:color w:val="000000" w:themeColor="text1"/>
                      <w:sz w:val="21"/>
                      <w:szCs w:val="21"/>
                      <w14:textFill>
                        <w14:solidFill>
                          <w14:schemeClr w14:val="tx1"/>
                        </w14:solidFill>
                      </w14:textFill>
                    </w:rPr>
                    <w:t>沥青防腐防渗层，满足《3-110kV高压配电装置设计规范》（GB50060-2008）中的防渗漏、防流失、防燃爆等相关规定</w:t>
                  </w:r>
                </w:p>
              </w:tc>
              <w:tc>
                <w:tcPr>
                  <w:tcW w:w="660" w:type="dxa"/>
                  <w:vAlign w:val="center"/>
                </w:tcPr>
                <w:p w14:paraId="2E89AFBF">
                  <w:pPr>
                    <w:pStyle w:val="17"/>
                    <w:widowControl w:val="0"/>
                    <w:spacing w:line="240" w:lineRule="auto"/>
                    <w:jc w:val="center"/>
                    <w:rPr>
                      <w:rFonts w:hint="eastAsia"/>
                      <w:b w:val="0"/>
                      <w:bCs w:val="0"/>
                      <w:color w:val="000000" w:themeColor="text1"/>
                      <w:sz w:val="21"/>
                      <w:szCs w:val="21"/>
                      <w:lang w:eastAsia="zh-CN"/>
                      <w14:textFill>
                        <w14:solidFill>
                          <w14:schemeClr w14:val="tx1"/>
                        </w14:solidFill>
                      </w14:textFill>
                    </w:rPr>
                  </w:pPr>
                  <w:r>
                    <w:rPr>
                      <w:rFonts w:hint="eastAsia"/>
                      <w:b w:val="0"/>
                      <w:bCs w:val="0"/>
                      <w:color w:val="000000" w:themeColor="text1"/>
                      <w:sz w:val="21"/>
                      <w:szCs w:val="21"/>
                      <w:lang w:eastAsia="zh-CN"/>
                      <w14:textFill>
                        <w14:solidFill>
                          <w14:schemeClr w14:val="tx1"/>
                        </w14:solidFill>
                      </w14:textFill>
                    </w:rPr>
                    <w:t>无变动</w:t>
                  </w:r>
                </w:p>
              </w:tc>
            </w:tr>
          </w:tbl>
          <w:p w14:paraId="7CEA651C">
            <w:pPr>
              <w:ind w:left="0" w:leftChars="0" w:firstLine="0" w:firstLineChars="0"/>
              <w:rPr>
                <w:color w:val="000000" w:themeColor="text1"/>
                <w14:textFill>
                  <w14:solidFill>
                    <w14:schemeClr w14:val="tx1"/>
                  </w14:solidFill>
                </w14:textFill>
              </w:rPr>
            </w:pPr>
          </w:p>
        </w:tc>
      </w:tr>
      <w:tr w14:paraId="6A4784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0" w:hRule="atLeast"/>
        </w:trPr>
        <w:tc>
          <w:tcPr>
            <w:tcW w:w="8756" w:type="dxa"/>
            <w:tcBorders>
              <w:top w:val="single" w:color="000000" w:sz="4" w:space="0"/>
              <w:bottom w:val="single" w:color="000000" w:sz="4" w:space="0"/>
            </w:tcBorders>
          </w:tcPr>
          <w:p w14:paraId="4258B276">
            <w:pPr>
              <w:pStyle w:val="11"/>
              <w:ind w:left="0" w:leftChars="0" w:firstLine="0" w:firstLineChars="0"/>
              <w:jc w:val="both"/>
              <w:rPr>
                <w:rFonts w:hint="eastAsia" w:eastAsia="仿宋_GB2312"/>
                <w:b/>
                <w:bCs/>
                <w:lang w:eastAsia="zh-CN"/>
              </w:rPr>
            </w:pPr>
          </w:p>
          <w:p w14:paraId="0629C024">
            <w:pPr>
              <w:pStyle w:val="11"/>
              <w:ind w:left="70" w:leftChars="0" w:hanging="70" w:hangingChars="25"/>
              <w:jc w:val="center"/>
              <w:rPr>
                <w:rFonts w:hint="eastAsia" w:eastAsia="仿宋_GB2312"/>
                <w:b/>
                <w:bCs/>
                <w:lang w:eastAsia="zh-CN"/>
              </w:rPr>
            </w:pPr>
            <w:r>
              <w:rPr>
                <w:rFonts w:hint="eastAsia" w:eastAsia="仿宋_GB2312"/>
                <w:b/>
                <w:bCs/>
                <w:lang w:eastAsia="zh-CN"/>
              </w:rPr>
              <w:drawing>
                <wp:inline distT="0" distB="0" distL="114300" distR="114300">
                  <wp:extent cx="8402320" cy="4737100"/>
                  <wp:effectExtent l="0" t="0" r="6350" b="17780"/>
                  <wp:docPr id="14" name="图片 14" descr="aeb9e9a2c0500a63354cf1c0bc161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aeb9e9a2c0500a63354cf1c0bc161c4"/>
                          <pic:cNvPicPr>
                            <a:picLocks noChangeAspect="1"/>
                          </pic:cNvPicPr>
                        </pic:nvPicPr>
                        <pic:blipFill>
                          <a:blip r:embed="rId10"/>
                          <a:stretch>
                            <a:fillRect/>
                          </a:stretch>
                        </pic:blipFill>
                        <pic:spPr>
                          <a:xfrm rot="16200000">
                            <a:off x="0" y="0"/>
                            <a:ext cx="8402320" cy="4737100"/>
                          </a:xfrm>
                          <a:prstGeom prst="rect">
                            <a:avLst/>
                          </a:prstGeom>
                        </pic:spPr>
                      </pic:pic>
                    </a:graphicData>
                  </a:graphic>
                </wp:inline>
              </w:drawing>
            </w:r>
          </w:p>
          <w:p w14:paraId="74FD81C0">
            <w:pPr>
              <w:ind w:left="72" w:leftChars="0" w:hanging="72" w:hangingChars="30"/>
              <w:jc w:val="center"/>
              <w:rPr>
                <w:rFonts w:hint="default" w:ascii="Times New Roman" w:hAnsi="Times New Roman" w:eastAsia="宋体" w:cs="Times New Roman"/>
                <w:b/>
                <w:bCs/>
                <w:lang w:val="en-US" w:eastAsia="zh-CN"/>
              </w:rPr>
            </w:pPr>
            <w:r>
              <w:rPr>
                <w:rFonts w:hint="default" w:ascii="Times New Roman" w:hAnsi="Times New Roman" w:eastAsia="宋体" w:cs="Times New Roman"/>
                <w:b/>
                <w:bCs/>
                <w:lang w:val="en-US" w:eastAsia="zh-CN"/>
              </w:rPr>
              <w:t>图2-1   项目地理位置图</w:t>
            </w:r>
          </w:p>
          <w:tbl>
            <w:tblPr>
              <w:tblStyle w:val="13"/>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3"/>
              <w:gridCol w:w="4342"/>
            </w:tblGrid>
            <w:tr w14:paraId="7E0C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53" w:type="dxa"/>
                </w:tcPr>
                <w:p w14:paraId="2F8FE8EB">
                  <w:pPr>
                    <w:ind w:left="0" w:leftChars="-30" w:hanging="72" w:hangingChars="30"/>
                    <w:jc w:val="both"/>
                    <w:rPr>
                      <w:rFonts w:hint="eastAsia" w:eastAsia="宋体"/>
                      <w:b/>
                      <w:bCs/>
                      <w:lang w:eastAsia="zh-CN"/>
                    </w:rPr>
                  </w:pPr>
                  <w:r>
                    <w:rPr>
                      <w:rFonts w:hint="eastAsia" w:eastAsia="宋体"/>
                      <w:b/>
                      <w:bCs/>
                      <w:lang w:eastAsia="zh-CN"/>
                    </w:rPr>
                    <w:drawing>
                      <wp:inline distT="0" distB="0" distL="114300" distR="114300">
                        <wp:extent cx="2625725" cy="1969135"/>
                        <wp:effectExtent l="0" t="0" r="3175" b="12065"/>
                        <wp:docPr id="16" name="图片 16" descr="DJI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DJI_0001"/>
                                <pic:cNvPicPr>
                                  <a:picLocks noChangeAspect="1"/>
                                </pic:cNvPicPr>
                              </pic:nvPicPr>
                              <pic:blipFill>
                                <a:blip r:embed="rId11"/>
                                <a:stretch>
                                  <a:fillRect/>
                                </a:stretch>
                              </pic:blipFill>
                              <pic:spPr>
                                <a:xfrm>
                                  <a:off x="0" y="0"/>
                                  <a:ext cx="2625725" cy="1969135"/>
                                </a:xfrm>
                                <a:prstGeom prst="rect">
                                  <a:avLst/>
                                </a:prstGeom>
                              </pic:spPr>
                            </pic:pic>
                          </a:graphicData>
                        </a:graphic>
                      </wp:inline>
                    </w:drawing>
                  </w:r>
                </w:p>
              </w:tc>
              <w:tc>
                <w:tcPr>
                  <w:tcW w:w="4342" w:type="dxa"/>
                </w:tcPr>
                <w:p w14:paraId="6978A865">
                  <w:pPr>
                    <w:ind w:left="0" w:leftChars="-30" w:hanging="72" w:hangingChars="30"/>
                    <w:jc w:val="both"/>
                    <w:rPr>
                      <w:rFonts w:hint="eastAsia"/>
                      <w:lang w:eastAsia="zh-CN"/>
                    </w:rPr>
                  </w:pPr>
                  <w:r>
                    <w:rPr>
                      <w:rFonts w:hint="eastAsia"/>
                      <w:lang w:eastAsia="zh-CN"/>
                    </w:rPr>
                    <w:drawing>
                      <wp:inline distT="0" distB="0" distL="114300" distR="114300">
                        <wp:extent cx="2594610" cy="1945640"/>
                        <wp:effectExtent l="0" t="0" r="15240" b="16510"/>
                        <wp:docPr id="17" name="图片 17" descr="DJI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DJI_0002"/>
                                <pic:cNvPicPr>
                                  <a:picLocks noChangeAspect="1"/>
                                </pic:cNvPicPr>
                              </pic:nvPicPr>
                              <pic:blipFill>
                                <a:blip r:embed="rId12"/>
                                <a:stretch>
                                  <a:fillRect/>
                                </a:stretch>
                              </pic:blipFill>
                              <pic:spPr>
                                <a:xfrm>
                                  <a:off x="0" y="0"/>
                                  <a:ext cx="2594610" cy="1945640"/>
                                </a:xfrm>
                                <a:prstGeom prst="rect">
                                  <a:avLst/>
                                </a:prstGeom>
                              </pic:spPr>
                            </pic:pic>
                          </a:graphicData>
                        </a:graphic>
                      </wp:inline>
                    </w:drawing>
                  </w:r>
                </w:p>
              </w:tc>
            </w:tr>
            <w:tr w14:paraId="40A0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9" w:hRule="atLeast"/>
                <w:jc w:val="center"/>
              </w:trPr>
              <w:tc>
                <w:tcPr>
                  <w:tcW w:w="4353" w:type="dxa"/>
                </w:tcPr>
                <w:p w14:paraId="4C368FA0">
                  <w:pPr>
                    <w:ind w:left="0" w:leftChars="-30" w:hanging="72" w:hangingChars="30"/>
                    <w:jc w:val="both"/>
                    <w:rPr>
                      <w:rFonts w:hint="eastAsia" w:eastAsia="宋体"/>
                      <w:b/>
                      <w:bCs/>
                      <w:lang w:eastAsia="zh-CN"/>
                    </w:rPr>
                  </w:pPr>
                  <w:r>
                    <w:rPr>
                      <w:rFonts w:hint="eastAsia" w:eastAsia="宋体"/>
                      <w:b/>
                      <w:bCs/>
                      <w:lang w:eastAsia="zh-CN"/>
                    </w:rPr>
                    <w:drawing>
                      <wp:inline distT="0" distB="0" distL="114300" distR="114300">
                        <wp:extent cx="2651125" cy="1945640"/>
                        <wp:effectExtent l="0" t="0" r="15875" b="16510"/>
                        <wp:docPr id="20" name="图片 20" descr="DJI_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JI_0011"/>
                                <pic:cNvPicPr>
                                  <a:picLocks noChangeAspect="1"/>
                                </pic:cNvPicPr>
                              </pic:nvPicPr>
                              <pic:blipFill>
                                <a:blip r:embed="rId13"/>
                                <a:stretch>
                                  <a:fillRect/>
                                </a:stretch>
                              </pic:blipFill>
                              <pic:spPr>
                                <a:xfrm>
                                  <a:off x="0" y="0"/>
                                  <a:ext cx="2651125" cy="1945640"/>
                                </a:xfrm>
                                <a:prstGeom prst="rect">
                                  <a:avLst/>
                                </a:prstGeom>
                              </pic:spPr>
                            </pic:pic>
                          </a:graphicData>
                        </a:graphic>
                      </wp:inline>
                    </w:drawing>
                  </w:r>
                </w:p>
              </w:tc>
              <w:tc>
                <w:tcPr>
                  <w:tcW w:w="4342" w:type="dxa"/>
                </w:tcPr>
                <w:p w14:paraId="2F7E2377">
                  <w:pPr>
                    <w:ind w:left="0" w:leftChars="-30" w:hanging="72" w:hangingChars="30"/>
                    <w:jc w:val="both"/>
                    <w:rPr>
                      <w:rFonts w:hint="eastAsia"/>
                      <w:lang w:eastAsia="zh-CN"/>
                    </w:rPr>
                  </w:pPr>
                  <w:r>
                    <w:rPr>
                      <w:rFonts w:hint="eastAsia"/>
                      <w:lang w:eastAsia="zh-CN"/>
                    </w:rPr>
                    <w:drawing>
                      <wp:inline distT="0" distB="0" distL="114300" distR="114300">
                        <wp:extent cx="2594610" cy="1945640"/>
                        <wp:effectExtent l="0" t="0" r="15240" b="16510"/>
                        <wp:docPr id="22" name="图片 22" descr="DJI_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DJI_0037"/>
                                <pic:cNvPicPr>
                                  <a:picLocks noChangeAspect="1"/>
                                </pic:cNvPicPr>
                              </pic:nvPicPr>
                              <pic:blipFill>
                                <a:blip r:embed="rId14"/>
                                <a:stretch>
                                  <a:fillRect/>
                                </a:stretch>
                              </pic:blipFill>
                              <pic:spPr>
                                <a:xfrm>
                                  <a:off x="0" y="0"/>
                                  <a:ext cx="2594610" cy="1945640"/>
                                </a:xfrm>
                                <a:prstGeom prst="rect">
                                  <a:avLst/>
                                </a:prstGeom>
                              </pic:spPr>
                            </pic:pic>
                          </a:graphicData>
                        </a:graphic>
                      </wp:inline>
                    </w:drawing>
                  </w:r>
                </w:p>
              </w:tc>
            </w:tr>
            <w:tr w14:paraId="5B496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53" w:type="dxa"/>
                </w:tcPr>
                <w:p w14:paraId="2C642DBF">
                  <w:pPr>
                    <w:ind w:left="72" w:leftChars="0" w:hanging="72" w:hangingChars="30"/>
                    <w:jc w:val="center"/>
                    <w:rPr>
                      <w:rFonts w:hint="eastAsia" w:eastAsia="宋体"/>
                      <w:lang w:eastAsia="zh-CN"/>
                    </w:rPr>
                  </w:pPr>
                  <w:r>
                    <w:rPr>
                      <w:rFonts w:hint="eastAsia" w:eastAsia="宋体"/>
                      <w:lang w:eastAsia="zh-CN"/>
                    </w:rPr>
                    <w:drawing>
                      <wp:inline distT="0" distB="0" distL="114300" distR="114300">
                        <wp:extent cx="2594610" cy="1945640"/>
                        <wp:effectExtent l="0" t="0" r="15240" b="16510"/>
                        <wp:docPr id="24" name="图片 24" descr="DJI_0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DJI_0040"/>
                                <pic:cNvPicPr>
                                  <a:picLocks noChangeAspect="1"/>
                                </pic:cNvPicPr>
                              </pic:nvPicPr>
                              <pic:blipFill>
                                <a:blip r:embed="rId15"/>
                                <a:stretch>
                                  <a:fillRect/>
                                </a:stretch>
                              </pic:blipFill>
                              <pic:spPr>
                                <a:xfrm>
                                  <a:off x="0" y="0"/>
                                  <a:ext cx="2594610" cy="1945640"/>
                                </a:xfrm>
                                <a:prstGeom prst="rect">
                                  <a:avLst/>
                                </a:prstGeom>
                              </pic:spPr>
                            </pic:pic>
                          </a:graphicData>
                        </a:graphic>
                      </wp:inline>
                    </w:drawing>
                  </w:r>
                </w:p>
              </w:tc>
              <w:tc>
                <w:tcPr>
                  <w:tcW w:w="4342" w:type="dxa"/>
                </w:tcPr>
                <w:p w14:paraId="7893EB3E">
                  <w:pPr>
                    <w:ind w:left="72" w:leftChars="0" w:hanging="72" w:hangingChars="30"/>
                    <w:jc w:val="center"/>
                    <w:rPr>
                      <w:rFonts w:hint="eastAsia" w:eastAsia="宋体"/>
                      <w:lang w:eastAsia="zh-CN"/>
                    </w:rPr>
                  </w:pPr>
                  <w:r>
                    <w:rPr>
                      <w:rFonts w:hint="eastAsia" w:eastAsia="宋体"/>
                      <w:lang w:eastAsia="zh-CN"/>
                    </w:rPr>
                    <w:drawing>
                      <wp:inline distT="0" distB="0" distL="114300" distR="114300">
                        <wp:extent cx="2594610" cy="1945640"/>
                        <wp:effectExtent l="0" t="0" r="15240" b="16510"/>
                        <wp:docPr id="25" name="图片 25" descr="DJI_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DJI_0049"/>
                                <pic:cNvPicPr>
                                  <a:picLocks noChangeAspect="1"/>
                                </pic:cNvPicPr>
                              </pic:nvPicPr>
                              <pic:blipFill>
                                <a:blip r:embed="rId16"/>
                                <a:stretch>
                                  <a:fillRect/>
                                </a:stretch>
                              </pic:blipFill>
                              <pic:spPr>
                                <a:xfrm>
                                  <a:off x="0" y="0"/>
                                  <a:ext cx="2594610" cy="1945640"/>
                                </a:xfrm>
                                <a:prstGeom prst="rect">
                                  <a:avLst/>
                                </a:prstGeom>
                              </pic:spPr>
                            </pic:pic>
                          </a:graphicData>
                        </a:graphic>
                      </wp:inline>
                    </w:drawing>
                  </w:r>
                </w:p>
              </w:tc>
            </w:tr>
            <w:tr w14:paraId="3098F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1" w:hRule="atLeast"/>
                <w:jc w:val="center"/>
              </w:trPr>
              <w:tc>
                <w:tcPr>
                  <w:tcW w:w="4353" w:type="dxa"/>
                </w:tcPr>
                <w:p w14:paraId="4D518766">
                  <w:pPr>
                    <w:ind w:left="70" w:leftChars="0" w:hanging="70" w:hangingChars="29"/>
                    <w:jc w:val="both"/>
                    <w:rPr>
                      <w:rFonts w:hint="eastAsia" w:eastAsia="宋体"/>
                      <w:b/>
                      <w:bCs/>
                      <w:lang w:eastAsia="zh-CN"/>
                    </w:rPr>
                  </w:pPr>
                  <w:r>
                    <w:rPr>
                      <w:rFonts w:hint="eastAsia" w:eastAsia="宋体"/>
                      <w:b/>
                      <w:bCs/>
                      <w:lang w:eastAsia="zh-CN"/>
                    </w:rPr>
                    <w:drawing>
                      <wp:inline distT="0" distB="0" distL="114300" distR="114300">
                        <wp:extent cx="2594610" cy="1945640"/>
                        <wp:effectExtent l="0" t="0" r="15240" b="16510"/>
                        <wp:docPr id="23" name="图片 23" descr="DJI_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DJI_0053"/>
                                <pic:cNvPicPr>
                                  <a:picLocks noChangeAspect="1"/>
                                </pic:cNvPicPr>
                              </pic:nvPicPr>
                              <pic:blipFill>
                                <a:blip r:embed="rId17"/>
                                <a:stretch>
                                  <a:fillRect/>
                                </a:stretch>
                              </pic:blipFill>
                              <pic:spPr>
                                <a:xfrm>
                                  <a:off x="0" y="0"/>
                                  <a:ext cx="2594610" cy="1945640"/>
                                </a:xfrm>
                                <a:prstGeom prst="rect">
                                  <a:avLst/>
                                </a:prstGeom>
                              </pic:spPr>
                            </pic:pic>
                          </a:graphicData>
                        </a:graphic>
                      </wp:inline>
                    </w:drawing>
                  </w:r>
                </w:p>
              </w:tc>
              <w:tc>
                <w:tcPr>
                  <w:tcW w:w="4342" w:type="dxa"/>
                </w:tcPr>
                <w:p w14:paraId="20600411">
                  <w:pPr>
                    <w:ind w:left="70" w:leftChars="0" w:hanging="70" w:hangingChars="29"/>
                    <w:jc w:val="both"/>
                    <w:rPr>
                      <w:rFonts w:hint="eastAsia" w:eastAsia="宋体"/>
                      <w:b/>
                      <w:bCs/>
                      <w:lang w:eastAsia="zh-CN"/>
                    </w:rPr>
                  </w:pPr>
                  <w:r>
                    <w:rPr>
                      <w:rFonts w:hint="eastAsia" w:eastAsia="宋体"/>
                      <w:b/>
                      <w:bCs/>
                      <w:lang w:eastAsia="zh-CN"/>
                    </w:rPr>
                    <w:drawing>
                      <wp:inline distT="0" distB="0" distL="114300" distR="114300">
                        <wp:extent cx="2613025" cy="1960245"/>
                        <wp:effectExtent l="0" t="0" r="15875" b="1905"/>
                        <wp:docPr id="21" name="图片 21" descr="DJI_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DJI_0014"/>
                                <pic:cNvPicPr>
                                  <a:picLocks noChangeAspect="1"/>
                                </pic:cNvPicPr>
                              </pic:nvPicPr>
                              <pic:blipFill>
                                <a:blip r:embed="rId18"/>
                                <a:stretch>
                                  <a:fillRect/>
                                </a:stretch>
                              </pic:blipFill>
                              <pic:spPr>
                                <a:xfrm>
                                  <a:off x="0" y="0"/>
                                  <a:ext cx="2613025" cy="1960245"/>
                                </a:xfrm>
                                <a:prstGeom prst="rect">
                                  <a:avLst/>
                                </a:prstGeom>
                              </pic:spPr>
                            </pic:pic>
                          </a:graphicData>
                        </a:graphic>
                      </wp:inline>
                    </w:drawing>
                  </w:r>
                </w:p>
              </w:tc>
            </w:tr>
            <w:tr w14:paraId="3A69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353" w:type="dxa"/>
                </w:tcPr>
                <w:p w14:paraId="50394343">
                  <w:pPr>
                    <w:ind w:left="72" w:leftChars="0" w:hanging="72" w:hangingChars="30"/>
                    <w:jc w:val="center"/>
                    <w:rPr>
                      <w:rFonts w:hint="eastAsia" w:eastAsia="宋体"/>
                      <w:b/>
                      <w:bCs/>
                      <w:lang w:eastAsia="zh-CN"/>
                    </w:rPr>
                  </w:pPr>
                  <w:r>
                    <w:rPr>
                      <w:rFonts w:hint="eastAsia" w:eastAsia="宋体"/>
                      <w:b/>
                      <w:bCs/>
                      <w:lang w:eastAsia="zh-CN"/>
                    </w:rPr>
                    <w:drawing>
                      <wp:inline distT="0" distB="0" distL="114300" distR="114300">
                        <wp:extent cx="2590800" cy="1943100"/>
                        <wp:effectExtent l="0" t="0" r="0" b="0"/>
                        <wp:docPr id="26" name="图片 26" descr="微信图片_2024071109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微信图片_20240711093526"/>
                                <pic:cNvPicPr>
                                  <a:picLocks noChangeAspect="1"/>
                                </pic:cNvPicPr>
                              </pic:nvPicPr>
                              <pic:blipFill>
                                <a:blip r:embed="rId19"/>
                                <a:stretch>
                                  <a:fillRect/>
                                </a:stretch>
                              </pic:blipFill>
                              <pic:spPr>
                                <a:xfrm>
                                  <a:off x="0" y="0"/>
                                  <a:ext cx="2590800" cy="1943100"/>
                                </a:xfrm>
                                <a:prstGeom prst="rect">
                                  <a:avLst/>
                                </a:prstGeom>
                              </pic:spPr>
                            </pic:pic>
                          </a:graphicData>
                        </a:graphic>
                      </wp:inline>
                    </w:drawing>
                  </w:r>
                </w:p>
              </w:tc>
              <w:tc>
                <w:tcPr>
                  <w:tcW w:w="4342" w:type="dxa"/>
                </w:tcPr>
                <w:p w14:paraId="3DEAC8E1">
                  <w:pPr>
                    <w:ind w:left="72" w:leftChars="0" w:hanging="72" w:hangingChars="30"/>
                    <w:jc w:val="center"/>
                    <w:rPr>
                      <w:rFonts w:hint="eastAsia" w:eastAsia="宋体"/>
                      <w:b/>
                      <w:bCs/>
                      <w:lang w:eastAsia="zh-CN"/>
                    </w:rPr>
                  </w:pPr>
                  <w:r>
                    <w:rPr>
                      <w:rFonts w:hint="eastAsia" w:eastAsia="宋体"/>
                      <w:b/>
                      <w:bCs/>
                      <w:lang w:eastAsia="zh-CN"/>
                    </w:rPr>
                    <w:drawing>
                      <wp:inline distT="0" distB="0" distL="114300" distR="114300">
                        <wp:extent cx="2590800" cy="1943100"/>
                        <wp:effectExtent l="0" t="0" r="0" b="0"/>
                        <wp:docPr id="27" name="图片 27" descr="微信图片_2024071110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微信图片_20240711101940"/>
                                <pic:cNvPicPr>
                                  <a:picLocks noChangeAspect="1"/>
                                </pic:cNvPicPr>
                              </pic:nvPicPr>
                              <pic:blipFill>
                                <a:blip r:embed="rId20"/>
                                <a:stretch>
                                  <a:fillRect/>
                                </a:stretch>
                              </pic:blipFill>
                              <pic:spPr>
                                <a:xfrm>
                                  <a:off x="0" y="0"/>
                                  <a:ext cx="2590800" cy="1943100"/>
                                </a:xfrm>
                                <a:prstGeom prst="rect">
                                  <a:avLst/>
                                </a:prstGeom>
                              </pic:spPr>
                            </pic:pic>
                          </a:graphicData>
                        </a:graphic>
                      </wp:inline>
                    </w:drawing>
                  </w:r>
                </w:p>
              </w:tc>
            </w:tr>
            <w:tr w14:paraId="7108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4353" w:type="dxa"/>
                </w:tcPr>
                <w:p w14:paraId="5A933C71">
                  <w:pPr>
                    <w:ind w:left="72" w:leftChars="0" w:hanging="72" w:hangingChars="30"/>
                    <w:jc w:val="center"/>
                    <w:rPr>
                      <w:rFonts w:hint="eastAsia" w:eastAsia="宋体"/>
                      <w:b/>
                      <w:bCs/>
                      <w:lang w:eastAsia="zh-CN"/>
                    </w:rPr>
                  </w:pPr>
                  <w:r>
                    <w:rPr>
                      <w:rFonts w:hint="eastAsia" w:eastAsia="宋体"/>
                      <w:b/>
                      <w:bCs/>
                      <w:lang w:eastAsia="zh-CN"/>
                    </w:rPr>
                    <w:drawing>
                      <wp:inline distT="0" distB="0" distL="114300" distR="114300">
                        <wp:extent cx="2594610" cy="1945640"/>
                        <wp:effectExtent l="0" t="0" r="15240" b="16510"/>
                        <wp:docPr id="28" name="图片 28" descr="DJI_0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DJI_0048"/>
                                <pic:cNvPicPr>
                                  <a:picLocks noChangeAspect="1"/>
                                </pic:cNvPicPr>
                              </pic:nvPicPr>
                              <pic:blipFill>
                                <a:blip r:embed="rId21"/>
                                <a:stretch>
                                  <a:fillRect/>
                                </a:stretch>
                              </pic:blipFill>
                              <pic:spPr>
                                <a:xfrm>
                                  <a:off x="0" y="0"/>
                                  <a:ext cx="2594610" cy="1945640"/>
                                </a:xfrm>
                                <a:prstGeom prst="rect">
                                  <a:avLst/>
                                </a:prstGeom>
                              </pic:spPr>
                            </pic:pic>
                          </a:graphicData>
                        </a:graphic>
                      </wp:inline>
                    </w:drawing>
                  </w:r>
                </w:p>
              </w:tc>
              <w:tc>
                <w:tcPr>
                  <w:tcW w:w="4342" w:type="dxa"/>
                </w:tcPr>
                <w:p w14:paraId="24C67764">
                  <w:pPr>
                    <w:ind w:left="72" w:leftChars="0" w:hanging="72" w:hangingChars="30"/>
                    <w:jc w:val="center"/>
                    <w:rPr>
                      <w:rFonts w:hint="eastAsia" w:eastAsia="宋体"/>
                      <w:b/>
                      <w:bCs/>
                      <w:lang w:eastAsia="zh-CN"/>
                    </w:rPr>
                  </w:pPr>
                  <w:r>
                    <w:rPr>
                      <w:rFonts w:hint="eastAsia" w:eastAsia="宋体"/>
                      <w:b/>
                      <w:bCs/>
                      <w:lang w:eastAsia="zh-CN"/>
                    </w:rPr>
                    <w:drawing>
                      <wp:inline distT="0" distB="0" distL="114300" distR="114300">
                        <wp:extent cx="2594610" cy="1945640"/>
                        <wp:effectExtent l="0" t="0" r="15240" b="16510"/>
                        <wp:docPr id="29" name="图片 29" descr="DJI_0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DJI_0051"/>
                                <pic:cNvPicPr>
                                  <a:picLocks noChangeAspect="1"/>
                                </pic:cNvPicPr>
                              </pic:nvPicPr>
                              <pic:blipFill>
                                <a:blip r:embed="rId22"/>
                                <a:stretch>
                                  <a:fillRect/>
                                </a:stretch>
                              </pic:blipFill>
                              <pic:spPr>
                                <a:xfrm>
                                  <a:off x="0" y="0"/>
                                  <a:ext cx="2594610" cy="1945640"/>
                                </a:xfrm>
                                <a:prstGeom prst="rect">
                                  <a:avLst/>
                                </a:prstGeom>
                              </pic:spPr>
                            </pic:pic>
                          </a:graphicData>
                        </a:graphic>
                      </wp:inline>
                    </w:drawing>
                  </w:r>
                </w:p>
              </w:tc>
            </w:tr>
          </w:tbl>
          <w:p w14:paraId="0976021C">
            <w:pPr>
              <w:ind w:firstLine="482"/>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图</w:t>
            </w:r>
            <w:r>
              <w:rPr>
                <w:rFonts w:hint="eastAsia"/>
                <w:b/>
                <w:bCs/>
                <w:color w:val="000000" w:themeColor="text1"/>
                <w:lang w:val="en-US"/>
                <w14:textFill>
                  <w14:solidFill>
                    <w14:schemeClr w14:val="tx1"/>
                  </w14:solidFill>
                </w14:textFill>
              </w:rPr>
              <w:t>2-</w:t>
            </w:r>
            <w:r>
              <w:rPr>
                <w:rFonts w:hint="eastAsia"/>
                <w:b/>
                <w:bCs/>
                <w:color w:val="000000" w:themeColor="text1"/>
                <w:lang w:val="en-US" w:eastAsia="zh-CN"/>
                <w14:textFill>
                  <w14:solidFill>
                    <w14:schemeClr w14:val="tx1"/>
                  </w14:solidFill>
                </w14:textFill>
              </w:rPr>
              <w:t xml:space="preserve">2 </w:t>
            </w:r>
            <w:r>
              <w:rPr>
                <w:rFonts w:hint="eastAsia"/>
                <w:b/>
                <w:bCs/>
                <w:color w:val="000000" w:themeColor="text1"/>
                <w:lang w:val="en-US"/>
                <w14:textFill>
                  <w14:solidFill>
                    <w14:schemeClr w14:val="tx1"/>
                  </w14:solidFill>
                </w14:textFill>
              </w:rPr>
              <w:t xml:space="preserve"> </w:t>
            </w:r>
            <w:r>
              <w:rPr>
                <w:rFonts w:hint="eastAsia"/>
                <w:b/>
                <w:bCs/>
                <w:color w:val="000000" w:themeColor="text1"/>
                <w14:textFill>
                  <w14:solidFill>
                    <w14:schemeClr w14:val="tx1"/>
                  </w14:solidFill>
                </w14:textFill>
              </w:rPr>
              <w:t>项目建设现状</w:t>
            </w:r>
          </w:p>
          <w:p w14:paraId="601BE839">
            <w:pPr>
              <w:ind w:firstLine="482"/>
              <w:rPr>
                <w:b/>
                <w:bCs/>
                <w:color w:val="000000" w:themeColor="text1"/>
                <w14:textFill>
                  <w14:solidFill>
                    <w14:schemeClr w14:val="tx1"/>
                  </w14:solidFill>
                </w14:textFill>
              </w:rPr>
            </w:pPr>
          </w:p>
          <w:p w14:paraId="4780769B">
            <w:pPr>
              <w:ind w:firstLine="482"/>
              <w:rPr>
                <w:b/>
                <w:bCs/>
                <w:color w:val="000000" w:themeColor="text1"/>
                <w14:textFill>
                  <w14:solidFill>
                    <w14:schemeClr w14:val="tx1"/>
                  </w14:solidFill>
                </w14:textFill>
              </w:rPr>
            </w:pPr>
          </w:p>
          <w:p w14:paraId="004E5731">
            <w:pPr>
              <w:ind w:firstLine="482"/>
              <w:rPr>
                <w:b/>
                <w:bCs/>
                <w:color w:val="000000" w:themeColor="text1"/>
                <w14:textFill>
                  <w14:solidFill>
                    <w14:schemeClr w14:val="tx1"/>
                  </w14:solidFill>
                </w14:textFill>
              </w:rPr>
            </w:pPr>
          </w:p>
          <w:p w14:paraId="3D30F1B8">
            <w:pPr>
              <w:ind w:firstLine="482"/>
              <w:rPr>
                <w:b/>
                <w:bCs/>
                <w:color w:val="000000" w:themeColor="text1"/>
                <w14:textFill>
                  <w14:solidFill>
                    <w14:schemeClr w14:val="tx1"/>
                  </w14:solidFill>
                </w14:textFill>
              </w:rPr>
            </w:pPr>
          </w:p>
          <w:p w14:paraId="361C9BDE">
            <w:pPr>
              <w:ind w:firstLine="482"/>
              <w:rPr>
                <w:b/>
                <w:bCs/>
                <w:color w:val="000000" w:themeColor="text1"/>
                <w14:textFill>
                  <w14:solidFill>
                    <w14:schemeClr w14:val="tx1"/>
                  </w14:solidFill>
                </w14:textFill>
              </w:rPr>
            </w:pPr>
          </w:p>
          <w:p w14:paraId="41487DD3">
            <w:pPr>
              <w:ind w:firstLine="482"/>
              <w:rPr>
                <w:b/>
                <w:bCs/>
                <w:color w:val="000000" w:themeColor="text1"/>
                <w14:textFill>
                  <w14:solidFill>
                    <w14:schemeClr w14:val="tx1"/>
                  </w14:solidFill>
                </w14:textFill>
              </w:rPr>
            </w:pPr>
          </w:p>
          <w:p w14:paraId="20152C51">
            <w:pPr>
              <w:pStyle w:val="2"/>
              <w:ind w:left="0" w:leftChars="0" w:firstLine="0" w:firstLineChars="0"/>
            </w:pPr>
          </w:p>
          <w:p w14:paraId="6B004D31">
            <w:pPr>
              <w:ind w:firstLine="482"/>
              <w:rPr>
                <w:b/>
                <w:bCs/>
                <w:color w:val="000000" w:themeColor="text1"/>
                <w14:textFill>
                  <w14:solidFill>
                    <w14:schemeClr w14:val="tx1"/>
                  </w14:solidFill>
                </w14:textFill>
              </w:rPr>
            </w:pPr>
          </w:p>
          <w:p w14:paraId="2369DC59">
            <w:pPr>
              <w:ind w:firstLine="482"/>
              <w:rPr>
                <w:b/>
                <w:bCs/>
                <w:color w:val="000000" w:themeColor="text1"/>
                <w14:textFill>
                  <w14:solidFill>
                    <w14:schemeClr w14:val="tx1"/>
                  </w14:solidFill>
                </w14:textFill>
              </w:rPr>
            </w:pPr>
          </w:p>
          <w:p w14:paraId="36095221">
            <w:pPr>
              <w:ind w:firstLine="482"/>
              <w:rPr>
                <w:b/>
                <w:bCs/>
                <w:color w:val="000000" w:themeColor="text1"/>
                <w14:textFill>
                  <w14:solidFill>
                    <w14:schemeClr w14:val="tx1"/>
                  </w14:solidFill>
                </w14:textFill>
              </w:rPr>
            </w:pPr>
          </w:p>
          <w:p w14:paraId="63FBA839">
            <w:pPr>
              <w:ind w:firstLine="482"/>
              <w:rPr>
                <w:b/>
                <w:bCs/>
                <w:color w:val="000000" w:themeColor="text1"/>
                <w14:textFill>
                  <w14:solidFill>
                    <w14:schemeClr w14:val="tx1"/>
                  </w14:solidFill>
                </w14:textFill>
              </w:rPr>
            </w:pPr>
          </w:p>
          <w:p w14:paraId="7B50647B">
            <w:pPr>
              <w:ind w:firstLine="482"/>
              <w:rPr>
                <w:b/>
                <w:bCs/>
                <w:color w:val="000000" w:themeColor="text1"/>
                <w14:textFill>
                  <w14:solidFill>
                    <w14:schemeClr w14:val="tx1"/>
                  </w14:solidFill>
                </w14:textFill>
              </w:rPr>
            </w:pPr>
          </w:p>
          <w:p w14:paraId="6BDD5438">
            <w:pPr>
              <w:ind w:firstLine="482"/>
              <w:rPr>
                <w:b/>
                <w:bCs/>
                <w:color w:val="000000" w:themeColor="text1"/>
                <w14:textFill>
                  <w14:solidFill>
                    <w14:schemeClr w14:val="tx1"/>
                  </w14:solidFill>
                </w14:textFill>
              </w:rPr>
            </w:pPr>
          </w:p>
          <w:p w14:paraId="50D4099C">
            <w:pPr>
              <w:ind w:firstLine="482"/>
              <w:rPr>
                <w:b/>
                <w:bCs/>
                <w:color w:val="000000" w:themeColor="text1"/>
                <w14:textFill>
                  <w14:solidFill>
                    <w14:schemeClr w14:val="tx1"/>
                  </w14:solidFill>
                </w14:textFill>
              </w:rPr>
            </w:pPr>
          </w:p>
          <w:p w14:paraId="49142574">
            <w:pPr>
              <w:ind w:firstLine="482"/>
              <w:rPr>
                <w:b/>
                <w:bCs/>
                <w:color w:val="000000" w:themeColor="text1"/>
                <w14:textFill>
                  <w14:solidFill>
                    <w14:schemeClr w14:val="tx1"/>
                  </w14:solidFill>
                </w14:textFill>
              </w:rPr>
            </w:pPr>
          </w:p>
          <w:p w14:paraId="72E270C2">
            <w:pPr>
              <w:ind w:firstLine="482"/>
              <w:rPr>
                <w:b/>
                <w:bCs/>
                <w:color w:val="000000" w:themeColor="text1"/>
                <w14:textFill>
                  <w14:solidFill>
                    <w14:schemeClr w14:val="tx1"/>
                  </w14:solidFill>
                </w14:textFill>
              </w:rPr>
            </w:pPr>
          </w:p>
          <w:p w14:paraId="01CAD55B">
            <w:pPr>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工程占地及平面布置：</w:t>
            </w:r>
          </w:p>
          <w:p w14:paraId="4D967B9F">
            <w:pPr>
              <w:autoSpaceDE/>
              <w:autoSpaceDN/>
              <w:adjustRightInd w:val="0"/>
              <w:ind w:left="0" w:leftChars="0" w:right="0" w:rightChars="0" w:firstLine="420" w:firstLineChars="0"/>
              <w:jc w:val="both"/>
              <w:rPr>
                <w:b/>
                <w:bCs/>
                <w:color w:val="000000" w:themeColor="text1"/>
                <w:lang w:val="en-US"/>
                <w14:textFill>
                  <w14:solidFill>
                    <w14:schemeClr w14:val="tx1"/>
                  </w14:solidFill>
                </w14:textFill>
              </w:rPr>
            </w:pPr>
            <w:r>
              <w:rPr>
                <w:rFonts w:hint="eastAsia"/>
                <w:b/>
                <w:bCs/>
                <w:color w:val="000000" w:themeColor="text1"/>
                <w:lang w:val="en-US"/>
                <w14:textFill>
                  <w14:solidFill>
                    <w14:schemeClr w14:val="tx1"/>
                  </w14:solidFill>
                </w14:textFill>
              </w:rPr>
              <w:t>1.工程占地</w:t>
            </w:r>
          </w:p>
          <w:p w14:paraId="5DE8742F">
            <w:pPr>
              <w:ind w:firstLine="480"/>
              <w:jc w:val="both"/>
              <w:rPr>
                <w:color w:val="000000" w:themeColor="text1"/>
                <w:lang w:val="en-US"/>
                <w14:textFill>
                  <w14:solidFill>
                    <w14:schemeClr w14:val="tx1"/>
                  </w14:solidFill>
                </w14:textFill>
              </w:rPr>
            </w:pPr>
            <w:r>
              <w:rPr>
                <w:rFonts w:hint="eastAsia"/>
                <w:b/>
                <w:bCs/>
                <w:color w:val="000000" w:themeColor="text1"/>
                <w:lang w:val="en-US"/>
                <w14:textFill>
                  <w14:solidFill>
                    <w14:schemeClr w14:val="tx1"/>
                  </w14:solidFill>
                </w14:textFill>
              </w:rPr>
              <w:t>环评阶段：</w:t>
            </w:r>
            <w:r>
              <w:rPr>
                <w:color w:val="000000" w:themeColor="text1"/>
                <w:lang w:val="en-US"/>
                <w14:textFill>
                  <w14:solidFill>
                    <w14:schemeClr w14:val="tx1"/>
                  </w14:solidFill>
                </w14:textFill>
              </w:rPr>
              <w:t>根据环评报告可知，</w:t>
            </w:r>
            <w:r>
              <w:rPr>
                <w:rFonts w:hint="eastAsia"/>
                <w:color w:val="000000" w:themeColor="text1"/>
                <w:lang w:val="en-US"/>
                <w14:textFill>
                  <w14:solidFill>
                    <w14:schemeClr w14:val="tx1"/>
                  </w14:solidFill>
                </w14:textFill>
              </w:rPr>
              <w:t>本项目总占地8524.894亩，占地分为永久占地和临时占地。其中临时占地总面积约</w:t>
            </w:r>
            <w:r>
              <w:rPr>
                <w:rFonts w:hint="eastAsia"/>
                <w:color w:val="000000" w:themeColor="text1"/>
                <w:lang w:val="en-US" w:eastAsia="zh-CN"/>
                <w14:textFill>
                  <w14:solidFill>
                    <w14:schemeClr w14:val="tx1"/>
                  </w14:solidFill>
                </w14:textFill>
              </w:rPr>
              <w:t>4057m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，为减小占地对周边生态环境的影响，本次项目临时占地均在永久占地范围内，施工临时用地主要为临时宿舍及办公室、材料仓库、设备仓库、木材及钢筋加工车间及机械厂。</w:t>
            </w:r>
          </w:p>
          <w:p w14:paraId="0B9B5698">
            <w:pPr>
              <w:ind w:firstLine="480"/>
              <w:jc w:val="both"/>
              <w:rPr>
                <w:rFonts w:hint="default" w:eastAsia="宋体"/>
                <w:color w:val="000000" w:themeColor="text1"/>
                <w:lang w:val="en-US" w:eastAsia="zh-CN"/>
                <w14:textFill>
                  <w14:solidFill>
                    <w14:schemeClr w14:val="tx1"/>
                  </w14:solidFill>
                </w14:textFill>
              </w:rPr>
            </w:pPr>
            <w:r>
              <w:rPr>
                <w:rFonts w:hint="eastAsia"/>
                <w:b/>
                <w:bCs/>
                <w:color w:val="000000" w:themeColor="text1"/>
                <w:lang w:val="en-US"/>
                <w14:textFill>
                  <w14:solidFill>
                    <w14:schemeClr w14:val="tx1"/>
                  </w14:solidFill>
                </w14:textFill>
              </w:rPr>
              <w:t>实际调查：</w:t>
            </w:r>
            <w:r>
              <w:rPr>
                <w:rFonts w:hint="eastAsia"/>
                <w:b w:val="0"/>
                <w:bCs w:val="0"/>
                <w:color w:val="000000" w:themeColor="text1"/>
                <w:lang w:val="en-US" w:eastAsia="zh-CN"/>
                <w14:textFill>
                  <w14:solidFill>
                    <w14:schemeClr w14:val="tx1"/>
                  </w14:solidFill>
                </w14:textFill>
              </w:rPr>
              <w:t>根据实际调查，本项目</w:t>
            </w:r>
            <w:r>
              <w:rPr>
                <w:rFonts w:hint="eastAsia"/>
                <w:b w:val="0"/>
                <w:bCs w:val="0"/>
                <w:color w:val="000000" w:themeColor="text1"/>
                <w:lang w:val="en-US"/>
                <w14:textFill>
                  <w14:solidFill>
                    <w14:schemeClr w14:val="tx1"/>
                  </w14:solidFill>
                </w14:textFill>
              </w:rPr>
              <w:t>总</w:t>
            </w:r>
            <w:r>
              <w:rPr>
                <w:rFonts w:hint="eastAsia"/>
                <w:color w:val="000000" w:themeColor="text1"/>
                <w:lang w:val="en-US"/>
                <w14:textFill>
                  <w14:solidFill>
                    <w14:schemeClr w14:val="tx1"/>
                  </w14:solidFill>
                </w14:textFill>
              </w:rPr>
              <w:t>占地8524.894亩，占地分为永久占地和临时占地。其中临时占地</w:t>
            </w:r>
            <w:r>
              <w:rPr>
                <w:rFonts w:hint="eastAsia"/>
                <w:color w:val="000000" w:themeColor="text1"/>
                <w:lang w:val="en-US" w:eastAsia="zh-CN"/>
                <w14:textFill>
                  <w14:solidFill>
                    <w14:schemeClr w14:val="tx1"/>
                  </w14:solidFill>
                </w14:textFill>
              </w:rPr>
              <w:t>中办公、生活区域临时占地面积比环评设计减少了60m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专业仓库较环评增加了37m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材料加工厂较环评增加了24m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道路地坪等较环评减少了24m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，总</w:t>
            </w:r>
            <w:r>
              <w:rPr>
                <w:rFonts w:hint="eastAsia"/>
                <w:color w:val="000000" w:themeColor="text1"/>
                <w:lang w:val="en-US" w:eastAsia="zh-CN"/>
                <w14:textFill>
                  <w14:solidFill>
                    <w14:schemeClr w14:val="tx1"/>
                  </w14:solidFill>
                </w14:textFill>
              </w:rPr>
              <w:t>占地</w:t>
            </w:r>
            <w:r>
              <w:rPr>
                <w:rFonts w:hint="eastAsia"/>
                <w:color w:val="000000" w:themeColor="text1"/>
                <w:lang w:val="en-US"/>
                <w14:textFill>
                  <w14:solidFill>
                    <w14:schemeClr w14:val="tx1"/>
                  </w14:solidFill>
                </w14:textFill>
              </w:rPr>
              <w:t>面积约</w:t>
            </w:r>
            <w:r>
              <w:rPr>
                <w:rFonts w:hint="eastAsia"/>
                <w:color w:val="000000" w:themeColor="text1"/>
                <w:lang w:val="en-US" w:eastAsia="zh-CN"/>
                <w14:textFill>
                  <w14:solidFill>
                    <w14:schemeClr w14:val="tx1"/>
                  </w14:solidFill>
                </w14:textFill>
              </w:rPr>
              <w:t>4004m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较环评设计减少了53m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w:t>
            </w:r>
            <w:r>
              <w:rPr>
                <w:rFonts w:hint="eastAsia"/>
                <w:color w:val="000000" w:themeColor="text1"/>
                <w:lang w:val="en-US"/>
                <w14:textFill>
                  <w14:solidFill>
                    <w14:schemeClr w14:val="tx1"/>
                  </w14:solidFill>
                </w14:textFill>
              </w:rPr>
              <w:t>临时占地均</w:t>
            </w:r>
            <w:r>
              <w:rPr>
                <w:rFonts w:hint="eastAsia"/>
                <w:color w:val="000000" w:themeColor="text1"/>
                <w:lang w:val="en-US" w:eastAsia="zh-CN"/>
                <w14:textFill>
                  <w14:solidFill>
                    <w14:schemeClr w14:val="tx1"/>
                  </w14:solidFill>
                </w14:textFill>
              </w:rPr>
              <w:t>设</w:t>
            </w:r>
            <w:r>
              <w:rPr>
                <w:rFonts w:hint="eastAsia"/>
                <w:color w:val="000000" w:themeColor="text1"/>
                <w:lang w:val="en-US"/>
                <w14:textFill>
                  <w14:solidFill>
                    <w14:schemeClr w14:val="tx1"/>
                  </w14:solidFill>
                </w14:textFill>
              </w:rPr>
              <w:t>在</w:t>
            </w:r>
            <w:r>
              <w:rPr>
                <w:rFonts w:hint="eastAsia"/>
                <w:color w:val="000000" w:themeColor="text1"/>
                <w:lang w:val="en-US" w:eastAsia="zh-CN"/>
                <w14:textFill>
                  <w14:solidFill>
                    <w14:schemeClr w14:val="tx1"/>
                  </w14:solidFill>
                </w14:textFill>
              </w:rPr>
              <w:t>了</w:t>
            </w:r>
            <w:r>
              <w:rPr>
                <w:rFonts w:hint="eastAsia"/>
                <w:color w:val="000000" w:themeColor="text1"/>
                <w:lang w:val="en-US"/>
                <w14:textFill>
                  <w14:solidFill>
                    <w14:schemeClr w14:val="tx1"/>
                  </w14:solidFill>
                </w14:textFill>
              </w:rPr>
              <w:t>永久占地范围内。</w:t>
            </w:r>
          </w:p>
          <w:p w14:paraId="30F44897">
            <w:pPr>
              <w:ind w:firstLine="480"/>
              <w:jc w:val="both"/>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工程实际占地与环评占地对比表见表2-2；</w:t>
            </w:r>
          </w:p>
          <w:p w14:paraId="7CA4D421">
            <w:pPr>
              <w:autoSpaceDE/>
              <w:autoSpaceDN/>
              <w:adjustRightInd w:val="0"/>
              <w:ind w:left="0" w:leftChars="0" w:right="0" w:rightChars="0" w:firstLine="0" w:firstLineChars="0"/>
              <w:jc w:val="center"/>
              <w:rPr>
                <w:b/>
                <w:bCs/>
                <w:color w:val="000000" w:themeColor="text1"/>
                <w:lang w:val="en-US"/>
                <w14:textFill>
                  <w14:solidFill>
                    <w14:schemeClr w14:val="tx1"/>
                  </w14:solidFill>
                </w14:textFill>
              </w:rPr>
            </w:pPr>
            <w:r>
              <w:rPr>
                <w:b/>
                <w:bCs/>
                <w:color w:val="000000" w:themeColor="text1"/>
                <w:lang w:val="en-US"/>
                <w14:textFill>
                  <w14:solidFill>
                    <w14:schemeClr w14:val="tx1"/>
                  </w14:solidFill>
                </w14:textFill>
              </w:rPr>
              <w:t>表</w:t>
            </w:r>
            <w:r>
              <w:rPr>
                <w:rFonts w:hint="eastAsia"/>
                <w:b/>
                <w:bCs/>
                <w:color w:val="000000" w:themeColor="text1"/>
                <w:lang w:val="en-US"/>
                <w14:textFill>
                  <w14:solidFill>
                    <w14:schemeClr w14:val="tx1"/>
                  </w14:solidFill>
                </w14:textFill>
              </w:rPr>
              <w:t>2</w:t>
            </w:r>
            <w:r>
              <w:rPr>
                <w:b/>
                <w:bCs/>
                <w:color w:val="000000" w:themeColor="text1"/>
                <w:lang w:val="en-US"/>
                <w14:textFill>
                  <w14:solidFill>
                    <w14:schemeClr w14:val="tx1"/>
                  </w14:solidFill>
                </w14:textFill>
              </w:rPr>
              <w:t>-2</w:t>
            </w:r>
            <w:r>
              <w:rPr>
                <w:rFonts w:hint="eastAsia"/>
                <w:b/>
                <w:bCs/>
                <w:color w:val="000000" w:themeColor="text1"/>
                <w:lang w:val="en-US" w:eastAsia="zh-CN"/>
                <w14:textFill>
                  <w14:solidFill>
                    <w14:schemeClr w14:val="tx1"/>
                  </w14:solidFill>
                </w14:textFill>
              </w:rPr>
              <w:t xml:space="preserve">   </w:t>
            </w:r>
            <w:r>
              <w:rPr>
                <w:b/>
                <w:bCs/>
                <w:color w:val="000000" w:themeColor="text1"/>
                <w:lang w:val="en-US"/>
                <w14:textFill>
                  <w14:solidFill>
                    <w14:schemeClr w14:val="tx1"/>
                  </w14:solidFill>
                </w14:textFill>
              </w:rPr>
              <w:t>工程实际占地与环评对比表</w:t>
            </w:r>
          </w:p>
          <w:tbl>
            <w:tblPr>
              <w:tblStyle w:val="12"/>
              <w:tblW w:w="47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0"/>
              <w:gridCol w:w="1378"/>
              <w:gridCol w:w="1461"/>
              <w:gridCol w:w="1568"/>
              <w:gridCol w:w="1609"/>
              <w:gridCol w:w="1762"/>
            </w:tblGrid>
            <w:tr w14:paraId="21D97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jc w:val="center"/>
              </w:trPr>
              <w:tc>
                <w:tcPr>
                  <w:tcW w:w="296" w:type="pct"/>
                  <w:vMerge w:val="restart"/>
                  <w:vAlign w:val="center"/>
                </w:tcPr>
                <w:p w14:paraId="1FFE0ACC">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序号</w:t>
                  </w:r>
                </w:p>
              </w:tc>
              <w:tc>
                <w:tcPr>
                  <w:tcW w:w="833" w:type="pct"/>
                  <w:vMerge w:val="restart"/>
                  <w:vAlign w:val="center"/>
                </w:tcPr>
                <w:p w14:paraId="4A84D71B">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工程名称</w:t>
                  </w:r>
                </w:p>
              </w:tc>
              <w:tc>
                <w:tcPr>
                  <w:tcW w:w="883" w:type="pct"/>
                  <w:vAlign w:val="center"/>
                </w:tcPr>
                <w:p w14:paraId="157FB29E">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环评内容</w:t>
                  </w:r>
                </w:p>
              </w:tc>
              <w:tc>
                <w:tcPr>
                  <w:tcW w:w="948" w:type="pct"/>
                  <w:vAlign w:val="center"/>
                </w:tcPr>
                <w:p w14:paraId="38658CA8">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实际建设情况</w:t>
                  </w:r>
                </w:p>
              </w:tc>
              <w:tc>
                <w:tcPr>
                  <w:tcW w:w="973" w:type="pct"/>
                  <w:vAlign w:val="center"/>
                </w:tcPr>
                <w:p w14:paraId="7CD519BD">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环评内容</w:t>
                  </w:r>
                </w:p>
              </w:tc>
              <w:tc>
                <w:tcPr>
                  <w:tcW w:w="1065" w:type="pct"/>
                  <w:vAlign w:val="center"/>
                </w:tcPr>
                <w:p w14:paraId="23094FB2">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实际建设情况</w:t>
                  </w:r>
                </w:p>
              </w:tc>
            </w:tr>
            <w:tr w14:paraId="75C7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5" w:hRule="atLeast"/>
                <w:jc w:val="center"/>
              </w:trPr>
              <w:tc>
                <w:tcPr>
                  <w:tcW w:w="296" w:type="pct"/>
                  <w:vMerge w:val="continue"/>
                  <w:tcBorders>
                    <w:top w:val="nil"/>
                  </w:tcBorders>
                  <w:vAlign w:val="center"/>
                </w:tcPr>
                <w:p w14:paraId="5BCB61BC">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833" w:type="pct"/>
                  <w:vMerge w:val="continue"/>
                  <w:tcBorders>
                    <w:top w:val="nil"/>
                  </w:tcBorders>
                  <w:vAlign w:val="center"/>
                </w:tcPr>
                <w:p w14:paraId="50E2C636">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p>
              </w:tc>
              <w:tc>
                <w:tcPr>
                  <w:tcW w:w="1831" w:type="pct"/>
                  <w:gridSpan w:val="2"/>
                  <w:vAlign w:val="center"/>
                </w:tcPr>
                <w:p w14:paraId="29902283">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eastAsia="zh-CN"/>
                      <w14:textFill>
                        <w14:solidFill>
                          <w14:schemeClr w14:val="tx1"/>
                        </w14:solidFill>
                      </w14:textFill>
                    </w:rPr>
                    <w:t>永久</w:t>
                  </w:r>
                  <w:r>
                    <w:rPr>
                      <w:rFonts w:hint="default" w:ascii="Times New Roman" w:hAnsi="Times New Roman" w:eastAsia="宋体" w:cs="Times New Roman"/>
                      <w:color w:val="000000" w:themeColor="text1"/>
                      <w:sz w:val="21"/>
                      <w:szCs w:val="21"/>
                      <w14:textFill>
                        <w14:solidFill>
                          <w14:schemeClr w14:val="tx1"/>
                        </w14:solidFill>
                      </w14:textFill>
                    </w:rPr>
                    <w:t>占地</w:t>
                  </w:r>
                  <w:r>
                    <w:rPr>
                      <w:rFonts w:hint="default" w:ascii="Times New Roman" w:hAnsi="Times New Roman" w:eastAsia="宋体" w:cs="Times New Roman"/>
                      <w:color w:val="000000" w:themeColor="text1"/>
                      <w:sz w:val="21"/>
                      <w:szCs w:val="21"/>
                      <w:lang w:eastAsia="zh-CN"/>
                      <w14:textFill>
                        <w14:solidFill>
                          <w14:schemeClr w14:val="tx1"/>
                        </w14:solidFill>
                      </w14:textFill>
                    </w:rPr>
                    <w:t>面积</w:t>
                  </w:r>
                  <w:r>
                    <w:rPr>
                      <w:rFonts w:hint="default" w:ascii="Times New Roman" w:hAnsi="Times New Roman" w:eastAsia="宋体" w:cs="Times New Roman"/>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lang w:val="en-US" w:eastAsia="zh-CN"/>
                      <w14:textFill>
                        <w14:solidFill>
                          <w14:schemeClr w14:val="tx1"/>
                        </w14:solidFill>
                      </w14:textFill>
                    </w:rPr>
                    <w:t>m</w:t>
                  </w:r>
                  <w:r>
                    <w:rPr>
                      <w:rFonts w:hint="eastAsia" w:ascii="Times New Roman" w:hAnsi="Times New Roman" w:cs="Times New Roman"/>
                      <w:color w:val="000000" w:themeColor="text1"/>
                      <w:sz w:val="21"/>
                      <w:szCs w:val="21"/>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1"/>
                      <w:szCs w:val="21"/>
                      <w14:textFill>
                        <w14:solidFill>
                          <w14:schemeClr w14:val="tx1"/>
                        </w14:solidFill>
                      </w14:textFill>
                    </w:rPr>
                    <w:t>）</w:t>
                  </w:r>
                </w:p>
              </w:tc>
              <w:tc>
                <w:tcPr>
                  <w:tcW w:w="2038" w:type="pct"/>
                  <w:gridSpan w:val="2"/>
                  <w:vAlign w:val="center"/>
                </w:tcPr>
                <w:p w14:paraId="7AF0CE0C">
                  <w:pPr>
                    <w:pStyle w:val="17"/>
                    <w:keepNext w:val="0"/>
                    <w:keepLines w:val="0"/>
                    <w:pageBreakBefore w:val="0"/>
                    <w:kinsoku/>
                    <w:wordWrap/>
                    <w:overflowPunct/>
                    <w:topLinePunct w:val="0"/>
                    <w:bidi w:val="0"/>
                    <w:snapToGrid/>
                    <w:spacing w:line="240" w:lineRule="auto"/>
                    <w:jc w:val="center"/>
                    <w:textAlignment w:val="auto"/>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cs="Times New Roman"/>
                      <w:color w:val="000000" w:themeColor="text1"/>
                      <w:sz w:val="21"/>
                      <w:szCs w:val="21"/>
                      <w:lang w:eastAsia="zh-CN"/>
                      <w14:textFill>
                        <w14:solidFill>
                          <w14:schemeClr w14:val="tx1"/>
                        </w14:solidFill>
                      </w14:textFill>
                    </w:rPr>
                    <w:t>临时</w:t>
                  </w:r>
                  <w:r>
                    <w:rPr>
                      <w:rFonts w:hint="default" w:ascii="Times New Roman" w:hAnsi="Times New Roman" w:eastAsia="宋体" w:cs="Times New Roman"/>
                      <w:color w:val="000000" w:themeColor="text1"/>
                      <w:sz w:val="21"/>
                      <w:szCs w:val="21"/>
                      <w14:textFill>
                        <w14:solidFill>
                          <w14:schemeClr w14:val="tx1"/>
                        </w14:solidFill>
                      </w14:textFill>
                    </w:rPr>
                    <w:t>占地</w:t>
                  </w:r>
                  <w:r>
                    <w:rPr>
                      <w:rFonts w:hint="default" w:ascii="Times New Roman" w:hAnsi="Times New Roman" w:eastAsia="宋体" w:cs="Times New Roman"/>
                      <w:color w:val="000000" w:themeColor="text1"/>
                      <w:sz w:val="21"/>
                      <w:szCs w:val="21"/>
                      <w:lang w:eastAsia="zh-CN"/>
                      <w14:textFill>
                        <w14:solidFill>
                          <w14:schemeClr w14:val="tx1"/>
                        </w14:solidFill>
                      </w14:textFill>
                    </w:rPr>
                    <w:t>面积</w:t>
                  </w:r>
                  <w:r>
                    <w:rPr>
                      <w:rFonts w:hint="default" w:ascii="Times New Roman" w:hAnsi="Times New Roman" w:eastAsia="宋体" w:cs="Times New Roman"/>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lang w:val="en-US" w:eastAsia="zh-CN"/>
                      <w14:textFill>
                        <w14:solidFill>
                          <w14:schemeClr w14:val="tx1"/>
                        </w14:solidFill>
                      </w14:textFill>
                    </w:rPr>
                    <w:t>m</w:t>
                  </w:r>
                  <w:r>
                    <w:rPr>
                      <w:rFonts w:hint="eastAsia" w:ascii="Times New Roman" w:hAnsi="Times New Roman" w:cs="Times New Roman"/>
                      <w:color w:val="000000" w:themeColor="text1"/>
                      <w:sz w:val="21"/>
                      <w:szCs w:val="21"/>
                      <w:vertAlign w:val="superscript"/>
                      <w:lang w:val="en-US" w:eastAsia="zh-CN"/>
                      <w14:textFill>
                        <w14:solidFill>
                          <w14:schemeClr w14:val="tx1"/>
                        </w14:solidFill>
                      </w14:textFill>
                    </w:rPr>
                    <w:t>2</w:t>
                  </w:r>
                  <w:r>
                    <w:rPr>
                      <w:rFonts w:hint="default" w:ascii="Times New Roman" w:hAnsi="Times New Roman" w:eastAsia="宋体" w:cs="Times New Roman"/>
                      <w:color w:val="000000" w:themeColor="text1"/>
                      <w:sz w:val="21"/>
                      <w:szCs w:val="21"/>
                      <w14:textFill>
                        <w14:solidFill>
                          <w14:schemeClr w14:val="tx1"/>
                        </w14:solidFill>
                      </w14:textFill>
                    </w:rPr>
                    <w:t>）</w:t>
                  </w:r>
                </w:p>
              </w:tc>
            </w:tr>
            <w:tr w14:paraId="4E6DE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jc w:val="center"/>
              </w:trPr>
              <w:tc>
                <w:tcPr>
                  <w:tcW w:w="296" w:type="pct"/>
                  <w:vAlign w:val="center"/>
                </w:tcPr>
                <w:p w14:paraId="1DC6B684">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1</w:t>
                  </w:r>
                </w:p>
              </w:tc>
              <w:tc>
                <w:tcPr>
                  <w:tcW w:w="833" w:type="pct"/>
                  <w:vAlign w:val="center"/>
                </w:tcPr>
                <w:p w14:paraId="2AB31026">
                  <w:pPr>
                    <w:pStyle w:val="16"/>
                    <w:keepNext w:val="0"/>
                    <w:keepLines w:val="0"/>
                    <w:pageBreakBefore w:val="0"/>
                    <w:kinsoku/>
                    <w:wordWrap/>
                    <w:overflowPunct/>
                    <w:topLinePunct w:val="0"/>
                    <w:bidi w:val="0"/>
                    <w:snapToGrid/>
                    <w:spacing w:before="13" w:line="240" w:lineRule="auto"/>
                    <w:ind w:left="0" w:leftChars="0" w:right="267"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变电站总占地</w:t>
                  </w:r>
                </w:p>
              </w:tc>
              <w:tc>
                <w:tcPr>
                  <w:tcW w:w="883" w:type="pct"/>
                  <w:vAlign w:val="center"/>
                </w:tcPr>
                <w:p w14:paraId="76E594FA">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43800</w:t>
                  </w:r>
                </w:p>
              </w:tc>
              <w:tc>
                <w:tcPr>
                  <w:tcW w:w="948" w:type="pct"/>
                  <w:vAlign w:val="center"/>
                </w:tcPr>
                <w:p w14:paraId="14B4D8E4">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43800</w:t>
                  </w:r>
                </w:p>
              </w:tc>
              <w:tc>
                <w:tcPr>
                  <w:tcW w:w="973" w:type="pct"/>
                  <w:vAlign w:val="center"/>
                </w:tcPr>
                <w:p w14:paraId="55F28D04">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c>
                <w:tcPr>
                  <w:tcW w:w="1065" w:type="pct"/>
                  <w:vAlign w:val="center"/>
                </w:tcPr>
                <w:p w14:paraId="0DB51364">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r>
            <w:tr w14:paraId="49DE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jc w:val="center"/>
              </w:trPr>
              <w:tc>
                <w:tcPr>
                  <w:tcW w:w="296" w:type="pct"/>
                  <w:vAlign w:val="center"/>
                </w:tcPr>
                <w:p w14:paraId="034C1CD9">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2</w:t>
                  </w:r>
                </w:p>
              </w:tc>
              <w:tc>
                <w:tcPr>
                  <w:tcW w:w="833" w:type="pct"/>
                  <w:vAlign w:val="center"/>
                </w:tcPr>
                <w:p w14:paraId="4F2CC2EF">
                  <w:pPr>
                    <w:pStyle w:val="16"/>
                    <w:keepNext w:val="0"/>
                    <w:keepLines w:val="0"/>
                    <w:pageBreakBefore w:val="0"/>
                    <w:kinsoku/>
                    <w:wordWrap/>
                    <w:overflowPunct/>
                    <w:topLinePunct w:val="0"/>
                    <w:bidi w:val="0"/>
                    <w:snapToGrid/>
                    <w:spacing w:before="13" w:line="240" w:lineRule="auto"/>
                    <w:ind w:left="0" w:leftChars="0" w:right="267"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光伏阵列区</w:t>
                  </w:r>
                </w:p>
              </w:tc>
              <w:tc>
                <w:tcPr>
                  <w:tcW w:w="883" w:type="pct"/>
                  <w:vAlign w:val="center"/>
                </w:tcPr>
                <w:p w14:paraId="0A5908E9">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5581647</w:t>
                  </w:r>
                </w:p>
              </w:tc>
              <w:tc>
                <w:tcPr>
                  <w:tcW w:w="948" w:type="pct"/>
                  <w:vAlign w:val="center"/>
                </w:tcPr>
                <w:p w14:paraId="080891C3">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5581647</w:t>
                  </w:r>
                </w:p>
              </w:tc>
              <w:tc>
                <w:tcPr>
                  <w:tcW w:w="973" w:type="pct"/>
                  <w:vAlign w:val="center"/>
                </w:tcPr>
                <w:p w14:paraId="732770CB">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c>
                <w:tcPr>
                  <w:tcW w:w="1065" w:type="pct"/>
                  <w:vAlign w:val="center"/>
                </w:tcPr>
                <w:p w14:paraId="2FCE0783">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r>
            <w:tr w14:paraId="3D5AC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jc w:val="center"/>
              </w:trPr>
              <w:tc>
                <w:tcPr>
                  <w:tcW w:w="296" w:type="pct"/>
                  <w:vAlign w:val="center"/>
                </w:tcPr>
                <w:p w14:paraId="7D46DD68">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3</w:t>
                  </w:r>
                </w:p>
              </w:tc>
              <w:tc>
                <w:tcPr>
                  <w:tcW w:w="833" w:type="pct"/>
                  <w:vAlign w:val="center"/>
                </w:tcPr>
                <w:p w14:paraId="06FD3EC4">
                  <w:pPr>
                    <w:pStyle w:val="16"/>
                    <w:keepNext w:val="0"/>
                    <w:keepLines w:val="0"/>
                    <w:pageBreakBefore w:val="0"/>
                    <w:kinsoku/>
                    <w:wordWrap/>
                    <w:overflowPunct/>
                    <w:topLinePunct w:val="0"/>
                    <w:bidi w:val="0"/>
                    <w:snapToGrid/>
                    <w:spacing w:before="13" w:line="240" w:lineRule="auto"/>
                    <w:ind w:left="0" w:leftChars="0" w:right="267"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站址围墙内用地</w:t>
                  </w:r>
                </w:p>
              </w:tc>
              <w:tc>
                <w:tcPr>
                  <w:tcW w:w="883" w:type="pct"/>
                  <w:vAlign w:val="center"/>
                </w:tcPr>
                <w:p w14:paraId="5FBD9EB6">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39854</w:t>
                  </w:r>
                </w:p>
              </w:tc>
              <w:tc>
                <w:tcPr>
                  <w:tcW w:w="948" w:type="pct"/>
                  <w:vAlign w:val="center"/>
                </w:tcPr>
                <w:p w14:paraId="5CBCED8B">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39854</w:t>
                  </w:r>
                </w:p>
              </w:tc>
              <w:tc>
                <w:tcPr>
                  <w:tcW w:w="973" w:type="pct"/>
                  <w:vAlign w:val="center"/>
                </w:tcPr>
                <w:p w14:paraId="554E1082">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0</w:t>
                  </w:r>
                </w:p>
              </w:tc>
              <w:tc>
                <w:tcPr>
                  <w:tcW w:w="1065" w:type="pct"/>
                  <w:vAlign w:val="center"/>
                </w:tcPr>
                <w:p w14:paraId="417ECC67">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0</w:t>
                  </w:r>
                </w:p>
              </w:tc>
            </w:tr>
            <w:tr w14:paraId="49CF0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jc w:val="center"/>
              </w:trPr>
              <w:tc>
                <w:tcPr>
                  <w:tcW w:w="296" w:type="pct"/>
                  <w:vAlign w:val="center"/>
                </w:tcPr>
                <w:p w14:paraId="2BEF6818">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4</w:t>
                  </w:r>
                </w:p>
              </w:tc>
              <w:tc>
                <w:tcPr>
                  <w:tcW w:w="833" w:type="pct"/>
                  <w:vAlign w:val="center"/>
                </w:tcPr>
                <w:p w14:paraId="2CF18413">
                  <w:pPr>
                    <w:pStyle w:val="16"/>
                    <w:keepNext w:val="0"/>
                    <w:keepLines w:val="0"/>
                    <w:pageBreakBefore w:val="0"/>
                    <w:kinsoku/>
                    <w:wordWrap/>
                    <w:overflowPunct/>
                    <w:topLinePunct w:val="0"/>
                    <w:bidi w:val="0"/>
                    <w:snapToGrid/>
                    <w:spacing w:before="13" w:line="240" w:lineRule="auto"/>
                    <w:ind w:left="0" w:leftChars="0" w:right="267"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进站道路用地</w:t>
                  </w:r>
                </w:p>
              </w:tc>
              <w:tc>
                <w:tcPr>
                  <w:tcW w:w="883" w:type="pct"/>
                  <w:vAlign w:val="center"/>
                </w:tcPr>
                <w:p w14:paraId="531B1B01">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1500</w:t>
                  </w:r>
                </w:p>
              </w:tc>
              <w:tc>
                <w:tcPr>
                  <w:tcW w:w="948" w:type="pct"/>
                  <w:vAlign w:val="center"/>
                </w:tcPr>
                <w:p w14:paraId="76F31265">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1500</w:t>
                  </w:r>
                </w:p>
              </w:tc>
              <w:tc>
                <w:tcPr>
                  <w:tcW w:w="973" w:type="pct"/>
                  <w:vAlign w:val="center"/>
                </w:tcPr>
                <w:p w14:paraId="53B78611">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c>
                <w:tcPr>
                  <w:tcW w:w="1065" w:type="pct"/>
                  <w:vAlign w:val="center"/>
                </w:tcPr>
                <w:p w14:paraId="681271FF">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r>
            <w:tr w14:paraId="7454F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jc w:val="center"/>
              </w:trPr>
              <w:tc>
                <w:tcPr>
                  <w:tcW w:w="296" w:type="pct"/>
                  <w:vAlign w:val="center"/>
                </w:tcPr>
                <w:p w14:paraId="791E1451">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5</w:t>
                  </w:r>
                </w:p>
              </w:tc>
              <w:tc>
                <w:tcPr>
                  <w:tcW w:w="833" w:type="pct"/>
                  <w:vAlign w:val="center"/>
                </w:tcPr>
                <w:p w14:paraId="0E3CE664">
                  <w:pPr>
                    <w:pStyle w:val="16"/>
                    <w:keepNext w:val="0"/>
                    <w:keepLines w:val="0"/>
                    <w:pageBreakBefore w:val="0"/>
                    <w:kinsoku/>
                    <w:wordWrap/>
                    <w:overflowPunct/>
                    <w:topLinePunct w:val="0"/>
                    <w:bidi w:val="0"/>
                    <w:snapToGrid/>
                    <w:spacing w:before="13" w:line="240" w:lineRule="auto"/>
                    <w:ind w:left="0" w:leftChars="0" w:right="267"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其他占地</w:t>
                  </w:r>
                </w:p>
              </w:tc>
              <w:tc>
                <w:tcPr>
                  <w:tcW w:w="883" w:type="pct"/>
                  <w:vAlign w:val="center"/>
                </w:tcPr>
                <w:p w14:paraId="59D3F84F">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3946</w:t>
                  </w:r>
                </w:p>
              </w:tc>
              <w:tc>
                <w:tcPr>
                  <w:tcW w:w="948" w:type="pct"/>
                  <w:vAlign w:val="center"/>
                </w:tcPr>
                <w:p w14:paraId="6E71FA2F">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3946</w:t>
                  </w:r>
                </w:p>
              </w:tc>
              <w:tc>
                <w:tcPr>
                  <w:tcW w:w="973" w:type="pct"/>
                  <w:vAlign w:val="center"/>
                </w:tcPr>
                <w:p w14:paraId="35C40DF5">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c>
                <w:tcPr>
                  <w:tcW w:w="1065" w:type="pct"/>
                  <w:vAlign w:val="center"/>
                </w:tcPr>
                <w:p w14:paraId="5E91CD81">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default" w:ascii="Times New Roman" w:hAnsi="Times New Roman" w:cs="Times New Roman"/>
                      <w:color w:val="000000" w:themeColor="text1"/>
                      <w:sz w:val="21"/>
                      <w:szCs w:val="21"/>
                      <w:lang w:val="en-US" w:eastAsia="zh-CN"/>
                      <w14:textFill>
                        <w14:solidFill>
                          <w14:schemeClr w14:val="tx1"/>
                        </w14:solidFill>
                      </w14:textFill>
                    </w:rPr>
                    <w:t>0</w:t>
                  </w:r>
                </w:p>
              </w:tc>
            </w:tr>
            <w:tr w14:paraId="5737C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1129" w:type="pct"/>
                  <w:gridSpan w:val="2"/>
                  <w:vAlign w:val="center"/>
                </w:tcPr>
                <w:p w14:paraId="646D46AE">
                  <w:pPr>
                    <w:pStyle w:val="16"/>
                    <w:keepNext w:val="0"/>
                    <w:keepLines w:val="0"/>
                    <w:pageBreakBefore w:val="0"/>
                    <w:kinsoku/>
                    <w:wordWrap/>
                    <w:overflowPunct/>
                    <w:topLinePunct w:val="0"/>
                    <w:bidi w:val="0"/>
                    <w:snapToGrid/>
                    <w:spacing w:before="21" w:line="240" w:lineRule="auto"/>
                    <w:ind w:left="0" w:leftChars="0" w:right="814"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合计</w:t>
                  </w:r>
                </w:p>
              </w:tc>
              <w:tc>
                <w:tcPr>
                  <w:tcW w:w="883" w:type="pct"/>
                  <w:vAlign w:val="center"/>
                </w:tcPr>
                <w:p w14:paraId="1E408E12">
                  <w:pPr>
                    <w:pStyle w:val="16"/>
                    <w:keepNext w:val="0"/>
                    <w:keepLines w:val="0"/>
                    <w:pageBreakBefore w:val="0"/>
                    <w:kinsoku/>
                    <w:wordWrap/>
                    <w:overflowPunct/>
                    <w:topLinePunct w:val="0"/>
                    <w:bidi w:val="0"/>
                    <w:snapToGrid/>
                    <w:spacing w:before="27" w:line="240" w:lineRule="auto"/>
                    <w:ind w:left="0" w:leftChars="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5670747</w:t>
                  </w:r>
                </w:p>
              </w:tc>
              <w:tc>
                <w:tcPr>
                  <w:tcW w:w="948" w:type="pct"/>
                  <w:vAlign w:val="center"/>
                </w:tcPr>
                <w:p w14:paraId="5F8EF847">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5670747</w:t>
                  </w:r>
                </w:p>
              </w:tc>
              <w:tc>
                <w:tcPr>
                  <w:tcW w:w="973" w:type="pct"/>
                  <w:vAlign w:val="center"/>
                </w:tcPr>
                <w:p w14:paraId="6366F82F">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c>
                <w:tcPr>
                  <w:tcW w:w="1065" w:type="pct"/>
                  <w:vAlign w:val="center"/>
                </w:tcPr>
                <w:p w14:paraId="04DC8B4A">
                  <w:pPr>
                    <w:pStyle w:val="16"/>
                    <w:keepNext w:val="0"/>
                    <w:keepLines w:val="0"/>
                    <w:pageBreakBefore w:val="0"/>
                    <w:kinsoku/>
                    <w:wordWrap/>
                    <w:overflowPunct/>
                    <w:topLinePunct w:val="0"/>
                    <w:bidi w:val="0"/>
                    <w:snapToGrid/>
                    <w:spacing w:before="27" w:line="240" w:lineRule="auto"/>
                    <w:ind w:left="0" w:leftChars="0" w:right="72" w:rightChars="30" w:firstLine="0" w:firstLineChars="0"/>
                    <w:jc w:val="center"/>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bl>
          <w:p w14:paraId="5DC5B79C">
            <w:pPr>
              <w:autoSpaceDE/>
              <w:autoSpaceDN/>
              <w:adjustRightInd w:val="0"/>
              <w:ind w:left="0" w:leftChars="0" w:right="0" w:rightChars="0" w:firstLine="420" w:firstLineChars="0"/>
              <w:jc w:val="both"/>
              <w:rPr>
                <w:b/>
                <w:bCs/>
                <w:color w:val="000000" w:themeColor="text1"/>
                <w:lang w:val="en-US"/>
                <w14:textFill>
                  <w14:solidFill>
                    <w14:schemeClr w14:val="tx1"/>
                  </w14:solidFill>
                </w14:textFill>
              </w:rPr>
            </w:pPr>
            <w:r>
              <w:rPr>
                <w:rFonts w:hint="eastAsia"/>
                <w:b/>
                <w:bCs/>
                <w:color w:val="000000" w:themeColor="text1"/>
                <w:lang w:val="en-US"/>
                <w14:textFill>
                  <w14:solidFill>
                    <w14:schemeClr w14:val="tx1"/>
                  </w14:solidFill>
                </w14:textFill>
              </w:rPr>
              <w:t>2.平面布置</w:t>
            </w:r>
          </w:p>
          <w:p w14:paraId="55481B5B">
            <w:pPr>
              <w:ind w:firstLine="480"/>
              <w:jc w:val="both"/>
              <w:rPr>
                <w:rFonts w:hint="eastAsia"/>
                <w:color w:val="000000" w:themeColor="text1"/>
                <w:lang w:val="en-US" w:eastAsia="zh-CN"/>
                <w14:textFill>
                  <w14:solidFill>
                    <w14:schemeClr w14:val="tx1"/>
                  </w14:solidFill>
                </w14:textFill>
              </w:rPr>
            </w:pPr>
            <w:r>
              <w:rPr>
                <w:rFonts w:hint="eastAsia"/>
                <w:b/>
                <w:bCs/>
                <w:color w:val="000000" w:themeColor="text1"/>
                <w:lang w:val="en-US"/>
                <w14:textFill>
                  <w14:solidFill>
                    <w14:schemeClr w14:val="tx1"/>
                  </w14:solidFill>
                </w14:textFill>
              </w:rPr>
              <w:t>环评阶段：</w:t>
            </w:r>
            <w:r>
              <w:rPr>
                <w:rFonts w:hint="eastAsia"/>
                <w:color w:val="000000" w:themeColor="text1"/>
                <w:lang w:val="en-US" w:eastAsia="zh-CN"/>
                <w14:textFill>
                  <w14:solidFill>
                    <w14:schemeClr w14:val="tx1"/>
                  </w14:solidFill>
                </w14:textFill>
              </w:rPr>
              <w:t>本期工程建设规模为400MW，属大型光伏发电系统。采用单块容量为540Wp的光伏组件，组件尺寸约为2256*1133*35mm，组件共计792064块。组</w:t>
            </w:r>
          </w:p>
          <w:p w14:paraId="29626F5A">
            <w:pPr>
              <w:ind w:left="0" w:leftChars="0" w:firstLine="0" w:firstLineChars="0"/>
              <w:jc w:val="both"/>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件采用2x26的竖向布置方式，支架共计15232组。新建集中式逆变器基础128座，光伏场区通过直埋电缆连接各个区块。330kV光伏升压站采用户外配电装置布置。根据电气工艺要求，站区西侧布置电池集装箱、储能变流器集装箱，包括48个电池集装箱及24个储能变流器集装箱。330kV配电装置采用户外布置在站区北侧，330kV配电装置向南出线，主变压器采用户外布置，变压器位于330kV站址中部，主变东侧为二次设备室，主变北侧依次为35kV配电装置室及接地变、交直流配电装置室及站用变、SVG室及无功补偿装置、箱式储能站用变，主变南侧为330kV配电装置区、洗水喷雾集装箱、危废间、事故油池、雨淋阀室。站区东北角为调相机预留区，其南侧为调相机配电装置室预留区。站区大门位于站址东侧，进站道路南侧为主控通信室，进站道路北侧为综合泵房、消防水池。全站设置40米独立避雷针8座。</w:t>
            </w:r>
          </w:p>
          <w:p w14:paraId="12B5C5E6">
            <w:pPr>
              <w:ind w:firstLine="480"/>
              <w:jc w:val="both"/>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本场区需修建进场区道路。光伏电站内设置检修道路，检修道路宽均4m，每个箱变均有检修道路直达，满足运维及消防要求。做法为：压实的天然地基，30cm厚碎石路面。另外设置一条进站道路，路净宽6m，规划长度约5.7m。满足人员通勤，施工期主变等电气设备运输要求。做法为：压实的天然地基，30cm厚碎石路面。由于本工程光伏场进场道路由附近乡村道路引入场区，光伏场靠近道路布置，对外设置2个永久出入口。</w:t>
            </w:r>
          </w:p>
          <w:p w14:paraId="13DB0246">
            <w:pPr>
              <w:ind w:firstLine="480"/>
              <w:jc w:val="both"/>
              <w:rPr>
                <w:rFonts w:hint="eastAsia"/>
                <w:color w:val="000000" w:themeColor="text1"/>
                <w:lang w:val="en-US" w:eastAsia="zh-CN"/>
                <w14:textFill>
                  <w14:solidFill>
                    <w14:schemeClr w14:val="tx1"/>
                  </w14:solidFill>
                </w14:textFill>
              </w:rPr>
            </w:pPr>
            <w:r>
              <w:rPr>
                <w:rFonts w:hint="eastAsia"/>
                <w:b/>
                <w:bCs/>
                <w:color w:val="000000" w:themeColor="text1"/>
                <w:lang w:val="en-US"/>
                <w14:textFill>
                  <w14:solidFill>
                    <w14:schemeClr w14:val="tx1"/>
                  </w14:solidFill>
                </w14:textFill>
              </w:rPr>
              <w:t>实际调查：</w:t>
            </w:r>
            <w:r>
              <w:rPr>
                <w:rFonts w:hint="eastAsia"/>
                <w:color w:val="000000" w:themeColor="text1"/>
                <w:lang w:val="en-US"/>
                <w14:textFill>
                  <w14:solidFill>
                    <w14:schemeClr w14:val="tx1"/>
                  </w14:solidFill>
                </w14:textFill>
              </w:rPr>
              <w:t>根据实际调查及业主提供的资料，</w:t>
            </w:r>
            <w:r>
              <w:rPr>
                <w:rFonts w:hint="eastAsia"/>
                <w:color w:val="000000" w:themeColor="text1"/>
                <w:lang w:val="en-US" w:eastAsia="zh-CN"/>
                <w14:textFill>
                  <w14:solidFill>
                    <w14:schemeClr w14:val="tx1"/>
                  </w14:solidFill>
                </w14:textFill>
              </w:rPr>
              <w:t>本期工程建成了规模为400MW的大型光伏发电系统。采用了单块容量为540Wp的光伏组件，组件尺寸为2256*1133*35mm，组件共计792064块。组件采用了2x26的竖向布置方式，支架共计15232组。建成了集中式逆变器基础128座，光伏场区通过直埋电缆连接各个区块。根据电气工艺要求，站区西侧布置了电池集装箱、储能变流器集装箱，包括48个电池集装箱及24个储能变流器集装箱。330kV配电装置采用户外预留区在站区北侧，变压器位于330kV站址中部，主变东侧为二次设备室，主变北侧依次为35kV配电装置室及接地变、交直流配电装置室及站用变、SVG室及无功补偿装置、箱式储能站用变。站区东北角为调相机预留区，其南侧为调相机配电装置室预留区。站区大门位于站址东侧，进站道路南侧为主控通信室，进站道路北侧为综合泵房、消防水池。全站设置了40米独立避雷针8座。</w:t>
            </w:r>
          </w:p>
          <w:p w14:paraId="08D64770">
            <w:pPr>
              <w:ind w:firstLine="480"/>
              <w:jc w:val="both"/>
              <w:rPr>
                <w:rFonts w:hint="default" w:eastAsia="宋体"/>
                <w:color w:val="0000FF"/>
                <w:lang w:val="en-US" w:eastAsia="zh-CN"/>
              </w:rPr>
            </w:pPr>
            <w:r>
              <w:rPr>
                <w:rFonts w:hint="eastAsia"/>
                <w:color w:val="000000" w:themeColor="text1"/>
                <w:lang w:val="en-US" w:eastAsia="zh-CN"/>
                <w14:textFill>
                  <w14:solidFill>
                    <w14:schemeClr w14:val="tx1"/>
                  </w14:solidFill>
                </w14:textFill>
              </w:rPr>
              <w:t>光伏电站内设置了检修道路，道路宽均4m，每个箱变均有检修道路直达，满足运维及消防要求。做法为：压实的天然地基，30cm厚碎石路面。另外设置了一条进站道路，路净宽6m，长度为5.7m。满足人员通勤，施工期主变等电气设备运输要求。做法为：压实的天然地基，30cm厚碎石路面。光伏场靠近道路布置，对外设置了2个永久出入口。与环评阶段基本一致，详见图2。</w:t>
            </w:r>
          </w:p>
          <w:p w14:paraId="12E455E6">
            <w:pPr>
              <w:ind w:firstLine="480"/>
              <w:jc w:val="both"/>
              <w:rPr>
                <w:color w:val="0070C0"/>
                <w:lang w:val="en-US"/>
              </w:rPr>
            </w:pPr>
          </w:p>
          <w:p w14:paraId="3243D8EB">
            <w:pPr>
              <w:pStyle w:val="2"/>
              <w:ind w:left="0" w:leftChars="0"/>
              <w:jc w:val="both"/>
              <w:rPr>
                <w:color w:val="0070C0"/>
                <w:lang w:val="en-US"/>
              </w:rPr>
            </w:pPr>
          </w:p>
          <w:p w14:paraId="39E519FA">
            <w:pPr>
              <w:pStyle w:val="2"/>
              <w:ind w:left="0" w:leftChars="0"/>
              <w:jc w:val="both"/>
              <w:rPr>
                <w:color w:val="0070C0"/>
                <w:lang w:val="en-US"/>
              </w:rPr>
            </w:pPr>
          </w:p>
          <w:p w14:paraId="48F47257">
            <w:pPr>
              <w:pStyle w:val="2"/>
              <w:ind w:left="0" w:leftChars="0"/>
              <w:jc w:val="both"/>
              <w:rPr>
                <w:color w:val="0070C0"/>
                <w:lang w:val="en-US"/>
              </w:rPr>
            </w:pPr>
          </w:p>
          <w:p w14:paraId="623D4625">
            <w:pPr>
              <w:pStyle w:val="2"/>
              <w:ind w:left="0" w:leftChars="0" w:firstLine="0" w:firstLineChars="0"/>
              <w:jc w:val="both"/>
              <w:rPr>
                <w:color w:val="0070C0"/>
                <w:lang w:val="en-US"/>
              </w:rPr>
            </w:pPr>
          </w:p>
          <w:p w14:paraId="2CE340DD">
            <w:pPr>
              <w:pStyle w:val="2"/>
              <w:ind w:left="0" w:leftChars="0" w:firstLine="0" w:firstLineChars="0"/>
              <w:rPr>
                <w:rFonts w:hint="eastAsia" w:eastAsia="宋体"/>
                <w:lang w:val="en-US" w:eastAsia="zh-CN"/>
              </w:rPr>
            </w:pPr>
            <w:r>
              <w:rPr>
                <w:rFonts w:hint="eastAsia" w:eastAsia="宋体"/>
                <w:lang w:val="en-US" w:eastAsia="zh-CN"/>
              </w:rPr>
              <w:drawing>
                <wp:inline distT="0" distB="0" distL="114300" distR="114300">
                  <wp:extent cx="8070215" cy="5499735"/>
                  <wp:effectExtent l="0" t="0" r="5715" b="6985"/>
                  <wp:docPr id="15" name="图片 15" descr="612efed8b946e2f3c02d8a884fb31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612efed8b946e2f3c02d8a884fb31c9"/>
                          <pic:cNvPicPr>
                            <a:picLocks noChangeAspect="1"/>
                          </pic:cNvPicPr>
                        </pic:nvPicPr>
                        <pic:blipFill>
                          <a:blip r:embed="rId23"/>
                          <a:srcRect l="3153" t="3836" r="275"/>
                          <a:stretch>
                            <a:fillRect/>
                          </a:stretch>
                        </pic:blipFill>
                        <pic:spPr>
                          <a:xfrm rot="16200000">
                            <a:off x="0" y="0"/>
                            <a:ext cx="8070215" cy="5499735"/>
                          </a:xfrm>
                          <a:prstGeom prst="rect">
                            <a:avLst/>
                          </a:prstGeom>
                        </pic:spPr>
                      </pic:pic>
                    </a:graphicData>
                  </a:graphic>
                </wp:inline>
              </w:drawing>
            </w:r>
          </w:p>
          <w:p w14:paraId="2264E52D">
            <w:pPr>
              <w:pStyle w:val="2"/>
              <w:ind w:left="0" w:leftChars="0" w:firstLine="0" w:firstLineChars="0"/>
              <w:jc w:val="center"/>
              <w:rPr>
                <w:rFonts w:hint="default"/>
                <w:b/>
                <w:bCs/>
                <w:lang w:val="en-US" w:eastAsia="zh-CN"/>
              </w:rPr>
            </w:pPr>
            <w:r>
              <w:rPr>
                <w:rFonts w:hint="eastAsia"/>
                <w:b/>
                <w:bCs/>
                <w:lang w:val="en-US" w:eastAsia="zh-CN"/>
              </w:rPr>
              <w:t>图2-3   项目平面布置图</w:t>
            </w:r>
          </w:p>
        </w:tc>
      </w:tr>
      <w:tr w14:paraId="6514E1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54" w:hRule="atLeast"/>
        </w:trPr>
        <w:tc>
          <w:tcPr>
            <w:tcW w:w="8756" w:type="dxa"/>
            <w:tcBorders>
              <w:top w:val="single" w:color="000000" w:sz="4" w:space="0"/>
            </w:tcBorders>
          </w:tcPr>
          <w:p w14:paraId="218C5396">
            <w:pPr>
              <w:ind w:firstLine="482"/>
              <w:jc w:val="both"/>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主要工艺流程：</w:t>
            </w:r>
          </w:p>
          <w:p w14:paraId="20843647">
            <w:pPr>
              <w:pStyle w:val="17"/>
              <w:tabs>
                <w:tab w:val="left" w:pos="240"/>
              </w:tabs>
              <w:spacing w:line="360" w:lineRule="auto"/>
              <w:ind w:left="240" w:leftChars="100"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施工期工艺流程</w:t>
            </w:r>
          </w:p>
          <w:p w14:paraId="7F93E3B6">
            <w:pPr>
              <w:pStyle w:val="17"/>
              <w:spacing w:line="360" w:lineRule="auto"/>
              <w:ind w:firstLine="480" w:firstLineChars="200"/>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环评内容：本项目施工工艺流程图见图4-1。</w:t>
            </w:r>
          </w:p>
          <w:p w14:paraId="002A0564">
            <w:pPr>
              <w:pStyle w:val="11"/>
              <w:ind w:left="140" w:leftChars="0" w:hanging="140" w:hangingChars="50"/>
              <w:jc w:val="center"/>
              <w:rPr>
                <w:rFonts w:hint="eastAsia"/>
                <w:color w:val="000000" w:themeColor="text1"/>
                <w:sz w:val="24"/>
                <w:szCs w:val="24"/>
                <w:lang w:eastAsia="zh-CN"/>
                <w14:textFill>
                  <w14:solidFill>
                    <w14:schemeClr w14:val="tx1"/>
                  </w14:solidFill>
                </w14:textFill>
              </w:rPr>
            </w:pPr>
            <w:r>
              <w:rPr>
                <w:color w:val="000000" w:themeColor="text1"/>
                <w14:textFill>
                  <w14:solidFill>
                    <w14:schemeClr w14:val="tx1"/>
                  </w14:solidFill>
                </w14:textFill>
              </w:rPr>
              <w:drawing>
                <wp:inline distT="0" distB="0" distL="114300" distR="114300">
                  <wp:extent cx="5353685" cy="2748280"/>
                  <wp:effectExtent l="0" t="0" r="18415" b="1397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4"/>
                          <a:srcRect b="1969"/>
                          <a:stretch>
                            <a:fillRect/>
                          </a:stretch>
                        </pic:blipFill>
                        <pic:spPr>
                          <a:xfrm>
                            <a:off x="0" y="0"/>
                            <a:ext cx="5353685" cy="2748280"/>
                          </a:xfrm>
                          <a:prstGeom prst="rect">
                            <a:avLst/>
                          </a:prstGeom>
                          <a:noFill/>
                          <a:ln>
                            <a:noFill/>
                          </a:ln>
                        </pic:spPr>
                      </pic:pic>
                    </a:graphicData>
                  </a:graphic>
                </wp:inline>
              </w:drawing>
            </w:r>
          </w:p>
          <w:p w14:paraId="24C9461F">
            <w:pPr>
              <w:pStyle w:val="17"/>
              <w:spacing w:line="360" w:lineRule="auto"/>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图4-1</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环评阶段</w:t>
            </w:r>
            <w:r>
              <w:rPr>
                <w:color w:val="000000" w:themeColor="text1"/>
                <w:sz w:val="24"/>
                <w:szCs w:val="24"/>
                <w14:textFill>
                  <w14:solidFill>
                    <w14:schemeClr w14:val="tx1"/>
                  </w14:solidFill>
                </w14:textFill>
              </w:rPr>
              <w:t>工艺流程图</w:t>
            </w:r>
          </w:p>
          <w:p w14:paraId="1B461125">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项目工艺流程简述：</w:t>
            </w:r>
          </w:p>
          <w:p w14:paraId="287DE735">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（1）场内道路施工</w:t>
            </w:r>
          </w:p>
          <w:p w14:paraId="0B36C421">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场内道路主要施工工序包括：路基土石方开挖、路基土石方填筑、路面铺设、排水沟设施与道路相关的其他作业。</w:t>
            </w:r>
          </w:p>
          <w:p w14:paraId="5716FF2B">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（2）光伏组件基础施工</w:t>
            </w:r>
          </w:p>
          <w:p w14:paraId="378ACE2E">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①做基础：根据地理位置确定好方位角后，结合光伏组件的支架形式做支架基础（譬如砼基座）。</w:t>
            </w:r>
          </w:p>
          <w:p w14:paraId="1BF6022C">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②安装支架：把支架安装固定到基础上，并调好方位角和仰角。</w:t>
            </w:r>
          </w:p>
          <w:p w14:paraId="22F3F2DA">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③安装光伏组件：把太阳能硅晶板按事先设计好的方案安装固定到支架。</w:t>
            </w:r>
          </w:p>
          <w:p w14:paraId="0CC64634">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④电气连接：首先做好支架、光伏组件的电气接地，然后按设计把各块太阳能硅晶板的接线连好。</w:t>
            </w:r>
          </w:p>
          <w:p w14:paraId="16C8C0CE">
            <w:pPr>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⑤电气调试：太阳能硅晶板的接线连好检查无误后，接上逆变器、电池组等设备，进行联合调试。</w:t>
            </w:r>
          </w:p>
          <w:p w14:paraId="2BFA52E9">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（3）储能系统</w:t>
            </w:r>
          </w:p>
          <w:p w14:paraId="589B2B49">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施工场地平整、基础施工、储能设备安装、调试运行。</w:t>
            </w:r>
          </w:p>
          <w:p w14:paraId="1E7B1628">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（4）施工总进度</w:t>
            </w:r>
          </w:p>
          <w:p w14:paraId="4B4D794C">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考虑到光伏发电组件及储能组件较多，其受场内道路、基础施工的影响较大，本项目具体施工原则如下：</w:t>
            </w:r>
          </w:p>
          <w:p w14:paraId="61FAFD06">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①先进行临时生活设施建设，后进行生产设施建设。</w:t>
            </w:r>
          </w:p>
          <w:p w14:paraId="384F3019">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②在工程前期准备阶段，进行施工生活设施、办公场所及生产设施建设，为工程建设人员提供较好的办公及生活条件，同时可以提高工作效率降低管理费用。</w:t>
            </w:r>
          </w:p>
          <w:p w14:paraId="476C1531">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③主体工程开工前，临建设施、进场道路、场内道路等其他辅助工程项目的施工可以同步进行，平行建设。保证主体工程按期开工，确保总体施工工期。</w:t>
            </w:r>
          </w:p>
          <w:p w14:paraId="499B2EB1">
            <w:pPr>
              <w:ind w:firstLine="482"/>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④由于工程建设期12个月，为尽早产生经济效益，根据光伏件分批到货、电站土建开工至全部设备安装调试完时间短的特点，配套工程应有合理的顺序并优先考虑施工，以便每一部分光伏组件安装完后即可调试，保证工程的连续性。因此应先进行光伏阵列基础施工。主体工程开工前，临建设施、进场道路、场内道路等其他辅助工程项目的施工可以同步进行，平行建设。</w:t>
            </w:r>
          </w:p>
          <w:p w14:paraId="5EB4D60F">
            <w:pPr>
              <w:ind w:firstLine="482"/>
              <w:jc w:val="both"/>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调查结果</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该工程施工期工艺流程与环评报告中一致。</w:t>
            </w:r>
          </w:p>
          <w:p w14:paraId="73E428F9">
            <w:pPr>
              <w:pStyle w:val="17"/>
              <w:tabs>
                <w:tab w:val="left" w:pos="240"/>
              </w:tabs>
              <w:spacing w:line="360" w:lineRule="auto"/>
              <w:ind w:left="240" w:leftChars="100" w:firstLine="240" w:firstLineChars="100"/>
              <w:jc w:val="both"/>
              <w:rPr>
                <w:color w:val="000000" w:themeColor="text1"/>
                <w:sz w:val="24"/>
                <w:szCs w:val="24"/>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运营期</w:t>
            </w:r>
            <w:r>
              <w:rPr>
                <w:rFonts w:hint="eastAsia"/>
                <w:color w:val="000000" w:themeColor="text1"/>
                <w:sz w:val="24"/>
                <w:szCs w:val="24"/>
                <w14:textFill>
                  <w14:solidFill>
                    <w14:schemeClr w14:val="tx1"/>
                  </w14:solidFill>
                </w14:textFill>
              </w:rPr>
              <w:t>工艺流程</w:t>
            </w:r>
          </w:p>
          <w:p w14:paraId="06D9F33E">
            <w:pPr>
              <w:pStyle w:val="17"/>
              <w:spacing w:line="360" w:lineRule="auto"/>
              <w:ind w:firstLine="480" w:firstLineChars="200"/>
              <w:jc w:val="both"/>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环评内容：本项目</w:t>
            </w:r>
            <w:r>
              <w:rPr>
                <w:rFonts w:hint="eastAsia"/>
                <w:color w:val="000000" w:themeColor="text1"/>
                <w:sz w:val="24"/>
                <w:szCs w:val="24"/>
                <w:lang w:val="en-US" w:eastAsia="zh-CN"/>
                <w14:textFill>
                  <w14:solidFill>
                    <w14:schemeClr w14:val="tx1"/>
                  </w14:solidFill>
                </w14:textFill>
              </w:rPr>
              <w:t>运营期</w:t>
            </w:r>
            <w:r>
              <w:rPr>
                <w:rFonts w:hint="eastAsia"/>
                <w:color w:val="000000" w:themeColor="text1"/>
                <w:sz w:val="24"/>
                <w:szCs w:val="24"/>
                <w14:textFill>
                  <w14:solidFill>
                    <w14:schemeClr w14:val="tx1"/>
                  </w14:solidFill>
                </w14:textFill>
              </w:rPr>
              <w:t>工艺流程图见图</w:t>
            </w:r>
            <w:r>
              <w:rPr>
                <w:rFonts w:hint="eastAsia"/>
                <w:color w:val="000000" w:themeColor="text1"/>
                <w:sz w:val="24"/>
                <w:szCs w:val="24"/>
                <w:lang w:val="en-US" w:eastAsia="zh-CN"/>
                <w14:textFill>
                  <w14:solidFill>
                    <w14:schemeClr w14:val="tx1"/>
                  </w14:solidFill>
                </w14:textFill>
              </w:rPr>
              <w:t>4-2</w:t>
            </w:r>
            <w:r>
              <w:rPr>
                <w:rFonts w:hint="eastAsia"/>
                <w:color w:val="000000" w:themeColor="text1"/>
                <w:sz w:val="24"/>
                <w:szCs w:val="24"/>
                <w14:textFill>
                  <w14:solidFill>
                    <w14:schemeClr w14:val="tx1"/>
                  </w14:solidFill>
                </w14:textFill>
              </w:rPr>
              <w:t>。</w:t>
            </w:r>
          </w:p>
          <w:p w14:paraId="2965982D">
            <w:pPr>
              <w:pStyle w:val="15"/>
              <w:ind w:left="72" w:leftChars="30" w:firstLine="166" w:firstLineChars="69"/>
              <w:rPr>
                <w:rFonts w:hint="eastAsia" w:eastAsia="黑体"/>
                <w:color w:val="000000" w:themeColor="text1"/>
                <w:lang w:eastAsia="zh-CN"/>
                <w14:textFill>
                  <w14:solidFill>
                    <w14:schemeClr w14:val="tx1"/>
                  </w14:solidFill>
                </w14:textFill>
              </w:rPr>
            </w:pPr>
            <w:r>
              <w:rPr>
                <w:rFonts w:hint="eastAsia" w:eastAsia="黑体"/>
                <w:color w:val="000000" w:themeColor="text1"/>
                <w:lang w:eastAsia="zh-CN"/>
                <w14:textFill>
                  <w14:solidFill>
                    <w14:schemeClr w14:val="tx1"/>
                  </w14:solidFill>
                </w14:textFill>
              </w:rPr>
              <w:drawing>
                <wp:inline distT="0" distB="0" distL="114300" distR="114300">
                  <wp:extent cx="5036820" cy="1063625"/>
                  <wp:effectExtent l="0" t="0" r="11430" b="3175"/>
                  <wp:docPr id="1" name="ECB019B1-382A-4266-B25C-5B523AA43C14-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CB019B1-382A-4266-B25C-5B523AA43C14-1" descr="wps"/>
                          <pic:cNvPicPr>
                            <a:picLocks noChangeAspect="1"/>
                          </pic:cNvPicPr>
                        </pic:nvPicPr>
                        <pic:blipFill>
                          <a:blip r:embed="rId25"/>
                          <a:srcRect l="2572" t="10089" r="2826" b="12315"/>
                          <a:stretch>
                            <a:fillRect/>
                          </a:stretch>
                        </pic:blipFill>
                        <pic:spPr>
                          <a:xfrm>
                            <a:off x="0" y="0"/>
                            <a:ext cx="5036820" cy="1063625"/>
                          </a:xfrm>
                          <a:prstGeom prst="rect">
                            <a:avLst/>
                          </a:prstGeom>
                        </pic:spPr>
                      </pic:pic>
                    </a:graphicData>
                  </a:graphic>
                </wp:inline>
              </w:drawing>
            </w:r>
          </w:p>
          <w:p w14:paraId="504A7A43">
            <w:pPr>
              <w:ind w:left="0" w:leftChars="0" w:firstLine="0" w:firstLineChars="0"/>
              <w:jc w:val="center"/>
              <w:rPr>
                <w:rFonts w:hint="eastAsia"/>
                <w:color w:val="000000" w:themeColor="text1"/>
                <w:lang w:eastAsia="zh-CN"/>
                <w14:textFill>
                  <w14:solidFill>
                    <w14:schemeClr w14:val="tx1"/>
                  </w14:solidFill>
                </w14:textFill>
              </w:rPr>
            </w:pPr>
            <w:r>
              <w:rPr>
                <w:rFonts w:hint="eastAsia"/>
                <w:color w:val="000000" w:themeColor="text1"/>
                <w:lang w:val="en-US" w:eastAsia="zh-CN"/>
                <w14:textFill>
                  <w14:solidFill>
                    <w14:schemeClr w14:val="tx1"/>
                  </w14:solidFill>
                </w14:textFill>
              </w:rPr>
              <w:t>图4-2  环评阶段</w:t>
            </w:r>
            <w:r>
              <w:rPr>
                <w:rFonts w:hint="eastAsia"/>
                <w:color w:val="000000" w:themeColor="text1"/>
                <w:lang w:eastAsia="zh-CN"/>
                <w14:textFill>
                  <w14:solidFill>
                    <w14:schemeClr w14:val="tx1"/>
                  </w14:solidFill>
                </w14:textFill>
              </w:rPr>
              <w:t>运营期生产工艺流程及产污位置图</w:t>
            </w:r>
          </w:p>
          <w:p w14:paraId="5F5BDE8B">
            <w:pPr>
              <w:keepNext w:val="0"/>
              <w:keepLines w:val="0"/>
              <w:pageBreakBefore w:val="0"/>
              <w:widowControl w:val="0"/>
              <w:kinsoku/>
              <w:wordWrap/>
              <w:overflowPunct/>
              <w:topLinePunct w:val="0"/>
              <w:autoSpaceDE w:val="0"/>
              <w:autoSpaceDN w:val="0"/>
              <w:bidi w:val="0"/>
              <w:adjustRightInd w:val="0"/>
              <w:snapToGrid w:val="0"/>
              <w:ind w:left="24" w:leftChars="10" w:right="24" w:rightChars="10"/>
              <w:jc w:val="both"/>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太阳能电池组件经日光照射后，形成低压直流电，电池组件并联后的直流电经电缆送至汇流箱，经汇流箱汇流后采用电缆引至逆变器，电流经逆变器将直流电转换为交流电输送至箱式变压器进行升压，经箱式变压器升压后的交流电接入储能集装箱。</w:t>
            </w:r>
          </w:p>
          <w:p w14:paraId="5EA73735">
            <w:pPr>
              <w:keepNext w:val="0"/>
              <w:keepLines w:val="0"/>
              <w:pageBreakBefore w:val="0"/>
              <w:widowControl w:val="0"/>
              <w:kinsoku/>
              <w:wordWrap/>
              <w:overflowPunct/>
              <w:topLinePunct w:val="0"/>
              <w:autoSpaceDE w:val="0"/>
              <w:autoSpaceDN w:val="0"/>
              <w:bidi w:val="0"/>
              <w:adjustRightInd w:val="0"/>
              <w:snapToGrid w:val="0"/>
              <w:ind w:left="24" w:leftChars="10" w:right="24" w:rightChars="1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①储能站主要工作原理</w:t>
            </w:r>
          </w:p>
          <w:p w14:paraId="1A566B72">
            <w:pPr>
              <w:keepNext w:val="0"/>
              <w:keepLines w:val="0"/>
              <w:pageBreakBefore w:val="0"/>
              <w:widowControl w:val="0"/>
              <w:kinsoku/>
              <w:wordWrap/>
              <w:overflowPunct/>
              <w:topLinePunct w:val="0"/>
              <w:autoSpaceDE w:val="0"/>
              <w:autoSpaceDN w:val="0"/>
              <w:bidi w:val="0"/>
              <w:adjustRightInd w:val="0"/>
              <w:snapToGrid w:val="0"/>
              <w:ind w:left="24" w:leftChars="10" w:right="24" w:rightChars="1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电池储能站由储能设备、电气设备、控制保护设备、通风空调设备、消防设备等组成。储能系统主要由储能电池系统（含储能电池和电池管理系统）、储能变流单元（PCS）、就地升压系统、汇集线路、防雷接地系统、供电系统、照明系统、二次保护系统、控制系统、监控系统、通信系统、消防系统等系统构成。</w:t>
            </w:r>
          </w:p>
          <w:p w14:paraId="0709BF5C">
            <w:pPr>
              <w:keepNext w:val="0"/>
              <w:keepLines w:val="0"/>
              <w:pageBreakBefore w:val="0"/>
              <w:widowControl w:val="0"/>
              <w:kinsoku/>
              <w:wordWrap/>
              <w:overflowPunct/>
              <w:topLinePunct w:val="0"/>
              <w:autoSpaceDE w:val="0"/>
              <w:autoSpaceDN w:val="0"/>
              <w:bidi w:val="0"/>
              <w:adjustRightInd w:val="0"/>
              <w:snapToGrid w:val="0"/>
              <w:ind w:left="24" w:leftChars="10" w:right="24" w:rightChars="1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工作原理：磷酸铁锂电池简称铁锂电池，采用橄榄石结构的LiFePO4作为电池的正极，由铝箔与电池正极连接，中间是聚合物的隔膜，它把正极与负极隔开，但锂离子可以通过而电子不能通过，右边是由石墨组成的电池负极，由铜箔与电池的负极连接。电池的上下端之间是电解质，电池由金属外壳密闭封装。电池在充电时，正极中的锂离子通过聚合物隔膜向负极迁移；在放电过程中，负极中的锂离子通过隔膜向正极迁移，锂离子电池就是因锂离子在充放电时来回迁移而命名的。</w:t>
            </w:r>
          </w:p>
          <w:p w14:paraId="03734B7C">
            <w:pPr>
              <w:keepNext w:val="0"/>
              <w:keepLines w:val="0"/>
              <w:pageBreakBefore w:val="0"/>
              <w:widowControl w:val="0"/>
              <w:kinsoku/>
              <w:wordWrap/>
              <w:overflowPunct/>
              <w:topLinePunct w:val="0"/>
              <w:autoSpaceDE w:val="0"/>
              <w:autoSpaceDN w:val="0"/>
              <w:bidi w:val="0"/>
              <w:adjustRightInd w:val="0"/>
              <w:snapToGrid w:val="0"/>
              <w:ind w:left="24" w:leftChars="10" w:right="24" w:rightChars="1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②储电过程：充电时，锂离子在电场力的作用下，从磷酸铁锂晶体表面，进入电解液，穿过隔膜，再迁移到石墨晶体的表面，然后嵌入石墨晶格中。锂离子从磷酸铁锂脱嵌后，磷酸铁锂转化成磷酸铁。</w:t>
            </w:r>
          </w:p>
          <w:p w14:paraId="4DED2D40">
            <w:pPr>
              <w:keepNext w:val="0"/>
              <w:keepLines w:val="0"/>
              <w:pageBreakBefore w:val="0"/>
              <w:widowControl w:val="0"/>
              <w:kinsoku/>
              <w:wordWrap/>
              <w:overflowPunct/>
              <w:topLinePunct w:val="0"/>
              <w:autoSpaceDE w:val="0"/>
              <w:autoSpaceDN w:val="0"/>
              <w:bidi w:val="0"/>
              <w:adjustRightInd w:val="0"/>
              <w:snapToGrid w:val="0"/>
              <w:ind w:left="24" w:leftChars="10" w:right="24" w:rightChars="1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③放电过程：放电时，锂离子从石墨晶体中脱嵌出来，穿过隔膜，迁移到磷酸铁锂晶体的表面，然后重新嵌入到磷酸铁锂的晶格内。</w:t>
            </w:r>
          </w:p>
          <w:p w14:paraId="67D4C655">
            <w:pPr>
              <w:keepNext w:val="0"/>
              <w:keepLines w:val="0"/>
              <w:pageBreakBefore w:val="0"/>
              <w:widowControl w:val="0"/>
              <w:kinsoku/>
              <w:wordWrap/>
              <w:overflowPunct/>
              <w:topLinePunct w:val="0"/>
              <w:autoSpaceDE w:val="0"/>
              <w:autoSpaceDN w:val="0"/>
              <w:bidi w:val="0"/>
              <w:ind w:left="24" w:leftChars="10" w:right="24" w:rightChars="10" w:firstLine="482"/>
              <w:jc w:val="both"/>
              <w:textAlignment w:val="auto"/>
              <w:rPr>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调查结果</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该工程</w:t>
            </w:r>
            <w:r>
              <w:rPr>
                <w:rFonts w:hint="eastAsia"/>
                <w:color w:val="000000" w:themeColor="text1"/>
                <w:sz w:val="24"/>
                <w:szCs w:val="24"/>
                <w:lang w:val="en-US" w:eastAsia="zh-CN"/>
                <w14:textFill>
                  <w14:solidFill>
                    <w14:schemeClr w14:val="tx1"/>
                  </w14:solidFill>
                </w14:textFill>
              </w:rPr>
              <w:t>运营期</w:t>
            </w:r>
            <w:r>
              <w:rPr>
                <w:color w:val="000000" w:themeColor="text1"/>
                <w:sz w:val="24"/>
                <w:szCs w:val="24"/>
                <w14:textFill>
                  <w14:solidFill>
                    <w14:schemeClr w14:val="tx1"/>
                  </w14:solidFill>
                </w14:textFill>
              </w:rPr>
              <w:t>工艺流程与环评报告中一致。</w:t>
            </w:r>
          </w:p>
          <w:p w14:paraId="4B221BCC">
            <w:pPr>
              <w:pStyle w:val="2"/>
              <w:rPr>
                <w:rFonts w:hint="eastAsia"/>
                <w:color w:val="FF0000"/>
              </w:rPr>
            </w:pPr>
          </w:p>
          <w:p w14:paraId="6DCDEF0E">
            <w:pPr>
              <w:pStyle w:val="2"/>
              <w:rPr>
                <w:rFonts w:hint="eastAsia"/>
              </w:rPr>
            </w:pPr>
          </w:p>
          <w:p w14:paraId="429CECE9">
            <w:pPr>
              <w:pStyle w:val="2"/>
              <w:rPr>
                <w:rFonts w:hint="eastAsia"/>
              </w:rPr>
            </w:pPr>
          </w:p>
          <w:p w14:paraId="7B5A9210">
            <w:pPr>
              <w:pStyle w:val="2"/>
              <w:rPr>
                <w:rFonts w:hint="eastAsia"/>
              </w:rPr>
            </w:pPr>
          </w:p>
          <w:p w14:paraId="450DF2E3">
            <w:pPr>
              <w:pStyle w:val="2"/>
              <w:rPr>
                <w:rFonts w:hint="eastAsia"/>
              </w:rPr>
            </w:pPr>
          </w:p>
          <w:p w14:paraId="590C5AD0">
            <w:pPr>
              <w:pStyle w:val="2"/>
              <w:rPr>
                <w:rFonts w:hint="eastAsia"/>
              </w:rPr>
            </w:pPr>
          </w:p>
          <w:p w14:paraId="402B856C">
            <w:pPr>
              <w:pStyle w:val="2"/>
              <w:rPr>
                <w:rFonts w:hint="eastAsia"/>
              </w:rPr>
            </w:pPr>
          </w:p>
          <w:p w14:paraId="0FFF5B13">
            <w:pPr>
              <w:pStyle w:val="2"/>
              <w:rPr>
                <w:rFonts w:hint="eastAsia"/>
              </w:rPr>
            </w:pPr>
          </w:p>
          <w:p w14:paraId="581A445D">
            <w:pPr>
              <w:pStyle w:val="2"/>
              <w:rPr>
                <w:rFonts w:hint="eastAsia"/>
              </w:rPr>
            </w:pPr>
          </w:p>
          <w:p w14:paraId="105DC5C0">
            <w:pPr>
              <w:pStyle w:val="2"/>
              <w:rPr>
                <w:rFonts w:hint="eastAsia"/>
              </w:rPr>
            </w:pPr>
          </w:p>
          <w:p w14:paraId="47EC07F5">
            <w:pPr>
              <w:pStyle w:val="2"/>
              <w:rPr>
                <w:rFonts w:hint="eastAsia"/>
              </w:rPr>
            </w:pPr>
          </w:p>
          <w:p w14:paraId="2FF3462E">
            <w:pPr>
              <w:pStyle w:val="2"/>
              <w:rPr>
                <w:rFonts w:hint="eastAsia"/>
              </w:rPr>
            </w:pPr>
          </w:p>
          <w:p w14:paraId="52A6EF81">
            <w:pPr>
              <w:pStyle w:val="2"/>
              <w:rPr>
                <w:rFonts w:hint="eastAsia"/>
              </w:rPr>
            </w:pPr>
          </w:p>
          <w:p w14:paraId="656FC174">
            <w:pPr>
              <w:pStyle w:val="2"/>
              <w:rPr>
                <w:rFonts w:hint="eastAsia"/>
              </w:rPr>
            </w:pPr>
          </w:p>
          <w:p w14:paraId="18DA337C">
            <w:pPr>
              <w:pStyle w:val="2"/>
              <w:rPr>
                <w:rFonts w:hint="eastAsia"/>
              </w:rPr>
            </w:pPr>
          </w:p>
          <w:p w14:paraId="7CAC0923">
            <w:pPr>
              <w:pStyle w:val="2"/>
              <w:rPr>
                <w:rFonts w:hint="eastAsia"/>
              </w:rPr>
            </w:pPr>
          </w:p>
          <w:p w14:paraId="02F1DB92">
            <w:pPr>
              <w:pStyle w:val="2"/>
              <w:rPr>
                <w:rFonts w:hint="eastAsia"/>
              </w:rPr>
            </w:pPr>
          </w:p>
          <w:p w14:paraId="2D1C0AD0">
            <w:pPr>
              <w:pStyle w:val="2"/>
              <w:rPr>
                <w:rFonts w:hint="eastAsia"/>
              </w:rPr>
            </w:pPr>
          </w:p>
          <w:p w14:paraId="25B509B0">
            <w:pPr>
              <w:pStyle w:val="2"/>
              <w:rPr>
                <w:rFonts w:hint="eastAsia"/>
              </w:rPr>
            </w:pPr>
          </w:p>
          <w:p w14:paraId="776BD5B2">
            <w:pPr>
              <w:pStyle w:val="2"/>
              <w:rPr>
                <w:rFonts w:hint="eastAsia"/>
              </w:rPr>
            </w:pPr>
          </w:p>
          <w:p w14:paraId="0B81D5B0">
            <w:r>
              <w:drawing>
                <wp:inline distT="0" distB="0" distL="114300" distR="114300">
                  <wp:extent cx="4808220" cy="6776720"/>
                  <wp:effectExtent l="0" t="0" r="11430" b="508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6"/>
                          <a:stretch>
                            <a:fillRect/>
                          </a:stretch>
                        </pic:blipFill>
                        <pic:spPr>
                          <a:xfrm>
                            <a:off x="0" y="0"/>
                            <a:ext cx="4808220" cy="6776720"/>
                          </a:xfrm>
                          <a:prstGeom prst="rect">
                            <a:avLst/>
                          </a:prstGeom>
                          <a:noFill/>
                          <a:ln>
                            <a:noFill/>
                          </a:ln>
                        </pic:spPr>
                      </pic:pic>
                    </a:graphicData>
                  </a:graphic>
                </wp:inline>
              </w:drawing>
            </w:r>
          </w:p>
          <w:p w14:paraId="0F0CD6B3">
            <w:pPr>
              <w:pStyle w:val="2"/>
              <w:ind w:left="0" w:leftChars="0" w:firstLine="0" w:firstLineChars="0"/>
              <w:jc w:val="center"/>
              <w:rPr>
                <w:rFonts w:hint="default" w:eastAsia="宋体"/>
                <w:lang w:val="en-US" w:eastAsia="zh-CN"/>
              </w:rPr>
            </w:pPr>
            <w:r>
              <w:rPr>
                <w:rFonts w:hint="eastAsia"/>
                <w:lang w:val="en-US" w:eastAsia="zh-CN"/>
              </w:rPr>
              <w:t>图4-3  储能电站构架图</w:t>
            </w:r>
          </w:p>
          <w:p w14:paraId="4F8160B9">
            <w:pPr>
              <w:pStyle w:val="2"/>
            </w:pPr>
          </w:p>
          <w:p w14:paraId="74D5DDED">
            <w:pPr>
              <w:pStyle w:val="2"/>
            </w:pPr>
          </w:p>
          <w:p w14:paraId="77EFAD03">
            <w:pPr>
              <w:pStyle w:val="2"/>
            </w:pPr>
          </w:p>
          <w:p w14:paraId="0D5D750F">
            <w:pPr>
              <w:pStyle w:val="2"/>
            </w:pPr>
          </w:p>
          <w:p w14:paraId="0378F4C0">
            <w:pPr>
              <w:pStyle w:val="15"/>
              <w:ind w:left="0" w:leftChars="0" w:firstLine="0" w:firstLineChars="0"/>
              <w:jc w:val="both"/>
              <w:rPr>
                <w:lang w:val="en-US"/>
              </w:rPr>
            </w:pPr>
          </w:p>
        </w:tc>
      </w:tr>
    </w:tbl>
    <w:p w14:paraId="17EAB82F">
      <w:pPr>
        <w:ind w:firstLine="480"/>
        <w:jc w:val="both"/>
        <w:sectPr>
          <w:pgSz w:w="11910" w:h="16840"/>
          <w:pgMar w:top="1440" w:right="1800" w:bottom="1440" w:left="1800" w:header="0" w:footer="685" w:gutter="0"/>
          <w:cols w:space="720" w:num="1"/>
        </w:sectPr>
      </w:pPr>
    </w:p>
    <w:tbl>
      <w:tblPr>
        <w:tblStyle w:val="12"/>
        <w:tblW w:w="867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674"/>
      </w:tblGrid>
      <w:tr w14:paraId="1C6FFC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0" w:hRule="atLeast"/>
          <w:jc w:val="center"/>
        </w:trPr>
        <w:tc>
          <w:tcPr>
            <w:tcW w:w="8674" w:type="dxa"/>
            <w:tcBorders>
              <w:bottom w:val="single" w:color="000000" w:sz="4" w:space="0"/>
            </w:tcBorders>
            <w:vAlign w:val="center"/>
          </w:tcPr>
          <w:p w14:paraId="2D6B0940">
            <w:pPr>
              <w:autoSpaceDE/>
              <w:autoSpaceDN/>
              <w:adjustRightInd w:val="0"/>
              <w:ind w:firstLine="482"/>
              <w:jc w:val="both"/>
              <w:rPr>
                <w:rFonts w:cs="Times New Roman"/>
                <w:b/>
                <w:bCs/>
                <w:color w:val="000000" w:themeColor="text1"/>
                <w:kern w:val="21"/>
                <w:szCs w:val="20"/>
                <w:lang w:val="en-US" w:bidi="ar-SA"/>
                <w14:textFill>
                  <w14:solidFill>
                    <w14:schemeClr w14:val="tx1"/>
                  </w14:solidFill>
                </w14:textFill>
              </w:rPr>
            </w:pPr>
            <w:r>
              <w:rPr>
                <w:rFonts w:cs="Times New Roman"/>
                <w:b/>
                <w:bCs/>
                <w:color w:val="000000" w:themeColor="text1"/>
                <w:kern w:val="21"/>
                <w:szCs w:val="20"/>
                <w:lang w:val="en-US" w:bidi="ar-SA"/>
                <w14:textFill>
                  <w14:solidFill>
                    <w14:schemeClr w14:val="tx1"/>
                  </w14:solidFill>
                </w14:textFill>
              </w:rPr>
              <w:t>实际工程量及工程建设</w:t>
            </w:r>
            <w:r>
              <w:rPr>
                <w:rFonts w:hint="eastAsia" w:cs="Times New Roman"/>
                <w:b/>
                <w:bCs/>
                <w:color w:val="000000" w:themeColor="text1"/>
                <w:kern w:val="21"/>
                <w:szCs w:val="20"/>
                <w:lang w:val="en-US" w:bidi="ar-SA"/>
                <w14:textFill>
                  <w14:solidFill>
                    <w14:schemeClr w14:val="tx1"/>
                  </w14:solidFill>
                </w14:textFill>
              </w:rPr>
              <w:t>变动</w:t>
            </w:r>
            <w:r>
              <w:rPr>
                <w:rFonts w:cs="Times New Roman"/>
                <w:b/>
                <w:bCs/>
                <w:color w:val="000000" w:themeColor="text1"/>
                <w:kern w:val="21"/>
                <w:szCs w:val="20"/>
                <w:lang w:val="en-US" w:bidi="ar-SA"/>
                <w14:textFill>
                  <w14:solidFill>
                    <w14:schemeClr w14:val="tx1"/>
                  </w14:solidFill>
                </w14:textFill>
              </w:rPr>
              <w:t>情况，说明工程</w:t>
            </w:r>
            <w:r>
              <w:rPr>
                <w:rFonts w:hint="eastAsia" w:cs="Times New Roman"/>
                <w:b/>
                <w:bCs/>
                <w:color w:val="000000" w:themeColor="text1"/>
                <w:kern w:val="21"/>
                <w:szCs w:val="20"/>
                <w:lang w:val="en-US" w:bidi="ar-SA"/>
                <w14:textFill>
                  <w14:solidFill>
                    <w14:schemeClr w14:val="tx1"/>
                  </w14:solidFill>
                </w14:textFill>
              </w:rPr>
              <w:t>变动</w:t>
            </w:r>
            <w:r>
              <w:rPr>
                <w:rFonts w:cs="Times New Roman"/>
                <w:b/>
                <w:bCs/>
                <w:color w:val="000000" w:themeColor="text1"/>
                <w:kern w:val="21"/>
                <w:szCs w:val="20"/>
                <w:lang w:val="en-US" w:bidi="ar-SA"/>
                <w14:textFill>
                  <w14:solidFill>
                    <w14:schemeClr w14:val="tx1"/>
                  </w14:solidFill>
                </w14:textFill>
              </w:rPr>
              <w:t>原因</w:t>
            </w:r>
            <w:r>
              <w:rPr>
                <w:rFonts w:hint="eastAsia" w:cs="Times New Roman"/>
                <w:b/>
                <w:bCs/>
                <w:color w:val="000000" w:themeColor="text1"/>
                <w:kern w:val="21"/>
                <w:szCs w:val="20"/>
                <w:lang w:val="en-US" w:bidi="ar-SA"/>
                <w14:textFill>
                  <w14:solidFill>
                    <w14:schemeClr w14:val="tx1"/>
                  </w14:solidFill>
                </w14:textFill>
              </w:rPr>
              <w:t>：</w:t>
            </w:r>
          </w:p>
          <w:p w14:paraId="1578DE19">
            <w:pPr>
              <w:ind w:firstLine="480"/>
              <w:jc w:val="both"/>
              <w:rPr>
                <w:rFonts w:hint="eastAsia"/>
                <w:bCs/>
                <w:color w:val="000000" w:themeColor="text1"/>
                <w:lang w:eastAsia="zh-CN"/>
                <w14:textFill>
                  <w14:solidFill>
                    <w14:schemeClr w14:val="tx1"/>
                  </w14:solidFill>
                </w14:textFill>
              </w:rPr>
            </w:pPr>
            <w:r>
              <w:rPr>
                <w:rFonts w:hint="eastAsia" w:ascii="Times New Roman" w:hAnsi="Times New Roman"/>
                <w:bCs/>
                <w:color w:val="000000" w:themeColor="text1"/>
                <w:lang w:eastAsia="zh-CN"/>
                <w14:textFill>
                  <w14:solidFill>
                    <w14:schemeClr w14:val="tx1"/>
                  </w14:solidFill>
                </w14:textFill>
              </w:rPr>
              <w:t>根据与</w:t>
            </w:r>
            <w:r>
              <w:rPr>
                <w:rFonts w:hint="eastAsia"/>
                <w:bCs/>
                <w:color w:val="000000" w:themeColor="text1"/>
                <w:lang w:val="en-US" w:eastAsia="zh-CN"/>
                <w14:textFill>
                  <w14:solidFill>
                    <w14:schemeClr w14:val="tx1"/>
                  </w14:solidFill>
                </w14:textFill>
              </w:rPr>
              <w:t>建设单位沟通</w:t>
            </w:r>
            <w:r>
              <w:rPr>
                <w:rFonts w:hint="eastAsia" w:ascii="Times New Roman" w:hAnsi="Times New Roman"/>
                <w:bCs/>
                <w:color w:val="000000" w:themeColor="text1"/>
                <w:lang w:eastAsia="zh-CN"/>
                <w14:textFill>
                  <w14:solidFill>
                    <w14:schemeClr w14:val="tx1"/>
                  </w14:solidFill>
                </w14:textFill>
              </w:rPr>
              <w:t>、沿线调查及施工资料</w:t>
            </w:r>
            <w:r>
              <w:rPr>
                <w:rFonts w:hint="eastAsia"/>
                <w:bCs/>
                <w:color w:val="000000" w:themeColor="text1"/>
                <w:lang w:eastAsia="zh-CN"/>
                <w14:textFill>
                  <w14:solidFill>
                    <w14:schemeClr w14:val="tx1"/>
                  </w14:solidFill>
                </w14:textFill>
              </w:rPr>
              <w:t>：</w:t>
            </w:r>
          </w:p>
          <w:p w14:paraId="145F82FE">
            <w:pPr>
              <w:pStyle w:val="2"/>
              <w:rPr>
                <w:rFonts w:hint="default"/>
                <w:color w:val="000000" w:themeColor="text1"/>
                <w:sz w:val="24"/>
                <w:szCs w:val="24"/>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项目实际建设时主体工程未发生变动，临时占地中办公、生活区域临时占地面积比环评设计减少了60m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专业仓库较环评增加了37m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材料加工厂较环评增加了24m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道路地坪等较环评减少了24m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临时占地</w:t>
            </w:r>
            <w:r>
              <w:rPr>
                <w:rFonts w:hint="eastAsia"/>
                <w:color w:val="000000" w:themeColor="text1"/>
                <w:lang w:val="en-US"/>
                <w14:textFill>
                  <w14:solidFill>
                    <w14:schemeClr w14:val="tx1"/>
                  </w14:solidFill>
                </w14:textFill>
              </w:rPr>
              <w:t>总</w:t>
            </w:r>
            <w:r>
              <w:rPr>
                <w:rFonts w:hint="eastAsia"/>
                <w:color w:val="000000" w:themeColor="text1"/>
                <w:lang w:val="en-US" w:eastAsia="zh-CN"/>
                <w14:textFill>
                  <w14:solidFill>
                    <w14:schemeClr w14:val="tx1"/>
                  </w14:solidFill>
                </w14:textFill>
              </w:rPr>
              <w:t>占地</w:t>
            </w:r>
            <w:r>
              <w:rPr>
                <w:rFonts w:hint="eastAsia"/>
                <w:color w:val="000000" w:themeColor="text1"/>
                <w:lang w:val="en-US"/>
                <w14:textFill>
                  <w14:solidFill>
                    <w14:schemeClr w14:val="tx1"/>
                  </w14:solidFill>
                </w14:textFill>
              </w:rPr>
              <w:t>面积</w:t>
            </w:r>
            <w:r>
              <w:rPr>
                <w:rFonts w:hint="eastAsia"/>
                <w:color w:val="000000" w:themeColor="text1"/>
                <w:lang w:val="en-US" w:eastAsia="zh-CN"/>
                <w14:textFill>
                  <w14:solidFill>
                    <w14:schemeClr w14:val="tx1"/>
                  </w14:solidFill>
                </w14:textFill>
              </w:rPr>
              <w:t>较环评设计减少了53m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w:t>
            </w:r>
          </w:p>
          <w:p w14:paraId="65DF3F67">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除以上变动内容外，其余工程内容均与环评阶段一致。上述变动不属于《建设项目重大变动清单》（环发[2015]52号），不存在重大变动。</w:t>
            </w:r>
          </w:p>
        </w:tc>
      </w:tr>
      <w:tr w14:paraId="7FDF92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0" w:hRule="atLeast"/>
          <w:jc w:val="center"/>
        </w:trPr>
        <w:tc>
          <w:tcPr>
            <w:tcW w:w="8674" w:type="dxa"/>
            <w:tcBorders>
              <w:top w:val="single" w:color="000000" w:sz="4" w:space="0"/>
              <w:bottom w:val="single" w:color="000000" w:sz="4" w:space="0"/>
            </w:tcBorders>
            <w:vAlign w:val="center"/>
          </w:tcPr>
          <w:p w14:paraId="46086ED6">
            <w:pPr>
              <w:ind w:firstLine="480"/>
              <w:jc w:val="both"/>
              <w:rPr>
                <w:color w:val="000000" w:themeColor="text1"/>
                <w:lang w:val="en-US"/>
                <w14:textFill>
                  <w14:solidFill>
                    <w14:schemeClr w14:val="tx1"/>
                  </w14:solidFill>
                </w14:textFill>
              </w:rPr>
            </w:pPr>
            <w:r>
              <w:rPr>
                <w:b/>
                <w:bCs/>
                <w:color w:val="000000" w:themeColor="text1"/>
                <w14:textFill>
                  <w14:solidFill>
                    <w14:schemeClr w14:val="tx1"/>
                  </w14:solidFill>
                </w14:textFill>
              </w:rPr>
              <w:t>生态保护工程和设施：</w:t>
            </w:r>
          </w:p>
          <w:p w14:paraId="69567BC7">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（1）工程占地影响防治措施</w:t>
            </w:r>
          </w:p>
          <w:p w14:paraId="5351030A">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临时占地对生态环境的影响主要为破坏区域内地表，但这种影响是短暂的，随着施工过程的结束，人为干扰的减少，区域生态环境有所恢复。为减少对生态环境的破坏，采取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以下防治措施：</w:t>
            </w:r>
          </w:p>
          <w:p w14:paraId="0851E902">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①施工结束后立即清理</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现场设备材料。</w:t>
            </w:r>
          </w:p>
          <w:p w14:paraId="1CB7A1D0">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②施工期内人员、营地等严格按设计集中在有限范围内，各施工机械和设备</w:t>
            </w:r>
            <w:r>
              <w:rPr>
                <w:rFonts w:hint="eastAsia"/>
                <w:color w:val="000000" w:themeColor="text1"/>
                <w:lang w:val="en-US" w:eastAsia="zh-CN"/>
                <w14:textFill>
                  <w14:solidFill>
                    <w14:schemeClr w14:val="tx1"/>
                  </w14:solidFill>
                </w14:textFill>
              </w:rPr>
              <w:t>没有</w:t>
            </w:r>
            <w:r>
              <w:rPr>
                <w:rFonts w:hint="eastAsia"/>
                <w:color w:val="000000" w:themeColor="text1"/>
                <w14:textFill>
                  <w14:solidFill>
                    <w14:schemeClr w14:val="tx1"/>
                  </w14:solidFill>
                </w14:textFill>
              </w:rPr>
              <w:t>随意堆放，</w:t>
            </w:r>
            <w:r>
              <w:rPr>
                <w:rFonts w:hint="eastAsia"/>
                <w:color w:val="000000" w:themeColor="text1"/>
                <w:lang w:val="en-US" w:eastAsia="zh-CN"/>
                <w14:textFill>
                  <w14:solidFill>
                    <w14:schemeClr w14:val="tx1"/>
                  </w14:solidFill>
                </w14:textFill>
              </w:rPr>
              <w:t>没有</w:t>
            </w:r>
            <w:r>
              <w:rPr>
                <w:rFonts w:hint="eastAsia"/>
                <w:color w:val="000000" w:themeColor="text1"/>
                <w14:textFill>
                  <w14:solidFill>
                    <w14:schemeClr w14:val="tx1"/>
                  </w14:solidFill>
                </w14:textFill>
              </w:rPr>
              <w:t>随意扩大挠动范围，对植被和土体结构的影响降至最低程度。</w:t>
            </w:r>
          </w:p>
          <w:p w14:paraId="23C84431">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③施工便道少</w:t>
            </w:r>
            <w:r>
              <w:rPr>
                <w:rFonts w:hint="eastAsia"/>
                <w:color w:val="000000" w:themeColor="text1"/>
                <w:lang w:val="en-US" w:eastAsia="zh-CN"/>
                <w14:textFill>
                  <w14:solidFill>
                    <w14:schemeClr w14:val="tx1"/>
                  </w14:solidFill>
                </w14:textFill>
              </w:rPr>
              <w:t>按</w:t>
            </w:r>
            <w:r>
              <w:rPr>
                <w:rFonts w:hint="eastAsia"/>
                <w:color w:val="000000" w:themeColor="text1"/>
                <w14:textFill>
                  <w14:solidFill>
                    <w14:schemeClr w14:val="tx1"/>
                  </w14:solidFill>
                </w14:textFill>
              </w:rPr>
              <w:t>固定路线</w:t>
            </w:r>
            <w:r>
              <w:rPr>
                <w:rFonts w:hint="eastAsia"/>
                <w:color w:val="000000" w:themeColor="text1"/>
                <w:lang w:val="en-US" w:eastAsia="zh-CN"/>
                <w14:textFill>
                  <w14:solidFill>
                    <w14:schemeClr w14:val="tx1"/>
                  </w14:solidFill>
                </w14:textFill>
              </w:rPr>
              <w:t>行驶</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没有</w:t>
            </w:r>
            <w:r>
              <w:rPr>
                <w:rFonts w:hint="eastAsia"/>
                <w:color w:val="000000" w:themeColor="text1"/>
                <w14:textFill>
                  <w14:solidFill>
                    <w14:schemeClr w14:val="tx1"/>
                  </w14:solidFill>
                </w14:textFill>
              </w:rPr>
              <w:t>随意向两边拓展，或单另开道。</w:t>
            </w:r>
          </w:p>
          <w:p w14:paraId="2FDFBAEF">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④施工期间，划定</w:t>
            </w:r>
            <w:r>
              <w:rPr>
                <w:rFonts w:hint="eastAsia"/>
                <w:color w:val="000000" w:themeColor="text1"/>
                <w:lang w:val="en-US" w:eastAsia="zh-CN"/>
                <w14:textFill>
                  <w14:solidFill>
                    <w14:schemeClr w14:val="tx1"/>
                  </w14:solidFill>
                </w14:textFill>
              </w:rPr>
              <w:t>了</w:t>
            </w:r>
            <w:r>
              <w:rPr>
                <w:rFonts w:hint="eastAsia"/>
                <w:color w:val="000000" w:themeColor="text1"/>
                <w14:textFill>
                  <w14:solidFill>
                    <w14:schemeClr w14:val="tx1"/>
                  </w14:solidFill>
                </w14:textFill>
              </w:rPr>
              <w:t>施工区域界限，严格控制</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施工人员和施工机械的活动范围；努力压缩</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开挖土方量，做到</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挖填平衡和减少弃土量</w:t>
            </w:r>
            <w:r>
              <w:rPr>
                <w:rFonts w:hint="eastAsia"/>
                <w:color w:val="000000" w:themeColor="text1"/>
                <w:lang w:eastAsia="zh-CN"/>
                <w14:textFill>
                  <w14:solidFill>
                    <w14:schemeClr w14:val="tx1"/>
                  </w14:solidFill>
                </w14:textFill>
              </w:rPr>
              <w:t>。</w:t>
            </w:r>
          </w:p>
          <w:p w14:paraId="0DF28B10">
            <w:pPr>
              <w:bidi w:val="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⑤施工结束后拆除</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所有的临时建筑，临时占地立即进行</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平整、压实恢复。</w:t>
            </w:r>
          </w:p>
          <w:p w14:paraId="5B264201">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⑥所有道路按照永临结合道路一次建成，减少</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临时道路对原始地貌的破坏。</w:t>
            </w:r>
          </w:p>
          <w:p w14:paraId="6683674E">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（2）光伏发电组件基础、箱变基础、电缆沟开挖对生态环境的影响防治措施</w:t>
            </w:r>
          </w:p>
          <w:p w14:paraId="3A8166E6">
            <w:pPr>
              <w:bidi w:val="0"/>
              <w:ind w:left="0" w:leftChars="0" w:firstLine="480" w:firstLineChars="200"/>
              <w:rPr>
                <w:rFonts w:hint="default"/>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本项目工程占地主要包括光伏发电组件基础、箱变基础、逆变器基础、储能设备等基础施工，施工方式主要为基础开挖、混凝土基座浇筑、土石方回填及夯实。生态环境保护措施为工程措施、临时措施</w:t>
            </w:r>
            <w:r>
              <w:rPr>
                <w:rFonts w:hint="eastAsia"/>
                <w:color w:val="000000" w:themeColor="text1"/>
                <w:lang w:val="en-US" w:eastAsia="zh-CN"/>
                <w14:textFill>
                  <w14:solidFill>
                    <w14:schemeClr w14:val="tx1"/>
                  </w14:solidFill>
                </w14:textFill>
              </w:rPr>
              <w:t>和管理措施。</w:t>
            </w:r>
          </w:p>
          <w:p w14:paraId="5ADFC5A9">
            <w:pPr>
              <w:bidi w:val="0"/>
              <w:ind w:left="0" w:leftChars="0"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工程措施：在施工总布置上，光伏发电组件基础、箱变基础、逆变器基础等基础开挖实施基础回填后，表面采用</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砾石压盖，防治风蚀。严格按照施工要求避免</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超范围大开挖，减少</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土石方的开挖，同时采取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覆盖、遮挡等防护措施。</w:t>
            </w:r>
          </w:p>
          <w:p w14:paraId="0EF36C67">
            <w:pPr>
              <w:bidi w:val="0"/>
              <w:ind w:left="0" w:leftChars="0"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临时措施：临时堆土</w:t>
            </w:r>
            <w:r>
              <w:rPr>
                <w:rFonts w:hint="eastAsia"/>
                <w:color w:val="000000" w:themeColor="text1"/>
                <w:lang w:val="en-US" w:eastAsia="zh-CN"/>
                <w14:textFill>
                  <w14:solidFill>
                    <w14:schemeClr w14:val="tx1"/>
                  </w14:solidFill>
                </w14:textFill>
              </w:rPr>
              <w:t>堆放在了</w:t>
            </w:r>
            <w:r>
              <w:rPr>
                <w:rFonts w:hint="eastAsia"/>
                <w:color w:val="000000" w:themeColor="text1"/>
                <w14:textFill>
                  <w14:solidFill>
                    <w14:schemeClr w14:val="tx1"/>
                  </w14:solidFill>
                </w14:textFill>
              </w:rPr>
              <w:t>自然稳定边坡</w:t>
            </w:r>
            <w:r>
              <w:rPr>
                <w:rFonts w:hint="eastAsia"/>
                <w:color w:val="000000" w:themeColor="text1"/>
                <w:lang w:val="en-US" w:eastAsia="zh-CN"/>
                <w14:textFill>
                  <w14:solidFill>
                    <w14:schemeClr w14:val="tx1"/>
                  </w14:solidFill>
                </w14:textFill>
              </w:rPr>
              <w:t>旁</w:t>
            </w:r>
            <w:r>
              <w:rPr>
                <w:rFonts w:hint="eastAsia"/>
                <w:color w:val="000000" w:themeColor="text1"/>
                <w14:textFill>
                  <w14:solidFill>
                    <w14:schemeClr w14:val="tx1"/>
                  </w14:solidFill>
                </w14:textFill>
              </w:rPr>
              <w:t>，在堆土场表面外围采取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防尘布遮盖，表面压盖砾石块的临时防护措施。</w:t>
            </w:r>
          </w:p>
          <w:p w14:paraId="5AB67017">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管理措施：</w:t>
            </w:r>
          </w:p>
          <w:p w14:paraId="07AC780D">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①对基础开挖形成的临时堆土</w:t>
            </w:r>
            <w:r>
              <w:rPr>
                <w:rFonts w:hint="eastAsia"/>
                <w:color w:val="000000" w:themeColor="text1"/>
                <w:lang w:val="en-US" w:eastAsia="zh-CN"/>
                <w14:textFill>
                  <w14:solidFill>
                    <w14:schemeClr w14:val="tx1"/>
                  </w14:solidFill>
                </w14:textFill>
              </w:rPr>
              <w:t>采取了</w:t>
            </w:r>
            <w:r>
              <w:rPr>
                <w:rFonts w:hint="eastAsia"/>
                <w:color w:val="000000" w:themeColor="text1"/>
                <w14:textFill>
                  <w14:solidFill>
                    <w14:schemeClr w14:val="tx1"/>
                  </w14:solidFill>
                </w14:textFill>
              </w:rPr>
              <w:t>稳定边坡堆放，临时土方堆放高度控制</w:t>
            </w:r>
            <w:r>
              <w:rPr>
                <w:rFonts w:hint="eastAsia"/>
                <w:color w:val="000000" w:themeColor="text1"/>
                <w:lang w:val="en-US" w:eastAsia="zh-CN"/>
                <w14:textFill>
                  <w14:solidFill>
                    <w14:schemeClr w14:val="tx1"/>
                  </w14:solidFill>
                </w14:textFill>
              </w:rPr>
              <w:t>在了</w:t>
            </w:r>
            <w:r>
              <w:rPr>
                <w:rFonts w:hint="eastAsia"/>
                <w:color w:val="000000" w:themeColor="text1"/>
                <w14:textFill>
                  <w14:solidFill>
                    <w14:schemeClr w14:val="tx1"/>
                  </w14:solidFill>
                </w14:textFill>
              </w:rPr>
              <w:t>1.5m以下。</w:t>
            </w:r>
          </w:p>
          <w:p w14:paraId="0AF6C9B8">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②堆渣形成后</w:t>
            </w:r>
            <w:r>
              <w:rPr>
                <w:rFonts w:hint="eastAsia"/>
                <w:color w:val="000000" w:themeColor="text1"/>
                <w:lang w:val="en-US" w:eastAsia="zh-CN"/>
                <w14:textFill>
                  <w14:solidFill>
                    <w14:schemeClr w14:val="tx1"/>
                  </w14:solidFill>
                </w14:textFill>
              </w:rPr>
              <w:t>进行了</w:t>
            </w:r>
            <w:r>
              <w:rPr>
                <w:rFonts w:hint="eastAsia"/>
                <w:color w:val="000000" w:themeColor="text1"/>
                <w14:textFill>
                  <w14:solidFill>
                    <w14:schemeClr w14:val="tx1"/>
                  </w14:solidFill>
                </w14:textFill>
              </w:rPr>
              <w:t>及时平整，并将表面拍实压实。</w:t>
            </w:r>
          </w:p>
          <w:p w14:paraId="52BEF679">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③施工组织设计严密，安排好</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开挖与基础回填的连接施工工序，减少</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从开挖到回填的堆放时间。</w:t>
            </w:r>
          </w:p>
          <w:p w14:paraId="26C27AD5">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④基础施工完成后</w:t>
            </w:r>
            <w:r>
              <w:rPr>
                <w:rFonts w:hint="eastAsia"/>
                <w:color w:val="000000" w:themeColor="text1"/>
                <w:lang w:val="en-US" w:eastAsia="zh-CN"/>
                <w14:textFill>
                  <w14:solidFill>
                    <w14:schemeClr w14:val="tx1"/>
                  </w14:solidFill>
                </w14:textFill>
              </w:rPr>
              <w:t>进行了</w:t>
            </w:r>
            <w:r>
              <w:rPr>
                <w:rFonts w:hint="eastAsia"/>
                <w:color w:val="000000" w:themeColor="text1"/>
                <w14:textFill>
                  <w14:solidFill>
                    <w14:schemeClr w14:val="tx1"/>
                  </w14:solidFill>
                </w14:textFill>
              </w:rPr>
              <w:t>及时回填，</w:t>
            </w:r>
            <w:r>
              <w:rPr>
                <w:rFonts w:hint="eastAsia"/>
                <w:color w:val="000000" w:themeColor="text1"/>
                <w:lang w:val="en-US" w:eastAsia="zh-CN"/>
                <w14:textFill>
                  <w14:solidFill>
                    <w14:schemeClr w14:val="tx1"/>
                  </w14:solidFill>
                </w14:textFill>
              </w:rPr>
              <w:t>并</w:t>
            </w:r>
            <w:r>
              <w:rPr>
                <w:rFonts w:hint="eastAsia"/>
                <w:color w:val="000000" w:themeColor="text1"/>
                <w14:textFill>
                  <w14:solidFill>
                    <w14:schemeClr w14:val="tx1"/>
                  </w14:solidFill>
                </w14:textFill>
              </w:rPr>
              <w:t>立即进行</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平整、压实恢复。</w:t>
            </w:r>
          </w:p>
          <w:p w14:paraId="2BC433EB">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（3）道路施工对生态环境影响防治措施</w:t>
            </w:r>
          </w:p>
          <w:p w14:paraId="09066965">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本项目光伏项目进场路采用</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6.0m路面宽硬化道路，对接园区规划道路；子阵发电区内布置</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4.0m宽纵向及环形砂砾石道路。施工方式为调用其他施工单元的土料进行道路的推平碾压。生态环境保护措施为：</w:t>
            </w:r>
          </w:p>
          <w:p w14:paraId="4C387063">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①运输车辆</w:t>
            </w:r>
            <w:r>
              <w:rPr>
                <w:rFonts w:hint="eastAsia"/>
                <w:color w:val="000000" w:themeColor="text1"/>
                <w:lang w:val="en-US" w:eastAsia="zh-CN"/>
                <w14:textFill>
                  <w14:solidFill>
                    <w14:schemeClr w14:val="tx1"/>
                  </w14:solidFill>
                </w14:textFill>
              </w:rPr>
              <w:t>采取了</w:t>
            </w:r>
            <w:r>
              <w:rPr>
                <w:rFonts w:hint="eastAsia"/>
                <w:color w:val="000000" w:themeColor="text1"/>
                <w14:textFill>
                  <w14:solidFill>
                    <w14:schemeClr w14:val="tx1"/>
                  </w14:solidFill>
                </w14:textFill>
              </w:rPr>
              <w:t>减速慢行，</w:t>
            </w:r>
            <w:r>
              <w:rPr>
                <w:rFonts w:hint="eastAsia"/>
                <w:color w:val="000000" w:themeColor="text1"/>
                <w:lang w:val="en-US" w:eastAsia="zh-CN"/>
                <w14:textFill>
                  <w14:solidFill>
                    <w14:schemeClr w14:val="tx1"/>
                  </w14:solidFill>
                </w14:textFill>
              </w:rPr>
              <w:t>道路定期洒水的措施</w:t>
            </w:r>
            <w:r>
              <w:rPr>
                <w:rFonts w:hint="eastAsia"/>
                <w:color w:val="000000" w:themeColor="text1"/>
                <w14:textFill>
                  <w14:solidFill>
                    <w14:schemeClr w14:val="tx1"/>
                  </w14:solidFill>
                </w14:textFill>
              </w:rPr>
              <w:t>。</w:t>
            </w:r>
          </w:p>
          <w:p w14:paraId="15F0AE37">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②按照规定的路面宽度进行</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砾石压盖。</w:t>
            </w:r>
          </w:p>
          <w:p w14:paraId="29C8FC74">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③严格控制所有车辆采用“一”字型作业法，缩小</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扰动范围。</w:t>
            </w:r>
          </w:p>
          <w:p w14:paraId="2270117A">
            <w:pPr>
              <w:bidi w:val="0"/>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④施工期结束后将施工期修筑的道路改为</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场区道路，施工便道为进场道路</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根据永临结合的设计方案，将临时施工便道升级为</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永久性检修道路，不进行额外占地。临时道路表面的砂石用于</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永久道路的加固</w:t>
            </w:r>
            <w:r>
              <w:rPr>
                <w:rFonts w:hint="eastAsia"/>
                <w:color w:val="000000" w:themeColor="text1"/>
                <w:lang w:eastAsia="zh-CN"/>
                <w14:textFill>
                  <w14:solidFill>
                    <w14:schemeClr w14:val="tx1"/>
                  </w14:solidFill>
                </w14:textFill>
              </w:rPr>
              <w:t>。</w:t>
            </w:r>
          </w:p>
          <w:p w14:paraId="2BF5618F">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（4）施工营地对生态环境影响防治措施</w:t>
            </w:r>
          </w:p>
          <w:p w14:paraId="0018CC48">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本项目施工营地属于临时占地，对生态环境的影响主要为区域内地表扰动破坏</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为减少对生态环境的破坏，采取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以下防治措施：</w:t>
            </w:r>
          </w:p>
          <w:p w14:paraId="4E21B7FF">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①施工结束后，立即拆除</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施工营地</w:t>
            </w:r>
            <w:r>
              <w:rPr>
                <w:rFonts w:hint="eastAsia"/>
                <w:color w:val="000000" w:themeColor="text1"/>
                <w:lang w:val="en-US" w:eastAsia="zh-CN"/>
                <w14:textFill>
                  <w14:solidFill>
                    <w14:schemeClr w14:val="tx1"/>
                  </w14:solidFill>
                </w14:textFill>
              </w:rPr>
              <w:t>内的基础设备</w:t>
            </w:r>
            <w:r>
              <w:rPr>
                <w:rFonts w:hint="eastAsia"/>
                <w:color w:val="000000" w:themeColor="text1"/>
                <w14:textFill>
                  <w14:solidFill>
                    <w14:schemeClr w14:val="tx1"/>
                  </w14:solidFill>
                </w14:textFill>
              </w:rPr>
              <w:t>，并清理</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现场设备材料。</w:t>
            </w:r>
          </w:p>
          <w:p w14:paraId="3472E441">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②对砂石等建筑材料采取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防尘布遮盖的方式防尘。</w:t>
            </w:r>
          </w:p>
          <w:p w14:paraId="4FB33E8A">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③对施工场地采取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定期洒水防护措施。</w:t>
            </w:r>
          </w:p>
          <w:p w14:paraId="2D4CF21F">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④严格</w:t>
            </w:r>
            <w:r>
              <w:rPr>
                <w:rFonts w:hint="eastAsia"/>
                <w:color w:val="000000" w:themeColor="text1"/>
                <w:lang w:val="en-US" w:eastAsia="zh-CN"/>
                <w14:textFill>
                  <w14:solidFill>
                    <w14:schemeClr w14:val="tx1"/>
                  </w14:solidFill>
                </w14:textFill>
              </w:rPr>
              <w:t>控制了</w:t>
            </w:r>
            <w:r>
              <w:rPr>
                <w:rFonts w:hint="eastAsia"/>
                <w:color w:val="000000" w:themeColor="text1"/>
                <w14:textFill>
                  <w14:solidFill>
                    <w14:schemeClr w14:val="tx1"/>
                  </w14:solidFill>
                </w14:textFill>
              </w:rPr>
              <w:t>人员和车辆的活动范围。</w:t>
            </w:r>
          </w:p>
          <w:p w14:paraId="43ED475E">
            <w:pPr>
              <w:bidi w:val="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⑤工程施工时，对施工场区进</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行表土剥离并集中堆放，对占地范围内的表土进行剥离后，依据工程场地布置原则，将其集中堆放在就近的表土堆存场并</w:t>
            </w:r>
            <w:r>
              <w:rPr>
                <w:rFonts w:hint="eastAsia"/>
                <w:color w:val="000000" w:themeColor="text1"/>
                <w:lang w:val="en-US" w:eastAsia="zh-CN"/>
                <w14:textFill>
                  <w14:solidFill>
                    <w14:schemeClr w14:val="tx1"/>
                  </w14:solidFill>
                </w14:textFill>
              </w:rPr>
              <w:t>用防尘网进行了遮盖</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后期用作了</w:t>
            </w:r>
            <w:r>
              <w:rPr>
                <w:rFonts w:hint="eastAsia"/>
                <w:color w:val="000000" w:themeColor="text1"/>
                <w14:textFill>
                  <w14:solidFill>
                    <w14:schemeClr w14:val="tx1"/>
                  </w14:solidFill>
                </w14:textFill>
              </w:rPr>
              <w:t>绿化用土。</w:t>
            </w:r>
          </w:p>
          <w:p w14:paraId="129DCB04">
            <w:pPr>
              <w:pStyle w:val="2"/>
              <w:rPr>
                <w:color w:val="000000" w:themeColor="text1"/>
                <w14:textFill>
                  <w14:solidFill>
                    <w14:schemeClr w14:val="tx1"/>
                  </w14:solidFill>
                </w14:textFill>
              </w:rPr>
            </w:pPr>
          </w:p>
        </w:tc>
      </w:tr>
      <w:tr w14:paraId="662691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0" w:hRule="atLeast"/>
          <w:jc w:val="center"/>
        </w:trPr>
        <w:tc>
          <w:tcPr>
            <w:tcW w:w="8674" w:type="dxa"/>
            <w:tcBorders>
              <w:top w:val="single" w:color="000000" w:sz="4" w:space="0"/>
              <w:bottom w:val="single" w:color="000000" w:sz="4" w:space="0"/>
            </w:tcBorders>
            <w:vAlign w:val="center"/>
          </w:tcPr>
          <w:p w14:paraId="52F34717">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2" w:firstLineChars="200"/>
              <w:jc w:val="both"/>
              <w:textAlignment w:val="auto"/>
              <w:rPr>
                <w:b/>
                <w:bCs/>
                <w:color w:val="000000" w:themeColor="text1"/>
                <w14:textFill>
                  <w14:solidFill>
                    <w14:schemeClr w14:val="tx1"/>
                  </w14:solidFill>
                </w14:textFill>
              </w:rPr>
            </w:pPr>
            <w:r>
              <w:rPr>
                <w:b/>
                <w:bCs/>
                <w:color w:val="000000" w:themeColor="text1"/>
                <w14:textFill>
                  <w14:solidFill>
                    <w14:schemeClr w14:val="tx1"/>
                  </w14:solidFill>
                </w14:textFill>
              </w:rPr>
              <w:t>污染防治和处置设施：</w:t>
            </w:r>
          </w:p>
          <w:p w14:paraId="3ACF070F">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0" w:firstLineChars="200"/>
              <w:jc w:val="both"/>
              <w:textAlignment w:val="auto"/>
              <w:rPr>
                <w:color w:val="000000" w:themeColor="text1"/>
                <w:lang w:val="en-US"/>
                <w14:textFill>
                  <w14:solidFill>
                    <w14:schemeClr w14:val="tx1"/>
                  </w14:solidFill>
                </w14:textFill>
              </w:rPr>
            </w:pPr>
            <w:r>
              <w:rPr>
                <w:color w:val="000000" w:themeColor="text1"/>
                <w:lang w:val="en-US"/>
                <w14:textFill>
                  <w14:solidFill>
                    <w14:schemeClr w14:val="tx1"/>
                  </w14:solidFill>
                </w14:textFill>
              </w:rPr>
              <w:t>一、施工期</w:t>
            </w:r>
          </w:p>
          <w:p w14:paraId="46F10EF2">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0" w:firstLineChars="200"/>
              <w:jc w:val="both"/>
              <w:textAlignment w:val="auto"/>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1.</w:t>
            </w:r>
            <w:r>
              <w:rPr>
                <w:color w:val="000000" w:themeColor="text1"/>
                <w:lang w:val="en-US"/>
                <w14:textFill>
                  <w14:solidFill>
                    <w14:schemeClr w14:val="tx1"/>
                  </w14:solidFill>
                </w14:textFill>
              </w:rPr>
              <w:t>水环境</w:t>
            </w:r>
          </w:p>
          <w:p w14:paraId="23E8E570">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0" w:firstLineChars="200"/>
              <w:jc w:val="both"/>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本项目施工期</w:t>
            </w:r>
            <w:r>
              <w:rPr>
                <w:rFonts w:hint="eastAsia"/>
                <w:color w:val="000000" w:themeColor="text1"/>
                <w:lang w:val="en-US" w:eastAsia="zh-CN"/>
                <w14:textFill>
                  <w14:solidFill>
                    <w14:schemeClr w14:val="tx1"/>
                  </w14:solidFill>
                </w14:textFill>
              </w:rPr>
              <w:t>废水</w:t>
            </w:r>
            <w:r>
              <w:rPr>
                <w:rFonts w:hint="default"/>
                <w:color w:val="000000" w:themeColor="text1"/>
                <w14:textFill>
                  <w14:solidFill>
                    <w14:schemeClr w14:val="tx1"/>
                  </w14:solidFill>
                </w14:textFill>
              </w:rPr>
              <w:t>主要为施工人员生活污水和施工废水。施工期废水采取</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以下措施：</w:t>
            </w:r>
          </w:p>
          <w:p w14:paraId="6090D67A">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0" w:firstLineChars="200"/>
              <w:jc w:val="both"/>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①生活污水中的施工人员洗漱废水、粪便及上厕废水经施工营地新建</w:t>
            </w:r>
            <w:r>
              <w:rPr>
                <w:rFonts w:hint="eastAsia"/>
                <w:color w:val="000000" w:themeColor="text1"/>
                <w:lang w:val="en-US" w:eastAsia="zh-CN"/>
                <w14:textFill>
                  <w14:solidFill>
                    <w14:schemeClr w14:val="tx1"/>
                  </w14:solidFill>
                </w14:textFill>
              </w:rPr>
              <w:t>德</w:t>
            </w:r>
            <w:r>
              <w:rPr>
                <w:rFonts w:hint="default"/>
                <w:color w:val="000000" w:themeColor="text1"/>
                <w14:textFill>
                  <w14:solidFill>
                    <w14:schemeClr w14:val="tx1"/>
                  </w14:solidFill>
                </w14:textFill>
              </w:rPr>
              <w:t>防渗旱厕进行</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收集处理，施工结束后</w:t>
            </w:r>
            <w:r>
              <w:rPr>
                <w:rFonts w:hint="eastAsia"/>
                <w:color w:val="000000" w:themeColor="text1"/>
                <w:lang w:val="en-US" w:eastAsia="zh-CN"/>
                <w14:textFill>
                  <w14:solidFill>
                    <w14:schemeClr w14:val="tx1"/>
                  </w14:solidFill>
                </w14:textFill>
              </w:rPr>
              <w:t>对</w:t>
            </w:r>
            <w:r>
              <w:rPr>
                <w:rFonts w:hint="default"/>
                <w:color w:val="000000" w:themeColor="text1"/>
                <w14:textFill>
                  <w14:solidFill>
                    <w14:schemeClr w14:val="tx1"/>
                  </w14:solidFill>
                </w14:textFill>
              </w:rPr>
              <w:t>旱厕</w:t>
            </w:r>
            <w:r>
              <w:rPr>
                <w:rFonts w:hint="eastAsia"/>
                <w:color w:val="000000" w:themeColor="text1"/>
                <w:lang w:val="en-US" w:eastAsia="zh-CN"/>
                <w14:textFill>
                  <w14:solidFill>
                    <w14:schemeClr w14:val="tx1"/>
                  </w14:solidFill>
                </w14:textFill>
              </w:rPr>
              <w:t>进行了</w:t>
            </w:r>
            <w:r>
              <w:rPr>
                <w:rFonts w:hint="default"/>
                <w:color w:val="000000" w:themeColor="text1"/>
                <w14:textFill>
                  <w14:solidFill>
                    <w14:schemeClr w14:val="tx1"/>
                  </w14:solidFill>
                </w14:textFill>
              </w:rPr>
              <w:t>安全填埋；餐厨废水经带盖厨余垃圾收集桶收集后，定期</w:t>
            </w:r>
            <w:r>
              <w:rPr>
                <w:rFonts w:hint="eastAsia"/>
                <w:color w:val="000000" w:themeColor="text1"/>
                <w:lang w:val="en-US" w:eastAsia="zh-CN"/>
                <w14:textFill>
                  <w14:solidFill>
                    <w14:schemeClr w14:val="tx1"/>
                  </w14:solidFill>
                </w14:textFill>
              </w:rPr>
              <w:t>交由了</w:t>
            </w:r>
            <w:r>
              <w:rPr>
                <w:rFonts w:hint="default"/>
                <w:color w:val="000000" w:themeColor="text1"/>
                <w14:textFill>
                  <w14:solidFill>
                    <w14:schemeClr w14:val="tx1"/>
                  </w14:solidFill>
                </w14:textFill>
              </w:rPr>
              <w:t>有资质单位进行清运处置，不外排。</w:t>
            </w:r>
          </w:p>
          <w:p w14:paraId="48BE3A0B">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0" w:firstLineChars="200"/>
              <w:jc w:val="both"/>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②施工生产废水经沉淀处理后用于</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施工场地及道路的喷洒，</w:t>
            </w:r>
            <w:r>
              <w:rPr>
                <w:rFonts w:hint="eastAsia"/>
                <w:color w:val="000000" w:themeColor="text1"/>
                <w:lang w:val="en-US" w:eastAsia="zh-CN"/>
                <w14:textFill>
                  <w14:solidFill>
                    <w14:schemeClr w14:val="tx1"/>
                  </w14:solidFill>
                </w14:textFill>
              </w:rPr>
              <w:t>没有</w:t>
            </w:r>
            <w:r>
              <w:rPr>
                <w:rFonts w:hint="default"/>
                <w:color w:val="000000" w:themeColor="text1"/>
                <w14:textFill>
                  <w14:solidFill>
                    <w14:schemeClr w14:val="tx1"/>
                  </w14:solidFill>
                </w14:textFill>
              </w:rPr>
              <w:t>外排。</w:t>
            </w:r>
          </w:p>
          <w:p w14:paraId="1600431F">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0" w:firstLineChars="200"/>
              <w:jc w:val="both"/>
              <w:textAlignment w:val="auto"/>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本项目施工期产生的废水</w:t>
            </w:r>
            <w:r>
              <w:rPr>
                <w:rFonts w:hint="eastAsia"/>
                <w:color w:val="000000" w:themeColor="text1"/>
                <w:lang w:val="en-US" w:eastAsia="zh-CN"/>
                <w14:textFill>
                  <w14:solidFill>
                    <w14:schemeClr w14:val="tx1"/>
                  </w14:solidFill>
                </w14:textFill>
              </w:rPr>
              <w:t>通过</w:t>
            </w:r>
            <w:r>
              <w:rPr>
                <w:rFonts w:hint="default"/>
                <w:color w:val="000000" w:themeColor="text1"/>
                <w14:textFill>
                  <w14:solidFill>
                    <w14:schemeClr w14:val="tx1"/>
                  </w14:solidFill>
                </w14:textFill>
              </w:rPr>
              <w:t>采取以上防止措施后，对周围水环境影响较小。</w:t>
            </w:r>
          </w:p>
          <w:p w14:paraId="6BF515CD">
            <w:pPr>
              <w:bidi w:val="0"/>
              <w:ind w:left="0" w:leftChars="0" w:firstLine="240" w:firstLineChars="100"/>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2.</w:t>
            </w:r>
            <w:r>
              <w:rPr>
                <w:color w:val="000000" w:themeColor="text1"/>
                <w:lang w:val="en-US"/>
                <w14:textFill>
                  <w14:solidFill>
                    <w14:schemeClr w14:val="tx1"/>
                  </w14:solidFill>
                </w14:textFill>
              </w:rPr>
              <w:t>大气环境</w:t>
            </w:r>
          </w:p>
          <w:p w14:paraId="0B67E8F8">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本项目扬尘主要来自塔基基础、箱式变压器混凝土基础开挖扬尘以及运载车辆造成的道路扬尘。为了防止项目施工扬尘对周围环境的影响，采取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以下措施：</w:t>
            </w:r>
          </w:p>
          <w:p w14:paraId="197E5454">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①合理安排</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工期，</w:t>
            </w:r>
            <w:r>
              <w:rPr>
                <w:rFonts w:hint="eastAsia"/>
                <w:color w:val="000000" w:themeColor="text1"/>
                <w:lang w:val="en-US" w:eastAsia="zh-CN"/>
                <w14:textFill>
                  <w14:solidFill>
                    <w14:schemeClr w14:val="tx1"/>
                  </w14:solidFill>
                </w14:textFill>
              </w:rPr>
              <w:t>禁止</w:t>
            </w:r>
            <w:r>
              <w:rPr>
                <w:rFonts w:hint="eastAsia"/>
                <w:color w:val="000000" w:themeColor="text1"/>
                <w14:textFill>
                  <w14:solidFill>
                    <w14:schemeClr w14:val="tx1"/>
                  </w14:solidFill>
                </w14:textFill>
              </w:rPr>
              <w:t>大风天气施工；</w:t>
            </w:r>
          </w:p>
          <w:p w14:paraId="613399DE">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②工地临时堆放的土石方设置</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围挡，最大程度减少</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扬尘对周围大气环境的影响；</w:t>
            </w:r>
          </w:p>
          <w:p w14:paraId="6E6587C8">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③</w:t>
            </w:r>
            <w:r>
              <w:rPr>
                <w:rFonts w:hint="eastAsia"/>
                <w:color w:val="000000" w:themeColor="text1"/>
                <w:lang w:val="en-US" w:eastAsia="zh-CN"/>
                <w14:textFill>
                  <w14:solidFill>
                    <w14:schemeClr w14:val="tx1"/>
                  </w14:solidFill>
                </w14:textFill>
              </w:rPr>
              <w:t>对</w:t>
            </w:r>
            <w:r>
              <w:rPr>
                <w:rFonts w:hint="eastAsia"/>
                <w:color w:val="000000" w:themeColor="text1"/>
                <w14:textFill>
                  <w14:solidFill>
                    <w14:schemeClr w14:val="tx1"/>
                  </w14:solidFill>
                </w14:textFill>
              </w:rPr>
              <w:t>施工场地及运输道路</w:t>
            </w:r>
            <w:r>
              <w:rPr>
                <w:rFonts w:hint="eastAsia"/>
                <w:color w:val="000000" w:themeColor="text1"/>
                <w:lang w:val="en-US" w:eastAsia="zh-CN"/>
                <w14:textFill>
                  <w14:solidFill>
                    <w14:schemeClr w14:val="tx1"/>
                  </w14:solidFill>
                </w14:textFill>
              </w:rPr>
              <w:t>进行了</w:t>
            </w:r>
            <w:r>
              <w:rPr>
                <w:rFonts w:hint="eastAsia"/>
                <w:color w:val="000000" w:themeColor="text1"/>
                <w14:textFill>
                  <w14:solidFill>
                    <w14:schemeClr w14:val="tx1"/>
                  </w14:solidFill>
                </w14:textFill>
              </w:rPr>
              <w:t>定期洒水，在大风时</w:t>
            </w:r>
            <w:r>
              <w:rPr>
                <w:rFonts w:hint="eastAsia"/>
                <w:color w:val="000000" w:themeColor="text1"/>
                <w:lang w:val="en-US" w:eastAsia="zh-CN"/>
                <w14:textFill>
                  <w14:solidFill>
                    <w14:schemeClr w14:val="tx1"/>
                  </w14:solidFill>
                </w14:textFill>
              </w:rPr>
              <w:t>增加了</w:t>
            </w:r>
            <w:r>
              <w:rPr>
                <w:rFonts w:hint="eastAsia"/>
                <w:color w:val="000000" w:themeColor="text1"/>
                <w14:textFill>
                  <w14:solidFill>
                    <w14:schemeClr w14:val="tx1"/>
                  </w14:solidFill>
                </w14:textFill>
              </w:rPr>
              <w:t>洒水量及洒水次数；</w:t>
            </w:r>
          </w:p>
          <w:p w14:paraId="77AE43B5">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④运输车辆进入施工场地</w:t>
            </w:r>
            <w:r>
              <w:rPr>
                <w:rFonts w:hint="eastAsia"/>
                <w:color w:val="000000" w:themeColor="text1"/>
                <w:lang w:val="en-US" w:eastAsia="zh-CN"/>
                <w14:textFill>
                  <w14:solidFill>
                    <w14:schemeClr w14:val="tx1"/>
                  </w14:solidFill>
                </w14:textFill>
              </w:rPr>
              <w:t>后</w:t>
            </w:r>
            <w:r>
              <w:rPr>
                <w:rFonts w:hint="eastAsia"/>
                <w:color w:val="000000" w:themeColor="text1"/>
                <w14:textFill>
                  <w14:solidFill>
                    <w14:schemeClr w14:val="tx1"/>
                  </w14:solidFill>
                </w14:textFill>
              </w:rPr>
              <w:t>限速行驶，减少</w:t>
            </w:r>
            <w:r>
              <w:rPr>
                <w:rFonts w:hint="eastAsia"/>
                <w:color w:val="000000" w:themeColor="text1"/>
                <w:lang w:eastAsia="zh-CN"/>
                <w14:textFill>
                  <w14:solidFill>
                    <w14:schemeClr w14:val="tx1"/>
                  </w14:solidFill>
                </w14:textFill>
              </w:rPr>
              <w:t>了</w:t>
            </w:r>
            <w:r>
              <w:rPr>
                <w:rFonts w:hint="eastAsia"/>
                <w:color w:val="000000" w:themeColor="text1"/>
                <w:lang w:val="en-US" w:eastAsia="zh-CN"/>
                <w14:textFill>
                  <w14:solidFill>
                    <w14:schemeClr w14:val="tx1"/>
                  </w14:solidFill>
                </w14:textFill>
              </w:rPr>
              <w:t>起</w:t>
            </w:r>
            <w:r>
              <w:rPr>
                <w:rFonts w:hint="eastAsia"/>
                <w:color w:val="000000" w:themeColor="text1"/>
                <w14:textFill>
                  <w14:solidFill>
                    <w14:schemeClr w14:val="tx1"/>
                  </w14:solidFill>
                </w14:textFill>
              </w:rPr>
              <w:t>尘量；</w:t>
            </w:r>
          </w:p>
          <w:p w14:paraId="23A84634">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⑤砂石料等易起尘原料，运输时采用</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密闭式槽车运输，各类建筑修筑所用的各类砂石料</w:t>
            </w:r>
            <w:r>
              <w:rPr>
                <w:rFonts w:hint="eastAsia"/>
                <w:color w:val="000000" w:themeColor="text1"/>
                <w:lang w:val="en-US" w:eastAsia="zh-CN"/>
                <w14:textFill>
                  <w14:solidFill>
                    <w14:schemeClr w14:val="tx1"/>
                  </w14:solidFill>
                </w14:textFill>
              </w:rPr>
              <w:t>没有</w:t>
            </w:r>
            <w:r>
              <w:rPr>
                <w:rFonts w:hint="eastAsia"/>
                <w:color w:val="000000" w:themeColor="text1"/>
                <w14:textFill>
                  <w14:solidFill>
                    <w14:schemeClr w14:val="tx1"/>
                  </w14:solidFill>
                </w14:textFill>
              </w:rPr>
              <w:t>露天堆放，设置</w:t>
            </w:r>
            <w:r>
              <w:rPr>
                <w:rFonts w:hint="eastAsia"/>
                <w:color w:val="000000" w:themeColor="text1"/>
                <w:lang w:val="en-US" w:eastAsia="zh-CN"/>
                <w14:textFill>
                  <w14:solidFill>
                    <w14:schemeClr w14:val="tx1"/>
                  </w14:solidFill>
                </w14:textFill>
              </w:rPr>
              <w:t>在了</w:t>
            </w:r>
            <w:r>
              <w:rPr>
                <w:rFonts w:hint="eastAsia"/>
                <w:color w:val="000000" w:themeColor="text1"/>
                <w14:textFill>
                  <w14:solidFill>
                    <w14:schemeClr w14:val="tx1"/>
                  </w14:solidFill>
                </w14:textFill>
              </w:rPr>
              <w:t>集中堆放场进行堆放，集中堆放场为半封闭堆放场，</w:t>
            </w:r>
            <w:r>
              <w:rPr>
                <w:rFonts w:hint="eastAsia"/>
                <w:color w:val="000000" w:themeColor="text1"/>
                <w:lang w:val="en-US" w:eastAsia="zh-CN"/>
                <w14:textFill>
                  <w14:solidFill>
                    <w14:schemeClr w14:val="tx1"/>
                  </w14:solidFill>
                </w14:textFill>
              </w:rPr>
              <w:t>还进行了适当洒水</w:t>
            </w:r>
            <w:r>
              <w:rPr>
                <w:rFonts w:hint="eastAsia"/>
                <w:color w:val="000000" w:themeColor="text1"/>
                <w14:textFill>
                  <w14:solidFill>
                    <w14:schemeClr w14:val="tx1"/>
                  </w14:solidFill>
                </w14:textFill>
              </w:rPr>
              <w:t>。</w:t>
            </w:r>
          </w:p>
          <w:p w14:paraId="1C1E576A">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⑥合理安排</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施工进度和施工方式，光伏组件、变压器基础等集中进行，减少</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土石方临时堆放产生的扬尘。</w:t>
            </w:r>
          </w:p>
          <w:p w14:paraId="1EB575BE">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⑦杆塔基础开挖</w:t>
            </w:r>
            <w:r>
              <w:rPr>
                <w:rFonts w:hint="eastAsia"/>
                <w:color w:val="000000" w:themeColor="text1"/>
                <w:lang w:val="en-US" w:eastAsia="zh-CN"/>
                <w14:textFill>
                  <w14:solidFill>
                    <w14:schemeClr w14:val="tx1"/>
                  </w14:solidFill>
                </w14:textFill>
              </w:rPr>
              <w:t>时</w:t>
            </w:r>
            <w:r>
              <w:rPr>
                <w:rFonts w:hint="eastAsia"/>
                <w:color w:val="000000" w:themeColor="text1"/>
                <w14:textFill>
                  <w14:solidFill>
                    <w14:schemeClr w14:val="tx1"/>
                  </w14:solidFill>
                </w14:textFill>
              </w:rPr>
              <w:t>根据地形</w:t>
            </w:r>
            <w:r>
              <w:rPr>
                <w:rFonts w:hint="eastAsia"/>
                <w:color w:val="000000" w:themeColor="text1"/>
                <w:lang w:val="en-US" w:eastAsia="zh-CN"/>
                <w14:textFill>
                  <w14:solidFill>
                    <w14:schemeClr w14:val="tx1"/>
                  </w14:solidFill>
                </w14:textFill>
              </w:rPr>
              <w:t>采取了</w:t>
            </w:r>
            <w:r>
              <w:rPr>
                <w:rFonts w:hint="eastAsia"/>
                <w:color w:val="000000" w:themeColor="text1"/>
                <w14:textFill>
                  <w14:solidFill>
                    <w14:schemeClr w14:val="tx1"/>
                  </w14:solidFill>
                </w14:textFill>
              </w:rPr>
              <w:t>机械和人工开挖的方式相结合；</w:t>
            </w:r>
          </w:p>
          <w:p w14:paraId="398D38E3">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⑧遇到四级或四级以上大风天气，停止土方作业，同时作业处覆</w:t>
            </w:r>
            <w:r>
              <w:rPr>
                <w:rFonts w:hint="eastAsia"/>
                <w:color w:val="000000" w:themeColor="text1"/>
                <w:lang w:val="en-US" w:eastAsia="zh-CN"/>
                <w14:textFill>
                  <w14:solidFill>
                    <w14:schemeClr w14:val="tx1"/>
                  </w14:solidFill>
                </w14:textFill>
              </w:rPr>
              <w:t>盖了</w:t>
            </w:r>
            <w:r>
              <w:rPr>
                <w:rFonts w:hint="eastAsia"/>
                <w:color w:val="000000" w:themeColor="text1"/>
                <w14:textFill>
                  <w14:solidFill>
                    <w14:schemeClr w14:val="tx1"/>
                  </w14:solidFill>
                </w14:textFill>
              </w:rPr>
              <w:t>防尘网。</w:t>
            </w:r>
          </w:p>
          <w:p w14:paraId="5D5D21AA">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⑨开挖土方</w:t>
            </w:r>
            <w:r>
              <w:rPr>
                <w:rFonts w:hint="eastAsia"/>
                <w:color w:val="000000" w:themeColor="text1"/>
                <w:lang w:val="en-US" w:eastAsia="zh-CN"/>
                <w14:textFill>
                  <w14:solidFill>
                    <w14:schemeClr w14:val="tx1"/>
                  </w14:solidFill>
                </w14:textFill>
              </w:rPr>
              <w:t>进行了</w:t>
            </w:r>
            <w:r>
              <w:rPr>
                <w:rFonts w:hint="eastAsia"/>
                <w:color w:val="000000" w:themeColor="text1"/>
                <w14:textFill>
                  <w14:solidFill>
                    <w14:schemeClr w14:val="tx1"/>
                  </w14:solidFill>
                </w14:textFill>
              </w:rPr>
              <w:t>集中堆放，采取</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防尘网覆盖处理、安装完成后，尽快回填。</w:t>
            </w:r>
          </w:p>
          <w:p w14:paraId="6E55474B">
            <w:pPr>
              <w:bidi w:val="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采取以上措施后，</w:t>
            </w:r>
            <w:r>
              <w:rPr>
                <w:rFonts w:hint="eastAsia"/>
                <w:color w:val="000000" w:themeColor="text1"/>
                <w:lang w:val="en-US" w:eastAsia="zh-CN"/>
                <w14:textFill>
                  <w14:solidFill>
                    <w14:schemeClr w14:val="tx1"/>
                  </w14:solidFill>
                </w14:textFill>
              </w:rPr>
              <w:t>很大程度上</w:t>
            </w:r>
            <w:r>
              <w:rPr>
                <w:rFonts w:hint="eastAsia"/>
                <w:color w:val="000000" w:themeColor="text1"/>
                <w14:textFill>
                  <w14:solidFill>
                    <w14:schemeClr w14:val="tx1"/>
                  </w14:solidFill>
                </w14:textFill>
              </w:rPr>
              <w:t>减少</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扬尘对周围环境的影响。</w:t>
            </w:r>
          </w:p>
          <w:p w14:paraId="3B62FDD9">
            <w:pPr>
              <w:bidi w:val="0"/>
              <w:ind w:left="0" w:leftChars="0" w:firstLine="240" w:firstLineChars="100"/>
              <w:rPr>
                <w:rFonts w:hint="default"/>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3.</w:t>
            </w:r>
            <w:r>
              <w:rPr>
                <w:rFonts w:hint="default"/>
                <w:color w:val="000000" w:themeColor="text1"/>
                <w:lang w:val="en-US"/>
                <w14:textFill>
                  <w14:solidFill>
                    <w14:schemeClr w14:val="tx1"/>
                  </w14:solidFill>
                </w14:textFill>
              </w:rPr>
              <w:t>声环境</w:t>
            </w:r>
          </w:p>
          <w:p w14:paraId="55C6FA1D">
            <w:pPr>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本项目施工期的噪声主要来源于施工现场的各类机械设备产生的机械噪声和物料运输车辆产生的交通噪声，其噪声声级为75-105dB(A)，由于本项目评价范围内均无敏感目标，因此本项目施工噪声主要是对施工人员造成的影响，</w:t>
            </w:r>
          </w:p>
          <w:p w14:paraId="3A7C7552">
            <w:pPr>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通过合理布置</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施工场地，选用</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良好的设备，并定期</w:t>
            </w:r>
            <w:r>
              <w:rPr>
                <w:rFonts w:hint="eastAsia"/>
                <w:color w:val="000000" w:themeColor="text1"/>
                <w:lang w:val="en-US" w:eastAsia="zh-CN"/>
                <w14:textFill>
                  <w14:solidFill>
                    <w14:schemeClr w14:val="tx1"/>
                  </w14:solidFill>
                </w14:textFill>
              </w:rPr>
              <w:t>对施工机械</w:t>
            </w:r>
            <w:r>
              <w:rPr>
                <w:rFonts w:hint="default"/>
                <w:color w:val="000000" w:themeColor="text1"/>
                <w14:textFill>
                  <w14:solidFill>
                    <w14:schemeClr w14:val="tx1"/>
                  </w14:solidFill>
                </w14:textFill>
              </w:rPr>
              <w:t>进行</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维护，施工人员采用隔噪设备等措施后，其影响大大减低，且随施工的结束，施工噪声影响也随之消失。</w:t>
            </w:r>
          </w:p>
          <w:p w14:paraId="31C88F59">
            <w:pPr>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①集中安排使用高噪声设备；</w:t>
            </w:r>
          </w:p>
          <w:p w14:paraId="0BAC0778">
            <w:pPr>
              <w:bidi w:val="0"/>
              <w:rPr>
                <w:rFonts w:hint="default"/>
                <w:color w:val="000000" w:themeColor="text1"/>
                <w14:textFill>
                  <w14:solidFill>
                    <w14:schemeClr w14:val="tx1"/>
                  </w14:solidFill>
                </w14:textFill>
              </w:rPr>
            </w:pPr>
            <w:r>
              <w:rPr>
                <w:rFonts w:hint="default"/>
                <w:color w:val="000000" w:themeColor="text1"/>
                <w14:textFill>
                  <w14:solidFill>
                    <w14:schemeClr w14:val="tx1"/>
                  </w14:solidFill>
                </w14:textFill>
              </w:rPr>
              <w:t>②合理安排</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施工时间，合理布局</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施工场地，选用</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良好的施工设备，降低设备声级，降低</w:t>
            </w:r>
            <w:r>
              <w:rPr>
                <w:rFonts w:hint="eastAsia"/>
                <w:color w:val="000000" w:themeColor="text1"/>
                <w:lang w:eastAsia="zh-CN"/>
                <w14:textFill>
                  <w14:solidFill>
                    <w14:schemeClr w14:val="tx1"/>
                  </w14:solidFill>
                </w14:textFill>
              </w:rPr>
              <w:t>了</w:t>
            </w:r>
            <w:r>
              <w:rPr>
                <w:rFonts w:hint="default"/>
                <w:color w:val="000000" w:themeColor="text1"/>
                <w14:textFill>
                  <w14:solidFill>
                    <w14:schemeClr w14:val="tx1"/>
                  </w14:solidFill>
                </w14:textFill>
              </w:rPr>
              <w:t>人为的噪声；</w:t>
            </w:r>
          </w:p>
          <w:p w14:paraId="5EA549D7">
            <w:pPr>
              <w:bidi w:val="0"/>
              <w:ind w:left="0" w:leftChars="0" w:firstLine="240" w:firstLineChars="100"/>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4.</w:t>
            </w:r>
            <w:r>
              <w:rPr>
                <w:color w:val="000000" w:themeColor="text1"/>
                <w:lang w:val="en-US"/>
                <w14:textFill>
                  <w14:solidFill>
                    <w14:schemeClr w14:val="tx1"/>
                  </w14:solidFill>
                </w14:textFill>
              </w:rPr>
              <w:t>固体废物</w:t>
            </w:r>
          </w:p>
          <w:p w14:paraId="30A74A96">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本项目施工期固废由两部分组成，一是施工人员产生的生活垃圾，二是本项目施工产生的弃方和建筑垃圾。</w:t>
            </w:r>
          </w:p>
          <w:p w14:paraId="23B6ED46">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①施工产生的建筑垃圾应</w:t>
            </w:r>
            <w:r>
              <w:rPr>
                <w:rFonts w:hint="eastAsia"/>
                <w:color w:val="000000" w:themeColor="text1"/>
                <w:lang w:val="en-US" w:eastAsia="zh-CN"/>
                <w14:textFill>
                  <w14:solidFill>
                    <w14:schemeClr w14:val="tx1"/>
                  </w14:solidFill>
                </w14:textFill>
              </w:rPr>
              <w:t>大部分如废钢筋、废铁丝等进行了</w:t>
            </w:r>
            <w:r>
              <w:rPr>
                <w:rFonts w:hint="eastAsia"/>
                <w:color w:val="000000" w:themeColor="text1"/>
                <w14:textFill>
                  <w14:solidFill>
                    <w14:schemeClr w14:val="tx1"/>
                  </w14:solidFill>
                </w14:textFill>
              </w:rPr>
              <w:t>回收利用，不能回收利用的</w:t>
            </w:r>
            <w:r>
              <w:rPr>
                <w:rFonts w:hint="eastAsia"/>
                <w:color w:val="000000" w:themeColor="text1"/>
                <w:lang w:val="en-US" w:eastAsia="zh-CN"/>
                <w14:textFill>
                  <w14:solidFill>
                    <w14:schemeClr w14:val="tx1"/>
                  </w14:solidFill>
                </w14:textFill>
              </w:rPr>
              <w:t>如废混凝土块等</w:t>
            </w:r>
            <w:r>
              <w:rPr>
                <w:rFonts w:hint="eastAsia"/>
                <w:color w:val="000000" w:themeColor="text1"/>
                <w14:textFill>
                  <w14:solidFill>
                    <w14:schemeClr w14:val="tx1"/>
                  </w14:solidFill>
                </w14:textFill>
              </w:rPr>
              <w:t>及时清运至</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住建部门指定堆场，</w:t>
            </w:r>
            <w:r>
              <w:rPr>
                <w:rFonts w:hint="eastAsia"/>
                <w:color w:val="000000" w:themeColor="text1"/>
                <w:lang w:val="en-US" w:eastAsia="zh-CN"/>
                <w14:textFill>
                  <w14:solidFill>
                    <w14:schemeClr w14:val="tx1"/>
                  </w14:solidFill>
                </w14:textFill>
              </w:rPr>
              <w:t>没有在施工厂区内随意堆放</w:t>
            </w:r>
            <w:r>
              <w:rPr>
                <w:rFonts w:hint="eastAsia"/>
                <w:color w:val="000000" w:themeColor="text1"/>
                <w14:textFill>
                  <w14:solidFill>
                    <w14:schemeClr w14:val="tx1"/>
                  </w14:solidFill>
                </w14:textFill>
              </w:rPr>
              <w:t>。</w:t>
            </w:r>
          </w:p>
          <w:p w14:paraId="3F60EBFC">
            <w:pPr>
              <w:bidi w:val="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②施工生活区设</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垃圾桶，及时</w:t>
            </w:r>
            <w:r>
              <w:rPr>
                <w:rFonts w:hint="eastAsia"/>
                <w:color w:val="000000" w:themeColor="text1"/>
                <w:lang w:val="en-US" w:eastAsia="zh-CN"/>
                <w14:textFill>
                  <w14:solidFill>
                    <w14:schemeClr w14:val="tx1"/>
                  </w14:solidFill>
                </w14:textFill>
              </w:rPr>
              <w:t>分类收集后</w:t>
            </w:r>
            <w:r>
              <w:rPr>
                <w:rFonts w:hint="eastAsia"/>
                <w:color w:val="000000" w:themeColor="text1"/>
                <w14:textFill>
                  <w14:solidFill>
                    <w14:schemeClr w14:val="tx1"/>
                  </w14:solidFill>
                </w14:textFill>
              </w:rPr>
              <w:t>清运至</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尖扎县生活垃圾填埋场处理，</w:t>
            </w:r>
            <w:r>
              <w:rPr>
                <w:rFonts w:hint="eastAsia"/>
                <w:color w:val="000000" w:themeColor="text1"/>
                <w:lang w:val="en-US" w:eastAsia="zh-CN"/>
                <w14:textFill>
                  <w14:solidFill>
                    <w14:schemeClr w14:val="tx1"/>
                  </w14:solidFill>
                </w14:textFill>
              </w:rPr>
              <w:t>没有在厂区内随意丢弃</w:t>
            </w:r>
            <w:r>
              <w:rPr>
                <w:rFonts w:hint="eastAsia"/>
                <w:color w:val="000000" w:themeColor="text1"/>
                <w14:textFill>
                  <w14:solidFill>
                    <w14:schemeClr w14:val="tx1"/>
                  </w14:solidFill>
                </w14:textFill>
              </w:rPr>
              <w:t>。</w:t>
            </w:r>
          </w:p>
          <w:p w14:paraId="083079B2">
            <w:pPr>
              <w:bidi w:val="0"/>
              <w:jc w:val="both"/>
              <w:rPr>
                <w:color w:val="000000" w:themeColor="text1"/>
                <w:sz w:val="24"/>
                <w:szCs w:val="24"/>
                <w:lang w:val="en-US"/>
                <w14:textFill>
                  <w14:solidFill>
                    <w14:schemeClr w14:val="tx1"/>
                  </w14:solidFill>
                </w14:textFill>
              </w:rPr>
            </w:pPr>
            <w:r>
              <w:rPr>
                <w:rFonts w:hint="eastAsia"/>
                <w:color w:val="000000" w:themeColor="text1"/>
                <w14:textFill>
                  <w14:solidFill>
                    <w14:schemeClr w14:val="tx1"/>
                  </w14:solidFill>
                </w14:textFill>
              </w:rPr>
              <w:t>综上所述，施工期产生的固体废弃物采取以上防治措施后，对周围环境影响较小。</w:t>
            </w:r>
          </w:p>
          <w:p w14:paraId="59C85339">
            <w:pPr>
              <w:bidi w:val="0"/>
              <w:rPr>
                <w:color w:val="000000" w:themeColor="text1"/>
                <w:lang w:val="en-US"/>
                <w14:textFill>
                  <w14:solidFill>
                    <w14:schemeClr w14:val="tx1"/>
                  </w14:solidFill>
                </w14:textFill>
              </w:rPr>
            </w:pPr>
            <w:r>
              <w:rPr>
                <w:color w:val="000000" w:themeColor="text1"/>
                <w:lang w:val="en-US"/>
                <w14:textFill>
                  <w14:solidFill>
                    <w14:schemeClr w14:val="tx1"/>
                  </w14:solidFill>
                </w14:textFill>
              </w:rPr>
              <w:t>二、运营期</w:t>
            </w:r>
          </w:p>
          <w:p w14:paraId="56A46A90">
            <w:pPr>
              <w:ind w:firstLine="480"/>
              <w:jc w:val="both"/>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本项目运营期无大气污染物产生。</w:t>
            </w:r>
          </w:p>
          <w:p w14:paraId="30BE7E26">
            <w:pPr>
              <w:ind w:firstLine="480"/>
              <w:jc w:val="both"/>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1、水环境</w:t>
            </w:r>
          </w:p>
          <w:p w14:paraId="02E13327">
            <w:pPr>
              <w:pStyle w:val="2"/>
              <w:ind w:left="0" w:leftChars="0" w:firstLine="480" w:firstLineChars="20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本项目运营期废水主要为人员生活污水和光伏组件清洗废水，生活污水产生量小，经一体化地埋式污水处理装置处理后定期清掏拉运至</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尖扎县污水处理厂</w:t>
            </w:r>
            <w:r>
              <w:rPr>
                <w:rFonts w:hint="eastAsia"/>
                <w:color w:val="000000" w:themeColor="text1"/>
                <w:lang w:val="en-US" w:eastAsia="zh-CN"/>
                <w14:textFill>
                  <w14:solidFill>
                    <w14:schemeClr w14:val="tx1"/>
                  </w14:solidFill>
                </w14:textFill>
              </w:rPr>
              <w:t>处理</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对</w:t>
            </w:r>
            <w:r>
              <w:rPr>
                <w:rFonts w:hint="eastAsia"/>
                <w:color w:val="000000" w:themeColor="text1"/>
                <w14:textFill>
                  <w14:solidFill>
                    <w14:schemeClr w14:val="tx1"/>
                  </w14:solidFill>
                </w14:textFill>
              </w:rPr>
              <w:t>周围水环境影响较小。</w:t>
            </w:r>
          </w:p>
          <w:p w14:paraId="5417E347">
            <w:pPr>
              <w:pStyle w:val="2"/>
              <w:ind w:left="0" w:leftChars="0" w:firstLine="480" w:firstLineChars="200"/>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本电站运营期光伏板的清洗方式采用</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机械清洗。机械清洗分为粗洗和精洗两种方式。在每次大风或沙尘天气之后采用移动式空气压缩机</w:t>
            </w:r>
            <w:r>
              <w:rPr>
                <w:rFonts w:hint="eastAsia"/>
                <w:color w:val="000000" w:themeColor="text1"/>
                <w:lang w:val="en-US" w:eastAsia="zh-CN"/>
                <w14:textFill>
                  <w14:solidFill>
                    <w14:schemeClr w14:val="tx1"/>
                  </w14:solidFill>
                </w14:textFill>
              </w:rPr>
              <w:t>对</w:t>
            </w:r>
            <w:r>
              <w:rPr>
                <w:rFonts w:hint="eastAsia"/>
                <w:color w:val="000000" w:themeColor="text1"/>
                <w14:textFill>
                  <w14:solidFill>
                    <w14:schemeClr w14:val="tx1"/>
                  </w14:solidFill>
                </w14:textFill>
              </w:rPr>
              <w:t>光伏组件表面进行</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粗洗，将光伏组件表面较大的灰尘颗粒吹落，但由于二次扬尘的问题，灰尘仍会落在光伏组件表面。之后，采用移动式节能喷水设施进行精洗。运营期光伏组件的清洗废水不添加任何清洗剂，</w:t>
            </w:r>
            <w:r>
              <w:rPr>
                <w:rFonts w:hint="eastAsia"/>
                <w:color w:val="000000" w:themeColor="text1"/>
                <w:lang w:val="en-US" w:eastAsia="zh-CN"/>
                <w14:textFill>
                  <w14:solidFill>
                    <w14:schemeClr w14:val="tx1"/>
                  </w14:solidFill>
                </w14:textFill>
              </w:rPr>
              <w:t>因此进行了直接散排</w:t>
            </w:r>
            <w:r>
              <w:rPr>
                <w:rFonts w:hint="eastAsia"/>
                <w:color w:val="000000" w:themeColor="text1"/>
                <w14:textFill>
                  <w14:solidFill>
                    <w14:schemeClr w14:val="tx1"/>
                  </w14:solidFill>
                </w14:textFill>
              </w:rPr>
              <w:t>，自然蒸发。由于本地区冬季寒冷，所以冬季</w:t>
            </w:r>
            <w:r>
              <w:rPr>
                <w:rFonts w:hint="eastAsia"/>
                <w:color w:val="000000" w:themeColor="text1"/>
                <w:lang w:val="en-US" w:eastAsia="zh-CN"/>
                <w14:textFill>
                  <w14:solidFill>
                    <w14:schemeClr w14:val="tx1"/>
                  </w14:solidFill>
                </w14:textFill>
              </w:rPr>
              <w:t>不进行水洗。</w:t>
            </w:r>
          </w:p>
          <w:p w14:paraId="4A44F2D3">
            <w:pPr>
              <w:pStyle w:val="2"/>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2、噪声</w:t>
            </w:r>
          </w:p>
          <w:p w14:paraId="1BEEBC5C">
            <w:pPr>
              <w:pStyle w:val="2"/>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本项目运营期逆变器、箱式变压器、储能等设备在运行过程中会产生电磁噪声，均以中低频为主。</w:t>
            </w:r>
            <w:r>
              <w:rPr>
                <w:rFonts w:hint="eastAsia"/>
                <w:color w:val="000000" w:themeColor="text1"/>
                <w:lang w:val="en-US" w:eastAsia="zh-CN"/>
                <w14:textFill>
                  <w14:solidFill>
                    <w14:schemeClr w14:val="tx1"/>
                  </w14:solidFill>
                </w14:textFill>
              </w:rPr>
              <w:t>通过将</w:t>
            </w:r>
            <w:r>
              <w:rPr>
                <w:rFonts w:hint="eastAsia"/>
                <w:color w:val="000000" w:themeColor="text1"/>
                <w14:textFill>
                  <w14:solidFill>
                    <w14:schemeClr w14:val="tx1"/>
                  </w14:solidFill>
                </w14:textFill>
              </w:rPr>
              <w:t>逆变器、箱式变压器、储能等设备设置在站场中部，并</w:t>
            </w:r>
            <w:r>
              <w:rPr>
                <w:rFonts w:hint="eastAsia"/>
                <w:color w:val="000000" w:themeColor="text1"/>
                <w:lang w:val="en-US" w:eastAsia="zh-CN"/>
                <w14:textFill>
                  <w14:solidFill>
                    <w14:schemeClr w14:val="tx1"/>
                  </w14:solidFill>
                </w14:textFill>
              </w:rPr>
              <w:t>通过</w:t>
            </w:r>
            <w:r>
              <w:rPr>
                <w:rFonts w:hint="eastAsia"/>
                <w:color w:val="000000" w:themeColor="text1"/>
                <w14:textFill>
                  <w14:solidFill>
                    <w14:schemeClr w14:val="tx1"/>
                  </w14:solidFill>
                </w14:textFill>
              </w:rPr>
              <w:t>加强对各类设施、设备的维护和保养，使其处于良好的工作状态</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加上项目周围没有声环境敏感目标，对周围环境影响较小。</w:t>
            </w:r>
          </w:p>
          <w:p w14:paraId="695DD928">
            <w:pPr>
              <w:pStyle w:val="2"/>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4、固废</w:t>
            </w:r>
          </w:p>
          <w:p w14:paraId="6C54D81B">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项目运营期主要产生的固体废物为人员生活垃圾、变压器事故状态下和变压器大检修时产生的废变压器油以及设备检修产生的废电子元件、储能设备更换的废旧蓄电池。</w:t>
            </w:r>
          </w:p>
          <w:p w14:paraId="466BA92A">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（1）生活垃圾</w:t>
            </w:r>
          </w:p>
          <w:p w14:paraId="4EAB7C5C">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项目站区设置</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垃圾箱，生活垃圾经垃圾桶收集后，定期清</w:t>
            </w:r>
            <w:r>
              <w:rPr>
                <w:rFonts w:hint="eastAsia"/>
                <w:color w:val="000000" w:themeColor="text1"/>
                <w:lang w:val="en-US" w:eastAsia="zh-CN"/>
                <w14:textFill>
                  <w14:solidFill>
                    <w14:schemeClr w14:val="tx1"/>
                  </w14:solidFill>
                </w14:textFill>
              </w:rPr>
              <w:t>运至了</w:t>
            </w:r>
            <w:r>
              <w:rPr>
                <w:rFonts w:hint="eastAsia"/>
                <w:color w:val="000000" w:themeColor="text1"/>
                <w14:textFill>
                  <w14:solidFill>
                    <w14:schemeClr w14:val="tx1"/>
                  </w14:solidFill>
                </w14:textFill>
              </w:rPr>
              <w:t>尖扎县垃圾填埋场填埋。</w:t>
            </w:r>
          </w:p>
          <w:p w14:paraId="4A5872CB">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（2）废变压器油</w:t>
            </w:r>
          </w:p>
          <w:p w14:paraId="3F975360">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本项目共有128个油浸油式箱式变电站，2台变压器共用一个事故油池，进油管标高一致。每个变压器内贮存变压器油1500kg，储油密度895kg/m</w:t>
            </w:r>
            <w:r>
              <w:rPr>
                <w:rFonts w:hint="eastAsia"/>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，则储油体积 1.67m</w:t>
            </w:r>
            <w:r>
              <w:rPr>
                <w:rFonts w:hint="eastAsia"/>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，因此，设置64个容量为4.0m</w:t>
            </w:r>
            <w:r>
              <w:rPr>
                <w:rFonts w:hint="eastAsia"/>
                <w:color w:val="000000" w:themeColor="text1"/>
                <w:vertAlign w:val="superscript"/>
                <w14:textFill>
                  <w14:solidFill>
                    <w14:schemeClr w14:val="tx1"/>
                  </w14:solidFill>
                </w14:textFill>
              </w:rPr>
              <w:t>3</w:t>
            </w:r>
            <w:r>
              <w:rPr>
                <w:rFonts w:hint="eastAsia"/>
                <w:color w:val="000000" w:themeColor="text1"/>
                <w14:textFill>
                  <w14:solidFill>
                    <w14:schemeClr w14:val="tx1"/>
                  </w14:solidFill>
                </w14:textFill>
              </w:rPr>
              <w:t>事故油池；事故状态及间检修时产生的废变压器油通过事故排油管排入事故油内。为了便于变压器在事故状态下及时排出废变压器油，事故油池设置在</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变压器底部，并且事故油池各边均比变压器各边宽1m，四周高出地面100mm，并敷设</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卵石层，卵石层厚度不小于250mm，卵石直径为50-80mm。由于变压器连接高压输电线路，因此在事故油池内的变压器油清理前，严禁变电站内电器运行。</w:t>
            </w:r>
          </w:p>
          <w:p w14:paraId="5D835AEB">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（3）废电子元件</w:t>
            </w:r>
          </w:p>
          <w:p w14:paraId="1B9F559E">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运营过程中产生的破损电池和电站退役后产生的光伏电池，统一管理。根据《国家危险废物名录》，更换下来的废旧电子元件属于危险废物，危险废物类别属于“HW49 其他废物”，代码“900-044-49” ，危险特性为毒性。</w:t>
            </w:r>
            <w:r>
              <w:rPr>
                <w:rFonts w:hint="eastAsia"/>
                <w:color w:val="000000" w:themeColor="text1"/>
                <w:lang w:val="en-US" w:eastAsia="zh-CN"/>
                <w14:textFill>
                  <w14:solidFill>
                    <w14:schemeClr w14:val="tx1"/>
                  </w14:solidFill>
                </w14:textFill>
              </w:rPr>
              <w:t>本项目将</w:t>
            </w:r>
            <w:r>
              <w:rPr>
                <w:rFonts w:hint="eastAsia"/>
                <w:color w:val="000000" w:themeColor="text1"/>
                <w14:textFill>
                  <w14:solidFill>
                    <w14:schemeClr w14:val="tx1"/>
                  </w14:solidFill>
                </w14:textFill>
              </w:rPr>
              <w:t>产生的废旧电子元件经</w:t>
            </w:r>
            <w:r>
              <w:rPr>
                <w:rFonts w:hint="eastAsia"/>
                <w:color w:val="000000" w:themeColor="text1"/>
                <w:lang w:val="en-US" w:eastAsia="zh-CN"/>
                <w14:textFill>
                  <w14:solidFill>
                    <w14:schemeClr w14:val="tx1"/>
                  </w14:solidFill>
                </w14:textFill>
              </w:rPr>
              <w:t>新建的</w:t>
            </w:r>
            <w:r>
              <w:rPr>
                <w:rFonts w:hint="eastAsia"/>
                <w:color w:val="000000" w:themeColor="text1"/>
                <w14:textFill>
                  <w14:solidFill>
                    <w14:schemeClr w14:val="tx1"/>
                  </w14:solidFill>
                </w14:textFill>
              </w:rPr>
              <w:t>危险废物临时贮存库暂存后交由</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电子元件提供厂商负责回收。</w:t>
            </w:r>
          </w:p>
          <w:p w14:paraId="2EAB55F7">
            <w:pPr>
              <w:pStyle w:val="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危废库中设置</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4个200L的废变压器油桶，每个油桶用面积为0.6m</w:t>
            </w:r>
            <w:r>
              <w:rPr>
                <w:rFonts w:hint="eastAsia"/>
                <w:color w:val="000000" w:themeColor="text1"/>
                <w:vertAlign w:val="superscript"/>
                <w14:textFill>
                  <w14:solidFill>
                    <w14:schemeClr w14:val="tx1"/>
                  </w14:solidFill>
                </w14:textFill>
              </w:rPr>
              <w:t>2</w:t>
            </w:r>
            <w:r>
              <w:rPr>
                <w:rFonts w:hint="eastAsia"/>
                <w:color w:val="000000" w:themeColor="text1"/>
                <w14:textFill>
                  <w14:solidFill>
                    <w14:schemeClr w14:val="tx1"/>
                  </w14:solidFill>
                </w14:textFill>
              </w:rPr>
              <w:t>；检修时产生的废电子元件量极小，完全能满足各项目在事故状态下危险废物的贮存。事故状态下产生的废变压器油均收集至事故油池内，变压器油经油泵抽入油桶，暂存于危废暂存库内交由当地有危废处理资质的单位处置。</w:t>
            </w:r>
          </w:p>
          <w:p w14:paraId="0D5D834D">
            <w:pPr>
              <w:pStyle w:val="2"/>
              <w:rPr>
                <w:rFonts w:hint="eastAsia" w:eastAsia="宋体"/>
                <w:color w:val="000000" w:themeColor="text1"/>
                <w:lang w:eastAsia="zh-CN"/>
                <w14:textFill>
                  <w14:solidFill>
                    <w14:schemeClr w14:val="tx1"/>
                  </w14:solidFill>
                </w14:textFill>
              </w:rPr>
            </w:pPr>
          </w:p>
          <w:p w14:paraId="7D861577">
            <w:pPr>
              <w:pStyle w:val="2"/>
              <w:rPr>
                <w:rFonts w:hint="eastAsia" w:eastAsia="宋体"/>
                <w:color w:val="000000" w:themeColor="text1"/>
                <w:lang w:eastAsia="zh-CN"/>
                <w14:textFill>
                  <w14:solidFill>
                    <w14:schemeClr w14:val="tx1"/>
                  </w14:solidFill>
                </w14:textFill>
              </w:rPr>
            </w:pPr>
          </w:p>
          <w:p w14:paraId="6340B0BD">
            <w:pPr>
              <w:pStyle w:val="2"/>
              <w:rPr>
                <w:rFonts w:hint="eastAsia" w:eastAsia="宋体"/>
                <w:color w:val="000000" w:themeColor="text1"/>
                <w:lang w:eastAsia="zh-CN"/>
                <w14:textFill>
                  <w14:solidFill>
                    <w14:schemeClr w14:val="tx1"/>
                  </w14:solidFill>
                </w14:textFill>
              </w:rPr>
            </w:pPr>
          </w:p>
          <w:p w14:paraId="5D704BD1">
            <w:pPr>
              <w:pStyle w:val="2"/>
              <w:rPr>
                <w:rFonts w:hint="eastAsia" w:eastAsia="宋体"/>
                <w:color w:val="000000" w:themeColor="text1"/>
                <w:lang w:eastAsia="zh-CN"/>
                <w14:textFill>
                  <w14:solidFill>
                    <w14:schemeClr w14:val="tx1"/>
                  </w14:solidFill>
                </w14:textFill>
              </w:rPr>
            </w:pPr>
          </w:p>
          <w:p w14:paraId="0E319865">
            <w:pPr>
              <w:pStyle w:val="2"/>
              <w:rPr>
                <w:rFonts w:hint="eastAsia" w:eastAsia="宋体"/>
                <w:color w:val="000000" w:themeColor="text1"/>
                <w:lang w:eastAsia="zh-CN"/>
                <w14:textFill>
                  <w14:solidFill>
                    <w14:schemeClr w14:val="tx1"/>
                  </w14:solidFill>
                </w14:textFill>
              </w:rPr>
            </w:pPr>
          </w:p>
          <w:p w14:paraId="0E4473C8">
            <w:pPr>
              <w:pStyle w:val="2"/>
              <w:rPr>
                <w:color w:val="000000" w:themeColor="text1"/>
                <w14:textFill>
                  <w14:solidFill>
                    <w14:schemeClr w14:val="tx1"/>
                  </w14:solidFill>
                </w14:textFill>
              </w:rPr>
            </w:pPr>
          </w:p>
          <w:p w14:paraId="1EE2B2B1">
            <w:pPr>
              <w:pStyle w:val="2"/>
              <w:rPr>
                <w:color w:val="000000" w:themeColor="text1"/>
                <w14:textFill>
                  <w14:solidFill>
                    <w14:schemeClr w14:val="tx1"/>
                  </w14:solidFill>
                </w14:textFill>
              </w:rPr>
            </w:pPr>
          </w:p>
          <w:p w14:paraId="52E4F4E9">
            <w:pPr>
              <w:pStyle w:val="2"/>
              <w:rPr>
                <w:color w:val="000000" w:themeColor="text1"/>
                <w14:textFill>
                  <w14:solidFill>
                    <w14:schemeClr w14:val="tx1"/>
                  </w14:solidFill>
                </w14:textFill>
              </w:rPr>
            </w:pPr>
          </w:p>
          <w:p w14:paraId="5B41FE2A">
            <w:pPr>
              <w:pStyle w:val="2"/>
              <w:rPr>
                <w:color w:val="000000" w:themeColor="text1"/>
                <w14:textFill>
                  <w14:solidFill>
                    <w14:schemeClr w14:val="tx1"/>
                  </w14:solidFill>
                </w14:textFill>
              </w:rPr>
            </w:pPr>
          </w:p>
          <w:p w14:paraId="7F675FE8">
            <w:pPr>
              <w:pStyle w:val="2"/>
              <w:rPr>
                <w:color w:val="000000" w:themeColor="text1"/>
                <w14:textFill>
                  <w14:solidFill>
                    <w14:schemeClr w14:val="tx1"/>
                  </w14:solidFill>
                </w14:textFill>
              </w:rPr>
            </w:pPr>
          </w:p>
          <w:p w14:paraId="705A4FE9">
            <w:pPr>
              <w:pStyle w:val="2"/>
              <w:rPr>
                <w:color w:val="000000" w:themeColor="text1"/>
                <w14:textFill>
                  <w14:solidFill>
                    <w14:schemeClr w14:val="tx1"/>
                  </w14:solidFill>
                </w14:textFill>
              </w:rPr>
            </w:pPr>
          </w:p>
          <w:p w14:paraId="24DAC926">
            <w:pPr>
              <w:pStyle w:val="2"/>
              <w:rPr>
                <w:color w:val="000000" w:themeColor="text1"/>
                <w14:textFill>
                  <w14:solidFill>
                    <w14:schemeClr w14:val="tx1"/>
                  </w14:solidFill>
                </w14:textFill>
              </w:rPr>
            </w:pPr>
          </w:p>
          <w:p w14:paraId="353ACB63">
            <w:pPr>
              <w:pStyle w:val="2"/>
              <w:rPr>
                <w:color w:val="000000" w:themeColor="text1"/>
                <w14:textFill>
                  <w14:solidFill>
                    <w14:schemeClr w14:val="tx1"/>
                  </w14:solidFill>
                </w14:textFill>
              </w:rPr>
            </w:pPr>
          </w:p>
          <w:p w14:paraId="3AC37456">
            <w:pPr>
              <w:pStyle w:val="2"/>
              <w:rPr>
                <w:color w:val="000000" w:themeColor="text1"/>
                <w14:textFill>
                  <w14:solidFill>
                    <w14:schemeClr w14:val="tx1"/>
                  </w14:solidFill>
                </w14:textFill>
              </w:rPr>
            </w:pPr>
          </w:p>
          <w:p w14:paraId="75455190">
            <w:pPr>
              <w:pStyle w:val="2"/>
              <w:rPr>
                <w:color w:val="000000" w:themeColor="text1"/>
                <w14:textFill>
                  <w14:solidFill>
                    <w14:schemeClr w14:val="tx1"/>
                  </w14:solidFill>
                </w14:textFill>
              </w:rPr>
            </w:pPr>
          </w:p>
          <w:p w14:paraId="2ABFA19D">
            <w:pPr>
              <w:pStyle w:val="2"/>
              <w:rPr>
                <w:color w:val="000000" w:themeColor="text1"/>
                <w14:textFill>
                  <w14:solidFill>
                    <w14:schemeClr w14:val="tx1"/>
                  </w14:solidFill>
                </w14:textFill>
              </w:rPr>
            </w:pPr>
          </w:p>
          <w:p w14:paraId="1623E8C7">
            <w:pPr>
              <w:pStyle w:val="2"/>
              <w:rPr>
                <w:color w:val="000000" w:themeColor="text1"/>
                <w14:textFill>
                  <w14:solidFill>
                    <w14:schemeClr w14:val="tx1"/>
                  </w14:solidFill>
                </w14:textFill>
              </w:rPr>
            </w:pPr>
          </w:p>
          <w:p w14:paraId="462AC86E">
            <w:pPr>
              <w:pStyle w:val="2"/>
              <w:rPr>
                <w:color w:val="000000" w:themeColor="text1"/>
                <w14:textFill>
                  <w14:solidFill>
                    <w14:schemeClr w14:val="tx1"/>
                  </w14:solidFill>
                </w14:textFill>
              </w:rPr>
            </w:pPr>
          </w:p>
          <w:p w14:paraId="3BD73C51">
            <w:pPr>
              <w:pStyle w:val="2"/>
              <w:rPr>
                <w:color w:val="000000" w:themeColor="text1"/>
                <w14:textFill>
                  <w14:solidFill>
                    <w14:schemeClr w14:val="tx1"/>
                  </w14:solidFill>
                </w14:textFill>
              </w:rPr>
            </w:pPr>
          </w:p>
          <w:p w14:paraId="394369BE">
            <w:pPr>
              <w:pStyle w:val="2"/>
              <w:rPr>
                <w:color w:val="000000" w:themeColor="text1"/>
                <w14:textFill>
                  <w14:solidFill>
                    <w14:schemeClr w14:val="tx1"/>
                  </w14:solidFill>
                </w14:textFill>
              </w:rPr>
            </w:pPr>
          </w:p>
          <w:p w14:paraId="72C8DFC8">
            <w:pPr>
              <w:pStyle w:val="2"/>
              <w:rPr>
                <w:color w:val="000000" w:themeColor="text1"/>
                <w14:textFill>
                  <w14:solidFill>
                    <w14:schemeClr w14:val="tx1"/>
                  </w14:solidFill>
                </w14:textFill>
              </w:rPr>
            </w:pPr>
          </w:p>
          <w:p w14:paraId="1F81F35C">
            <w:pPr>
              <w:pStyle w:val="2"/>
              <w:rPr>
                <w:color w:val="000000" w:themeColor="text1"/>
                <w14:textFill>
                  <w14:solidFill>
                    <w14:schemeClr w14:val="tx1"/>
                  </w14:solidFill>
                </w14:textFill>
              </w:rPr>
            </w:pPr>
          </w:p>
          <w:p w14:paraId="0C1CF522">
            <w:pPr>
              <w:pStyle w:val="2"/>
              <w:rPr>
                <w:color w:val="000000" w:themeColor="text1"/>
                <w14:textFill>
                  <w14:solidFill>
                    <w14:schemeClr w14:val="tx1"/>
                  </w14:solidFill>
                </w14:textFill>
              </w:rPr>
            </w:pPr>
          </w:p>
          <w:p w14:paraId="61F952FD">
            <w:pPr>
              <w:pStyle w:val="2"/>
              <w:rPr>
                <w:color w:val="000000" w:themeColor="text1"/>
                <w14:textFill>
                  <w14:solidFill>
                    <w14:schemeClr w14:val="tx1"/>
                  </w14:solidFill>
                </w14:textFill>
              </w:rPr>
            </w:pPr>
          </w:p>
          <w:p w14:paraId="68752A78">
            <w:pPr>
              <w:ind w:left="0" w:leftChars="0" w:firstLine="0" w:firstLineChars="0"/>
              <w:rPr>
                <w:color w:val="000000" w:themeColor="text1"/>
                <w14:textFill>
                  <w14:solidFill>
                    <w14:schemeClr w14:val="tx1"/>
                  </w14:solidFill>
                </w14:textFill>
              </w:rPr>
            </w:pPr>
          </w:p>
          <w:p w14:paraId="0C2F0FE1">
            <w:pPr>
              <w:pStyle w:val="2"/>
              <w:rPr>
                <w:color w:val="000000" w:themeColor="text1"/>
                <w14:textFill>
                  <w14:solidFill>
                    <w14:schemeClr w14:val="tx1"/>
                  </w14:solidFill>
                </w14:textFill>
              </w:rPr>
            </w:pPr>
          </w:p>
          <w:p w14:paraId="11F7EE91">
            <w:pPr>
              <w:pStyle w:val="2"/>
              <w:ind w:left="0" w:leftChars="0" w:firstLine="0" w:firstLineChars="0"/>
              <w:rPr>
                <w:color w:val="000000" w:themeColor="text1"/>
                <w14:textFill>
                  <w14:solidFill>
                    <w14:schemeClr w14:val="tx1"/>
                  </w14:solidFill>
                </w14:textFill>
              </w:rPr>
            </w:pPr>
          </w:p>
        </w:tc>
      </w:tr>
      <w:tr w14:paraId="0A1BD7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0" w:hRule="atLeast"/>
          <w:jc w:val="center"/>
        </w:trPr>
        <w:tc>
          <w:tcPr>
            <w:tcW w:w="8674" w:type="dxa"/>
            <w:tcBorders>
              <w:top w:val="single" w:color="000000" w:sz="4" w:space="0"/>
            </w:tcBorders>
            <w:vAlign w:val="center"/>
          </w:tcPr>
          <w:p w14:paraId="41BA91BA">
            <w:pPr>
              <w:ind w:firstLine="482"/>
              <w:jc w:val="both"/>
              <w:rPr>
                <w:b/>
                <w:bCs/>
              </w:rPr>
            </w:pPr>
            <w:r>
              <w:rPr>
                <w:b/>
                <w:bCs/>
              </w:rPr>
              <w:t>工程环境保护投资：</w:t>
            </w:r>
          </w:p>
          <w:p w14:paraId="7C970296">
            <w:pPr>
              <w:autoSpaceDE/>
              <w:autoSpaceDN/>
              <w:adjustRightInd w:val="0"/>
              <w:ind w:left="0" w:leftChars="0" w:right="0" w:rightChars="0" w:firstLine="480"/>
              <w:jc w:val="both"/>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本项目</w:t>
            </w:r>
            <w:r>
              <w:rPr>
                <w:rFonts w:hint="eastAsia"/>
                <w:color w:val="000000" w:themeColor="text1"/>
                <w:lang w:val="en-US" w:eastAsia="zh-CN"/>
                <w14:textFill>
                  <w14:solidFill>
                    <w14:schemeClr w14:val="tx1"/>
                  </w14:solidFill>
                </w14:textFill>
              </w:rPr>
              <w:t>环评阶段项目</w:t>
            </w:r>
            <w:r>
              <w:rPr>
                <w:rFonts w:hint="eastAsia"/>
                <w:color w:val="000000" w:themeColor="text1"/>
                <w:lang w:val="en-US"/>
                <w14:textFill>
                  <w14:solidFill>
                    <w14:schemeClr w14:val="tx1"/>
                  </w14:solidFill>
                </w14:textFill>
              </w:rPr>
              <w:t>总投资为199705.13万元，其中环保投资672万元，占项目总投资的0.34%</w:t>
            </w:r>
            <w:r>
              <w:rPr>
                <w:rFonts w:hint="eastAsia"/>
                <w:color w:val="000000" w:themeColor="text1"/>
                <w:lang w:val="en-US" w:eastAsia="zh-CN"/>
                <w14:textFill>
                  <w14:solidFill>
                    <w14:schemeClr w14:val="tx1"/>
                  </w14:solidFill>
                </w14:textFill>
              </w:rPr>
              <w:t>，</w:t>
            </w:r>
            <w:r>
              <w:rPr>
                <w:color w:val="000000" w:themeColor="text1"/>
                <w:lang w:val="en-US"/>
                <w14:textFill>
                  <w14:solidFill>
                    <w14:schemeClr w14:val="tx1"/>
                  </w14:solidFill>
                </w14:textFill>
              </w:rPr>
              <w:t>项目建成后工程实际总投资</w:t>
            </w:r>
            <w:r>
              <w:rPr>
                <w:rFonts w:hint="eastAsia"/>
                <w:color w:val="000000" w:themeColor="text1"/>
                <w:lang w:val="en-US"/>
                <w14:textFill>
                  <w14:solidFill>
                    <w14:schemeClr w14:val="tx1"/>
                  </w14:solidFill>
                </w14:textFill>
              </w:rPr>
              <w:t>199705.13</w:t>
            </w:r>
            <w:r>
              <w:rPr>
                <w:color w:val="000000" w:themeColor="text1"/>
                <w:lang w:val="en-US"/>
                <w14:textFill>
                  <w14:solidFill>
                    <w14:schemeClr w14:val="tx1"/>
                  </w14:solidFill>
                </w14:textFill>
              </w:rPr>
              <w:t>万元，其中实际完成环保投资</w:t>
            </w:r>
            <w:r>
              <w:rPr>
                <w:rFonts w:hint="eastAsia"/>
                <w:color w:val="000000" w:themeColor="text1"/>
                <w:lang w:val="en-US" w:eastAsia="zh-CN"/>
                <w14:textFill>
                  <w14:solidFill>
                    <w14:schemeClr w14:val="tx1"/>
                  </w14:solidFill>
                </w14:textFill>
              </w:rPr>
              <w:t>681</w:t>
            </w:r>
            <w:r>
              <w:rPr>
                <w:color w:val="000000" w:themeColor="text1"/>
                <w:lang w:val="en-US"/>
                <w14:textFill>
                  <w14:solidFill>
                    <w14:schemeClr w14:val="tx1"/>
                  </w14:solidFill>
                </w14:textFill>
              </w:rPr>
              <w:t>万元</w:t>
            </w:r>
            <w:r>
              <w:rPr>
                <w:rFonts w:hint="eastAsia"/>
                <w:color w:val="000000" w:themeColor="text1"/>
                <w:lang w:val="en-US"/>
                <w14:textFill>
                  <w14:solidFill>
                    <w14:schemeClr w14:val="tx1"/>
                  </w14:solidFill>
                </w14:textFill>
              </w:rPr>
              <w:t>，</w:t>
            </w:r>
            <w:r>
              <w:rPr>
                <w:color w:val="000000" w:themeColor="text1"/>
                <w:lang w:val="en-US"/>
                <w14:textFill>
                  <w14:solidFill>
                    <w14:schemeClr w14:val="tx1"/>
                  </w14:solidFill>
                </w14:textFill>
              </w:rPr>
              <w:t>占实际总投资的</w:t>
            </w:r>
            <w:r>
              <w:rPr>
                <w:rFonts w:hint="eastAsia"/>
                <w:color w:val="000000" w:themeColor="text1"/>
                <w:lang w:val="en-US" w:eastAsia="zh-CN"/>
                <w14:textFill>
                  <w14:solidFill>
                    <w14:schemeClr w14:val="tx1"/>
                  </w14:solidFill>
                </w14:textFill>
              </w:rPr>
              <w:t>0.34</w:t>
            </w:r>
            <w:r>
              <w:rPr>
                <w:color w:val="000000" w:themeColor="text1"/>
                <w:lang w:val="en-US"/>
                <w14:textFill>
                  <w14:solidFill>
                    <w14:schemeClr w14:val="tx1"/>
                  </w14:solidFill>
                </w14:textFill>
              </w:rPr>
              <w:t>%。工程环保投资调查情况见表4-</w:t>
            </w:r>
            <w:r>
              <w:rPr>
                <w:rFonts w:hint="eastAsia"/>
                <w:color w:val="000000" w:themeColor="text1"/>
                <w:lang w:val="en-US"/>
                <w14:textFill>
                  <w14:solidFill>
                    <w14:schemeClr w14:val="tx1"/>
                  </w14:solidFill>
                </w14:textFill>
              </w:rPr>
              <w:t>3</w:t>
            </w:r>
            <w:r>
              <w:rPr>
                <w:color w:val="000000" w:themeColor="text1"/>
                <w:lang w:val="en-US"/>
                <w14:textFill>
                  <w14:solidFill>
                    <w14:schemeClr w14:val="tx1"/>
                  </w14:solidFill>
                </w14:textFill>
              </w:rPr>
              <w:t>。</w:t>
            </w:r>
          </w:p>
          <w:p w14:paraId="1490D8F3">
            <w:pPr>
              <w:tabs>
                <w:tab w:val="left" w:pos="6200"/>
              </w:tabs>
              <w:adjustRightInd w:val="0"/>
              <w:spacing w:after="5"/>
              <w:ind w:firstLine="482"/>
              <w:jc w:val="center"/>
              <w:outlineLvl w:val="1"/>
              <w:rPr>
                <w:color w:val="000000" w:themeColor="text1"/>
                <w14:textFill>
                  <w14:solidFill>
                    <w14:schemeClr w14:val="tx1"/>
                  </w14:solidFill>
                </w14:textFill>
              </w:rPr>
            </w:pPr>
            <w:r>
              <w:rPr>
                <w:b/>
                <w:bCs/>
                <w:color w:val="000000" w:themeColor="text1"/>
                <w14:textFill>
                  <w14:solidFill>
                    <w14:schemeClr w14:val="tx1"/>
                  </w14:solidFill>
                </w14:textFill>
              </w:rPr>
              <w:t>表4-</w:t>
            </w:r>
            <w:r>
              <w:rPr>
                <w:rFonts w:hint="eastAsia"/>
                <w:b/>
                <w:bCs/>
                <w:color w:val="000000" w:themeColor="text1"/>
                <w:lang w:val="en-US"/>
                <w14:textFill>
                  <w14:solidFill>
                    <w14:schemeClr w14:val="tx1"/>
                  </w14:solidFill>
                </w14:textFill>
              </w:rPr>
              <w:t xml:space="preserve">3 </w:t>
            </w:r>
            <w:r>
              <w:rPr>
                <w:b/>
                <w:bCs/>
                <w:color w:val="000000" w:themeColor="text1"/>
                <w14:textFill>
                  <w14:solidFill>
                    <w14:schemeClr w14:val="tx1"/>
                  </w14:solidFill>
                </w14:textFill>
              </w:rPr>
              <w:t>本工程环保投资情况对比汇总表</w:t>
            </w:r>
            <w:r>
              <w:rPr>
                <w:rFonts w:hint="eastAsia"/>
                <w:color w:val="000000" w:themeColor="text1"/>
                <w:lang w:val="en-US"/>
                <w14:textFill>
                  <w14:solidFill>
                    <w14:schemeClr w14:val="tx1"/>
                  </w14:solidFill>
                </w14:textFill>
              </w:rPr>
              <w:t xml:space="preserve">      </w:t>
            </w:r>
            <w:r>
              <w:rPr>
                <w:color w:val="000000" w:themeColor="text1"/>
                <w14:textFill>
                  <w14:solidFill>
                    <w14:schemeClr w14:val="tx1"/>
                  </w14:solidFill>
                </w14:textFill>
              </w:rPr>
              <w:t>单位：万元</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
              <w:gridCol w:w="420"/>
              <w:gridCol w:w="2708"/>
              <w:gridCol w:w="630"/>
              <w:gridCol w:w="2510"/>
              <w:gridCol w:w="639"/>
              <w:gridCol w:w="1100"/>
            </w:tblGrid>
            <w:tr w14:paraId="5CFA2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431" w:type="dxa"/>
                  <w:vMerge w:val="restart"/>
                  <w:vAlign w:val="center"/>
                </w:tcPr>
                <w:p w14:paraId="1DBF7501">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类别</w:t>
                  </w:r>
                </w:p>
              </w:tc>
              <w:tc>
                <w:tcPr>
                  <w:tcW w:w="420" w:type="dxa"/>
                  <w:vMerge w:val="restart"/>
                  <w:vAlign w:val="center"/>
                </w:tcPr>
                <w:p w14:paraId="7908A163">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项目</w:t>
                  </w:r>
                </w:p>
              </w:tc>
              <w:tc>
                <w:tcPr>
                  <w:tcW w:w="3338" w:type="dxa"/>
                  <w:gridSpan w:val="2"/>
                  <w:vAlign w:val="center"/>
                </w:tcPr>
                <w:p w14:paraId="4981368B">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环评要求内容</w:t>
                  </w:r>
                </w:p>
              </w:tc>
              <w:tc>
                <w:tcPr>
                  <w:tcW w:w="3149" w:type="dxa"/>
                  <w:gridSpan w:val="2"/>
                  <w:vAlign w:val="center"/>
                </w:tcPr>
                <w:p w14:paraId="4E764BBC">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实际投资明显</w:t>
                  </w:r>
                </w:p>
              </w:tc>
              <w:tc>
                <w:tcPr>
                  <w:tcW w:w="1100" w:type="dxa"/>
                  <w:vMerge w:val="restart"/>
                  <w:vAlign w:val="center"/>
                </w:tcPr>
                <w:p w14:paraId="492FAC13">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环保投资变动原因</w:t>
                  </w:r>
                </w:p>
              </w:tc>
            </w:tr>
            <w:tr w14:paraId="5977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431" w:type="dxa"/>
                  <w:vMerge w:val="continue"/>
                  <w:vAlign w:val="center"/>
                </w:tcPr>
                <w:p w14:paraId="0C4EBD89">
                  <w:pPr>
                    <w:pStyle w:val="17"/>
                    <w:widowControl w:val="0"/>
                    <w:spacing w:line="240" w:lineRule="auto"/>
                    <w:rPr>
                      <w:color w:val="000000" w:themeColor="text1"/>
                      <w:sz w:val="21"/>
                      <w:szCs w:val="21"/>
                      <w14:textFill>
                        <w14:solidFill>
                          <w14:schemeClr w14:val="tx1"/>
                        </w14:solidFill>
                      </w14:textFill>
                    </w:rPr>
                  </w:pPr>
                </w:p>
              </w:tc>
              <w:tc>
                <w:tcPr>
                  <w:tcW w:w="420" w:type="dxa"/>
                  <w:vMerge w:val="continue"/>
                  <w:vAlign w:val="center"/>
                </w:tcPr>
                <w:p w14:paraId="5AFD69AE">
                  <w:pPr>
                    <w:pStyle w:val="17"/>
                    <w:widowControl w:val="0"/>
                    <w:spacing w:line="240" w:lineRule="auto"/>
                    <w:rPr>
                      <w:color w:val="000000" w:themeColor="text1"/>
                      <w:sz w:val="21"/>
                      <w:szCs w:val="21"/>
                      <w14:textFill>
                        <w14:solidFill>
                          <w14:schemeClr w14:val="tx1"/>
                        </w14:solidFill>
                      </w14:textFill>
                    </w:rPr>
                  </w:pPr>
                </w:p>
              </w:tc>
              <w:tc>
                <w:tcPr>
                  <w:tcW w:w="2708" w:type="dxa"/>
                  <w:vAlign w:val="center"/>
                </w:tcPr>
                <w:p w14:paraId="25FD2A9F">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环保措施</w:t>
                  </w:r>
                </w:p>
              </w:tc>
              <w:tc>
                <w:tcPr>
                  <w:tcW w:w="630" w:type="dxa"/>
                  <w:vAlign w:val="center"/>
                </w:tcPr>
                <w:p w14:paraId="1C0D81C1">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投资</w:t>
                  </w:r>
                </w:p>
              </w:tc>
              <w:tc>
                <w:tcPr>
                  <w:tcW w:w="2510" w:type="dxa"/>
                  <w:vAlign w:val="center"/>
                </w:tcPr>
                <w:p w14:paraId="587DDB2A">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环保措施</w:t>
                  </w:r>
                </w:p>
              </w:tc>
              <w:tc>
                <w:tcPr>
                  <w:tcW w:w="639" w:type="dxa"/>
                  <w:vAlign w:val="center"/>
                </w:tcPr>
                <w:p w14:paraId="3C0FAF50">
                  <w:pPr>
                    <w:pStyle w:val="17"/>
                    <w:widowControl w:val="0"/>
                    <w:spacing w:line="24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投资</w:t>
                  </w:r>
                </w:p>
              </w:tc>
              <w:tc>
                <w:tcPr>
                  <w:tcW w:w="1100" w:type="dxa"/>
                  <w:vMerge w:val="continue"/>
                  <w:vAlign w:val="center"/>
                </w:tcPr>
                <w:p w14:paraId="794C85A7">
                  <w:pPr>
                    <w:pStyle w:val="17"/>
                    <w:widowControl w:val="0"/>
                    <w:spacing w:line="240" w:lineRule="auto"/>
                    <w:rPr>
                      <w:color w:val="000000" w:themeColor="text1"/>
                      <w:sz w:val="21"/>
                      <w:szCs w:val="21"/>
                      <w14:textFill>
                        <w14:solidFill>
                          <w14:schemeClr w14:val="tx1"/>
                        </w14:solidFill>
                      </w14:textFill>
                    </w:rPr>
                  </w:pPr>
                </w:p>
              </w:tc>
            </w:tr>
            <w:tr w14:paraId="51BDB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1" w:type="dxa"/>
                  <w:vMerge w:val="restart"/>
                  <w:vAlign w:val="center"/>
                </w:tcPr>
                <w:p w14:paraId="5B4EBC41">
                  <w:pPr>
                    <w:pStyle w:val="17"/>
                    <w:widowControl w:val="0"/>
                    <w:spacing w:line="240" w:lineRule="auto"/>
                    <w:rPr>
                      <w:sz w:val="21"/>
                      <w:szCs w:val="21"/>
                    </w:rPr>
                  </w:pPr>
                  <w:r>
                    <w:rPr>
                      <w:rFonts w:hint="eastAsia"/>
                      <w:sz w:val="21"/>
                      <w:szCs w:val="21"/>
                    </w:rPr>
                    <w:t>施工期</w:t>
                  </w:r>
                </w:p>
              </w:tc>
              <w:tc>
                <w:tcPr>
                  <w:tcW w:w="420" w:type="dxa"/>
                  <w:vAlign w:val="center"/>
                </w:tcPr>
                <w:p w14:paraId="61E835D1">
                  <w:pPr>
                    <w:pStyle w:val="17"/>
                    <w:widowControl w:val="0"/>
                    <w:spacing w:line="240" w:lineRule="auto"/>
                    <w:rPr>
                      <w:rFonts w:hint="default" w:eastAsia="宋体"/>
                      <w:sz w:val="21"/>
                      <w:szCs w:val="21"/>
                      <w:lang w:val="en-US" w:eastAsia="zh-CN"/>
                    </w:rPr>
                  </w:pPr>
                  <w:r>
                    <w:rPr>
                      <w:rFonts w:hint="eastAsia"/>
                      <w:sz w:val="21"/>
                      <w:szCs w:val="21"/>
                      <w:lang w:val="en-US" w:eastAsia="zh-CN"/>
                    </w:rPr>
                    <w:t>扬尘防治</w:t>
                  </w:r>
                </w:p>
              </w:tc>
              <w:tc>
                <w:tcPr>
                  <w:tcW w:w="2708" w:type="dxa"/>
                  <w:vAlign w:val="center"/>
                </w:tcPr>
                <w:p w14:paraId="43284001">
                  <w:pPr>
                    <w:pStyle w:val="17"/>
                    <w:widowControl w:val="0"/>
                    <w:spacing w:line="240" w:lineRule="auto"/>
                    <w:jc w:val="both"/>
                    <w:rPr>
                      <w:rFonts w:hint="eastAsia"/>
                      <w:sz w:val="21"/>
                      <w:szCs w:val="21"/>
                    </w:rPr>
                  </w:pPr>
                  <w:r>
                    <w:rPr>
                      <w:rFonts w:hint="eastAsia"/>
                      <w:sz w:val="21"/>
                      <w:szCs w:val="21"/>
                    </w:rPr>
                    <w:t>易起尘的砂石料、开挖土方及作业面用防尘网遮盖；运输车辆采用篷布遮盖运输；</w:t>
                  </w:r>
                </w:p>
                <w:p w14:paraId="5FA1D23B">
                  <w:pPr>
                    <w:pStyle w:val="17"/>
                    <w:widowControl w:val="0"/>
                    <w:spacing w:line="240" w:lineRule="auto"/>
                    <w:jc w:val="both"/>
                    <w:rPr>
                      <w:sz w:val="21"/>
                      <w:szCs w:val="21"/>
                    </w:rPr>
                  </w:pPr>
                  <w:r>
                    <w:rPr>
                      <w:rFonts w:hint="eastAsia"/>
                      <w:sz w:val="21"/>
                      <w:szCs w:val="21"/>
                    </w:rPr>
                    <w:t>道路洒水降尘等</w:t>
                  </w:r>
                </w:p>
              </w:tc>
              <w:tc>
                <w:tcPr>
                  <w:tcW w:w="630" w:type="dxa"/>
                  <w:vAlign w:val="center"/>
                </w:tcPr>
                <w:p w14:paraId="16B38AD6">
                  <w:pPr>
                    <w:pStyle w:val="17"/>
                    <w:widowControl w:val="0"/>
                    <w:spacing w:line="240" w:lineRule="auto"/>
                    <w:rPr>
                      <w:rFonts w:hint="default" w:eastAsia="宋体"/>
                      <w:sz w:val="21"/>
                      <w:szCs w:val="21"/>
                      <w:lang w:val="en-US" w:eastAsia="zh-CN"/>
                    </w:rPr>
                  </w:pPr>
                  <w:r>
                    <w:rPr>
                      <w:rFonts w:hint="eastAsia"/>
                      <w:sz w:val="21"/>
                      <w:szCs w:val="21"/>
                      <w:lang w:val="en-US" w:eastAsia="zh-CN"/>
                    </w:rPr>
                    <w:t>22</w:t>
                  </w:r>
                </w:p>
              </w:tc>
              <w:tc>
                <w:tcPr>
                  <w:tcW w:w="2510" w:type="dxa"/>
                  <w:vAlign w:val="center"/>
                </w:tcPr>
                <w:p w14:paraId="0BDFB523">
                  <w:pPr>
                    <w:pStyle w:val="17"/>
                    <w:widowControl w:val="0"/>
                    <w:spacing w:line="240" w:lineRule="auto"/>
                    <w:jc w:val="both"/>
                    <w:rPr>
                      <w:rFonts w:hint="eastAsia"/>
                      <w:sz w:val="21"/>
                      <w:szCs w:val="21"/>
                    </w:rPr>
                  </w:pPr>
                  <w:r>
                    <w:rPr>
                      <w:rFonts w:hint="eastAsia"/>
                      <w:sz w:val="21"/>
                      <w:szCs w:val="21"/>
                      <w:lang w:val="en-US" w:eastAsia="zh-CN"/>
                    </w:rPr>
                    <w:t>对</w:t>
                  </w:r>
                  <w:r>
                    <w:rPr>
                      <w:rFonts w:hint="eastAsia"/>
                      <w:sz w:val="21"/>
                      <w:szCs w:val="21"/>
                    </w:rPr>
                    <w:t>易起尘的砂石料、开挖土方及作业面</w:t>
                  </w:r>
                  <w:r>
                    <w:rPr>
                      <w:rFonts w:hint="eastAsia"/>
                      <w:sz w:val="21"/>
                      <w:szCs w:val="21"/>
                      <w:lang w:val="en-US" w:eastAsia="zh-CN"/>
                    </w:rPr>
                    <w:t>采用了</w:t>
                  </w:r>
                  <w:r>
                    <w:rPr>
                      <w:rFonts w:hint="eastAsia"/>
                      <w:sz w:val="21"/>
                      <w:szCs w:val="21"/>
                    </w:rPr>
                    <w:t>防尘网遮盖</w:t>
                  </w:r>
                  <w:r>
                    <w:rPr>
                      <w:rFonts w:hint="eastAsia"/>
                      <w:sz w:val="21"/>
                      <w:szCs w:val="21"/>
                      <w:lang w:val="en-US" w:eastAsia="zh-CN"/>
                    </w:rPr>
                    <w:t>的措施</w:t>
                  </w:r>
                  <w:r>
                    <w:rPr>
                      <w:rFonts w:hint="eastAsia"/>
                      <w:sz w:val="21"/>
                      <w:szCs w:val="21"/>
                    </w:rPr>
                    <w:t>；运输车辆采用</w:t>
                  </w:r>
                  <w:r>
                    <w:rPr>
                      <w:rFonts w:hint="eastAsia"/>
                      <w:sz w:val="21"/>
                      <w:szCs w:val="21"/>
                      <w:lang w:eastAsia="zh-CN"/>
                    </w:rPr>
                    <w:t>了</w:t>
                  </w:r>
                  <w:r>
                    <w:rPr>
                      <w:rFonts w:hint="eastAsia"/>
                      <w:sz w:val="21"/>
                      <w:szCs w:val="21"/>
                    </w:rPr>
                    <w:t>篷布遮盖运输；</w:t>
                  </w:r>
                </w:p>
                <w:p w14:paraId="049463FD">
                  <w:pPr>
                    <w:pStyle w:val="17"/>
                    <w:widowControl w:val="0"/>
                    <w:spacing w:line="240" w:lineRule="auto"/>
                    <w:jc w:val="both"/>
                    <w:rPr>
                      <w:rFonts w:hint="default" w:eastAsia="宋体"/>
                      <w:sz w:val="21"/>
                      <w:szCs w:val="21"/>
                      <w:lang w:val="en-US" w:eastAsia="zh-CN"/>
                    </w:rPr>
                  </w:pPr>
                  <w:r>
                    <w:rPr>
                      <w:rFonts w:hint="eastAsia"/>
                      <w:sz w:val="21"/>
                      <w:szCs w:val="21"/>
                      <w:lang w:val="en-US" w:eastAsia="zh-CN"/>
                    </w:rPr>
                    <w:t>定期对运输道路进行了洒水降尘、对运输车辆采取了限速的措施</w:t>
                  </w:r>
                </w:p>
              </w:tc>
              <w:tc>
                <w:tcPr>
                  <w:tcW w:w="639" w:type="dxa"/>
                  <w:vAlign w:val="center"/>
                </w:tcPr>
                <w:p w14:paraId="154F0BA5">
                  <w:pPr>
                    <w:pStyle w:val="17"/>
                    <w:widowControl w:val="0"/>
                    <w:spacing w:line="240" w:lineRule="auto"/>
                    <w:rPr>
                      <w:sz w:val="21"/>
                      <w:szCs w:val="21"/>
                    </w:rPr>
                  </w:pPr>
                  <w:r>
                    <w:rPr>
                      <w:rFonts w:hint="eastAsia"/>
                      <w:sz w:val="21"/>
                      <w:szCs w:val="21"/>
                      <w:lang w:val="en-US" w:eastAsia="zh-CN"/>
                    </w:rPr>
                    <w:t>25</w:t>
                  </w:r>
                </w:p>
              </w:tc>
              <w:tc>
                <w:tcPr>
                  <w:tcW w:w="1100" w:type="dxa"/>
                  <w:vAlign w:val="center"/>
                </w:tcPr>
                <w:p w14:paraId="4C97FDC8">
                  <w:pPr>
                    <w:pStyle w:val="17"/>
                    <w:widowControl w:val="0"/>
                    <w:spacing w:line="240" w:lineRule="auto"/>
                    <w:rPr>
                      <w:sz w:val="21"/>
                      <w:szCs w:val="21"/>
                    </w:rPr>
                  </w:pPr>
                  <w:r>
                    <w:rPr>
                      <w:rFonts w:hint="eastAsia"/>
                      <w:sz w:val="21"/>
                      <w:szCs w:val="21"/>
                    </w:rPr>
                    <w:t>无变动</w:t>
                  </w:r>
                </w:p>
              </w:tc>
            </w:tr>
            <w:tr w14:paraId="7F3DE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31" w:type="dxa"/>
                  <w:vMerge w:val="continue"/>
                  <w:vAlign w:val="center"/>
                </w:tcPr>
                <w:p w14:paraId="436D8DDD">
                  <w:pPr>
                    <w:pStyle w:val="17"/>
                    <w:widowControl w:val="0"/>
                    <w:spacing w:line="240" w:lineRule="auto"/>
                    <w:rPr>
                      <w:sz w:val="21"/>
                      <w:szCs w:val="21"/>
                    </w:rPr>
                  </w:pPr>
                </w:p>
              </w:tc>
              <w:tc>
                <w:tcPr>
                  <w:tcW w:w="420" w:type="dxa"/>
                  <w:vAlign w:val="center"/>
                </w:tcPr>
                <w:p w14:paraId="4897B79E">
                  <w:pPr>
                    <w:pStyle w:val="17"/>
                    <w:widowControl w:val="0"/>
                    <w:spacing w:line="240" w:lineRule="auto"/>
                    <w:rPr>
                      <w:rFonts w:hint="eastAsia" w:eastAsia="宋体"/>
                      <w:sz w:val="21"/>
                      <w:szCs w:val="21"/>
                      <w:lang w:val="en-US" w:eastAsia="zh-CN"/>
                    </w:rPr>
                  </w:pPr>
                  <w:r>
                    <w:rPr>
                      <w:rFonts w:hint="eastAsia"/>
                      <w:sz w:val="21"/>
                      <w:szCs w:val="21"/>
                    </w:rPr>
                    <w:t>废水</w:t>
                  </w:r>
                  <w:r>
                    <w:rPr>
                      <w:rFonts w:hint="eastAsia"/>
                      <w:sz w:val="21"/>
                      <w:szCs w:val="21"/>
                      <w:lang w:val="en-US" w:eastAsia="zh-CN"/>
                    </w:rPr>
                    <w:t>处理</w:t>
                  </w:r>
                </w:p>
              </w:tc>
              <w:tc>
                <w:tcPr>
                  <w:tcW w:w="2708" w:type="dxa"/>
                  <w:vAlign w:val="center"/>
                </w:tcPr>
                <w:p w14:paraId="153907C7">
                  <w:pPr>
                    <w:pStyle w:val="17"/>
                    <w:widowControl w:val="0"/>
                    <w:spacing w:line="240" w:lineRule="auto"/>
                    <w:jc w:val="both"/>
                    <w:rPr>
                      <w:sz w:val="21"/>
                      <w:szCs w:val="21"/>
                    </w:rPr>
                  </w:pPr>
                  <w:r>
                    <w:rPr>
                      <w:rFonts w:hint="eastAsia"/>
                      <w:sz w:val="21"/>
                      <w:szCs w:val="21"/>
                      <w:lang w:eastAsia="zh-CN"/>
                    </w:rPr>
                    <w:t>施工废水防渗沉淀池、防渗旱厕</w:t>
                  </w:r>
                </w:p>
              </w:tc>
              <w:tc>
                <w:tcPr>
                  <w:tcW w:w="630" w:type="dxa"/>
                  <w:vAlign w:val="center"/>
                </w:tcPr>
                <w:p w14:paraId="50E7A873">
                  <w:pPr>
                    <w:pStyle w:val="17"/>
                    <w:widowControl w:val="0"/>
                    <w:spacing w:line="240" w:lineRule="auto"/>
                    <w:rPr>
                      <w:rFonts w:hint="default" w:eastAsia="宋体"/>
                      <w:sz w:val="21"/>
                      <w:szCs w:val="21"/>
                      <w:lang w:val="en-US" w:eastAsia="zh-CN"/>
                    </w:rPr>
                  </w:pPr>
                  <w:r>
                    <w:rPr>
                      <w:rFonts w:hint="eastAsia"/>
                      <w:sz w:val="21"/>
                      <w:szCs w:val="21"/>
                      <w:lang w:val="en-US" w:eastAsia="zh-CN"/>
                    </w:rPr>
                    <w:t>10</w:t>
                  </w:r>
                </w:p>
              </w:tc>
              <w:tc>
                <w:tcPr>
                  <w:tcW w:w="2510" w:type="dxa"/>
                  <w:vAlign w:val="center"/>
                </w:tcPr>
                <w:p w14:paraId="14DC26F2">
                  <w:pPr>
                    <w:pStyle w:val="17"/>
                    <w:widowControl w:val="0"/>
                    <w:spacing w:line="240" w:lineRule="auto"/>
                    <w:jc w:val="both"/>
                    <w:rPr>
                      <w:sz w:val="21"/>
                      <w:szCs w:val="21"/>
                    </w:rPr>
                  </w:pPr>
                  <w:r>
                    <w:rPr>
                      <w:rFonts w:hint="eastAsia"/>
                      <w:sz w:val="21"/>
                      <w:szCs w:val="21"/>
                      <w:lang w:eastAsia="zh-CN"/>
                    </w:rPr>
                    <w:t>施工废水</w:t>
                  </w:r>
                  <w:r>
                    <w:rPr>
                      <w:rFonts w:hint="eastAsia"/>
                      <w:sz w:val="21"/>
                      <w:szCs w:val="21"/>
                      <w:lang w:val="en-US" w:eastAsia="zh-CN"/>
                    </w:rPr>
                    <w:t>采用</w:t>
                  </w:r>
                  <w:r>
                    <w:rPr>
                      <w:rFonts w:hint="eastAsia"/>
                      <w:sz w:val="21"/>
                      <w:szCs w:val="21"/>
                      <w:lang w:eastAsia="zh-CN"/>
                    </w:rPr>
                    <w:t>防渗沉淀池</w:t>
                  </w:r>
                  <w:r>
                    <w:rPr>
                      <w:rFonts w:hint="eastAsia"/>
                      <w:sz w:val="21"/>
                      <w:szCs w:val="21"/>
                      <w:lang w:val="en-US" w:eastAsia="zh-CN"/>
                    </w:rPr>
                    <w:t>沉淀后进行了洒水抑尘</w:t>
                  </w:r>
                  <w:r>
                    <w:rPr>
                      <w:rFonts w:hint="eastAsia"/>
                      <w:sz w:val="21"/>
                      <w:szCs w:val="21"/>
                      <w:lang w:eastAsia="zh-CN"/>
                    </w:rPr>
                    <w:t>、</w:t>
                  </w:r>
                  <w:r>
                    <w:rPr>
                      <w:rFonts w:hint="eastAsia"/>
                      <w:sz w:val="21"/>
                      <w:szCs w:val="21"/>
                      <w:lang w:val="en-US" w:eastAsia="zh-CN"/>
                    </w:rPr>
                    <w:t>职工生活污水利用了</w:t>
                  </w:r>
                  <w:r>
                    <w:rPr>
                      <w:rFonts w:hint="eastAsia"/>
                      <w:sz w:val="21"/>
                      <w:szCs w:val="21"/>
                      <w:lang w:eastAsia="zh-CN"/>
                    </w:rPr>
                    <w:t>防渗旱厕</w:t>
                  </w:r>
                </w:p>
              </w:tc>
              <w:tc>
                <w:tcPr>
                  <w:tcW w:w="639" w:type="dxa"/>
                  <w:vAlign w:val="center"/>
                </w:tcPr>
                <w:p w14:paraId="19A621AF">
                  <w:pPr>
                    <w:pStyle w:val="17"/>
                    <w:widowControl w:val="0"/>
                    <w:spacing w:line="240" w:lineRule="auto"/>
                    <w:rPr>
                      <w:sz w:val="21"/>
                      <w:szCs w:val="21"/>
                    </w:rPr>
                  </w:pPr>
                  <w:r>
                    <w:rPr>
                      <w:rFonts w:hint="eastAsia"/>
                      <w:sz w:val="21"/>
                      <w:szCs w:val="21"/>
                      <w:lang w:val="en-US" w:eastAsia="zh-CN"/>
                    </w:rPr>
                    <w:t>10</w:t>
                  </w:r>
                </w:p>
              </w:tc>
              <w:tc>
                <w:tcPr>
                  <w:tcW w:w="1100" w:type="dxa"/>
                  <w:vAlign w:val="center"/>
                </w:tcPr>
                <w:p w14:paraId="6ED27E66">
                  <w:pPr>
                    <w:pStyle w:val="17"/>
                    <w:widowControl w:val="0"/>
                    <w:spacing w:line="240" w:lineRule="auto"/>
                    <w:rPr>
                      <w:sz w:val="21"/>
                      <w:szCs w:val="21"/>
                    </w:rPr>
                  </w:pPr>
                  <w:r>
                    <w:rPr>
                      <w:rFonts w:hint="eastAsia"/>
                      <w:sz w:val="21"/>
                      <w:szCs w:val="21"/>
                    </w:rPr>
                    <w:t>无变动</w:t>
                  </w:r>
                </w:p>
              </w:tc>
            </w:tr>
            <w:tr w14:paraId="24BB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431" w:type="dxa"/>
                  <w:vMerge w:val="continue"/>
                  <w:vAlign w:val="center"/>
                </w:tcPr>
                <w:p w14:paraId="19BF2C7B">
                  <w:pPr>
                    <w:pStyle w:val="17"/>
                    <w:widowControl w:val="0"/>
                    <w:spacing w:line="240" w:lineRule="auto"/>
                    <w:rPr>
                      <w:sz w:val="21"/>
                      <w:szCs w:val="21"/>
                    </w:rPr>
                  </w:pPr>
                </w:p>
              </w:tc>
              <w:tc>
                <w:tcPr>
                  <w:tcW w:w="420" w:type="dxa"/>
                  <w:vMerge w:val="restart"/>
                  <w:vAlign w:val="center"/>
                </w:tcPr>
                <w:p w14:paraId="167535E8">
                  <w:pPr>
                    <w:pStyle w:val="17"/>
                    <w:widowControl w:val="0"/>
                    <w:spacing w:line="240" w:lineRule="auto"/>
                    <w:rPr>
                      <w:rFonts w:hint="eastAsia" w:eastAsia="宋体"/>
                      <w:sz w:val="21"/>
                      <w:szCs w:val="21"/>
                      <w:lang w:val="en-US" w:eastAsia="zh-CN"/>
                    </w:rPr>
                  </w:pPr>
                  <w:r>
                    <w:rPr>
                      <w:rFonts w:hint="eastAsia"/>
                      <w:sz w:val="21"/>
                      <w:szCs w:val="21"/>
                    </w:rPr>
                    <w:t>固废</w:t>
                  </w:r>
                  <w:r>
                    <w:rPr>
                      <w:rFonts w:hint="eastAsia"/>
                      <w:sz w:val="21"/>
                      <w:szCs w:val="21"/>
                      <w:lang w:val="en-US" w:eastAsia="zh-CN"/>
                    </w:rPr>
                    <w:t>废物</w:t>
                  </w:r>
                </w:p>
              </w:tc>
              <w:tc>
                <w:tcPr>
                  <w:tcW w:w="2708" w:type="dxa"/>
                  <w:vAlign w:val="center"/>
                </w:tcPr>
                <w:p w14:paraId="6744D7BB">
                  <w:pPr>
                    <w:pStyle w:val="17"/>
                    <w:widowControl w:val="0"/>
                    <w:spacing w:line="240" w:lineRule="auto"/>
                    <w:jc w:val="both"/>
                    <w:rPr>
                      <w:sz w:val="21"/>
                      <w:szCs w:val="21"/>
                    </w:rPr>
                  </w:pPr>
                  <w:r>
                    <w:rPr>
                      <w:rFonts w:hint="eastAsia"/>
                      <w:sz w:val="21"/>
                      <w:szCs w:val="21"/>
                    </w:rPr>
                    <w:t>设置生活垃圾收集箱，定期清运；设置餐厨垃圾收集桶等</w:t>
                  </w:r>
                </w:p>
              </w:tc>
              <w:tc>
                <w:tcPr>
                  <w:tcW w:w="630" w:type="dxa"/>
                  <w:vAlign w:val="center"/>
                </w:tcPr>
                <w:p w14:paraId="2AE87D49">
                  <w:pPr>
                    <w:pStyle w:val="17"/>
                    <w:widowControl w:val="0"/>
                    <w:spacing w:line="240" w:lineRule="auto"/>
                    <w:rPr>
                      <w:rFonts w:hint="default" w:eastAsia="宋体"/>
                      <w:sz w:val="21"/>
                      <w:szCs w:val="21"/>
                      <w:lang w:val="en-US" w:eastAsia="zh-CN"/>
                    </w:rPr>
                  </w:pPr>
                  <w:r>
                    <w:rPr>
                      <w:rFonts w:hint="eastAsia"/>
                      <w:sz w:val="21"/>
                      <w:szCs w:val="21"/>
                      <w:lang w:val="en-US" w:eastAsia="zh-CN"/>
                    </w:rPr>
                    <w:t>5</w:t>
                  </w:r>
                </w:p>
              </w:tc>
              <w:tc>
                <w:tcPr>
                  <w:tcW w:w="2510" w:type="dxa"/>
                  <w:vAlign w:val="center"/>
                </w:tcPr>
                <w:p w14:paraId="6514E99F">
                  <w:pPr>
                    <w:pStyle w:val="17"/>
                    <w:widowControl w:val="0"/>
                    <w:spacing w:line="240" w:lineRule="auto"/>
                    <w:jc w:val="both"/>
                    <w:rPr>
                      <w:rFonts w:hint="default" w:eastAsia="宋体"/>
                      <w:sz w:val="21"/>
                      <w:szCs w:val="21"/>
                      <w:lang w:val="en-US" w:eastAsia="zh-CN"/>
                    </w:rPr>
                  </w:pPr>
                  <w:r>
                    <w:rPr>
                      <w:rFonts w:hint="eastAsia"/>
                      <w:sz w:val="21"/>
                      <w:szCs w:val="21"/>
                      <w:lang w:val="en-US" w:eastAsia="zh-CN"/>
                    </w:rPr>
                    <w:t>职工生活垃圾经</w:t>
                  </w:r>
                  <w:r>
                    <w:rPr>
                      <w:rFonts w:hint="eastAsia"/>
                      <w:sz w:val="21"/>
                      <w:szCs w:val="21"/>
                    </w:rPr>
                    <w:t>生活垃圾收集箱</w:t>
                  </w:r>
                  <w:r>
                    <w:rPr>
                      <w:rFonts w:hint="eastAsia"/>
                      <w:sz w:val="21"/>
                      <w:szCs w:val="21"/>
                      <w:lang w:val="en-US" w:eastAsia="zh-CN"/>
                    </w:rPr>
                    <w:t>分类收集后</w:t>
                  </w:r>
                  <w:r>
                    <w:rPr>
                      <w:rFonts w:hint="eastAsia"/>
                      <w:sz w:val="21"/>
                      <w:szCs w:val="21"/>
                    </w:rPr>
                    <w:t>定期清运；</w:t>
                  </w:r>
                  <w:r>
                    <w:rPr>
                      <w:rFonts w:hint="eastAsia"/>
                      <w:sz w:val="21"/>
                      <w:szCs w:val="21"/>
                      <w:lang w:val="en-US" w:eastAsia="zh-CN"/>
                    </w:rPr>
                    <w:t>食堂餐厨垃圾经</w:t>
                  </w:r>
                  <w:r>
                    <w:rPr>
                      <w:rFonts w:hint="eastAsia"/>
                      <w:sz w:val="21"/>
                      <w:szCs w:val="21"/>
                    </w:rPr>
                    <w:t>餐厨垃圾收集桶</w:t>
                  </w:r>
                  <w:r>
                    <w:rPr>
                      <w:rFonts w:hint="eastAsia"/>
                      <w:sz w:val="21"/>
                      <w:szCs w:val="21"/>
                      <w:lang w:val="en-US" w:eastAsia="zh-CN"/>
                    </w:rPr>
                    <w:t>收集后定期清运处置</w:t>
                  </w:r>
                </w:p>
              </w:tc>
              <w:tc>
                <w:tcPr>
                  <w:tcW w:w="639" w:type="dxa"/>
                  <w:vAlign w:val="center"/>
                </w:tcPr>
                <w:p w14:paraId="501E8518">
                  <w:pPr>
                    <w:pStyle w:val="17"/>
                    <w:widowControl w:val="0"/>
                    <w:spacing w:line="240" w:lineRule="auto"/>
                    <w:rPr>
                      <w:rFonts w:hint="default"/>
                      <w:sz w:val="21"/>
                      <w:szCs w:val="21"/>
                      <w:lang w:val="en-US"/>
                    </w:rPr>
                  </w:pPr>
                  <w:r>
                    <w:rPr>
                      <w:rFonts w:hint="eastAsia"/>
                      <w:sz w:val="21"/>
                      <w:szCs w:val="21"/>
                      <w:lang w:val="en-US" w:eastAsia="zh-CN"/>
                    </w:rPr>
                    <w:t>5</w:t>
                  </w:r>
                </w:p>
              </w:tc>
              <w:tc>
                <w:tcPr>
                  <w:tcW w:w="1100" w:type="dxa"/>
                  <w:vAlign w:val="center"/>
                </w:tcPr>
                <w:p w14:paraId="79652911">
                  <w:pPr>
                    <w:pStyle w:val="17"/>
                    <w:widowControl w:val="0"/>
                    <w:spacing w:line="240" w:lineRule="auto"/>
                    <w:jc w:val="both"/>
                    <w:rPr>
                      <w:rFonts w:hint="eastAsia" w:ascii="Times New Roman" w:hAnsi="Times New Roman" w:eastAsia="宋体" w:cs="Times New Roman"/>
                      <w:kern w:val="18"/>
                      <w:sz w:val="21"/>
                      <w:szCs w:val="21"/>
                      <w:lang w:val="en-US" w:eastAsia="zh-CN" w:bidi="ar-SA"/>
                    </w:rPr>
                  </w:pPr>
                  <w:r>
                    <w:rPr>
                      <w:rFonts w:hint="eastAsia"/>
                      <w:sz w:val="21"/>
                      <w:szCs w:val="21"/>
                    </w:rPr>
                    <w:t>无变动</w:t>
                  </w:r>
                </w:p>
              </w:tc>
            </w:tr>
            <w:tr w14:paraId="5CB2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431" w:type="dxa"/>
                  <w:vMerge w:val="continue"/>
                  <w:vAlign w:val="center"/>
                </w:tcPr>
                <w:p w14:paraId="3372E78C">
                  <w:pPr>
                    <w:pStyle w:val="17"/>
                    <w:widowControl w:val="0"/>
                    <w:spacing w:line="240" w:lineRule="auto"/>
                    <w:rPr>
                      <w:sz w:val="21"/>
                      <w:szCs w:val="21"/>
                    </w:rPr>
                  </w:pPr>
                </w:p>
              </w:tc>
              <w:tc>
                <w:tcPr>
                  <w:tcW w:w="420" w:type="dxa"/>
                  <w:vMerge w:val="continue"/>
                  <w:vAlign w:val="center"/>
                </w:tcPr>
                <w:p w14:paraId="434BE113">
                  <w:pPr>
                    <w:pStyle w:val="17"/>
                    <w:widowControl w:val="0"/>
                    <w:spacing w:line="240" w:lineRule="auto"/>
                    <w:rPr>
                      <w:sz w:val="21"/>
                      <w:szCs w:val="21"/>
                    </w:rPr>
                  </w:pPr>
                </w:p>
              </w:tc>
              <w:tc>
                <w:tcPr>
                  <w:tcW w:w="2708" w:type="dxa"/>
                  <w:vAlign w:val="center"/>
                </w:tcPr>
                <w:p w14:paraId="2FA3FE3C">
                  <w:pPr>
                    <w:pStyle w:val="17"/>
                    <w:widowControl w:val="0"/>
                    <w:spacing w:line="240" w:lineRule="auto"/>
                    <w:jc w:val="both"/>
                    <w:rPr>
                      <w:rFonts w:hint="eastAsia" w:eastAsia="宋体"/>
                      <w:sz w:val="21"/>
                      <w:szCs w:val="21"/>
                      <w:lang w:eastAsia="zh-CN"/>
                    </w:rPr>
                  </w:pPr>
                  <w:r>
                    <w:rPr>
                      <w:rFonts w:hint="eastAsia"/>
                      <w:sz w:val="21"/>
                      <w:szCs w:val="21"/>
                      <w:lang w:eastAsia="zh-CN"/>
                    </w:rPr>
                    <w:t>建筑装修垃圾分类收集，并进行筑路回填</w:t>
                  </w:r>
                </w:p>
              </w:tc>
              <w:tc>
                <w:tcPr>
                  <w:tcW w:w="630" w:type="dxa"/>
                  <w:vAlign w:val="center"/>
                </w:tcPr>
                <w:p w14:paraId="797CB196">
                  <w:pPr>
                    <w:pStyle w:val="17"/>
                    <w:widowControl w:val="0"/>
                    <w:spacing w:line="240" w:lineRule="auto"/>
                    <w:rPr>
                      <w:rFonts w:hint="default" w:eastAsia="宋体"/>
                      <w:sz w:val="21"/>
                      <w:szCs w:val="21"/>
                      <w:lang w:val="en-US" w:eastAsia="zh-CN"/>
                    </w:rPr>
                  </w:pPr>
                  <w:r>
                    <w:rPr>
                      <w:rFonts w:hint="eastAsia"/>
                      <w:sz w:val="21"/>
                      <w:szCs w:val="21"/>
                      <w:lang w:val="en-US" w:eastAsia="zh-CN"/>
                    </w:rPr>
                    <w:t>5</w:t>
                  </w:r>
                </w:p>
              </w:tc>
              <w:tc>
                <w:tcPr>
                  <w:tcW w:w="2510" w:type="dxa"/>
                  <w:vAlign w:val="center"/>
                </w:tcPr>
                <w:p w14:paraId="61283793">
                  <w:pPr>
                    <w:pStyle w:val="17"/>
                    <w:widowControl w:val="0"/>
                    <w:spacing w:line="240" w:lineRule="auto"/>
                    <w:jc w:val="both"/>
                    <w:rPr>
                      <w:rFonts w:hint="eastAsia" w:eastAsia="宋体"/>
                      <w:sz w:val="21"/>
                      <w:szCs w:val="21"/>
                      <w:lang w:eastAsia="zh-CN"/>
                    </w:rPr>
                  </w:pPr>
                  <w:r>
                    <w:rPr>
                      <w:rFonts w:hint="eastAsia"/>
                      <w:sz w:val="21"/>
                      <w:szCs w:val="21"/>
                      <w:lang w:val="en-US" w:eastAsia="zh-CN"/>
                    </w:rPr>
                    <w:t>可利用的建筑垃圾进行了分类收集后进行了回收，不可利用的建筑垃圾如废混凝土块等</w:t>
                  </w:r>
                  <w:r>
                    <w:rPr>
                      <w:rFonts w:hint="eastAsia"/>
                      <w:sz w:val="21"/>
                      <w:szCs w:val="21"/>
                      <w:lang w:eastAsia="zh-CN"/>
                    </w:rPr>
                    <w:t>进行了筑路回填</w:t>
                  </w:r>
                </w:p>
              </w:tc>
              <w:tc>
                <w:tcPr>
                  <w:tcW w:w="639" w:type="dxa"/>
                  <w:vAlign w:val="center"/>
                </w:tcPr>
                <w:p w14:paraId="52748CDB">
                  <w:pPr>
                    <w:pStyle w:val="17"/>
                    <w:widowControl w:val="0"/>
                    <w:spacing w:line="240" w:lineRule="auto"/>
                    <w:rPr>
                      <w:sz w:val="21"/>
                      <w:szCs w:val="21"/>
                    </w:rPr>
                  </w:pPr>
                  <w:r>
                    <w:rPr>
                      <w:rFonts w:hint="eastAsia"/>
                      <w:sz w:val="21"/>
                      <w:szCs w:val="21"/>
                      <w:lang w:val="en-US" w:eastAsia="zh-CN"/>
                    </w:rPr>
                    <w:t>5</w:t>
                  </w:r>
                </w:p>
              </w:tc>
              <w:tc>
                <w:tcPr>
                  <w:tcW w:w="1100" w:type="dxa"/>
                  <w:vAlign w:val="center"/>
                </w:tcPr>
                <w:p w14:paraId="405D8FD9">
                  <w:pPr>
                    <w:pStyle w:val="17"/>
                    <w:widowControl w:val="0"/>
                    <w:spacing w:line="240" w:lineRule="auto"/>
                    <w:rPr>
                      <w:sz w:val="21"/>
                      <w:szCs w:val="21"/>
                    </w:rPr>
                  </w:pPr>
                  <w:r>
                    <w:rPr>
                      <w:rFonts w:hint="eastAsia"/>
                      <w:sz w:val="21"/>
                      <w:szCs w:val="21"/>
                    </w:rPr>
                    <w:t>无变动</w:t>
                  </w:r>
                </w:p>
              </w:tc>
            </w:tr>
            <w:tr w14:paraId="35C56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431" w:type="dxa"/>
                  <w:vMerge w:val="restart"/>
                  <w:vAlign w:val="center"/>
                </w:tcPr>
                <w:p w14:paraId="36C608C1">
                  <w:pPr>
                    <w:pStyle w:val="17"/>
                    <w:widowControl w:val="0"/>
                    <w:spacing w:line="240" w:lineRule="auto"/>
                    <w:rPr>
                      <w:rFonts w:hint="eastAsia" w:eastAsia="宋体"/>
                      <w:sz w:val="21"/>
                      <w:szCs w:val="21"/>
                      <w:lang w:val="en-US" w:eastAsia="zh-CN"/>
                    </w:rPr>
                  </w:pPr>
                  <w:r>
                    <w:rPr>
                      <w:rFonts w:hint="eastAsia"/>
                      <w:sz w:val="21"/>
                      <w:szCs w:val="21"/>
                      <w:lang w:val="en-US" w:eastAsia="zh-CN"/>
                    </w:rPr>
                    <w:t>运营期</w:t>
                  </w:r>
                </w:p>
              </w:tc>
              <w:tc>
                <w:tcPr>
                  <w:tcW w:w="420" w:type="dxa"/>
                  <w:vAlign w:val="center"/>
                </w:tcPr>
                <w:p w14:paraId="388BDE3A">
                  <w:pPr>
                    <w:pStyle w:val="17"/>
                    <w:widowControl w:val="0"/>
                    <w:spacing w:line="240" w:lineRule="auto"/>
                    <w:rPr>
                      <w:rFonts w:hint="eastAsia" w:eastAsia="宋体"/>
                      <w:sz w:val="21"/>
                      <w:szCs w:val="21"/>
                      <w:lang w:val="en-US" w:eastAsia="zh-CN"/>
                    </w:rPr>
                  </w:pPr>
                  <w:r>
                    <w:rPr>
                      <w:rFonts w:hint="eastAsia"/>
                      <w:sz w:val="21"/>
                      <w:szCs w:val="21"/>
                      <w:lang w:val="en-US" w:eastAsia="zh-CN"/>
                    </w:rPr>
                    <w:t>废水处理</w:t>
                  </w:r>
                </w:p>
              </w:tc>
              <w:tc>
                <w:tcPr>
                  <w:tcW w:w="2708" w:type="dxa"/>
                  <w:vAlign w:val="center"/>
                </w:tcPr>
                <w:p w14:paraId="0079CA16">
                  <w:pPr>
                    <w:pStyle w:val="17"/>
                    <w:widowControl w:val="0"/>
                    <w:spacing w:line="240" w:lineRule="auto"/>
                    <w:jc w:val="both"/>
                    <w:rPr>
                      <w:rFonts w:hint="eastAsia"/>
                      <w:sz w:val="21"/>
                      <w:szCs w:val="21"/>
                      <w:lang w:eastAsia="zh-CN"/>
                    </w:rPr>
                  </w:pPr>
                  <w:r>
                    <w:rPr>
                      <w:rFonts w:hint="eastAsia"/>
                      <w:sz w:val="21"/>
                      <w:szCs w:val="21"/>
                      <w:lang w:eastAsia="zh-CN"/>
                    </w:rPr>
                    <w:t>1座15m</w:t>
                  </w:r>
                  <w:r>
                    <w:rPr>
                      <w:rFonts w:hint="eastAsia"/>
                      <w:sz w:val="21"/>
                      <w:szCs w:val="21"/>
                      <w:vertAlign w:val="superscript"/>
                      <w:lang w:eastAsia="zh-CN"/>
                    </w:rPr>
                    <w:t>3</w:t>
                  </w:r>
                  <w:r>
                    <w:rPr>
                      <w:rFonts w:hint="eastAsia"/>
                      <w:sz w:val="21"/>
                      <w:szCs w:val="21"/>
                      <w:lang w:eastAsia="zh-CN"/>
                    </w:rPr>
                    <w:t>一体化地埋式污水处理装置</w:t>
                  </w:r>
                </w:p>
              </w:tc>
              <w:tc>
                <w:tcPr>
                  <w:tcW w:w="630" w:type="dxa"/>
                  <w:vAlign w:val="center"/>
                </w:tcPr>
                <w:p w14:paraId="2FCCEA9B">
                  <w:pPr>
                    <w:pStyle w:val="17"/>
                    <w:widowControl w:val="0"/>
                    <w:spacing w:line="240" w:lineRule="auto"/>
                    <w:rPr>
                      <w:rFonts w:hint="default"/>
                      <w:sz w:val="21"/>
                      <w:szCs w:val="21"/>
                      <w:lang w:val="en-US" w:eastAsia="zh-CN"/>
                    </w:rPr>
                  </w:pPr>
                  <w:r>
                    <w:rPr>
                      <w:rFonts w:hint="eastAsia"/>
                      <w:sz w:val="21"/>
                      <w:szCs w:val="21"/>
                      <w:lang w:val="en-US" w:eastAsia="zh-CN"/>
                    </w:rPr>
                    <w:t>10</w:t>
                  </w:r>
                </w:p>
              </w:tc>
              <w:tc>
                <w:tcPr>
                  <w:tcW w:w="2510" w:type="dxa"/>
                  <w:vAlign w:val="center"/>
                </w:tcPr>
                <w:p w14:paraId="0FA964D5">
                  <w:pPr>
                    <w:pStyle w:val="17"/>
                    <w:widowControl w:val="0"/>
                    <w:spacing w:line="240" w:lineRule="auto"/>
                    <w:jc w:val="both"/>
                    <w:rPr>
                      <w:rFonts w:hint="eastAsia"/>
                      <w:sz w:val="21"/>
                      <w:szCs w:val="21"/>
                      <w:lang w:eastAsia="zh-CN"/>
                    </w:rPr>
                  </w:pPr>
                  <w:r>
                    <w:rPr>
                      <w:rFonts w:hint="eastAsia"/>
                      <w:sz w:val="21"/>
                      <w:szCs w:val="21"/>
                      <w:lang w:val="en-US" w:eastAsia="zh-CN"/>
                    </w:rPr>
                    <w:t>设置了</w:t>
                  </w:r>
                  <w:r>
                    <w:rPr>
                      <w:rFonts w:hint="eastAsia"/>
                      <w:sz w:val="21"/>
                      <w:szCs w:val="21"/>
                      <w:lang w:eastAsia="zh-CN"/>
                    </w:rPr>
                    <w:t>1座15m</w:t>
                  </w:r>
                  <w:r>
                    <w:rPr>
                      <w:rFonts w:hint="eastAsia"/>
                      <w:sz w:val="21"/>
                      <w:szCs w:val="21"/>
                      <w:vertAlign w:val="superscript"/>
                      <w:lang w:eastAsia="zh-CN"/>
                    </w:rPr>
                    <w:t>3</w:t>
                  </w:r>
                  <w:r>
                    <w:rPr>
                      <w:rFonts w:hint="eastAsia"/>
                      <w:sz w:val="21"/>
                      <w:szCs w:val="21"/>
                      <w:lang w:val="en-US" w:eastAsia="zh-CN"/>
                    </w:rPr>
                    <w:t>的一</w:t>
                  </w:r>
                  <w:r>
                    <w:rPr>
                      <w:rFonts w:hint="eastAsia"/>
                      <w:sz w:val="21"/>
                      <w:szCs w:val="21"/>
                      <w:lang w:eastAsia="zh-CN"/>
                    </w:rPr>
                    <w:t>体化地埋式污水处理装置</w:t>
                  </w:r>
                </w:p>
              </w:tc>
              <w:tc>
                <w:tcPr>
                  <w:tcW w:w="639" w:type="dxa"/>
                  <w:vAlign w:val="center"/>
                </w:tcPr>
                <w:p w14:paraId="7A11E262">
                  <w:pPr>
                    <w:pStyle w:val="17"/>
                    <w:widowControl w:val="0"/>
                    <w:spacing w:line="240" w:lineRule="auto"/>
                    <w:rPr>
                      <w:rFonts w:hint="eastAsia"/>
                      <w:sz w:val="21"/>
                      <w:szCs w:val="21"/>
                      <w:lang w:val="en-US" w:eastAsia="zh-CN"/>
                    </w:rPr>
                  </w:pPr>
                  <w:r>
                    <w:rPr>
                      <w:rFonts w:hint="eastAsia"/>
                      <w:sz w:val="21"/>
                      <w:szCs w:val="21"/>
                      <w:lang w:val="en-US" w:eastAsia="zh-CN"/>
                    </w:rPr>
                    <w:t>10</w:t>
                  </w:r>
                </w:p>
              </w:tc>
              <w:tc>
                <w:tcPr>
                  <w:tcW w:w="1100" w:type="dxa"/>
                  <w:vAlign w:val="center"/>
                </w:tcPr>
                <w:p w14:paraId="703E936F">
                  <w:pPr>
                    <w:pStyle w:val="17"/>
                    <w:widowControl w:val="0"/>
                    <w:spacing w:line="240" w:lineRule="auto"/>
                    <w:rPr>
                      <w:rFonts w:hint="eastAsia"/>
                      <w:sz w:val="21"/>
                      <w:szCs w:val="21"/>
                    </w:rPr>
                  </w:pPr>
                  <w:r>
                    <w:rPr>
                      <w:rFonts w:hint="eastAsia"/>
                      <w:sz w:val="21"/>
                      <w:szCs w:val="21"/>
                    </w:rPr>
                    <w:t>无变动</w:t>
                  </w:r>
                </w:p>
              </w:tc>
            </w:tr>
            <w:tr w14:paraId="489B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431" w:type="dxa"/>
                  <w:vMerge w:val="continue"/>
                  <w:vAlign w:val="center"/>
                </w:tcPr>
                <w:p w14:paraId="304048C0">
                  <w:pPr>
                    <w:pStyle w:val="17"/>
                    <w:widowControl w:val="0"/>
                    <w:spacing w:line="240" w:lineRule="auto"/>
                    <w:rPr>
                      <w:sz w:val="21"/>
                      <w:szCs w:val="21"/>
                    </w:rPr>
                  </w:pPr>
                </w:p>
              </w:tc>
              <w:tc>
                <w:tcPr>
                  <w:tcW w:w="420" w:type="dxa"/>
                  <w:vMerge w:val="restart"/>
                  <w:vAlign w:val="center"/>
                </w:tcPr>
                <w:p w14:paraId="374D63D8">
                  <w:pPr>
                    <w:pStyle w:val="17"/>
                    <w:widowControl w:val="0"/>
                    <w:spacing w:line="240" w:lineRule="auto"/>
                    <w:rPr>
                      <w:rFonts w:hint="eastAsia" w:eastAsia="宋体"/>
                      <w:sz w:val="21"/>
                      <w:szCs w:val="21"/>
                      <w:lang w:val="en-US" w:eastAsia="zh-CN"/>
                    </w:rPr>
                  </w:pPr>
                  <w:r>
                    <w:rPr>
                      <w:rFonts w:hint="eastAsia"/>
                      <w:sz w:val="21"/>
                      <w:szCs w:val="21"/>
                      <w:lang w:val="en-US" w:eastAsia="zh-CN"/>
                    </w:rPr>
                    <w:t>固体废物</w:t>
                  </w:r>
                </w:p>
              </w:tc>
              <w:tc>
                <w:tcPr>
                  <w:tcW w:w="2708" w:type="dxa"/>
                  <w:vAlign w:val="center"/>
                </w:tcPr>
                <w:p w14:paraId="300783B4">
                  <w:pPr>
                    <w:pStyle w:val="17"/>
                    <w:widowControl w:val="0"/>
                    <w:spacing w:line="240" w:lineRule="auto"/>
                    <w:jc w:val="both"/>
                    <w:rPr>
                      <w:rFonts w:hint="eastAsia"/>
                      <w:sz w:val="21"/>
                      <w:szCs w:val="21"/>
                      <w:lang w:eastAsia="zh-CN"/>
                    </w:rPr>
                  </w:pPr>
                  <w:r>
                    <w:rPr>
                      <w:rFonts w:hint="eastAsia"/>
                      <w:sz w:val="21"/>
                      <w:szCs w:val="21"/>
                      <w:lang w:eastAsia="zh-CN"/>
                    </w:rPr>
                    <w:t>1座40m</w:t>
                  </w:r>
                  <w:r>
                    <w:rPr>
                      <w:rFonts w:hint="eastAsia"/>
                      <w:sz w:val="21"/>
                      <w:szCs w:val="21"/>
                      <w:vertAlign w:val="superscript"/>
                      <w:lang w:eastAsia="zh-CN"/>
                    </w:rPr>
                    <w:t>2</w:t>
                  </w:r>
                  <w:r>
                    <w:rPr>
                      <w:rFonts w:hint="eastAsia"/>
                      <w:sz w:val="21"/>
                      <w:szCs w:val="21"/>
                      <w:lang w:eastAsia="zh-CN"/>
                    </w:rPr>
                    <w:t>危险废物暂存库</w:t>
                  </w:r>
                </w:p>
              </w:tc>
              <w:tc>
                <w:tcPr>
                  <w:tcW w:w="630" w:type="dxa"/>
                  <w:vAlign w:val="center"/>
                </w:tcPr>
                <w:p w14:paraId="0C6D0326">
                  <w:pPr>
                    <w:pStyle w:val="17"/>
                    <w:widowControl w:val="0"/>
                    <w:spacing w:line="240" w:lineRule="auto"/>
                    <w:rPr>
                      <w:rFonts w:hint="default"/>
                      <w:sz w:val="21"/>
                      <w:szCs w:val="21"/>
                      <w:lang w:val="en-US" w:eastAsia="zh-CN"/>
                    </w:rPr>
                  </w:pPr>
                  <w:r>
                    <w:rPr>
                      <w:rFonts w:hint="eastAsia"/>
                      <w:sz w:val="21"/>
                      <w:szCs w:val="21"/>
                      <w:lang w:val="en-US" w:eastAsia="zh-CN"/>
                    </w:rPr>
                    <w:t>10</w:t>
                  </w:r>
                </w:p>
              </w:tc>
              <w:tc>
                <w:tcPr>
                  <w:tcW w:w="2510" w:type="dxa"/>
                  <w:vAlign w:val="center"/>
                </w:tcPr>
                <w:p w14:paraId="3FFF1503">
                  <w:pPr>
                    <w:pStyle w:val="17"/>
                    <w:widowControl w:val="0"/>
                    <w:spacing w:line="240" w:lineRule="auto"/>
                    <w:jc w:val="both"/>
                    <w:rPr>
                      <w:rFonts w:hint="default"/>
                      <w:sz w:val="21"/>
                      <w:szCs w:val="21"/>
                      <w:lang w:val="en-US" w:eastAsia="zh-CN"/>
                    </w:rPr>
                  </w:pPr>
                  <w:r>
                    <w:rPr>
                      <w:rFonts w:hint="eastAsia"/>
                      <w:sz w:val="21"/>
                      <w:szCs w:val="21"/>
                      <w:lang w:val="en-US" w:eastAsia="zh-CN"/>
                    </w:rPr>
                    <w:t>新建了</w:t>
                  </w:r>
                  <w:r>
                    <w:rPr>
                      <w:rFonts w:hint="eastAsia"/>
                      <w:sz w:val="21"/>
                      <w:szCs w:val="21"/>
                      <w:lang w:eastAsia="zh-CN"/>
                    </w:rPr>
                    <w:t>1座40m</w:t>
                  </w:r>
                  <w:r>
                    <w:rPr>
                      <w:rFonts w:hint="eastAsia"/>
                      <w:sz w:val="21"/>
                      <w:szCs w:val="21"/>
                      <w:vertAlign w:val="superscript"/>
                      <w:lang w:eastAsia="zh-CN"/>
                    </w:rPr>
                    <w:t>2</w:t>
                  </w:r>
                  <w:r>
                    <w:rPr>
                      <w:rFonts w:hint="eastAsia"/>
                      <w:sz w:val="21"/>
                      <w:szCs w:val="21"/>
                      <w:lang w:val="en-US" w:eastAsia="zh-CN"/>
                    </w:rPr>
                    <w:t>的危险</w:t>
                  </w:r>
                  <w:r>
                    <w:rPr>
                      <w:rFonts w:hint="eastAsia"/>
                      <w:sz w:val="21"/>
                      <w:szCs w:val="21"/>
                      <w:lang w:eastAsia="zh-CN"/>
                    </w:rPr>
                    <w:t>险废物暂存库，</w:t>
                  </w:r>
                  <w:r>
                    <w:rPr>
                      <w:rFonts w:hint="eastAsia"/>
                      <w:sz w:val="21"/>
                      <w:szCs w:val="21"/>
                      <w:lang w:val="en-US" w:eastAsia="zh-CN"/>
                    </w:rPr>
                    <w:t>并进行了防渗处置</w:t>
                  </w:r>
                </w:p>
              </w:tc>
              <w:tc>
                <w:tcPr>
                  <w:tcW w:w="639" w:type="dxa"/>
                  <w:vAlign w:val="center"/>
                </w:tcPr>
                <w:p w14:paraId="1E681545">
                  <w:pPr>
                    <w:pStyle w:val="17"/>
                    <w:widowControl w:val="0"/>
                    <w:spacing w:line="240" w:lineRule="auto"/>
                    <w:rPr>
                      <w:rFonts w:hint="eastAsia"/>
                      <w:sz w:val="21"/>
                      <w:szCs w:val="21"/>
                      <w:lang w:val="en-US" w:eastAsia="zh-CN"/>
                    </w:rPr>
                  </w:pPr>
                  <w:r>
                    <w:rPr>
                      <w:rFonts w:hint="eastAsia"/>
                      <w:sz w:val="21"/>
                      <w:szCs w:val="21"/>
                      <w:lang w:val="en-US" w:eastAsia="zh-CN"/>
                    </w:rPr>
                    <w:t>10</w:t>
                  </w:r>
                </w:p>
              </w:tc>
              <w:tc>
                <w:tcPr>
                  <w:tcW w:w="1100" w:type="dxa"/>
                  <w:vAlign w:val="center"/>
                </w:tcPr>
                <w:p w14:paraId="537844C8">
                  <w:pPr>
                    <w:pStyle w:val="17"/>
                    <w:widowControl w:val="0"/>
                    <w:spacing w:line="240" w:lineRule="auto"/>
                    <w:rPr>
                      <w:rFonts w:hint="eastAsia"/>
                      <w:sz w:val="21"/>
                      <w:szCs w:val="21"/>
                    </w:rPr>
                  </w:pPr>
                  <w:r>
                    <w:rPr>
                      <w:rFonts w:hint="eastAsia"/>
                      <w:sz w:val="21"/>
                      <w:szCs w:val="21"/>
                    </w:rPr>
                    <w:t>无变动</w:t>
                  </w:r>
                </w:p>
              </w:tc>
            </w:tr>
            <w:tr w14:paraId="7DDA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431" w:type="dxa"/>
                  <w:vMerge w:val="continue"/>
                  <w:vAlign w:val="center"/>
                </w:tcPr>
                <w:p w14:paraId="640FE3DD">
                  <w:pPr>
                    <w:pStyle w:val="17"/>
                    <w:widowControl w:val="0"/>
                    <w:spacing w:line="240" w:lineRule="auto"/>
                    <w:rPr>
                      <w:sz w:val="21"/>
                      <w:szCs w:val="21"/>
                    </w:rPr>
                  </w:pPr>
                </w:p>
              </w:tc>
              <w:tc>
                <w:tcPr>
                  <w:tcW w:w="420" w:type="dxa"/>
                  <w:vMerge w:val="continue"/>
                  <w:vAlign w:val="center"/>
                </w:tcPr>
                <w:p w14:paraId="44BD0F83">
                  <w:pPr>
                    <w:pStyle w:val="17"/>
                    <w:widowControl w:val="0"/>
                    <w:spacing w:line="240" w:lineRule="auto"/>
                    <w:rPr>
                      <w:sz w:val="21"/>
                      <w:szCs w:val="21"/>
                    </w:rPr>
                  </w:pPr>
                </w:p>
              </w:tc>
              <w:tc>
                <w:tcPr>
                  <w:tcW w:w="2708" w:type="dxa"/>
                  <w:vAlign w:val="center"/>
                </w:tcPr>
                <w:p w14:paraId="7FDBD941">
                  <w:pPr>
                    <w:pStyle w:val="17"/>
                    <w:widowControl w:val="0"/>
                    <w:spacing w:line="240" w:lineRule="auto"/>
                    <w:jc w:val="both"/>
                    <w:rPr>
                      <w:rFonts w:hint="eastAsia"/>
                      <w:sz w:val="21"/>
                      <w:szCs w:val="21"/>
                      <w:lang w:eastAsia="zh-CN"/>
                    </w:rPr>
                  </w:pPr>
                  <w:r>
                    <w:rPr>
                      <w:rFonts w:hint="eastAsia"/>
                      <w:sz w:val="21"/>
                      <w:szCs w:val="21"/>
                      <w:lang w:eastAsia="zh-CN"/>
                    </w:rPr>
                    <w:t>4个容积200L的专用油桶，废矿物油定期更换全程带罐操作，收集废油送有资质</w:t>
                  </w:r>
                </w:p>
                <w:p w14:paraId="11A26F01">
                  <w:pPr>
                    <w:pStyle w:val="17"/>
                    <w:widowControl w:val="0"/>
                    <w:spacing w:line="240" w:lineRule="auto"/>
                    <w:jc w:val="both"/>
                    <w:rPr>
                      <w:rFonts w:hint="eastAsia"/>
                      <w:sz w:val="21"/>
                      <w:szCs w:val="21"/>
                      <w:lang w:eastAsia="zh-CN"/>
                    </w:rPr>
                  </w:pPr>
                  <w:r>
                    <w:rPr>
                      <w:rFonts w:hint="eastAsia"/>
                      <w:sz w:val="21"/>
                      <w:szCs w:val="21"/>
                      <w:lang w:eastAsia="zh-CN"/>
                    </w:rPr>
                    <w:t>单位处理</w:t>
                  </w:r>
                </w:p>
              </w:tc>
              <w:tc>
                <w:tcPr>
                  <w:tcW w:w="630" w:type="dxa"/>
                  <w:vAlign w:val="center"/>
                </w:tcPr>
                <w:p w14:paraId="61F56C58">
                  <w:pPr>
                    <w:pStyle w:val="17"/>
                    <w:widowControl w:val="0"/>
                    <w:spacing w:line="240" w:lineRule="auto"/>
                    <w:rPr>
                      <w:rFonts w:hint="default"/>
                      <w:sz w:val="21"/>
                      <w:szCs w:val="21"/>
                      <w:lang w:val="en-US" w:eastAsia="zh-CN"/>
                    </w:rPr>
                  </w:pPr>
                  <w:r>
                    <w:rPr>
                      <w:rFonts w:hint="eastAsia"/>
                      <w:sz w:val="21"/>
                      <w:szCs w:val="21"/>
                      <w:lang w:val="en-US" w:eastAsia="zh-CN"/>
                    </w:rPr>
                    <w:t>6</w:t>
                  </w:r>
                </w:p>
              </w:tc>
              <w:tc>
                <w:tcPr>
                  <w:tcW w:w="2510" w:type="dxa"/>
                  <w:vAlign w:val="center"/>
                </w:tcPr>
                <w:p w14:paraId="7F6164A3">
                  <w:pPr>
                    <w:pStyle w:val="17"/>
                    <w:widowControl w:val="0"/>
                    <w:spacing w:line="240" w:lineRule="auto"/>
                    <w:jc w:val="both"/>
                    <w:rPr>
                      <w:rFonts w:hint="eastAsia"/>
                      <w:sz w:val="21"/>
                      <w:szCs w:val="21"/>
                      <w:lang w:eastAsia="zh-CN"/>
                    </w:rPr>
                  </w:pPr>
                  <w:r>
                    <w:rPr>
                      <w:rFonts w:hint="eastAsia"/>
                      <w:sz w:val="21"/>
                      <w:szCs w:val="21"/>
                      <w:lang w:eastAsia="zh-CN"/>
                    </w:rPr>
                    <w:t>废矿物油</w:t>
                  </w:r>
                  <w:r>
                    <w:rPr>
                      <w:rFonts w:hint="eastAsia"/>
                      <w:sz w:val="21"/>
                      <w:szCs w:val="21"/>
                      <w:lang w:val="en-US" w:eastAsia="zh-CN"/>
                    </w:rPr>
                    <w:t>用</w:t>
                  </w:r>
                  <w:r>
                    <w:rPr>
                      <w:rFonts w:hint="eastAsia"/>
                      <w:sz w:val="21"/>
                      <w:szCs w:val="21"/>
                      <w:lang w:eastAsia="zh-CN"/>
                    </w:rPr>
                    <w:t>4个容积200L的专用油桶</w:t>
                  </w:r>
                  <w:r>
                    <w:rPr>
                      <w:rFonts w:hint="eastAsia"/>
                      <w:sz w:val="21"/>
                      <w:szCs w:val="21"/>
                      <w:lang w:val="en-US" w:eastAsia="zh-CN"/>
                    </w:rPr>
                    <w:t>暂存</w:t>
                  </w:r>
                  <w:r>
                    <w:rPr>
                      <w:rFonts w:hint="eastAsia"/>
                      <w:sz w:val="21"/>
                      <w:szCs w:val="21"/>
                      <w:lang w:eastAsia="zh-CN"/>
                    </w:rPr>
                    <w:t>，</w:t>
                  </w:r>
                  <w:r>
                    <w:rPr>
                      <w:rFonts w:hint="eastAsia"/>
                      <w:sz w:val="21"/>
                      <w:szCs w:val="21"/>
                      <w:lang w:val="en-US" w:eastAsia="zh-CN"/>
                    </w:rPr>
                    <w:t>定期交由了</w:t>
                  </w:r>
                  <w:r>
                    <w:rPr>
                      <w:rFonts w:hint="eastAsia"/>
                      <w:sz w:val="21"/>
                      <w:szCs w:val="21"/>
                      <w:lang w:eastAsia="zh-CN"/>
                    </w:rPr>
                    <w:t>有资质单位处理</w:t>
                  </w:r>
                </w:p>
              </w:tc>
              <w:tc>
                <w:tcPr>
                  <w:tcW w:w="639" w:type="dxa"/>
                  <w:vAlign w:val="center"/>
                </w:tcPr>
                <w:p w14:paraId="43E1A45D">
                  <w:pPr>
                    <w:pStyle w:val="17"/>
                    <w:widowControl w:val="0"/>
                    <w:spacing w:line="240" w:lineRule="auto"/>
                    <w:rPr>
                      <w:rFonts w:hint="eastAsia"/>
                      <w:sz w:val="21"/>
                      <w:szCs w:val="21"/>
                      <w:lang w:val="en-US" w:eastAsia="zh-CN"/>
                    </w:rPr>
                  </w:pPr>
                  <w:r>
                    <w:rPr>
                      <w:rFonts w:hint="eastAsia"/>
                      <w:sz w:val="21"/>
                      <w:szCs w:val="21"/>
                      <w:lang w:val="en-US" w:eastAsia="zh-CN"/>
                    </w:rPr>
                    <w:t>6</w:t>
                  </w:r>
                </w:p>
              </w:tc>
              <w:tc>
                <w:tcPr>
                  <w:tcW w:w="1100" w:type="dxa"/>
                  <w:vAlign w:val="center"/>
                </w:tcPr>
                <w:p w14:paraId="003B985B">
                  <w:pPr>
                    <w:pStyle w:val="17"/>
                    <w:widowControl w:val="0"/>
                    <w:spacing w:line="240" w:lineRule="auto"/>
                    <w:rPr>
                      <w:rFonts w:hint="eastAsia"/>
                      <w:sz w:val="21"/>
                      <w:szCs w:val="21"/>
                    </w:rPr>
                  </w:pPr>
                  <w:r>
                    <w:rPr>
                      <w:rFonts w:hint="eastAsia"/>
                      <w:sz w:val="21"/>
                      <w:szCs w:val="21"/>
                    </w:rPr>
                    <w:t>无变动</w:t>
                  </w:r>
                </w:p>
              </w:tc>
            </w:tr>
            <w:tr w14:paraId="4A22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431" w:type="dxa"/>
                  <w:vMerge w:val="continue"/>
                  <w:vAlign w:val="center"/>
                </w:tcPr>
                <w:p w14:paraId="17F0899E">
                  <w:pPr>
                    <w:pStyle w:val="17"/>
                    <w:widowControl w:val="0"/>
                    <w:spacing w:line="240" w:lineRule="auto"/>
                    <w:rPr>
                      <w:sz w:val="21"/>
                      <w:szCs w:val="21"/>
                    </w:rPr>
                  </w:pPr>
                </w:p>
              </w:tc>
              <w:tc>
                <w:tcPr>
                  <w:tcW w:w="420" w:type="dxa"/>
                  <w:vMerge w:val="continue"/>
                  <w:vAlign w:val="center"/>
                </w:tcPr>
                <w:p w14:paraId="6E5ECBF0">
                  <w:pPr>
                    <w:pStyle w:val="17"/>
                    <w:widowControl w:val="0"/>
                    <w:spacing w:line="240" w:lineRule="auto"/>
                    <w:rPr>
                      <w:sz w:val="21"/>
                      <w:szCs w:val="21"/>
                    </w:rPr>
                  </w:pPr>
                </w:p>
              </w:tc>
              <w:tc>
                <w:tcPr>
                  <w:tcW w:w="2708" w:type="dxa"/>
                  <w:vAlign w:val="center"/>
                </w:tcPr>
                <w:p w14:paraId="3808558C">
                  <w:pPr>
                    <w:pStyle w:val="17"/>
                    <w:widowControl w:val="0"/>
                    <w:spacing w:line="240" w:lineRule="auto"/>
                    <w:jc w:val="both"/>
                    <w:rPr>
                      <w:rFonts w:hint="eastAsia"/>
                      <w:sz w:val="21"/>
                      <w:szCs w:val="21"/>
                      <w:lang w:eastAsia="zh-CN"/>
                    </w:rPr>
                  </w:pPr>
                  <w:r>
                    <w:rPr>
                      <w:rFonts w:hint="eastAsia"/>
                      <w:sz w:val="21"/>
                      <w:szCs w:val="21"/>
                      <w:lang w:eastAsia="zh-CN"/>
                    </w:rPr>
                    <w:t>64座4.0m</w:t>
                  </w:r>
                  <w:r>
                    <w:rPr>
                      <w:rFonts w:hint="eastAsia"/>
                      <w:sz w:val="21"/>
                      <w:szCs w:val="21"/>
                      <w:vertAlign w:val="superscript"/>
                      <w:lang w:eastAsia="zh-CN"/>
                    </w:rPr>
                    <w:t>3</w:t>
                  </w:r>
                  <w:r>
                    <w:rPr>
                      <w:rFonts w:hint="eastAsia"/>
                      <w:sz w:val="21"/>
                      <w:szCs w:val="21"/>
                      <w:lang w:eastAsia="zh-CN"/>
                    </w:rPr>
                    <w:t>事故油池，委托有资质单位进行废油回收处置</w:t>
                  </w:r>
                </w:p>
              </w:tc>
              <w:tc>
                <w:tcPr>
                  <w:tcW w:w="630" w:type="dxa"/>
                  <w:vAlign w:val="center"/>
                </w:tcPr>
                <w:p w14:paraId="3BBB995D">
                  <w:pPr>
                    <w:pStyle w:val="17"/>
                    <w:widowControl w:val="0"/>
                    <w:spacing w:line="240" w:lineRule="auto"/>
                    <w:rPr>
                      <w:rFonts w:hint="default"/>
                      <w:sz w:val="21"/>
                      <w:szCs w:val="21"/>
                      <w:lang w:val="en-US" w:eastAsia="zh-CN"/>
                    </w:rPr>
                  </w:pPr>
                  <w:r>
                    <w:rPr>
                      <w:rFonts w:hint="eastAsia"/>
                      <w:sz w:val="21"/>
                      <w:szCs w:val="21"/>
                      <w:lang w:val="en-US" w:eastAsia="zh-CN"/>
                    </w:rPr>
                    <w:t>300</w:t>
                  </w:r>
                </w:p>
              </w:tc>
              <w:tc>
                <w:tcPr>
                  <w:tcW w:w="2510" w:type="dxa"/>
                  <w:vAlign w:val="center"/>
                </w:tcPr>
                <w:p w14:paraId="1E8DE635">
                  <w:pPr>
                    <w:pStyle w:val="17"/>
                    <w:widowControl w:val="0"/>
                    <w:spacing w:line="240" w:lineRule="auto"/>
                    <w:jc w:val="both"/>
                    <w:rPr>
                      <w:rFonts w:hint="eastAsia"/>
                      <w:sz w:val="21"/>
                      <w:szCs w:val="21"/>
                      <w:lang w:eastAsia="zh-CN"/>
                    </w:rPr>
                  </w:pPr>
                  <w:r>
                    <w:rPr>
                      <w:rFonts w:hint="eastAsia"/>
                      <w:sz w:val="21"/>
                      <w:szCs w:val="21"/>
                      <w:lang w:val="en-US" w:eastAsia="zh-CN"/>
                    </w:rPr>
                    <w:t>设置了</w:t>
                  </w:r>
                  <w:r>
                    <w:rPr>
                      <w:rFonts w:hint="eastAsia"/>
                      <w:sz w:val="21"/>
                      <w:szCs w:val="21"/>
                      <w:lang w:eastAsia="zh-CN"/>
                    </w:rPr>
                    <w:t>64座4.0m</w:t>
                  </w:r>
                  <w:r>
                    <w:rPr>
                      <w:rFonts w:hint="eastAsia"/>
                      <w:sz w:val="21"/>
                      <w:szCs w:val="21"/>
                      <w:vertAlign w:val="superscript"/>
                      <w:lang w:eastAsia="zh-CN"/>
                    </w:rPr>
                    <w:t>3</w:t>
                  </w:r>
                  <w:r>
                    <w:rPr>
                      <w:rFonts w:hint="eastAsia"/>
                      <w:sz w:val="21"/>
                      <w:szCs w:val="21"/>
                      <w:lang w:val="en-US" w:eastAsia="zh-CN"/>
                    </w:rPr>
                    <w:t>的事故</w:t>
                  </w:r>
                  <w:r>
                    <w:rPr>
                      <w:rFonts w:hint="eastAsia"/>
                      <w:sz w:val="21"/>
                      <w:szCs w:val="21"/>
                      <w:lang w:eastAsia="zh-CN"/>
                    </w:rPr>
                    <w:t>油池，</w:t>
                  </w:r>
                  <w:r>
                    <w:rPr>
                      <w:rFonts w:hint="eastAsia"/>
                      <w:sz w:val="21"/>
                      <w:szCs w:val="21"/>
                      <w:lang w:val="en-US" w:eastAsia="zh-CN"/>
                    </w:rPr>
                    <w:t>定期</w:t>
                  </w:r>
                  <w:r>
                    <w:rPr>
                      <w:rFonts w:hint="eastAsia"/>
                      <w:sz w:val="21"/>
                      <w:szCs w:val="21"/>
                      <w:lang w:eastAsia="zh-CN"/>
                    </w:rPr>
                    <w:t>委托了有资质单位进行了回收处置</w:t>
                  </w:r>
                </w:p>
              </w:tc>
              <w:tc>
                <w:tcPr>
                  <w:tcW w:w="639" w:type="dxa"/>
                  <w:vAlign w:val="center"/>
                </w:tcPr>
                <w:p w14:paraId="421CCF4F">
                  <w:pPr>
                    <w:pStyle w:val="17"/>
                    <w:widowControl w:val="0"/>
                    <w:spacing w:line="240" w:lineRule="auto"/>
                    <w:rPr>
                      <w:rFonts w:hint="eastAsia"/>
                      <w:sz w:val="21"/>
                      <w:szCs w:val="21"/>
                      <w:lang w:val="en-US" w:eastAsia="zh-CN"/>
                    </w:rPr>
                  </w:pPr>
                  <w:r>
                    <w:rPr>
                      <w:rFonts w:hint="eastAsia"/>
                      <w:sz w:val="21"/>
                      <w:szCs w:val="21"/>
                      <w:lang w:val="en-US" w:eastAsia="zh-CN"/>
                    </w:rPr>
                    <w:t>300</w:t>
                  </w:r>
                </w:p>
              </w:tc>
              <w:tc>
                <w:tcPr>
                  <w:tcW w:w="1100" w:type="dxa"/>
                  <w:vAlign w:val="center"/>
                </w:tcPr>
                <w:p w14:paraId="1EF8A77E">
                  <w:pPr>
                    <w:pStyle w:val="17"/>
                    <w:widowControl w:val="0"/>
                    <w:spacing w:line="240" w:lineRule="auto"/>
                    <w:rPr>
                      <w:rFonts w:hint="eastAsia"/>
                      <w:sz w:val="21"/>
                      <w:szCs w:val="21"/>
                    </w:rPr>
                  </w:pPr>
                  <w:r>
                    <w:rPr>
                      <w:rFonts w:hint="eastAsia"/>
                      <w:sz w:val="21"/>
                      <w:szCs w:val="21"/>
                    </w:rPr>
                    <w:t>无变动</w:t>
                  </w:r>
                </w:p>
              </w:tc>
            </w:tr>
            <w:tr w14:paraId="376B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431" w:type="dxa"/>
                  <w:vMerge w:val="continue"/>
                  <w:vAlign w:val="center"/>
                </w:tcPr>
                <w:p w14:paraId="5245B187">
                  <w:pPr>
                    <w:pStyle w:val="17"/>
                    <w:widowControl w:val="0"/>
                    <w:spacing w:line="240" w:lineRule="auto"/>
                    <w:rPr>
                      <w:sz w:val="21"/>
                      <w:szCs w:val="21"/>
                    </w:rPr>
                  </w:pPr>
                </w:p>
              </w:tc>
              <w:tc>
                <w:tcPr>
                  <w:tcW w:w="420" w:type="dxa"/>
                  <w:vMerge w:val="continue"/>
                  <w:vAlign w:val="center"/>
                </w:tcPr>
                <w:p w14:paraId="0D5373D6">
                  <w:pPr>
                    <w:pStyle w:val="17"/>
                    <w:widowControl w:val="0"/>
                    <w:spacing w:line="240" w:lineRule="auto"/>
                    <w:rPr>
                      <w:sz w:val="21"/>
                      <w:szCs w:val="21"/>
                    </w:rPr>
                  </w:pPr>
                </w:p>
              </w:tc>
              <w:tc>
                <w:tcPr>
                  <w:tcW w:w="2708" w:type="dxa"/>
                  <w:vAlign w:val="center"/>
                </w:tcPr>
                <w:p w14:paraId="7C5FAECB">
                  <w:pPr>
                    <w:pStyle w:val="17"/>
                    <w:widowControl w:val="0"/>
                    <w:spacing w:line="240" w:lineRule="auto"/>
                    <w:jc w:val="both"/>
                    <w:rPr>
                      <w:rFonts w:hint="eastAsia"/>
                      <w:sz w:val="21"/>
                      <w:szCs w:val="21"/>
                      <w:lang w:eastAsia="zh-CN"/>
                    </w:rPr>
                  </w:pPr>
                  <w:r>
                    <w:rPr>
                      <w:rFonts w:hint="eastAsia"/>
                      <w:sz w:val="21"/>
                      <w:szCs w:val="21"/>
                      <w:lang w:eastAsia="zh-CN"/>
                    </w:rPr>
                    <w:t>生活垃圾收集箱、生活垃圾处置</w:t>
                  </w:r>
                </w:p>
              </w:tc>
              <w:tc>
                <w:tcPr>
                  <w:tcW w:w="630" w:type="dxa"/>
                  <w:vAlign w:val="center"/>
                </w:tcPr>
                <w:p w14:paraId="266F9FAD">
                  <w:pPr>
                    <w:pStyle w:val="17"/>
                    <w:widowControl w:val="0"/>
                    <w:spacing w:line="240" w:lineRule="auto"/>
                    <w:rPr>
                      <w:rFonts w:hint="default"/>
                      <w:sz w:val="21"/>
                      <w:szCs w:val="21"/>
                      <w:lang w:val="en-US" w:eastAsia="zh-CN"/>
                    </w:rPr>
                  </w:pPr>
                  <w:r>
                    <w:rPr>
                      <w:rFonts w:hint="eastAsia"/>
                      <w:sz w:val="21"/>
                      <w:szCs w:val="21"/>
                      <w:lang w:val="en-US" w:eastAsia="zh-CN"/>
                    </w:rPr>
                    <w:t>4</w:t>
                  </w:r>
                </w:p>
              </w:tc>
              <w:tc>
                <w:tcPr>
                  <w:tcW w:w="2510" w:type="dxa"/>
                  <w:vAlign w:val="center"/>
                </w:tcPr>
                <w:p w14:paraId="69DB0789">
                  <w:pPr>
                    <w:pStyle w:val="17"/>
                    <w:widowControl w:val="0"/>
                    <w:spacing w:line="240" w:lineRule="auto"/>
                    <w:jc w:val="both"/>
                    <w:rPr>
                      <w:rFonts w:hint="eastAsia"/>
                      <w:sz w:val="21"/>
                      <w:szCs w:val="21"/>
                      <w:lang w:eastAsia="zh-CN"/>
                    </w:rPr>
                  </w:pPr>
                  <w:r>
                    <w:rPr>
                      <w:rFonts w:hint="eastAsia"/>
                      <w:sz w:val="21"/>
                      <w:szCs w:val="21"/>
                      <w:lang w:val="en-US" w:eastAsia="zh-CN"/>
                    </w:rPr>
                    <w:t>生活垃圾经</w:t>
                  </w:r>
                  <w:r>
                    <w:rPr>
                      <w:rFonts w:hint="eastAsia"/>
                      <w:sz w:val="21"/>
                      <w:szCs w:val="21"/>
                    </w:rPr>
                    <w:t>生活垃圾收集箱</w:t>
                  </w:r>
                  <w:r>
                    <w:rPr>
                      <w:rFonts w:hint="eastAsia"/>
                      <w:sz w:val="21"/>
                      <w:szCs w:val="21"/>
                      <w:lang w:val="en-US" w:eastAsia="zh-CN"/>
                    </w:rPr>
                    <w:t>分类收集后</w:t>
                  </w:r>
                  <w:r>
                    <w:rPr>
                      <w:rFonts w:hint="eastAsia"/>
                      <w:sz w:val="21"/>
                      <w:szCs w:val="21"/>
                    </w:rPr>
                    <w:t>定期清运</w:t>
                  </w:r>
                </w:p>
              </w:tc>
              <w:tc>
                <w:tcPr>
                  <w:tcW w:w="639" w:type="dxa"/>
                  <w:vAlign w:val="center"/>
                </w:tcPr>
                <w:p w14:paraId="1FDA53B7">
                  <w:pPr>
                    <w:pStyle w:val="17"/>
                    <w:widowControl w:val="0"/>
                    <w:spacing w:line="240" w:lineRule="auto"/>
                    <w:rPr>
                      <w:rFonts w:hint="eastAsia"/>
                      <w:sz w:val="21"/>
                      <w:szCs w:val="21"/>
                      <w:lang w:val="en-US" w:eastAsia="zh-CN"/>
                    </w:rPr>
                  </w:pPr>
                  <w:r>
                    <w:rPr>
                      <w:rFonts w:hint="eastAsia"/>
                      <w:sz w:val="21"/>
                      <w:szCs w:val="21"/>
                      <w:lang w:val="en-US" w:eastAsia="zh-CN"/>
                    </w:rPr>
                    <w:t>4</w:t>
                  </w:r>
                </w:p>
              </w:tc>
              <w:tc>
                <w:tcPr>
                  <w:tcW w:w="1100" w:type="dxa"/>
                  <w:vAlign w:val="center"/>
                </w:tcPr>
                <w:p w14:paraId="3B1773A6">
                  <w:pPr>
                    <w:pStyle w:val="17"/>
                    <w:widowControl w:val="0"/>
                    <w:spacing w:line="240" w:lineRule="auto"/>
                    <w:rPr>
                      <w:rFonts w:hint="eastAsia"/>
                      <w:sz w:val="21"/>
                      <w:szCs w:val="21"/>
                    </w:rPr>
                  </w:pPr>
                  <w:r>
                    <w:rPr>
                      <w:rFonts w:hint="eastAsia"/>
                      <w:sz w:val="21"/>
                      <w:szCs w:val="21"/>
                    </w:rPr>
                    <w:t>无变动</w:t>
                  </w:r>
                </w:p>
              </w:tc>
            </w:tr>
            <w:tr w14:paraId="16DF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51" w:type="dxa"/>
                  <w:gridSpan w:val="2"/>
                  <w:vMerge w:val="restart"/>
                  <w:vAlign w:val="center"/>
                </w:tcPr>
                <w:p w14:paraId="4F426606">
                  <w:pPr>
                    <w:pStyle w:val="17"/>
                    <w:widowControl w:val="0"/>
                    <w:spacing w:line="240" w:lineRule="auto"/>
                    <w:rPr>
                      <w:rFonts w:hint="eastAsia" w:eastAsia="宋体"/>
                      <w:sz w:val="21"/>
                      <w:szCs w:val="21"/>
                      <w:lang w:val="en-US" w:eastAsia="zh-CN"/>
                    </w:rPr>
                  </w:pPr>
                  <w:r>
                    <w:rPr>
                      <w:rFonts w:hint="eastAsia"/>
                      <w:sz w:val="21"/>
                      <w:szCs w:val="21"/>
                      <w:lang w:val="en-US" w:eastAsia="zh-CN"/>
                    </w:rPr>
                    <w:t>生态环境保护</w:t>
                  </w:r>
                </w:p>
              </w:tc>
              <w:tc>
                <w:tcPr>
                  <w:tcW w:w="2708" w:type="dxa"/>
                  <w:vAlign w:val="center"/>
                </w:tcPr>
                <w:p w14:paraId="506391D7">
                  <w:pPr>
                    <w:pStyle w:val="17"/>
                    <w:widowControl w:val="0"/>
                    <w:spacing w:line="240" w:lineRule="auto"/>
                    <w:jc w:val="both"/>
                    <w:rPr>
                      <w:rFonts w:hint="eastAsia"/>
                      <w:sz w:val="21"/>
                      <w:szCs w:val="21"/>
                      <w:lang w:eastAsia="zh-CN"/>
                    </w:rPr>
                  </w:pPr>
                  <w:r>
                    <w:rPr>
                      <w:rFonts w:hint="eastAsia"/>
                      <w:sz w:val="21"/>
                      <w:szCs w:val="21"/>
                      <w:lang w:eastAsia="zh-CN"/>
                    </w:rPr>
                    <w:t>开挖土石方的临时遮盖、临时挡护措施</w:t>
                  </w:r>
                </w:p>
              </w:tc>
              <w:tc>
                <w:tcPr>
                  <w:tcW w:w="630" w:type="dxa"/>
                  <w:vAlign w:val="center"/>
                </w:tcPr>
                <w:p w14:paraId="3014D4FC">
                  <w:pPr>
                    <w:pStyle w:val="17"/>
                    <w:widowControl w:val="0"/>
                    <w:spacing w:line="240" w:lineRule="auto"/>
                    <w:rPr>
                      <w:rFonts w:hint="default"/>
                      <w:sz w:val="21"/>
                      <w:szCs w:val="21"/>
                      <w:lang w:val="en-US" w:eastAsia="zh-CN"/>
                    </w:rPr>
                  </w:pPr>
                  <w:r>
                    <w:rPr>
                      <w:rFonts w:hint="eastAsia"/>
                      <w:sz w:val="21"/>
                      <w:szCs w:val="21"/>
                      <w:lang w:val="en-US" w:eastAsia="zh-CN"/>
                    </w:rPr>
                    <w:t>5</w:t>
                  </w:r>
                </w:p>
              </w:tc>
              <w:tc>
                <w:tcPr>
                  <w:tcW w:w="2510" w:type="dxa"/>
                  <w:vAlign w:val="center"/>
                </w:tcPr>
                <w:p w14:paraId="426DF67E">
                  <w:pPr>
                    <w:pStyle w:val="17"/>
                    <w:widowControl w:val="0"/>
                    <w:spacing w:line="240" w:lineRule="auto"/>
                    <w:jc w:val="both"/>
                    <w:rPr>
                      <w:rFonts w:hint="eastAsia"/>
                      <w:sz w:val="21"/>
                      <w:szCs w:val="21"/>
                      <w:lang w:eastAsia="zh-CN"/>
                    </w:rPr>
                  </w:pPr>
                  <w:r>
                    <w:rPr>
                      <w:rFonts w:hint="eastAsia"/>
                      <w:sz w:val="21"/>
                      <w:szCs w:val="21"/>
                      <w:lang w:val="en-US" w:eastAsia="zh-CN"/>
                    </w:rPr>
                    <w:t>临时</w:t>
                  </w:r>
                  <w:r>
                    <w:rPr>
                      <w:rFonts w:hint="eastAsia"/>
                      <w:sz w:val="21"/>
                      <w:szCs w:val="21"/>
                      <w:lang w:eastAsia="zh-CN"/>
                    </w:rPr>
                    <w:t>开挖</w:t>
                  </w:r>
                  <w:r>
                    <w:rPr>
                      <w:rFonts w:hint="default"/>
                      <w:sz w:val="21"/>
                      <w:szCs w:val="21"/>
                      <w:lang w:eastAsia="zh-CN"/>
                    </w:rPr>
                    <w:t>的</w:t>
                  </w:r>
                  <w:r>
                    <w:rPr>
                      <w:rFonts w:hint="eastAsia"/>
                      <w:sz w:val="21"/>
                      <w:szCs w:val="21"/>
                      <w:lang w:eastAsia="zh-CN"/>
                    </w:rPr>
                    <w:t>土石方</w:t>
                  </w:r>
                  <w:r>
                    <w:rPr>
                      <w:rFonts w:hint="default"/>
                      <w:sz w:val="21"/>
                      <w:szCs w:val="21"/>
                      <w:lang w:eastAsia="zh-CN"/>
                    </w:rPr>
                    <w:t>不能及时回填的采用了防尘网遮盖</w:t>
                  </w:r>
                </w:p>
              </w:tc>
              <w:tc>
                <w:tcPr>
                  <w:tcW w:w="639" w:type="dxa"/>
                  <w:vAlign w:val="center"/>
                </w:tcPr>
                <w:p w14:paraId="58E65DB2">
                  <w:pPr>
                    <w:pStyle w:val="17"/>
                    <w:widowControl w:val="0"/>
                    <w:spacing w:line="240" w:lineRule="auto"/>
                    <w:rPr>
                      <w:rFonts w:hint="eastAsia"/>
                      <w:sz w:val="21"/>
                      <w:szCs w:val="21"/>
                      <w:lang w:val="en-US" w:eastAsia="zh-CN"/>
                    </w:rPr>
                  </w:pPr>
                  <w:r>
                    <w:rPr>
                      <w:rFonts w:hint="eastAsia"/>
                      <w:sz w:val="21"/>
                      <w:szCs w:val="21"/>
                      <w:lang w:val="en-US" w:eastAsia="zh-CN"/>
                    </w:rPr>
                    <w:t>5</w:t>
                  </w:r>
                </w:p>
              </w:tc>
              <w:tc>
                <w:tcPr>
                  <w:tcW w:w="1100" w:type="dxa"/>
                  <w:vAlign w:val="center"/>
                </w:tcPr>
                <w:p w14:paraId="6CF1671E">
                  <w:pPr>
                    <w:pStyle w:val="17"/>
                    <w:widowControl w:val="0"/>
                    <w:spacing w:line="240" w:lineRule="auto"/>
                    <w:rPr>
                      <w:rFonts w:hint="eastAsia"/>
                      <w:sz w:val="21"/>
                      <w:szCs w:val="21"/>
                    </w:rPr>
                  </w:pPr>
                  <w:r>
                    <w:rPr>
                      <w:rFonts w:hint="eastAsia"/>
                      <w:sz w:val="21"/>
                      <w:szCs w:val="21"/>
                    </w:rPr>
                    <w:t>无变动</w:t>
                  </w:r>
                </w:p>
              </w:tc>
            </w:tr>
            <w:tr w14:paraId="7B9A0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851" w:type="dxa"/>
                  <w:gridSpan w:val="2"/>
                  <w:vMerge w:val="continue"/>
                  <w:vAlign w:val="center"/>
                </w:tcPr>
                <w:p w14:paraId="5159EB49">
                  <w:pPr>
                    <w:pStyle w:val="17"/>
                    <w:widowControl w:val="0"/>
                    <w:spacing w:line="240" w:lineRule="auto"/>
                    <w:rPr>
                      <w:sz w:val="21"/>
                      <w:szCs w:val="21"/>
                    </w:rPr>
                  </w:pPr>
                </w:p>
              </w:tc>
              <w:tc>
                <w:tcPr>
                  <w:tcW w:w="2708" w:type="dxa"/>
                  <w:vAlign w:val="center"/>
                </w:tcPr>
                <w:p w14:paraId="73253CE7">
                  <w:pPr>
                    <w:pStyle w:val="17"/>
                    <w:widowControl w:val="0"/>
                    <w:spacing w:line="240" w:lineRule="auto"/>
                    <w:jc w:val="both"/>
                    <w:rPr>
                      <w:rFonts w:hint="eastAsia"/>
                      <w:sz w:val="21"/>
                      <w:szCs w:val="21"/>
                      <w:lang w:eastAsia="zh-CN"/>
                    </w:rPr>
                  </w:pPr>
                  <w:r>
                    <w:rPr>
                      <w:rFonts w:hint="eastAsia"/>
                      <w:sz w:val="21"/>
                      <w:szCs w:val="21"/>
                      <w:lang w:eastAsia="zh-CN"/>
                    </w:rPr>
                    <w:t>对管理区外围空地、光伏组件基础四周、箱变基础四周、集电线路及道路沿线等区域进行平整，对施工造成的破坏进行植被恢复</w:t>
                  </w:r>
                </w:p>
              </w:tc>
              <w:tc>
                <w:tcPr>
                  <w:tcW w:w="630" w:type="dxa"/>
                  <w:vAlign w:val="center"/>
                </w:tcPr>
                <w:p w14:paraId="05EB03E6">
                  <w:pPr>
                    <w:pStyle w:val="17"/>
                    <w:widowControl w:val="0"/>
                    <w:spacing w:line="240" w:lineRule="auto"/>
                    <w:rPr>
                      <w:rFonts w:hint="default"/>
                      <w:sz w:val="21"/>
                      <w:szCs w:val="21"/>
                      <w:lang w:val="en-US" w:eastAsia="zh-CN"/>
                    </w:rPr>
                  </w:pPr>
                  <w:r>
                    <w:rPr>
                      <w:rFonts w:hint="eastAsia"/>
                      <w:sz w:val="21"/>
                      <w:szCs w:val="21"/>
                      <w:lang w:val="en-US" w:eastAsia="zh-CN"/>
                    </w:rPr>
                    <w:t>250</w:t>
                  </w:r>
                </w:p>
              </w:tc>
              <w:tc>
                <w:tcPr>
                  <w:tcW w:w="2510" w:type="dxa"/>
                  <w:vAlign w:val="center"/>
                </w:tcPr>
                <w:p w14:paraId="62FB5078">
                  <w:pPr>
                    <w:pStyle w:val="17"/>
                    <w:widowControl w:val="0"/>
                    <w:spacing w:line="240" w:lineRule="auto"/>
                    <w:jc w:val="both"/>
                    <w:rPr>
                      <w:rFonts w:hint="eastAsia"/>
                      <w:sz w:val="21"/>
                      <w:szCs w:val="21"/>
                      <w:lang w:eastAsia="zh-CN"/>
                    </w:rPr>
                  </w:pPr>
                  <w:r>
                    <w:rPr>
                      <w:rFonts w:hint="eastAsia"/>
                      <w:sz w:val="21"/>
                      <w:szCs w:val="21"/>
                      <w:lang w:eastAsia="zh-CN"/>
                    </w:rPr>
                    <w:t>对管理区外围空地、光伏组件基础四周、箱变基础四周、集电线路及道路沿线等区域进行</w:t>
                  </w:r>
                  <w:r>
                    <w:rPr>
                      <w:rFonts w:hint="default"/>
                      <w:sz w:val="21"/>
                      <w:szCs w:val="21"/>
                      <w:lang w:eastAsia="zh-CN"/>
                    </w:rPr>
                    <w:t>了土地</w:t>
                  </w:r>
                  <w:r>
                    <w:rPr>
                      <w:rFonts w:hint="eastAsia"/>
                      <w:sz w:val="21"/>
                      <w:szCs w:val="21"/>
                      <w:lang w:eastAsia="zh-CN"/>
                    </w:rPr>
                    <w:t>平整，对施工造成的破坏进行</w:t>
                  </w:r>
                  <w:r>
                    <w:rPr>
                      <w:rFonts w:hint="default"/>
                      <w:sz w:val="21"/>
                      <w:szCs w:val="21"/>
                      <w:lang w:eastAsia="zh-CN"/>
                    </w:rPr>
                    <w:t>了</w:t>
                  </w:r>
                  <w:r>
                    <w:rPr>
                      <w:rFonts w:hint="eastAsia"/>
                      <w:sz w:val="21"/>
                      <w:szCs w:val="21"/>
                      <w:lang w:eastAsia="zh-CN"/>
                    </w:rPr>
                    <w:t>植被恢复</w:t>
                  </w:r>
                </w:p>
              </w:tc>
              <w:tc>
                <w:tcPr>
                  <w:tcW w:w="639" w:type="dxa"/>
                  <w:vAlign w:val="center"/>
                </w:tcPr>
                <w:p w14:paraId="7FA9728B">
                  <w:pPr>
                    <w:pStyle w:val="17"/>
                    <w:widowControl w:val="0"/>
                    <w:spacing w:line="240" w:lineRule="auto"/>
                    <w:rPr>
                      <w:rFonts w:hint="default"/>
                      <w:sz w:val="21"/>
                      <w:szCs w:val="21"/>
                      <w:lang w:val="en-US" w:eastAsia="zh-CN"/>
                    </w:rPr>
                  </w:pPr>
                  <w:r>
                    <w:rPr>
                      <w:rFonts w:hint="eastAsia"/>
                      <w:sz w:val="21"/>
                      <w:szCs w:val="21"/>
                      <w:lang w:val="en-US" w:eastAsia="zh-CN"/>
                    </w:rPr>
                    <w:t>256</w:t>
                  </w:r>
                </w:p>
              </w:tc>
              <w:tc>
                <w:tcPr>
                  <w:tcW w:w="1100" w:type="dxa"/>
                  <w:vAlign w:val="center"/>
                </w:tcPr>
                <w:p w14:paraId="5EC24C45">
                  <w:pPr>
                    <w:pStyle w:val="17"/>
                    <w:widowControl w:val="0"/>
                    <w:spacing w:line="240" w:lineRule="auto"/>
                    <w:rPr>
                      <w:rFonts w:hint="eastAsia"/>
                      <w:sz w:val="21"/>
                      <w:szCs w:val="21"/>
                    </w:rPr>
                  </w:pPr>
                  <w:r>
                    <w:rPr>
                      <w:rFonts w:hint="eastAsia"/>
                      <w:sz w:val="21"/>
                      <w:szCs w:val="21"/>
                    </w:rPr>
                    <w:t>无变动</w:t>
                  </w:r>
                </w:p>
              </w:tc>
            </w:tr>
            <w:tr w14:paraId="2605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431" w:type="dxa"/>
                  <w:vAlign w:val="center"/>
                </w:tcPr>
                <w:p w14:paraId="6201AD70">
                  <w:pPr>
                    <w:pStyle w:val="17"/>
                    <w:widowControl w:val="0"/>
                    <w:spacing w:line="240" w:lineRule="auto"/>
                    <w:rPr>
                      <w:sz w:val="21"/>
                      <w:szCs w:val="21"/>
                    </w:rPr>
                  </w:pPr>
                </w:p>
              </w:tc>
              <w:tc>
                <w:tcPr>
                  <w:tcW w:w="420" w:type="dxa"/>
                  <w:vAlign w:val="center"/>
                </w:tcPr>
                <w:p w14:paraId="39B37C3D">
                  <w:pPr>
                    <w:pStyle w:val="17"/>
                    <w:widowControl w:val="0"/>
                    <w:spacing w:line="240" w:lineRule="auto"/>
                    <w:rPr>
                      <w:sz w:val="21"/>
                      <w:szCs w:val="21"/>
                    </w:rPr>
                  </w:pPr>
                  <w:r>
                    <w:rPr>
                      <w:rFonts w:hint="eastAsia"/>
                      <w:sz w:val="21"/>
                      <w:szCs w:val="21"/>
                    </w:rPr>
                    <w:t>总计</w:t>
                  </w:r>
                </w:p>
              </w:tc>
              <w:tc>
                <w:tcPr>
                  <w:tcW w:w="2708" w:type="dxa"/>
                  <w:vAlign w:val="center"/>
                </w:tcPr>
                <w:p w14:paraId="18086E32">
                  <w:pPr>
                    <w:pStyle w:val="17"/>
                    <w:widowControl w:val="0"/>
                    <w:spacing w:line="240" w:lineRule="auto"/>
                    <w:rPr>
                      <w:sz w:val="21"/>
                      <w:szCs w:val="21"/>
                    </w:rPr>
                  </w:pPr>
                  <w:r>
                    <w:rPr>
                      <w:rFonts w:hint="eastAsia"/>
                      <w:sz w:val="21"/>
                      <w:szCs w:val="21"/>
                    </w:rPr>
                    <w:t>/</w:t>
                  </w:r>
                </w:p>
              </w:tc>
              <w:tc>
                <w:tcPr>
                  <w:tcW w:w="630" w:type="dxa"/>
                  <w:vAlign w:val="center"/>
                </w:tcPr>
                <w:p w14:paraId="7D5FDA5F">
                  <w:pPr>
                    <w:pStyle w:val="17"/>
                    <w:widowControl w:val="0"/>
                    <w:spacing w:line="240" w:lineRule="auto"/>
                    <w:rPr>
                      <w:rFonts w:hint="default" w:eastAsia="宋体"/>
                      <w:sz w:val="21"/>
                      <w:szCs w:val="21"/>
                      <w:lang w:val="en-US" w:eastAsia="zh-CN"/>
                    </w:rPr>
                  </w:pPr>
                  <w:r>
                    <w:rPr>
                      <w:rFonts w:hint="eastAsia"/>
                      <w:sz w:val="21"/>
                      <w:szCs w:val="21"/>
                      <w:lang w:val="en-US" w:eastAsia="zh-CN"/>
                    </w:rPr>
                    <w:t>672</w:t>
                  </w:r>
                </w:p>
              </w:tc>
              <w:tc>
                <w:tcPr>
                  <w:tcW w:w="2510" w:type="dxa"/>
                  <w:vAlign w:val="center"/>
                </w:tcPr>
                <w:p w14:paraId="13721993">
                  <w:pPr>
                    <w:pStyle w:val="17"/>
                    <w:widowControl w:val="0"/>
                    <w:spacing w:line="240" w:lineRule="auto"/>
                    <w:rPr>
                      <w:sz w:val="21"/>
                      <w:szCs w:val="21"/>
                    </w:rPr>
                  </w:pPr>
                  <w:r>
                    <w:rPr>
                      <w:rFonts w:hint="eastAsia"/>
                      <w:sz w:val="21"/>
                      <w:szCs w:val="21"/>
                    </w:rPr>
                    <w:t>/</w:t>
                  </w:r>
                </w:p>
              </w:tc>
              <w:tc>
                <w:tcPr>
                  <w:tcW w:w="639" w:type="dxa"/>
                  <w:vAlign w:val="center"/>
                </w:tcPr>
                <w:p w14:paraId="22DE9024">
                  <w:pPr>
                    <w:pStyle w:val="17"/>
                    <w:widowControl w:val="0"/>
                    <w:spacing w:line="240" w:lineRule="auto"/>
                    <w:rPr>
                      <w:rFonts w:hint="default" w:eastAsia="宋体"/>
                      <w:sz w:val="21"/>
                      <w:szCs w:val="21"/>
                      <w:lang w:val="en-US" w:eastAsia="zh-CN"/>
                    </w:rPr>
                  </w:pPr>
                  <w:r>
                    <w:rPr>
                      <w:rFonts w:hint="eastAsia"/>
                      <w:sz w:val="21"/>
                      <w:szCs w:val="21"/>
                      <w:lang w:val="en-US" w:eastAsia="zh-CN"/>
                    </w:rPr>
                    <w:t>681</w:t>
                  </w:r>
                </w:p>
              </w:tc>
              <w:tc>
                <w:tcPr>
                  <w:tcW w:w="1100" w:type="dxa"/>
                  <w:vAlign w:val="center"/>
                </w:tcPr>
                <w:p w14:paraId="2A09965C">
                  <w:pPr>
                    <w:pStyle w:val="17"/>
                    <w:widowControl w:val="0"/>
                    <w:spacing w:line="240" w:lineRule="auto"/>
                    <w:rPr>
                      <w:rFonts w:hint="eastAsia" w:eastAsia="宋体"/>
                      <w:sz w:val="21"/>
                      <w:szCs w:val="21"/>
                      <w:lang w:val="en-US" w:eastAsia="zh-CN"/>
                    </w:rPr>
                  </w:pPr>
                  <w:r>
                    <w:rPr>
                      <w:rFonts w:hint="eastAsia"/>
                      <w:sz w:val="21"/>
                      <w:szCs w:val="21"/>
                      <w:lang w:val="en-US" w:eastAsia="zh-CN"/>
                    </w:rPr>
                    <w:t>/</w:t>
                  </w:r>
                </w:p>
              </w:tc>
            </w:tr>
          </w:tbl>
          <w:p w14:paraId="2B14E9F2">
            <w:pPr>
              <w:pStyle w:val="2"/>
              <w:rPr>
                <w:rFonts w:hint="eastAsia"/>
              </w:rPr>
            </w:pPr>
            <w:r>
              <w:rPr>
                <w:rFonts w:hint="eastAsia"/>
              </w:rPr>
              <w:t>由于加大了对废气</w:t>
            </w:r>
            <w:r>
              <w:rPr>
                <w:rFonts w:hint="eastAsia"/>
                <w:lang w:val="en-US" w:eastAsia="zh-CN"/>
              </w:rPr>
              <w:t>的</w:t>
            </w:r>
            <w:r>
              <w:rPr>
                <w:rFonts w:hint="eastAsia"/>
              </w:rPr>
              <w:t>防治力度，</w:t>
            </w:r>
            <w:r>
              <w:rPr>
                <w:rFonts w:hint="eastAsia"/>
                <w:lang w:val="en-US" w:eastAsia="zh-CN"/>
              </w:rPr>
              <w:t>增加了对生态环境保护的投资，本项目</w:t>
            </w:r>
            <w:r>
              <w:rPr>
                <w:rFonts w:hint="eastAsia"/>
              </w:rPr>
              <w:t>环保投资较环评增加了</w:t>
            </w:r>
            <w:r>
              <w:rPr>
                <w:rFonts w:hint="eastAsia"/>
                <w:lang w:val="en-US" w:eastAsia="zh-CN"/>
              </w:rPr>
              <w:t>9</w:t>
            </w:r>
            <w:r>
              <w:rPr>
                <w:rFonts w:hint="eastAsia"/>
              </w:rPr>
              <w:t>万元。</w:t>
            </w:r>
          </w:p>
          <w:p w14:paraId="678FCECB">
            <w:pPr>
              <w:pStyle w:val="2"/>
              <w:rPr>
                <w:rFonts w:hint="eastAsia"/>
              </w:rPr>
            </w:pPr>
          </w:p>
          <w:p w14:paraId="61543D9F">
            <w:pPr>
              <w:pStyle w:val="2"/>
              <w:rPr>
                <w:rFonts w:hint="eastAsia"/>
              </w:rPr>
            </w:pPr>
          </w:p>
          <w:p w14:paraId="607DDF6F">
            <w:pPr>
              <w:pStyle w:val="2"/>
              <w:rPr>
                <w:rFonts w:hint="eastAsia"/>
              </w:rPr>
            </w:pPr>
          </w:p>
          <w:p w14:paraId="77E035DB">
            <w:pPr>
              <w:pStyle w:val="2"/>
              <w:rPr>
                <w:rFonts w:hint="eastAsia"/>
              </w:rPr>
            </w:pPr>
          </w:p>
          <w:p w14:paraId="07067ADD">
            <w:pPr>
              <w:pStyle w:val="2"/>
              <w:rPr>
                <w:rFonts w:hint="eastAsia"/>
              </w:rPr>
            </w:pPr>
          </w:p>
          <w:p w14:paraId="0CDBCF4F">
            <w:pPr>
              <w:pStyle w:val="2"/>
              <w:rPr>
                <w:rFonts w:hint="eastAsia"/>
              </w:rPr>
            </w:pPr>
          </w:p>
          <w:p w14:paraId="1EE9F113">
            <w:pPr>
              <w:pStyle w:val="2"/>
              <w:rPr>
                <w:rFonts w:hint="eastAsia"/>
              </w:rPr>
            </w:pPr>
          </w:p>
          <w:p w14:paraId="6A95B912">
            <w:pPr>
              <w:pStyle w:val="2"/>
              <w:rPr>
                <w:rFonts w:hint="eastAsia"/>
              </w:rPr>
            </w:pPr>
          </w:p>
          <w:p w14:paraId="7F10D178">
            <w:pPr>
              <w:pStyle w:val="2"/>
              <w:rPr>
                <w:rFonts w:hint="eastAsia"/>
              </w:rPr>
            </w:pPr>
          </w:p>
          <w:p w14:paraId="79592848">
            <w:pPr>
              <w:pStyle w:val="2"/>
              <w:rPr>
                <w:rFonts w:hint="eastAsia"/>
              </w:rPr>
            </w:pPr>
          </w:p>
          <w:p w14:paraId="657900C8">
            <w:pPr>
              <w:pStyle w:val="2"/>
              <w:rPr>
                <w:rFonts w:hint="eastAsia"/>
              </w:rPr>
            </w:pPr>
          </w:p>
          <w:p w14:paraId="26CEB7A0">
            <w:pPr>
              <w:pStyle w:val="2"/>
              <w:rPr>
                <w:rFonts w:hint="eastAsia"/>
              </w:rPr>
            </w:pPr>
          </w:p>
          <w:p w14:paraId="450E7D44">
            <w:pPr>
              <w:pStyle w:val="2"/>
              <w:rPr>
                <w:rFonts w:hint="eastAsia"/>
              </w:rPr>
            </w:pPr>
          </w:p>
          <w:p w14:paraId="4AB6CF26">
            <w:pPr>
              <w:pStyle w:val="2"/>
              <w:rPr>
                <w:rFonts w:hint="eastAsia"/>
              </w:rPr>
            </w:pPr>
          </w:p>
          <w:p w14:paraId="10A4656D">
            <w:pPr>
              <w:pStyle w:val="2"/>
              <w:rPr>
                <w:rFonts w:hint="eastAsia"/>
              </w:rPr>
            </w:pPr>
          </w:p>
          <w:p w14:paraId="01882EF1">
            <w:pPr>
              <w:pStyle w:val="2"/>
              <w:rPr>
                <w:rFonts w:hint="eastAsia"/>
              </w:rPr>
            </w:pPr>
          </w:p>
          <w:p w14:paraId="0845EB49">
            <w:pPr>
              <w:pStyle w:val="2"/>
              <w:rPr>
                <w:rFonts w:hint="eastAsia"/>
              </w:rPr>
            </w:pPr>
          </w:p>
          <w:p w14:paraId="05584839">
            <w:pPr>
              <w:pStyle w:val="2"/>
              <w:rPr>
                <w:rFonts w:hint="eastAsia"/>
              </w:rPr>
            </w:pPr>
          </w:p>
          <w:p w14:paraId="413FC3FC">
            <w:pPr>
              <w:pStyle w:val="2"/>
              <w:rPr>
                <w:rFonts w:hint="eastAsia"/>
              </w:rPr>
            </w:pPr>
          </w:p>
          <w:p w14:paraId="01C28956">
            <w:pPr>
              <w:pStyle w:val="2"/>
              <w:rPr>
                <w:rFonts w:hint="eastAsia"/>
              </w:rPr>
            </w:pPr>
          </w:p>
          <w:p w14:paraId="49F54DEA">
            <w:pPr>
              <w:pStyle w:val="2"/>
              <w:rPr>
                <w:rFonts w:hint="eastAsia"/>
              </w:rPr>
            </w:pPr>
          </w:p>
          <w:p w14:paraId="3178AD73">
            <w:pPr>
              <w:pStyle w:val="2"/>
              <w:rPr>
                <w:rFonts w:hint="eastAsia"/>
              </w:rPr>
            </w:pPr>
          </w:p>
          <w:p w14:paraId="7CCE9B7D">
            <w:pPr>
              <w:pStyle w:val="2"/>
              <w:rPr>
                <w:rFonts w:hint="eastAsia"/>
              </w:rPr>
            </w:pPr>
          </w:p>
          <w:p w14:paraId="4587F208">
            <w:pPr>
              <w:ind w:left="0" w:leftChars="0" w:firstLine="0" w:firstLineChars="0"/>
              <w:rPr>
                <w:rFonts w:hint="eastAsia" w:eastAsia="宋体"/>
                <w:lang w:eastAsia="zh-CN"/>
              </w:rPr>
            </w:pPr>
          </w:p>
        </w:tc>
      </w:tr>
    </w:tbl>
    <w:p w14:paraId="4552D82C">
      <w:pPr>
        <w:ind w:firstLine="480"/>
        <w:sectPr>
          <w:pgSz w:w="11910" w:h="16840"/>
          <w:pgMar w:top="1440" w:right="1800" w:bottom="1440" w:left="1800" w:header="0" w:footer="685" w:gutter="0"/>
          <w:cols w:space="720" w:num="1"/>
        </w:sectPr>
      </w:pPr>
    </w:p>
    <w:p w14:paraId="7BB8392A">
      <w:pPr>
        <w:pStyle w:val="6"/>
        <w:spacing w:before="42"/>
        <w:ind w:firstLine="560"/>
        <w:rPr>
          <w:rFonts w:ascii="Times New Roman" w:hAnsi="Times New Roman"/>
          <w:sz w:val="28"/>
          <w:szCs w:val="28"/>
        </w:rPr>
      </w:pPr>
      <w:r>
        <w:rPr>
          <w:rFonts w:hint="eastAsia" w:ascii="Times New Roman" w:hAnsi="Times New Roman"/>
          <w:sz w:val="28"/>
          <w:szCs w:val="28"/>
        </w:rPr>
        <w:t>表三</w:t>
      </w:r>
    </w:p>
    <w:tbl>
      <w:tblPr>
        <w:tblStyle w:val="12"/>
        <w:tblW w:w="0" w:type="auto"/>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89"/>
      </w:tblGrid>
      <w:tr w14:paraId="4543E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8" w:hRule="atLeast"/>
        </w:trPr>
        <w:tc>
          <w:tcPr>
            <w:tcW w:w="8689" w:type="dxa"/>
          </w:tcPr>
          <w:p w14:paraId="3E48DA42">
            <w:pPr>
              <w:ind w:left="48" w:leftChars="20" w:right="48" w:rightChars="20" w:firstLine="0" w:firstLineChars="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建设项目环境影响报告表主要结论及审批部门审批决定：</w:t>
            </w:r>
          </w:p>
          <w:p w14:paraId="5076104A">
            <w:pPr>
              <w:autoSpaceDE/>
              <w:autoSpaceDN/>
              <w:adjustRightInd w:val="0"/>
              <w:ind w:left="48" w:leftChars="20" w:right="48" w:rightChars="20" w:firstLine="482"/>
              <w:jc w:val="both"/>
              <w:rPr>
                <w:rFonts w:hint="default" w:ascii="Times New Roman" w:hAnsi="Times New Roman" w:eastAsia="宋体" w:cs="Times New Roman"/>
                <w:b/>
                <w:bCs/>
                <w:color w:val="000000" w:themeColor="text1"/>
                <w:sz w:val="24"/>
                <w:szCs w:val="24"/>
                <w:lang w:val="en-US"/>
                <w14:textFill>
                  <w14:solidFill>
                    <w14:schemeClr w14:val="tx1"/>
                  </w14:solidFill>
                </w14:textFill>
              </w:rPr>
            </w:pPr>
            <w:r>
              <w:rPr>
                <w:rFonts w:hint="default" w:ascii="Times New Roman" w:hAnsi="Times New Roman" w:eastAsia="宋体" w:cs="Times New Roman"/>
                <w:b/>
                <w:bCs/>
                <w:color w:val="000000" w:themeColor="text1"/>
                <w:sz w:val="24"/>
                <w:szCs w:val="24"/>
                <w:lang w:val="en-US"/>
                <w14:textFill>
                  <w14:solidFill>
                    <w14:schemeClr w14:val="tx1"/>
                  </w14:solidFill>
                </w14:textFill>
              </w:rPr>
              <w:t>1.</w:t>
            </w:r>
            <w:r>
              <w:rPr>
                <w:rFonts w:hint="default" w:ascii="Times New Roman" w:hAnsi="Times New Roman" w:eastAsia="宋体" w:cs="Times New Roman"/>
                <w:b/>
                <w:bCs/>
                <w:color w:val="000000" w:themeColor="text1"/>
                <w:sz w:val="24"/>
                <w:szCs w:val="24"/>
                <w14:textFill>
                  <w14:solidFill>
                    <w14:schemeClr w14:val="tx1"/>
                  </w14:solidFill>
                </w14:textFill>
              </w:rPr>
              <w:t>环境影响报告表主要结论：</w:t>
            </w:r>
          </w:p>
          <w:p w14:paraId="055A76DA">
            <w:pPr>
              <w:autoSpaceDE/>
              <w:autoSpaceDN/>
              <w:adjustRightInd w:val="0"/>
              <w:ind w:firstLine="480"/>
              <w:jc w:val="both"/>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1.1项目概况</w:t>
            </w:r>
          </w:p>
          <w:p w14:paraId="58148AA5">
            <w:pPr>
              <w:ind w:firstLine="480"/>
              <w:jc w:val="both"/>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eastAsia"/>
                <w:color w:val="000000" w:themeColor="text1"/>
                <w14:textFill>
                  <w14:solidFill>
                    <w14:schemeClr w14:val="tx1"/>
                  </w14:solidFill>
                </w14:textFill>
              </w:rPr>
              <w:t>本项目配备储能系统，工程光伏总装机容量为400MW（AC），建设1个330kV光伏储能升压站，升压站配套储能容量为60MW/240MWh，分为24个2.5MW/10MWh储能单元，电池选用长寿命的磷酸铁锂电池。储能系统由1台20尺“逆”“变”一体储能变流器集装箱和2台45尺磷酸铁锂电池集装箱组成，储能系统交流侧并网电压等级为35kV，每12个储能发电单元为1回储能发电系统，共2回储能发电系统接入330kV升压站35kV储能进线间隔。项目配置48套箱式储能电池系统，每套含5000kWh的电池；24套变流升压系统，每套含1台储能变流器和1台0.55kV/35kV，Dy11，2500kVA箱变。本次建设不包含330kV升压站送出线路。</w:t>
            </w:r>
            <w:r>
              <w:rPr>
                <w:rFonts w:hint="default" w:ascii="Times New Roman" w:hAnsi="Times New Roman" w:eastAsia="宋体" w:cs="Times New Roman"/>
                <w:color w:val="000000" w:themeColor="text1"/>
                <w:sz w:val="24"/>
                <w:szCs w:val="24"/>
                <w:lang w:val="en-US"/>
                <w14:textFill>
                  <w14:solidFill>
                    <w14:schemeClr w14:val="tx1"/>
                  </w14:solidFill>
                </w14:textFill>
              </w:rPr>
              <w:t>项目总投资</w:t>
            </w:r>
            <w:r>
              <w:rPr>
                <w:rFonts w:hint="eastAsia" w:cs="Times New Roman"/>
                <w:color w:val="000000" w:themeColor="text1"/>
                <w:sz w:val="24"/>
                <w:szCs w:val="24"/>
                <w:lang w:val="en-US" w:eastAsia="zh-CN"/>
                <w14:textFill>
                  <w14:solidFill>
                    <w14:schemeClr w14:val="tx1"/>
                  </w14:solidFill>
                </w14:textFill>
              </w:rPr>
              <w:t>199705.13</w:t>
            </w:r>
            <w:r>
              <w:rPr>
                <w:rFonts w:hint="default" w:ascii="Times New Roman" w:hAnsi="Times New Roman" w:eastAsia="宋体" w:cs="Times New Roman"/>
                <w:color w:val="000000" w:themeColor="text1"/>
                <w:sz w:val="24"/>
                <w:szCs w:val="24"/>
                <w:lang w:val="en-US"/>
                <w14:textFill>
                  <w14:solidFill>
                    <w14:schemeClr w14:val="tx1"/>
                  </w14:solidFill>
                </w14:textFill>
              </w:rPr>
              <w:t>万元。</w:t>
            </w:r>
          </w:p>
          <w:p w14:paraId="33DDF605">
            <w:pPr>
              <w:pStyle w:val="2"/>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1.2施工期环境影响评价结论</w:t>
            </w:r>
          </w:p>
          <w:p w14:paraId="6B0C1932">
            <w:pPr>
              <w:pStyle w:val="11"/>
              <w:spacing w:line="360" w:lineRule="auto"/>
              <w:ind w:firstLine="48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14:textFill>
                  <w14:solidFill>
                    <w14:schemeClr w14:val="tx1"/>
                  </w14:solidFill>
                </w14:textFill>
              </w:rPr>
              <w:t>.1施工期水环境影响分析结论</w:t>
            </w:r>
          </w:p>
          <w:p w14:paraId="141025CF">
            <w:pPr>
              <w:pStyle w:val="11"/>
              <w:spacing w:line="360" w:lineRule="auto"/>
              <w:ind w:firstLine="48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本项目施工生产、生活用水拟采用水罐车从附近村庄取水，在施工现场根据需要设置移动式蓄水箱作为补充。施工人员产生的生活污水和生产废水是本工程建设期的主要水污染源，因而施工期废水排入废水沉淀池，并且施工期间要节约用水，项目施工期设置一座废水防渗沉淀池，沉淀上清液路面降尘，底泥沤肥，用于绿化。由于本工程施工期不长，生产废水和生活污水相对较少，施工期废水对所在区域环境所造成的影响很小。</w:t>
            </w:r>
          </w:p>
          <w:p w14:paraId="3D1F5A6B">
            <w:pPr>
              <w:pStyle w:val="11"/>
              <w:spacing w:line="360" w:lineRule="auto"/>
              <w:ind w:firstLine="48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14:textFill>
                  <w14:solidFill>
                    <w14:schemeClr w14:val="tx1"/>
                  </w14:solidFill>
                </w14:textFill>
              </w:rPr>
              <w:t>.2施工期环境空气影响分析结论</w:t>
            </w:r>
          </w:p>
          <w:p w14:paraId="0EE55C10">
            <w:pPr>
              <w:pStyle w:val="11"/>
              <w:spacing w:line="360" w:lineRule="auto"/>
              <w:ind w:firstLine="48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本项目施工期产生的大气污染物主要为施工扬尘、运输车辆及施工设备产生的燃油废气、道路扬尘。本项目扬尘主要来自项目区场地平整、道路修建时路面平整扬尘以及箱变基础、逆变器基础、储能设备基础开挖产生的扬尘以及运载车辆造成的道路扬尘</w:t>
            </w:r>
            <w:r>
              <w:rPr>
                <w:rFonts w:hint="eastAsia" w:ascii="Times New Roman" w:eastAsia="宋体" w:cs="Times New Roman"/>
                <w:color w:val="000000" w:themeColor="text1"/>
                <w:sz w:val="24"/>
                <w:szCs w:val="24"/>
                <w:lang w:val="en-US" w:eastAsia="zh-CN"/>
                <w14:textFill>
                  <w14:solidFill>
                    <w14:schemeClr w14:val="tx1"/>
                  </w14:solidFill>
                </w14:textFill>
              </w:rPr>
              <w:t>；施工期配备挖掘机、起重机、自卸汽车等设备大多以柴油作为燃料，各设备在运行过程中会产生燃油废气，排放的主要污染物为 SO2、NO2、CO、烟尘等，本次排放量很小；道路扬尘主要通过洒水的方式来抑尘，实验数据表明，洒水方式能削减80%以上的起尘量。随着施工结束后粉尘影响将消失。因此，项目施工对区域环境空气的影响较小。</w:t>
            </w:r>
          </w:p>
          <w:p w14:paraId="6FC23E54">
            <w:pPr>
              <w:pStyle w:val="11"/>
              <w:spacing w:line="360" w:lineRule="auto"/>
              <w:ind w:firstLine="48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14:textFill>
                  <w14:solidFill>
                    <w14:schemeClr w14:val="tx1"/>
                  </w14:solidFill>
                </w14:textFill>
              </w:rPr>
              <w:t>.3施工期噪声影响分析结论</w:t>
            </w:r>
          </w:p>
          <w:p w14:paraId="52D10C0C">
            <w:pPr>
              <w:bidi w:val="0"/>
              <w:jc w:val="both"/>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工程施工噪声来源包括：基坑开挖铺填、地基处理、主体工程建筑等阶段，主要为施工机械产生的噪声、施工运输车辆的交通噪声</w:t>
            </w:r>
            <w:r>
              <w:rPr>
                <w:rFonts w:hint="eastAsia"/>
                <w:color w:val="000000" w:themeColor="text1"/>
                <w:lang w:val="en-US" w:eastAsia="zh-CN"/>
                <w14:textFill>
                  <w14:solidFill>
                    <w14:schemeClr w14:val="tx1"/>
                  </w14:solidFill>
                </w14:textFill>
              </w:rPr>
              <w:t>。</w:t>
            </w:r>
            <w:r>
              <w:rPr>
                <w:rFonts w:hint="eastAsia" w:ascii="Times New Roman" w:eastAsia="宋体" w:cs="Times New Roman"/>
                <w:color w:val="000000" w:themeColor="text1"/>
                <w:sz w:val="24"/>
                <w:szCs w:val="24"/>
                <w:lang w:val="en-US" w:eastAsia="zh-CN"/>
                <w14:textFill>
                  <w14:solidFill>
                    <w14:schemeClr w14:val="tx1"/>
                  </w14:solidFill>
                </w14:textFill>
              </w:rPr>
              <w:t>施工单位必须采取有效的施工噪声控制措施，加强施工管理，确保不对周边环境造成严重的噪声影响。施工期结束后施工噪声影响将消失，对周边声环境影响较小。</w:t>
            </w:r>
          </w:p>
          <w:p w14:paraId="3CC1A9CF">
            <w:pPr>
              <w:pStyle w:val="11"/>
              <w:spacing w:line="360" w:lineRule="auto"/>
              <w:ind w:firstLine="48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14:textFill>
                  <w14:solidFill>
                    <w14:schemeClr w14:val="tx1"/>
                  </w14:solidFill>
                </w14:textFill>
              </w:rPr>
              <w:t>.4施工期固体废物环境影响分析结论</w:t>
            </w:r>
          </w:p>
          <w:p w14:paraId="523C28E3">
            <w:pPr>
              <w:pStyle w:val="11"/>
              <w:spacing w:line="360" w:lineRule="auto"/>
              <w:ind w:firstLine="480"/>
              <w:jc w:val="both"/>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施工过程产生的固体废弃物主要为建筑垃圾及施工人员生活垃圾。建筑垃圾有回收利用价值的外售给废品回收站，剩余的不能回收利用的拉运至当地住建部门指定的堆场</w:t>
            </w:r>
            <w:r>
              <w:rPr>
                <w:rFonts w:hint="eastAsia" w:ascii="Times New Roman" w:eastAsia="宋体" w:cs="Times New Roman"/>
                <w:color w:val="000000" w:themeColor="text1"/>
                <w:sz w:val="24"/>
                <w:szCs w:val="24"/>
                <w:lang w:val="en-US" w:eastAsia="zh-CN"/>
                <w14:textFill>
                  <w14:solidFill>
                    <w14:schemeClr w14:val="tx1"/>
                  </w14:solidFill>
                </w14:textFill>
              </w:rPr>
              <w:t>；余土就近运往光伏阵列区检修道路，全部用于路基填方，没有弃土产生。项目无过多剩余土石方量，土石方开挖量与回填量基本保持平衡；施工生产生活区内设置垃圾箱，生活垃圾统一收集后定期送至垃圾填埋场填埋。本项目施工期产生的固体废物均能得到有效的处理与处置，对周围环境影响较小。</w:t>
            </w:r>
          </w:p>
          <w:p w14:paraId="069FDB1C">
            <w:pPr>
              <w:pStyle w:val="11"/>
              <w:spacing w:line="360" w:lineRule="auto"/>
              <w:ind w:firstLine="48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lang w:val="en-US"/>
                <w14:textFill>
                  <w14:solidFill>
                    <w14:schemeClr w14:val="tx1"/>
                  </w14:solidFill>
                </w14:textFill>
              </w:rPr>
              <w:t>.5施工期生态环境影响分析结论</w:t>
            </w:r>
          </w:p>
          <w:p w14:paraId="24F4CB96">
            <w:pPr>
              <w:pStyle w:val="11"/>
              <w:spacing w:line="360" w:lineRule="auto"/>
              <w:ind w:firstLine="480"/>
              <w:rPr>
                <w:rFonts w:hint="eastAsia" w:asci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施工期生态影响主要表现为项目区道路基础施工、集电线路直埋、生产楼等建设过程中，场地平整、土方开挖、填筑、机械碾压等施工活动占用土地、破坏区域土壤、植被，改变原有地貌，增加水土流失等</w:t>
            </w:r>
            <w:r>
              <w:rPr>
                <w:rFonts w:hint="eastAsia" w:ascii="Times New Roman" w:eastAsia="宋体" w:cs="Times New Roman"/>
                <w:color w:val="000000" w:themeColor="text1"/>
                <w:sz w:val="24"/>
                <w:szCs w:val="24"/>
                <w:lang w:val="en-US" w:eastAsia="zh-CN"/>
                <w14:textFill>
                  <w14:solidFill>
                    <w14:schemeClr w14:val="tx1"/>
                  </w14:solidFill>
                </w14:textFill>
              </w:rPr>
              <w:t>。</w:t>
            </w:r>
          </w:p>
          <w:p w14:paraId="10EC3074">
            <w:pPr>
              <w:pStyle w:val="11"/>
              <w:spacing w:line="360" w:lineRule="auto"/>
              <w:ind w:firstLine="480"/>
              <w:rPr>
                <w:rFonts w:hint="eastAsia" w:asci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施工结束后，施工单位对光伏组件基础、箱式变压器基础、储能设备等周围进行场地清理和平整，设备周围铺设碎石，并进行植被恢复等措施后，对项目区生态环境影响较小。</w:t>
            </w:r>
          </w:p>
          <w:p w14:paraId="31C9E400">
            <w:pPr>
              <w:pStyle w:val="11"/>
              <w:spacing w:line="360" w:lineRule="auto"/>
              <w:ind w:firstLine="48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对于施工临时占地应尽量缩小占地的范围和大小，临时占地周围应设置标识，避免超范围占地。在施工布置中应尽量合理规划，可在永久道路处先修建临时施工便道，在施工过程中升级为永久道路，以减少临时占地。建议项目在施工设计工程中将节约土地的理念纳入设计和施工过程中，从而可减少恢复临时占地</w:t>
            </w:r>
          </w:p>
          <w:p w14:paraId="1221DD03">
            <w:pPr>
              <w:pStyle w:val="11"/>
              <w:spacing w:line="360" w:lineRule="auto"/>
              <w:ind w:firstLine="480"/>
              <w:rPr>
                <w:rFonts w:hint="eastAsia" w:asci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1.3运营期环境影响评价结论</w:t>
            </w:r>
          </w:p>
          <w:p w14:paraId="3BA8F5EC">
            <w:pPr>
              <w:pStyle w:val="11"/>
              <w:spacing w:line="360" w:lineRule="auto"/>
              <w:ind w:firstLine="480"/>
              <w:rPr>
                <w:rFonts w:hint="eastAsia" w:asci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1.3.1水环境</w:t>
            </w:r>
          </w:p>
          <w:p w14:paraId="1DA55B00">
            <w:pPr>
              <w:pStyle w:val="11"/>
              <w:spacing w:line="360" w:lineRule="auto"/>
              <w:ind w:firstLine="480"/>
              <w:rPr>
                <w:rFonts w:hint="eastAsia" w:asci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光伏组件冲洗废水沿光伏组件表面落至地面不外排；职工生活污水经1座15m</w:t>
            </w:r>
            <w:r>
              <w:rPr>
                <w:rFonts w:hint="eastAsia" w:ascii="Times New Roman" w:eastAsia="宋体" w:cs="Times New Roman"/>
                <w:color w:val="000000" w:themeColor="text1"/>
                <w:sz w:val="24"/>
                <w:szCs w:val="24"/>
                <w:vertAlign w:val="superscript"/>
                <w:lang w:val="en-US" w:eastAsia="zh-CN"/>
                <w14:textFill>
                  <w14:solidFill>
                    <w14:schemeClr w14:val="tx1"/>
                  </w14:solidFill>
                </w14:textFill>
              </w:rPr>
              <w:t>3</w:t>
            </w:r>
            <w:r>
              <w:rPr>
                <w:rFonts w:hint="eastAsia" w:ascii="Times New Roman" w:eastAsia="宋体" w:cs="Times New Roman"/>
                <w:color w:val="000000" w:themeColor="text1"/>
                <w:sz w:val="24"/>
                <w:szCs w:val="24"/>
                <w:lang w:val="en-US" w:eastAsia="zh-CN"/>
                <w14:textFill>
                  <w14:solidFill>
                    <w14:schemeClr w14:val="tx1"/>
                  </w14:solidFill>
                </w14:textFill>
              </w:rPr>
              <w:t>一体化地埋式化粪池处理后由吸粪车拉运至尖扎县污水处理厂进行处置。</w:t>
            </w:r>
          </w:p>
          <w:p w14:paraId="209EDAFD">
            <w:pPr>
              <w:pStyle w:val="11"/>
              <w:spacing w:line="360" w:lineRule="auto"/>
              <w:ind w:firstLine="480"/>
              <w:rPr>
                <w:rFonts w:hint="eastAsia" w:asci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1.3.2固体废物</w:t>
            </w:r>
          </w:p>
          <w:p w14:paraId="272B9E3D">
            <w:pPr>
              <w:pStyle w:val="11"/>
              <w:spacing w:line="360" w:lineRule="auto"/>
              <w:ind w:firstLine="480"/>
              <w:rPr>
                <w:rFonts w:hint="eastAsia" w:asci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生活垃圾经新购置的生活垃圾桶收集后清运至尖扎县垃圾填埋场填埋。废旧电子元件经新建的危废暂存间暂存后由电子元件厂商回收；废旧、损坏电池使用年限为15年，废弃后直接交由厂家回收处理。废旧、损坏电池；变压器油事故状态及间检修时产生的废变压器油通过事故排油管排入事故油内。</w:t>
            </w:r>
          </w:p>
          <w:p w14:paraId="5309342A">
            <w:pPr>
              <w:pStyle w:val="11"/>
              <w:spacing w:line="360" w:lineRule="auto"/>
              <w:ind w:firstLine="480"/>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1.4结论</w:t>
            </w:r>
          </w:p>
          <w:p w14:paraId="30A82EB9">
            <w:pPr>
              <w:pStyle w:val="11"/>
              <w:spacing w:line="360" w:lineRule="auto"/>
              <w:ind w:firstLine="48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综上所述，项目严格按要求执行“三同时制度，并保证环保设施正常运行，在采取必要污染防治措施后，加强环保运行管理，项目对周围环境的影响不大。据此，本评价认为，本项目在拟定地点实施从环境保护角度可行。</w:t>
            </w:r>
          </w:p>
          <w:p w14:paraId="58BB250B">
            <w:pPr>
              <w:ind w:left="0" w:leftChars="0" w:firstLine="482" w:firstLineChars="200"/>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lang w:val="en-US"/>
                <w14:textFill>
                  <w14:solidFill>
                    <w14:schemeClr w14:val="tx1"/>
                  </w14:solidFill>
                </w14:textFill>
              </w:rPr>
              <w:t>2.</w:t>
            </w:r>
            <w:r>
              <w:rPr>
                <w:rFonts w:hint="default" w:ascii="Times New Roman" w:hAnsi="Times New Roman" w:eastAsia="宋体" w:cs="Times New Roman"/>
                <w:b/>
                <w:bCs/>
                <w:color w:val="000000" w:themeColor="text1"/>
                <w:sz w:val="24"/>
                <w:szCs w:val="24"/>
                <w14:textFill>
                  <w14:solidFill>
                    <w14:schemeClr w14:val="tx1"/>
                  </w14:solidFill>
                </w14:textFill>
              </w:rPr>
              <w:t>审批部门审批决定：</w:t>
            </w:r>
          </w:p>
          <w:p w14:paraId="4EF1C2CE">
            <w:pPr>
              <w:ind w:left="0" w:leftChars="0" w:firstLine="480" w:firstLineChars="200"/>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eastAsia" w:ascii="Times New Roman" w:eastAsia="宋体" w:cs="Times New Roman"/>
                <w:color w:val="000000" w:themeColor="text1"/>
                <w:sz w:val="24"/>
                <w:szCs w:val="24"/>
                <w:lang w:val="en-US" w:eastAsia="zh-CN"/>
                <w14:textFill>
                  <w14:solidFill>
                    <w14:schemeClr w14:val="tx1"/>
                  </w14:solidFill>
                </w14:textFill>
              </w:rPr>
              <w:t>尖扎金能新能源有限公司</w:t>
            </w:r>
            <w:r>
              <w:rPr>
                <w:rFonts w:hint="default" w:ascii="Times New Roman" w:hAnsi="Times New Roman" w:eastAsia="宋体" w:cs="Times New Roman"/>
                <w:color w:val="000000" w:themeColor="text1"/>
                <w:sz w:val="24"/>
                <w:szCs w:val="24"/>
                <w:lang w:val="en-US"/>
                <w14:textFill>
                  <w14:solidFill>
                    <w14:schemeClr w14:val="tx1"/>
                  </w14:solidFill>
                </w14:textFill>
              </w:rPr>
              <w:t>：</w:t>
            </w:r>
          </w:p>
          <w:p w14:paraId="461BC183">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你公司《关于尖扎县尖扎滩乡40万千瓦“牧光储”一体化建设项目环境影响评价报告表的请示》收悉，2022年7月16日，我局根据青海省生态环境厅办公司印发的《关于做好全省重大项目开复工环评审批服务的通知》(青生办[2020]18号)文件精神，对该报告表进行了专家函审，经研究，批复如下：</w:t>
            </w:r>
          </w:p>
          <w:p w14:paraId="36E08984">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一、项目建设内容和总体要求</w:t>
            </w:r>
          </w:p>
          <w:p w14:paraId="11F558A5">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尖扎县尖扎滩乡40万千瓦“牧光储”—体化建设项目位于尖礼县尖扎滩乡，项目代码：2109-632300-04-01-533662</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14:textFill>
                  <w14:solidFill>
                    <w14:schemeClr w14:val="tx1"/>
                  </w14:solidFill>
                </w14:textFill>
              </w:rPr>
              <w:t>项目性质属新建，建设规模：总投资199705</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14:textFill>
                  <w14:solidFill>
                    <w14:schemeClr w14:val="tx1"/>
                  </w14:solidFill>
                </w14:textFill>
              </w:rPr>
              <w:t>13万元，其</w:t>
            </w:r>
            <w:r>
              <w:rPr>
                <w:rFonts w:hint="eastAsia" w:cs="Times New Roman"/>
                <w:color w:val="000000" w:themeColor="text1"/>
                <w:sz w:val="24"/>
                <w:szCs w:val="24"/>
                <w:lang w:val="en-US" w:eastAsia="zh-CN"/>
                <w14:textFill>
                  <w14:solidFill>
                    <w14:schemeClr w14:val="tx1"/>
                  </w14:solidFill>
                </w14:textFill>
              </w:rPr>
              <w:t>中</w:t>
            </w:r>
            <w:r>
              <w:rPr>
                <w:rFonts w:hint="default" w:ascii="Times New Roman" w:hAnsi="Times New Roman" w:eastAsia="宋体" w:cs="Times New Roman"/>
                <w:color w:val="000000" w:themeColor="text1"/>
                <w:sz w:val="24"/>
                <w:szCs w:val="24"/>
                <w:lang w:val="en-US"/>
                <w14:textFill>
                  <w14:solidFill>
                    <w14:schemeClr w14:val="tx1"/>
                  </w14:solidFill>
                </w14:textFill>
              </w:rPr>
              <w:t>环保投资471万元；用地面积8524.894亩，永久占地总面积约10万平方米。建设内容：实际装机容量400MW，选用固定安装的光伏子阵的单体模块由竖向2×26光伏单列组成，每个光伏单列可以组成2串光伏组件串，每3.125MW光伏子阵包含238并组串，238并组串通过12台20进1出的直流汇流箱汇流后经逆变器逆变接入1台3125kW箱式升压变压器。光伏阵列采用38度倾角，支架中轴南北间距9.2米，光伏组件最低点距离地面1800mm</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14:textFill>
                  <w14:solidFill>
                    <w14:schemeClr w14:val="tx1"/>
                  </w14:solidFill>
                </w14:textFill>
              </w:rPr>
              <w:t>整个项目共分128个子方阵，单个子方阵配备1台3125kW并网逆变器接入一合3150kVA双绕组升压变压器，逆变器与变压器为集成装置，一体化就地布置+1台油浸变压器。全场共128台箱变，每8台35kV箱变串并联为1回集电线路，直流逆变为交流，就地升压至35kV后分别以16回35kV集电线路接入330kV升压站，储能容量为240MWh，分为242.5MW/10MWh储能单元。项目符合国家产业政策及尖扎县总体规划要求，在全面落实报告表提出的各项环保措施的基础上，按照环境影响报告表中所列建设项目的地点、性质、规模、建设方式及下述要求进行项目建设，我局同意该项目建设。</w:t>
            </w:r>
          </w:p>
          <w:p w14:paraId="3DED5970">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二、项目建设和运营过程中重点做好以下工作</w:t>
            </w:r>
          </w:p>
          <w:p w14:paraId="596E0995">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1、优化施工时间，减少施工噪音对居民生活的干扰，严格遵守当地工程施工的各项规定，夜间(22</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14:textFill>
                  <w14:solidFill>
                    <w14:schemeClr w14:val="tx1"/>
                  </w14:solidFill>
                </w14:textFill>
              </w:rPr>
              <w:t>00-7</w:t>
            </w:r>
            <w:r>
              <w:rPr>
                <w:rFonts w:hint="eastAsia"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14:textFill>
                  <w14:solidFill>
                    <w14:schemeClr w14:val="tx1"/>
                  </w14:solidFill>
                </w14:textFill>
              </w:rPr>
              <w:t>00)严禁进行混凝土浇筑和使用大型施工机械；土方开挖外运时，为避免尘土飞扬，土体散落，对运输车辆加盖蓬布，同时不允许车辆带土驶出施工现场；在施工阶段，工程材料堆放符合建筑施工管理规定，施工期间产生的建筑垃圾及生活垃圾会影响周围生态环境，因此在施工中应当加强管理，制定文明施工制度，并将施工工地采用挡墙、挡板等方式与外界隔开，尽量减少污染。</w:t>
            </w:r>
          </w:p>
          <w:p w14:paraId="2311CD31">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2、施工期产生的建筑垃圾必须分类收集，不能回收利用的按照尖扎县环卫所的要求，送往尖扎滩乡的垃圾填埋场进行处置。</w:t>
            </w:r>
          </w:p>
          <w:p w14:paraId="006AC76B">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3、运营期办公和生活区域内设置一定的垃圾收集箱，避免垃圾对环境造成二次污染。</w:t>
            </w:r>
          </w:p>
          <w:p w14:paraId="6F073393">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4、运营期产生的危废，经收集后暂存于危废暂存间，定期交由有资质单位进行清运处置。</w:t>
            </w:r>
          </w:p>
          <w:p w14:paraId="2C560553">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5、产生的生活污水排至自建的化粪池进行处理后，定期由吸粪车抽运至尖扎滩污水处理厂进行安全处置。</w:t>
            </w:r>
          </w:p>
          <w:p w14:paraId="66BC20CC">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6、营运期产生的废旧电子元件属危险废物，你公司必须按照危险废物相关规定，配合我环保部门做好登记、储存、回收、运输和处置工作。</w:t>
            </w:r>
          </w:p>
          <w:p w14:paraId="5D9D5AAE">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7、运营期为了防止变压器漏油对环境造成影响，针对每个箱式变压器设置一个容积为2立方米的事故油池。</w:t>
            </w:r>
          </w:p>
          <w:p w14:paraId="5178EDA0">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8、建立项目危险废物应急预案，报尖扎县生态环境部门审核，并配合环保部门做好相关台帐。</w:t>
            </w:r>
          </w:p>
          <w:p w14:paraId="7972EF97">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三、项目批复后，如项目建设地点、性质、规模、生产</w:t>
            </w:r>
          </w:p>
          <w:p w14:paraId="671E5A01">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工艺、环境保护设施等发生重大变更，你公司应及时履行相关环保手续。自环境影响报告表批复文件批准之日起，如超过5年方决定工程开工建设的，环境影响报告表应当报原审批部门重新审核。</w:t>
            </w:r>
          </w:p>
          <w:p w14:paraId="0A71061C">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四、有机衔接环境影响评价与排污许可证申领，将批准的环境影响评价文件中各项环境保护措施、污染源排放清单及其他有关环境管控要求载入排污许可证，并按证排污。</w:t>
            </w:r>
          </w:p>
          <w:p w14:paraId="6097522E">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五、你公司应认真履行项目实施中各环节的环保主体责任，严格执行环保设施与主体工程同时设计、同时施工、同时投入运行的“三同时”制度。建设单位应按照《建设项目竣工环境保护验收暂行办法》及技术指南相关规定，自行组织进行验收。验收合格后，其主体工程方可投入生产或者使用；未经验收或者验收不合格的，不得投入生产或者使用。</w:t>
            </w:r>
          </w:p>
          <w:p w14:paraId="6A958ECF">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六、我局委托黄南州生态环境综合行政执法支队和尖扎县生态环境局负责该项目建设期的环境保护监督管理工作。</w:t>
            </w:r>
          </w:p>
          <w:p w14:paraId="5E997F4B">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2B091735">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751B3F29">
            <w:pPr>
              <w:pStyle w:val="2"/>
              <w:jc w:val="center"/>
              <w:rPr>
                <w:rFonts w:hint="eastAsia"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                                        黄南州生态环境局</w:t>
            </w:r>
          </w:p>
          <w:p w14:paraId="576B44D7">
            <w:pPr>
              <w:pStyle w:val="2"/>
              <w:jc w:val="center"/>
              <w:rPr>
                <w:rFonts w:hint="default" w:cs="Times New Roman"/>
                <w:color w:val="000000" w:themeColor="text1"/>
                <w:sz w:val="24"/>
                <w:szCs w:val="24"/>
                <w:lang w:val="en-US" w:eastAsia="zh-CN"/>
                <w14:textFill>
                  <w14:solidFill>
                    <w14:schemeClr w14:val="tx1"/>
                  </w14:solidFill>
                </w14:textFill>
              </w:rPr>
            </w:pPr>
            <w:r>
              <w:rPr>
                <w:rFonts w:hint="eastAsia" w:cs="Times New Roman"/>
                <w:color w:val="000000" w:themeColor="text1"/>
                <w:sz w:val="24"/>
                <w:szCs w:val="24"/>
                <w:lang w:val="en-US" w:eastAsia="zh-CN"/>
                <w14:textFill>
                  <w14:solidFill>
                    <w14:schemeClr w14:val="tx1"/>
                  </w14:solidFill>
                </w14:textFill>
              </w:rPr>
              <w:t xml:space="preserve">                                        2022年10月14日</w:t>
            </w:r>
          </w:p>
          <w:p w14:paraId="433F1B40">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0AF01F2F">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204F4848">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41EA4D8F">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0C2EEEC2">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50CB3BD0">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7801F1D7">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4578C196">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2147FC83">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03C9977E">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3F5E04C4">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318BD052">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49D7F2EF">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44D5BCD3">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44727FC8">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412D746D">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07057564">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2A38FE1B">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2BFC7B60">
            <w:pPr>
              <w:pStyle w:val="2"/>
              <w:ind w:left="0" w:leftChars="0" w:firstLine="0" w:firstLineChars="0"/>
              <w:rPr>
                <w:rFonts w:hint="default" w:ascii="Times New Roman" w:hAnsi="Times New Roman" w:eastAsia="宋体" w:cs="Times New Roman"/>
                <w:color w:val="000000" w:themeColor="text1"/>
                <w:sz w:val="24"/>
                <w:szCs w:val="24"/>
                <w:lang w:val="en-US"/>
                <w14:textFill>
                  <w14:solidFill>
                    <w14:schemeClr w14:val="tx1"/>
                  </w14:solidFill>
                </w14:textFill>
              </w:rPr>
            </w:pPr>
          </w:p>
          <w:p w14:paraId="585707EC">
            <w:pPr>
              <w:pStyle w:val="2"/>
              <w:rPr>
                <w:rFonts w:hint="default" w:ascii="Times New Roman" w:hAnsi="Times New Roman" w:eastAsia="宋体" w:cs="Times New Roman"/>
                <w:color w:val="000000" w:themeColor="text1"/>
                <w:sz w:val="24"/>
                <w:szCs w:val="24"/>
                <w:lang w:val="en-US"/>
                <w14:textFill>
                  <w14:solidFill>
                    <w14:schemeClr w14:val="tx1"/>
                  </w14:solidFill>
                </w14:textFill>
              </w:rPr>
            </w:pPr>
          </w:p>
          <w:p w14:paraId="2513E10D">
            <w:pPr>
              <w:pStyle w:val="2"/>
              <w:ind w:left="0" w:leftChars="0" w:firstLine="0" w:firstLineChars="0"/>
              <w:rPr>
                <w:rFonts w:hint="default" w:ascii="Times New Roman" w:hAnsi="Times New Roman" w:eastAsia="宋体" w:cs="Times New Roman"/>
                <w:color w:val="000000" w:themeColor="text1"/>
                <w:sz w:val="24"/>
                <w:szCs w:val="24"/>
                <w:lang w:val="en-US"/>
                <w14:textFill>
                  <w14:solidFill>
                    <w14:schemeClr w14:val="tx1"/>
                  </w14:solidFill>
                </w14:textFill>
              </w:rPr>
            </w:pPr>
          </w:p>
        </w:tc>
      </w:tr>
      <w:tr w14:paraId="194D2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86" w:hRule="atLeast"/>
        </w:trPr>
        <w:tc>
          <w:tcPr>
            <w:tcW w:w="8689" w:type="dxa"/>
          </w:tcPr>
          <w:p w14:paraId="004B48C3">
            <w:pPr>
              <w:bidi w:val="0"/>
              <w:rPr>
                <w:rFonts w:hint="default" w:ascii="Times New Roman" w:hAnsi="Times New Roman" w:eastAsia="宋体" w:cs="Times New Roman"/>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验收执行标准</w:t>
            </w:r>
            <w:r>
              <w:rPr>
                <w:rFonts w:hint="default" w:ascii="Times New Roman" w:hAnsi="Times New Roman" w:eastAsia="宋体" w:cs="Times New Roman"/>
                <w:color w:val="000000" w:themeColor="text1"/>
                <w14:textFill>
                  <w14:solidFill>
                    <w14:schemeClr w14:val="tx1"/>
                  </w14:solidFill>
                </w14:textFill>
              </w:rPr>
              <w:t>：</w:t>
            </w:r>
          </w:p>
          <w:p w14:paraId="2A017C5F">
            <w:pPr>
              <w:pStyle w:val="17"/>
              <w:keepNext w:val="0"/>
              <w:keepLines w:val="0"/>
              <w:pageBreakBefore w:val="0"/>
              <w:numPr>
                <w:ilvl w:val="0"/>
                <w:numId w:val="0"/>
              </w:numPr>
              <w:kinsoku/>
              <w:wordWrap/>
              <w:overflowPunct/>
              <w:topLinePunct w:val="0"/>
              <w:bidi w:val="0"/>
              <w:adjustRightInd w:val="0"/>
              <w:snapToGrid w:val="0"/>
              <w:spacing w:line="360" w:lineRule="auto"/>
              <w:ind w:leftChars="200" w:right="0" w:rightChars="0"/>
              <w:jc w:val="both"/>
              <w:textAlignment w:val="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eastAsia" w:cs="Times New Roman"/>
                <w:b/>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
                <w:bCs/>
                <w:color w:val="000000" w:themeColor="text1"/>
                <w:sz w:val="24"/>
                <w:szCs w:val="24"/>
                <w14:textFill>
                  <w14:solidFill>
                    <w14:schemeClr w14:val="tx1"/>
                  </w14:solidFill>
                </w14:textFill>
              </w:rPr>
              <w:t>环境质量标准</w:t>
            </w:r>
          </w:p>
          <w:p w14:paraId="084765C8">
            <w:pPr>
              <w:keepNext w:val="0"/>
              <w:keepLines w:val="0"/>
              <w:pageBreakBefore w:val="0"/>
              <w:kinsoku/>
              <w:wordWrap/>
              <w:overflowPunct/>
              <w:topLinePunct w:val="0"/>
              <w:bidi w:val="0"/>
              <w:adjustRightInd w:val="0"/>
              <w:snapToGrid w:val="0"/>
              <w:spacing w:line="360" w:lineRule="auto"/>
              <w:ind w:left="0" w:leftChars="0" w:right="0" w:rightChars="0" w:firstLine="482" w:firstLineChars="200"/>
              <w:jc w:val="both"/>
              <w:textAlignment w:val="auto"/>
              <w:rPr>
                <w:rFonts w:hint="default" w:ascii="Times New Roman" w:hAnsi="Times New Roman" w:eastAsia="宋体" w:cs="Times New Roman"/>
                <w:b/>
                <w:bCs/>
                <w:color w:val="000000" w:themeColor="text1"/>
                <w:kern w:val="18"/>
                <w:szCs w:val="24"/>
                <w14:textFill>
                  <w14:solidFill>
                    <w14:schemeClr w14:val="tx1"/>
                  </w14:solidFill>
                </w14:textFill>
              </w:rPr>
            </w:pPr>
            <w:r>
              <w:rPr>
                <w:rFonts w:hint="default" w:ascii="Times New Roman" w:hAnsi="Times New Roman" w:eastAsia="宋体" w:cs="Times New Roman"/>
                <w:b/>
                <w:bCs/>
                <w:color w:val="000000" w:themeColor="text1"/>
                <w:kern w:val="18"/>
                <w:szCs w:val="24"/>
                <w14:textFill>
                  <w14:solidFill>
                    <w14:schemeClr w14:val="tx1"/>
                  </w14:solidFill>
                </w14:textFill>
              </w:rPr>
              <w:t>1.1环境空气</w:t>
            </w:r>
          </w:p>
          <w:p w14:paraId="405256EF">
            <w:pPr>
              <w:bidi w:val="0"/>
              <w:rPr>
                <w:rFonts w:hint="default" w:ascii="Times New Roman" w:hAnsi="Times New Roman" w:eastAsia="宋体" w:cs="Times New Roman"/>
                <w:color w:val="000000" w:themeColor="text1"/>
                <w:lang w:eastAsia="zh-CN"/>
                <w14:textFill>
                  <w14:solidFill>
                    <w14:schemeClr w14:val="tx1"/>
                  </w14:solidFill>
                </w14:textFill>
              </w:rPr>
            </w:pPr>
            <w:r>
              <w:rPr>
                <w:rFonts w:hint="default" w:ascii="Times New Roman" w:hAnsi="Times New Roman" w:eastAsia="宋体" w:cs="Times New Roman"/>
                <w:color w:val="000000" w:themeColor="text1"/>
                <w14:textFill>
                  <w14:solidFill>
                    <w14:schemeClr w14:val="tx1"/>
                  </w14:solidFill>
                </w14:textFill>
              </w:rPr>
              <w:t>环境空气执行《环境空气质量标准》（GB3095-2012）中二级标准。标准限值见表3-1</w:t>
            </w:r>
            <w:r>
              <w:rPr>
                <w:rFonts w:hint="eastAsia" w:ascii="Times New Roman" w:hAnsi="Times New Roman" w:eastAsia="宋体" w:cs="Times New Roman"/>
                <w:color w:val="000000" w:themeColor="text1"/>
                <w:lang w:val="en-US" w:eastAsia="zh-CN"/>
                <w14:textFill>
                  <w14:solidFill>
                    <w14:schemeClr w14:val="tx1"/>
                  </w14:solidFill>
                </w14:textFill>
              </w:rPr>
              <w:t>：</w:t>
            </w:r>
          </w:p>
          <w:p w14:paraId="6AD61278">
            <w:pPr>
              <w:ind w:left="0" w:leftChars="0" w:firstLine="0" w:firstLineChars="0"/>
              <w:jc w:val="center"/>
              <w:rPr>
                <w:rFonts w:hint="default" w:ascii="Times New Roman" w:hAnsi="Times New Roman" w:eastAsia="宋体" w:cs="Times New Roman"/>
                <w:b/>
                <w:bCs/>
                <w:color w:val="000000" w:themeColor="text1"/>
                <w:vertAlign w:val="superscript"/>
                <w:lang w:eastAsia="zh-CN"/>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表3-1《环境空气质量标准》（GB3095-2012）单位：mg/</w:t>
            </w:r>
            <w:r>
              <w:rPr>
                <w:rFonts w:hint="default" w:ascii="Times New Roman" w:hAnsi="Times New Roman" w:eastAsia="宋体" w:cs="Times New Roman"/>
                <w:b/>
                <w:bCs/>
                <w:color w:val="000000" w:themeColor="text1"/>
                <w:lang w:eastAsia="zh-CN"/>
                <w14:textFill>
                  <w14:solidFill>
                    <w14:schemeClr w14:val="tx1"/>
                  </w14:solidFill>
                </w14:textFill>
              </w:rPr>
              <w:t>m³</w:t>
            </w:r>
          </w:p>
          <w:tbl>
            <w:tblPr>
              <w:tblStyle w:val="12"/>
              <w:tblW w:w="807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1"/>
              <w:gridCol w:w="1410"/>
              <w:gridCol w:w="1365"/>
              <w:gridCol w:w="1365"/>
              <w:gridCol w:w="1080"/>
              <w:gridCol w:w="2075"/>
            </w:tblGrid>
            <w:tr w14:paraId="64BBF0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81" w:type="dxa"/>
                  <w:vMerge w:val="restart"/>
                  <w:vAlign w:val="center"/>
                </w:tcPr>
                <w:p w14:paraId="0C3A4F04">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序号</w:t>
                  </w:r>
                </w:p>
              </w:tc>
              <w:tc>
                <w:tcPr>
                  <w:tcW w:w="1410" w:type="dxa"/>
                  <w:vMerge w:val="restart"/>
                  <w:vAlign w:val="center"/>
                </w:tcPr>
                <w:p w14:paraId="65DA42CC">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污染物项目</w:t>
                  </w:r>
                </w:p>
              </w:tc>
              <w:tc>
                <w:tcPr>
                  <w:tcW w:w="1365" w:type="dxa"/>
                  <w:vMerge w:val="restart"/>
                  <w:vAlign w:val="center"/>
                </w:tcPr>
                <w:p w14:paraId="265E79BD">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平均时间</w:t>
                  </w:r>
                </w:p>
              </w:tc>
              <w:tc>
                <w:tcPr>
                  <w:tcW w:w="1365" w:type="dxa"/>
                  <w:vAlign w:val="center"/>
                </w:tcPr>
                <w:p w14:paraId="2FEE66A6">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浓度限值</w:t>
                  </w:r>
                </w:p>
              </w:tc>
              <w:tc>
                <w:tcPr>
                  <w:tcW w:w="1080" w:type="dxa"/>
                  <w:vMerge w:val="restart"/>
                  <w:vAlign w:val="center"/>
                </w:tcPr>
                <w:p w14:paraId="2DD0730A">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单位</w:t>
                  </w:r>
                </w:p>
              </w:tc>
              <w:tc>
                <w:tcPr>
                  <w:tcW w:w="2075" w:type="dxa"/>
                  <w:vMerge w:val="restart"/>
                  <w:vAlign w:val="center"/>
                </w:tcPr>
                <w:p w14:paraId="3B458858">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标准来源</w:t>
                  </w:r>
                </w:p>
              </w:tc>
            </w:tr>
            <w:tr w14:paraId="303A89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81" w:type="dxa"/>
                  <w:vMerge w:val="continue"/>
                  <w:vAlign w:val="center"/>
                </w:tcPr>
                <w:p w14:paraId="0DA15F07">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1887D32D">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Merge w:val="continue"/>
                  <w:vAlign w:val="center"/>
                </w:tcPr>
                <w:p w14:paraId="04425AA4">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3333A58A">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二级</w:t>
                  </w:r>
                </w:p>
              </w:tc>
              <w:tc>
                <w:tcPr>
                  <w:tcW w:w="1080" w:type="dxa"/>
                  <w:vMerge w:val="continue"/>
                  <w:vAlign w:val="center"/>
                </w:tcPr>
                <w:p w14:paraId="5770E107">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052E4188">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722055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restart"/>
                  <w:vAlign w:val="center"/>
                </w:tcPr>
                <w:p w14:paraId="76DDF55C">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p>
              </w:tc>
              <w:tc>
                <w:tcPr>
                  <w:tcW w:w="1410" w:type="dxa"/>
                  <w:vMerge w:val="restart"/>
                  <w:vAlign w:val="center"/>
                </w:tcPr>
                <w:p w14:paraId="0D3F477D">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SO</w:t>
                  </w:r>
                  <w:r>
                    <w:rPr>
                      <w:rFonts w:ascii="Times New Roman" w:hAnsi="Times New Roman" w:eastAsia="宋体"/>
                      <w:color w:val="000000" w:themeColor="text1"/>
                      <w:sz w:val="21"/>
                      <w:szCs w:val="21"/>
                      <w:vertAlign w:val="subscript"/>
                      <w14:textFill>
                        <w14:solidFill>
                          <w14:schemeClr w14:val="tx1"/>
                        </w14:solidFill>
                      </w14:textFill>
                    </w:rPr>
                    <w:t>2</w:t>
                  </w:r>
                </w:p>
              </w:tc>
              <w:tc>
                <w:tcPr>
                  <w:tcW w:w="1365" w:type="dxa"/>
                  <w:vAlign w:val="center"/>
                </w:tcPr>
                <w:p w14:paraId="29F7CC66">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年平均</w:t>
                  </w:r>
                </w:p>
              </w:tc>
              <w:tc>
                <w:tcPr>
                  <w:tcW w:w="1365" w:type="dxa"/>
                  <w:vAlign w:val="center"/>
                </w:tcPr>
                <w:p w14:paraId="5227C164">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60</w:t>
                  </w:r>
                </w:p>
              </w:tc>
              <w:tc>
                <w:tcPr>
                  <w:tcW w:w="1080" w:type="dxa"/>
                  <w:vMerge w:val="restart"/>
                  <w:vAlign w:val="center"/>
                </w:tcPr>
                <w:p w14:paraId="408BE3E7">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u</w:t>
                  </w:r>
                  <w:r>
                    <w:rPr>
                      <w:rFonts w:ascii="Times New Roman" w:hAnsi="Times New Roman" w:eastAsia="宋体"/>
                      <w:color w:val="000000" w:themeColor="text1"/>
                      <w:sz w:val="21"/>
                      <w:szCs w:val="21"/>
                      <w14:textFill>
                        <w14:solidFill>
                          <w14:schemeClr w14:val="tx1"/>
                        </w14:solidFill>
                      </w14:textFill>
                    </w:rPr>
                    <w:t>g/m</w:t>
                  </w:r>
                  <w:r>
                    <w:rPr>
                      <w:rFonts w:ascii="Times New Roman" w:hAnsi="Times New Roman" w:eastAsia="宋体"/>
                      <w:color w:val="000000" w:themeColor="text1"/>
                      <w:sz w:val="21"/>
                      <w:szCs w:val="21"/>
                      <w:vertAlign w:val="superscript"/>
                      <w14:textFill>
                        <w14:solidFill>
                          <w14:schemeClr w14:val="tx1"/>
                        </w14:solidFill>
                      </w14:textFill>
                    </w:rPr>
                    <w:t>3</w:t>
                  </w:r>
                </w:p>
              </w:tc>
              <w:tc>
                <w:tcPr>
                  <w:tcW w:w="2075" w:type="dxa"/>
                  <w:vMerge w:val="restart"/>
                  <w:vAlign w:val="center"/>
                </w:tcPr>
                <w:p w14:paraId="32F8B832">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《环境空气质量标准》(GB3095-2012)二级标准</w:t>
                  </w:r>
                </w:p>
              </w:tc>
            </w:tr>
            <w:tr w14:paraId="1B55C6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continue"/>
                  <w:vAlign w:val="center"/>
                </w:tcPr>
                <w:p w14:paraId="598EE2D5">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5D77B67A">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303AFABD">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日</w:t>
                  </w:r>
                  <w:r>
                    <w:rPr>
                      <w:rFonts w:ascii="Times New Roman" w:hAnsi="Times New Roman" w:eastAsia="宋体"/>
                      <w:color w:val="000000" w:themeColor="text1"/>
                      <w:sz w:val="21"/>
                      <w:szCs w:val="21"/>
                      <w14:textFill>
                        <w14:solidFill>
                          <w14:schemeClr w14:val="tx1"/>
                        </w14:solidFill>
                      </w14:textFill>
                    </w:rPr>
                    <w:t>平均</w:t>
                  </w:r>
                </w:p>
              </w:tc>
              <w:tc>
                <w:tcPr>
                  <w:tcW w:w="1365" w:type="dxa"/>
                  <w:vAlign w:val="center"/>
                </w:tcPr>
                <w:p w14:paraId="4BEAC5D4">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150</w:t>
                  </w:r>
                </w:p>
              </w:tc>
              <w:tc>
                <w:tcPr>
                  <w:tcW w:w="1080" w:type="dxa"/>
                  <w:vMerge w:val="continue"/>
                  <w:vAlign w:val="center"/>
                </w:tcPr>
                <w:p w14:paraId="3475D20B">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52D8F18A">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7ED302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81" w:type="dxa"/>
                  <w:vMerge w:val="continue"/>
                  <w:vAlign w:val="center"/>
                </w:tcPr>
                <w:p w14:paraId="09E32C3A">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0FFB271D">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2E9F4A70">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1h平均</w:t>
                  </w:r>
                </w:p>
              </w:tc>
              <w:tc>
                <w:tcPr>
                  <w:tcW w:w="1365" w:type="dxa"/>
                  <w:vAlign w:val="center"/>
                </w:tcPr>
                <w:p w14:paraId="0EDE504E">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500</w:t>
                  </w:r>
                </w:p>
              </w:tc>
              <w:tc>
                <w:tcPr>
                  <w:tcW w:w="1080" w:type="dxa"/>
                  <w:vMerge w:val="continue"/>
                  <w:vAlign w:val="center"/>
                </w:tcPr>
                <w:p w14:paraId="3B63CD79">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40E6D5F9">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3C879B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restart"/>
                  <w:vAlign w:val="center"/>
                </w:tcPr>
                <w:p w14:paraId="00707723">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p>
              </w:tc>
              <w:tc>
                <w:tcPr>
                  <w:tcW w:w="1410" w:type="dxa"/>
                  <w:vMerge w:val="restart"/>
                  <w:vAlign w:val="center"/>
                </w:tcPr>
                <w:p w14:paraId="76BE0EC4">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NO</w:t>
                  </w:r>
                  <w:r>
                    <w:rPr>
                      <w:rFonts w:ascii="Times New Roman" w:hAnsi="Times New Roman" w:eastAsia="宋体"/>
                      <w:color w:val="000000" w:themeColor="text1"/>
                      <w:sz w:val="21"/>
                      <w:szCs w:val="21"/>
                      <w:vertAlign w:val="subscript"/>
                      <w14:textFill>
                        <w14:solidFill>
                          <w14:schemeClr w14:val="tx1"/>
                        </w14:solidFill>
                      </w14:textFill>
                    </w:rPr>
                    <w:t>2</w:t>
                  </w:r>
                </w:p>
              </w:tc>
              <w:tc>
                <w:tcPr>
                  <w:tcW w:w="1365" w:type="dxa"/>
                  <w:vAlign w:val="center"/>
                </w:tcPr>
                <w:p w14:paraId="6F945A73">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年平均</w:t>
                  </w:r>
                </w:p>
              </w:tc>
              <w:tc>
                <w:tcPr>
                  <w:tcW w:w="1365" w:type="dxa"/>
                  <w:vAlign w:val="center"/>
                </w:tcPr>
                <w:p w14:paraId="09BDBB9B">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40</w:t>
                  </w:r>
                </w:p>
              </w:tc>
              <w:tc>
                <w:tcPr>
                  <w:tcW w:w="1080" w:type="dxa"/>
                  <w:vMerge w:val="continue"/>
                  <w:vAlign w:val="center"/>
                </w:tcPr>
                <w:p w14:paraId="09AF9418">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5D1437E0">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48B8AE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continue"/>
                  <w:vAlign w:val="center"/>
                </w:tcPr>
                <w:p w14:paraId="029F8246">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6F9F789C">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69737556">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日</w:t>
                  </w:r>
                  <w:r>
                    <w:rPr>
                      <w:rFonts w:ascii="Times New Roman" w:hAnsi="Times New Roman" w:eastAsia="宋体"/>
                      <w:color w:val="000000" w:themeColor="text1"/>
                      <w:sz w:val="21"/>
                      <w:szCs w:val="21"/>
                      <w14:textFill>
                        <w14:solidFill>
                          <w14:schemeClr w14:val="tx1"/>
                        </w14:solidFill>
                      </w14:textFill>
                    </w:rPr>
                    <w:t>平均</w:t>
                  </w:r>
                </w:p>
              </w:tc>
              <w:tc>
                <w:tcPr>
                  <w:tcW w:w="1365" w:type="dxa"/>
                  <w:vAlign w:val="center"/>
                </w:tcPr>
                <w:p w14:paraId="706E2442">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80</w:t>
                  </w:r>
                </w:p>
              </w:tc>
              <w:tc>
                <w:tcPr>
                  <w:tcW w:w="1080" w:type="dxa"/>
                  <w:vMerge w:val="continue"/>
                  <w:vAlign w:val="center"/>
                </w:tcPr>
                <w:p w14:paraId="31B10B6D">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6D4E042E">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1BA0B3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continue"/>
                  <w:vAlign w:val="center"/>
                </w:tcPr>
                <w:p w14:paraId="0F3A759F">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10BBBD7D">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0415F8DE">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1h平均</w:t>
                  </w:r>
                </w:p>
              </w:tc>
              <w:tc>
                <w:tcPr>
                  <w:tcW w:w="1365" w:type="dxa"/>
                  <w:tcBorders>
                    <w:bottom w:val="single" w:color="auto" w:sz="4" w:space="0"/>
                  </w:tcBorders>
                  <w:vAlign w:val="center"/>
                </w:tcPr>
                <w:p w14:paraId="69B13B47">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200</w:t>
                  </w:r>
                </w:p>
              </w:tc>
              <w:tc>
                <w:tcPr>
                  <w:tcW w:w="1080" w:type="dxa"/>
                  <w:vMerge w:val="continue"/>
                  <w:tcBorders>
                    <w:bottom w:val="single" w:color="auto" w:sz="4" w:space="0"/>
                  </w:tcBorders>
                  <w:vAlign w:val="center"/>
                </w:tcPr>
                <w:p w14:paraId="5F3911F3">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5D8B010E">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4CCEE0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restart"/>
                  <w:vAlign w:val="center"/>
                </w:tcPr>
                <w:p w14:paraId="26899B85">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p>
              </w:tc>
              <w:tc>
                <w:tcPr>
                  <w:tcW w:w="1410" w:type="dxa"/>
                  <w:vMerge w:val="restart"/>
                  <w:vAlign w:val="center"/>
                </w:tcPr>
                <w:p w14:paraId="3641FCE5">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CO</w:t>
                  </w:r>
                </w:p>
              </w:tc>
              <w:tc>
                <w:tcPr>
                  <w:tcW w:w="1365" w:type="dxa"/>
                  <w:vAlign w:val="center"/>
                </w:tcPr>
                <w:p w14:paraId="5D34F086">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日</w:t>
                  </w:r>
                  <w:r>
                    <w:rPr>
                      <w:rFonts w:ascii="Times New Roman" w:hAnsi="Times New Roman" w:eastAsia="宋体"/>
                      <w:color w:val="000000" w:themeColor="text1"/>
                      <w:sz w:val="21"/>
                      <w:szCs w:val="21"/>
                      <w14:textFill>
                        <w14:solidFill>
                          <w14:schemeClr w14:val="tx1"/>
                        </w14:solidFill>
                      </w14:textFill>
                    </w:rPr>
                    <w:t>平均</w:t>
                  </w:r>
                </w:p>
              </w:tc>
              <w:tc>
                <w:tcPr>
                  <w:tcW w:w="1365" w:type="dxa"/>
                  <w:tcBorders>
                    <w:top w:val="single" w:color="auto" w:sz="4" w:space="0"/>
                  </w:tcBorders>
                  <w:vAlign w:val="center"/>
                </w:tcPr>
                <w:p w14:paraId="6407E7D5">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4</w:t>
                  </w:r>
                </w:p>
              </w:tc>
              <w:tc>
                <w:tcPr>
                  <w:tcW w:w="1080" w:type="dxa"/>
                  <w:vMerge w:val="restart"/>
                  <w:tcBorders>
                    <w:top w:val="single" w:color="auto" w:sz="4" w:space="0"/>
                  </w:tcBorders>
                  <w:vAlign w:val="center"/>
                </w:tcPr>
                <w:p w14:paraId="35313306">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m</w:t>
                  </w:r>
                  <w:r>
                    <w:rPr>
                      <w:rFonts w:ascii="Times New Roman" w:hAnsi="Times New Roman" w:eastAsia="宋体"/>
                      <w:color w:val="000000" w:themeColor="text1"/>
                      <w:sz w:val="21"/>
                      <w:szCs w:val="21"/>
                      <w14:textFill>
                        <w14:solidFill>
                          <w14:schemeClr w14:val="tx1"/>
                        </w14:solidFill>
                      </w14:textFill>
                    </w:rPr>
                    <w:t>g/</w:t>
                  </w:r>
                  <w:r>
                    <w:rPr>
                      <w:rFonts w:hint="eastAsia" w:ascii="Times New Roman" w:hAnsi="Times New Roman" w:eastAsia="宋体"/>
                      <w:color w:val="000000" w:themeColor="text1"/>
                      <w:sz w:val="21"/>
                      <w:szCs w:val="21"/>
                      <w14:textFill>
                        <w14:solidFill>
                          <w14:schemeClr w14:val="tx1"/>
                        </w14:solidFill>
                      </w14:textFill>
                    </w:rPr>
                    <w:t>m</w:t>
                  </w:r>
                  <w:r>
                    <w:rPr>
                      <w:rFonts w:ascii="Times New Roman" w:hAnsi="Times New Roman" w:eastAsia="宋体"/>
                      <w:color w:val="000000" w:themeColor="text1"/>
                      <w:sz w:val="21"/>
                      <w:szCs w:val="21"/>
                      <w:vertAlign w:val="superscript"/>
                      <w14:textFill>
                        <w14:solidFill>
                          <w14:schemeClr w14:val="tx1"/>
                        </w14:solidFill>
                      </w14:textFill>
                    </w:rPr>
                    <w:t>3</w:t>
                  </w:r>
                </w:p>
              </w:tc>
              <w:tc>
                <w:tcPr>
                  <w:tcW w:w="2075" w:type="dxa"/>
                  <w:vMerge w:val="continue"/>
                  <w:vAlign w:val="center"/>
                </w:tcPr>
                <w:p w14:paraId="74D02F2F">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27C0EC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continue"/>
                  <w:vAlign w:val="center"/>
                </w:tcPr>
                <w:p w14:paraId="35F7B4F7">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4BCAA99A">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61301782">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1h平均</w:t>
                  </w:r>
                </w:p>
              </w:tc>
              <w:tc>
                <w:tcPr>
                  <w:tcW w:w="1365" w:type="dxa"/>
                  <w:vAlign w:val="center"/>
                </w:tcPr>
                <w:p w14:paraId="6A1A70B5">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10</w:t>
                  </w:r>
                </w:p>
              </w:tc>
              <w:tc>
                <w:tcPr>
                  <w:tcW w:w="1080" w:type="dxa"/>
                  <w:vMerge w:val="continue"/>
                  <w:tcBorders>
                    <w:bottom w:val="single" w:color="auto" w:sz="4" w:space="0"/>
                  </w:tcBorders>
                  <w:vAlign w:val="center"/>
                </w:tcPr>
                <w:p w14:paraId="1861CE21">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047604B3">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7B1F21F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restart"/>
                  <w:vAlign w:val="center"/>
                </w:tcPr>
                <w:p w14:paraId="3231D64C">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4</w:t>
                  </w:r>
                </w:p>
              </w:tc>
              <w:tc>
                <w:tcPr>
                  <w:tcW w:w="1410" w:type="dxa"/>
                  <w:vMerge w:val="restart"/>
                  <w:vAlign w:val="center"/>
                </w:tcPr>
                <w:p w14:paraId="74A5690D">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O</w:t>
                  </w:r>
                  <w:r>
                    <w:rPr>
                      <w:rFonts w:hint="eastAsia" w:ascii="Times New Roman" w:hAnsi="Times New Roman" w:eastAsia="宋体"/>
                      <w:color w:val="000000" w:themeColor="text1"/>
                      <w:sz w:val="21"/>
                      <w:szCs w:val="21"/>
                      <w:vertAlign w:val="subscript"/>
                      <w14:textFill>
                        <w14:solidFill>
                          <w14:schemeClr w14:val="tx1"/>
                        </w14:solidFill>
                      </w14:textFill>
                    </w:rPr>
                    <w:t>3</w:t>
                  </w:r>
                </w:p>
              </w:tc>
              <w:tc>
                <w:tcPr>
                  <w:tcW w:w="1365" w:type="dxa"/>
                  <w:vAlign w:val="center"/>
                </w:tcPr>
                <w:p w14:paraId="42BD7F2A">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8h</w:t>
                  </w:r>
                  <w:r>
                    <w:rPr>
                      <w:rFonts w:ascii="Times New Roman" w:hAnsi="Times New Roman" w:eastAsia="宋体"/>
                      <w:color w:val="000000" w:themeColor="text1"/>
                      <w:sz w:val="21"/>
                      <w:szCs w:val="21"/>
                      <w14:textFill>
                        <w14:solidFill>
                          <w14:schemeClr w14:val="tx1"/>
                        </w14:solidFill>
                      </w14:textFill>
                    </w:rPr>
                    <w:t>平均</w:t>
                  </w:r>
                </w:p>
              </w:tc>
              <w:tc>
                <w:tcPr>
                  <w:tcW w:w="1365" w:type="dxa"/>
                  <w:vAlign w:val="center"/>
                </w:tcPr>
                <w:p w14:paraId="46B9C935">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160</w:t>
                  </w:r>
                </w:p>
              </w:tc>
              <w:tc>
                <w:tcPr>
                  <w:tcW w:w="1080" w:type="dxa"/>
                  <w:vMerge w:val="restart"/>
                  <w:tcBorders>
                    <w:top w:val="single" w:color="auto" w:sz="4" w:space="0"/>
                  </w:tcBorders>
                  <w:vAlign w:val="center"/>
                </w:tcPr>
                <w:p w14:paraId="20160079">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u</w:t>
                  </w:r>
                  <w:r>
                    <w:rPr>
                      <w:rFonts w:ascii="Times New Roman" w:hAnsi="Times New Roman" w:eastAsia="宋体"/>
                      <w:color w:val="000000" w:themeColor="text1"/>
                      <w:sz w:val="21"/>
                      <w:szCs w:val="21"/>
                      <w14:textFill>
                        <w14:solidFill>
                          <w14:schemeClr w14:val="tx1"/>
                        </w14:solidFill>
                      </w14:textFill>
                    </w:rPr>
                    <w:t>g/m</w:t>
                  </w:r>
                  <w:r>
                    <w:rPr>
                      <w:rFonts w:ascii="Times New Roman" w:hAnsi="Times New Roman" w:eastAsia="宋体"/>
                      <w:color w:val="000000" w:themeColor="text1"/>
                      <w:sz w:val="21"/>
                      <w:szCs w:val="21"/>
                      <w:vertAlign w:val="superscript"/>
                      <w14:textFill>
                        <w14:solidFill>
                          <w14:schemeClr w14:val="tx1"/>
                        </w14:solidFill>
                      </w14:textFill>
                    </w:rPr>
                    <w:t>3</w:t>
                  </w:r>
                </w:p>
              </w:tc>
              <w:tc>
                <w:tcPr>
                  <w:tcW w:w="2075" w:type="dxa"/>
                  <w:vMerge w:val="continue"/>
                  <w:vAlign w:val="center"/>
                </w:tcPr>
                <w:p w14:paraId="77917B30">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75ED01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781" w:type="dxa"/>
                  <w:vMerge w:val="continue"/>
                  <w:vAlign w:val="center"/>
                </w:tcPr>
                <w:p w14:paraId="34BF6F5F">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54259A89">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04DCBF94">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1h平均</w:t>
                  </w:r>
                </w:p>
              </w:tc>
              <w:tc>
                <w:tcPr>
                  <w:tcW w:w="1365" w:type="dxa"/>
                  <w:vAlign w:val="center"/>
                </w:tcPr>
                <w:p w14:paraId="414D21CD">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200</w:t>
                  </w:r>
                </w:p>
              </w:tc>
              <w:tc>
                <w:tcPr>
                  <w:tcW w:w="1080" w:type="dxa"/>
                  <w:vMerge w:val="continue"/>
                  <w:vAlign w:val="center"/>
                </w:tcPr>
                <w:p w14:paraId="60028724">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140EAEA5">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648759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781" w:type="dxa"/>
                  <w:vMerge w:val="restart"/>
                  <w:vAlign w:val="center"/>
                </w:tcPr>
                <w:p w14:paraId="6168056A">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5</w:t>
                  </w:r>
                </w:p>
              </w:tc>
              <w:tc>
                <w:tcPr>
                  <w:tcW w:w="1410" w:type="dxa"/>
                  <w:vMerge w:val="restart"/>
                  <w:vAlign w:val="center"/>
                </w:tcPr>
                <w:p w14:paraId="5E53C310">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PM</w:t>
                  </w:r>
                  <w:r>
                    <w:rPr>
                      <w:rFonts w:ascii="Times New Roman" w:hAnsi="Times New Roman" w:eastAsia="宋体"/>
                      <w:color w:val="000000" w:themeColor="text1"/>
                      <w:sz w:val="21"/>
                      <w:szCs w:val="21"/>
                      <w:vertAlign w:val="subscript"/>
                      <w14:textFill>
                        <w14:solidFill>
                          <w14:schemeClr w14:val="tx1"/>
                        </w14:solidFill>
                      </w14:textFill>
                    </w:rPr>
                    <w:t>10</w:t>
                  </w:r>
                </w:p>
              </w:tc>
              <w:tc>
                <w:tcPr>
                  <w:tcW w:w="1365" w:type="dxa"/>
                  <w:vAlign w:val="center"/>
                </w:tcPr>
                <w:p w14:paraId="08CEFFD8">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年平均</w:t>
                  </w:r>
                </w:p>
              </w:tc>
              <w:tc>
                <w:tcPr>
                  <w:tcW w:w="1365" w:type="dxa"/>
                  <w:vAlign w:val="center"/>
                </w:tcPr>
                <w:p w14:paraId="6D9AE0A8">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70</w:t>
                  </w:r>
                </w:p>
              </w:tc>
              <w:tc>
                <w:tcPr>
                  <w:tcW w:w="1080" w:type="dxa"/>
                  <w:vMerge w:val="continue"/>
                  <w:vAlign w:val="center"/>
                </w:tcPr>
                <w:p w14:paraId="4FCE6766">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1B9F8981">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362EE7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81" w:type="dxa"/>
                  <w:vMerge w:val="continue"/>
                  <w:vAlign w:val="center"/>
                </w:tcPr>
                <w:p w14:paraId="0BEC9B73">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03284473">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0CD01D82">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24</w:t>
                  </w:r>
                  <w:r>
                    <w:rPr>
                      <w:rFonts w:ascii="Times New Roman" w:hAnsi="Times New Roman" w:eastAsia="宋体"/>
                      <w:color w:val="000000" w:themeColor="text1"/>
                      <w:sz w:val="21"/>
                      <w:szCs w:val="21"/>
                      <w14:textFill>
                        <w14:solidFill>
                          <w14:schemeClr w14:val="tx1"/>
                        </w14:solidFill>
                      </w14:textFill>
                    </w:rPr>
                    <w:t>h平均</w:t>
                  </w:r>
                </w:p>
              </w:tc>
              <w:tc>
                <w:tcPr>
                  <w:tcW w:w="1365" w:type="dxa"/>
                  <w:vAlign w:val="center"/>
                </w:tcPr>
                <w:p w14:paraId="1432B8FD">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150</w:t>
                  </w:r>
                </w:p>
              </w:tc>
              <w:tc>
                <w:tcPr>
                  <w:tcW w:w="1080" w:type="dxa"/>
                  <w:vMerge w:val="continue"/>
                  <w:vAlign w:val="center"/>
                </w:tcPr>
                <w:p w14:paraId="6B467DA5">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74DAB36C">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49BA1D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3" w:hRule="atLeast"/>
                <w:jc w:val="center"/>
              </w:trPr>
              <w:tc>
                <w:tcPr>
                  <w:tcW w:w="781" w:type="dxa"/>
                  <w:vMerge w:val="restart"/>
                  <w:vAlign w:val="center"/>
                </w:tcPr>
                <w:p w14:paraId="6539F931">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6</w:t>
                  </w:r>
                </w:p>
              </w:tc>
              <w:tc>
                <w:tcPr>
                  <w:tcW w:w="1410" w:type="dxa"/>
                  <w:vMerge w:val="restart"/>
                  <w:vAlign w:val="center"/>
                </w:tcPr>
                <w:p w14:paraId="6E0B9C19">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PM</w:t>
                  </w:r>
                  <w:r>
                    <w:rPr>
                      <w:rFonts w:ascii="Times New Roman" w:hAnsi="Times New Roman" w:eastAsia="宋体"/>
                      <w:color w:val="000000" w:themeColor="text1"/>
                      <w:sz w:val="21"/>
                      <w:szCs w:val="21"/>
                      <w:vertAlign w:val="subscript"/>
                      <w14:textFill>
                        <w14:solidFill>
                          <w14:schemeClr w14:val="tx1"/>
                        </w14:solidFill>
                      </w14:textFill>
                    </w:rPr>
                    <w:t>2.5</w:t>
                  </w:r>
                </w:p>
              </w:tc>
              <w:tc>
                <w:tcPr>
                  <w:tcW w:w="1365" w:type="dxa"/>
                  <w:vAlign w:val="center"/>
                </w:tcPr>
                <w:p w14:paraId="1FA86C77">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年平均</w:t>
                  </w:r>
                </w:p>
              </w:tc>
              <w:tc>
                <w:tcPr>
                  <w:tcW w:w="1365" w:type="dxa"/>
                  <w:vAlign w:val="center"/>
                </w:tcPr>
                <w:p w14:paraId="300477C7">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35</w:t>
                  </w:r>
                </w:p>
              </w:tc>
              <w:tc>
                <w:tcPr>
                  <w:tcW w:w="1080" w:type="dxa"/>
                  <w:vMerge w:val="continue"/>
                  <w:vAlign w:val="center"/>
                </w:tcPr>
                <w:p w14:paraId="7FEE6775">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2F5DE931">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r w14:paraId="1AC9FA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18" w:hRule="atLeast"/>
                <w:jc w:val="center"/>
              </w:trPr>
              <w:tc>
                <w:tcPr>
                  <w:tcW w:w="781" w:type="dxa"/>
                  <w:vMerge w:val="continue"/>
                  <w:vAlign w:val="center"/>
                </w:tcPr>
                <w:p w14:paraId="3F3194B2">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410" w:type="dxa"/>
                  <w:vMerge w:val="continue"/>
                  <w:vAlign w:val="center"/>
                </w:tcPr>
                <w:p w14:paraId="7958955B">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5" w:type="dxa"/>
                  <w:vAlign w:val="center"/>
                </w:tcPr>
                <w:p w14:paraId="7F41850E">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24h</w:t>
                  </w:r>
                  <w:r>
                    <w:rPr>
                      <w:rFonts w:ascii="Times New Roman" w:hAnsi="Times New Roman" w:eastAsia="宋体"/>
                      <w:color w:val="000000" w:themeColor="text1"/>
                      <w:sz w:val="21"/>
                      <w:szCs w:val="21"/>
                      <w14:textFill>
                        <w14:solidFill>
                          <w14:schemeClr w14:val="tx1"/>
                        </w14:solidFill>
                      </w14:textFill>
                    </w:rPr>
                    <w:t>平均</w:t>
                  </w:r>
                </w:p>
              </w:tc>
              <w:tc>
                <w:tcPr>
                  <w:tcW w:w="1365" w:type="dxa"/>
                  <w:vAlign w:val="center"/>
                </w:tcPr>
                <w:p w14:paraId="75DEBC83">
                  <w:pPr>
                    <w:spacing w:line="240" w:lineRule="auto"/>
                    <w:ind w:left="0" w:leftChars="0"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75</w:t>
                  </w:r>
                </w:p>
              </w:tc>
              <w:tc>
                <w:tcPr>
                  <w:tcW w:w="1080" w:type="dxa"/>
                  <w:vMerge w:val="continue"/>
                  <w:vAlign w:val="center"/>
                </w:tcPr>
                <w:p w14:paraId="6DEE2DB5">
                  <w:pPr>
                    <w:spacing w:line="240" w:lineRule="auto"/>
                    <w:jc w:val="center"/>
                    <w:rPr>
                      <w:rFonts w:ascii="Times New Roman" w:hAnsi="Times New Roman" w:eastAsia="宋体"/>
                      <w:color w:val="000000" w:themeColor="text1"/>
                      <w:sz w:val="21"/>
                      <w:szCs w:val="21"/>
                      <w14:textFill>
                        <w14:solidFill>
                          <w14:schemeClr w14:val="tx1"/>
                        </w14:solidFill>
                      </w14:textFill>
                    </w:rPr>
                  </w:pPr>
                </w:p>
              </w:tc>
              <w:tc>
                <w:tcPr>
                  <w:tcW w:w="2075" w:type="dxa"/>
                  <w:vMerge w:val="continue"/>
                  <w:vAlign w:val="center"/>
                </w:tcPr>
                <w:p w14:paraId="43627E20">
                  <w:pPr>
                    <w:spacing w:line="240" w:lineRule="auto"/>
                    <w:jc w:val="center"/>
                    <w:rPr>
                      <w:rFonts w:ascii="Times New Roman" w:hAnsi="Times New Roman" w:eastAsia="宋体"/>
                      <w:color w:val="000000" w:themeColor="text1"/>
                      <w:sz w:val="21"/>
                      <w:szCs w:val="21"/>
                      <w14:textFill>
                        <w14:solidFill>
                          <w14:schemeClr w14:val="tx1"/>
                        </w14:solidFill>
                      </w14:textFill>
                    </w:rPr>
                  </w:pPr>
                </w:p>
              </w:tc>
            </w:tr>
          </w:tbl>
          <w:p w14:paraId="5DC5E925">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2" w:firstLineChars="200"/>
              <w:jc w:val="both"/>
              <w:textAlignment w:val="auto"/>
              <w:rPr>
                <w:rFonts w:hint="default" w:ascii="Times New Roman" w:hAnsi="Times New Roman" w:eastAsia="宋体" w:cs="Times New Roman"/>
                <w:b/>
                <w:bCs/>
                <w:color w:val="000000" w:themeColor="text1"/>
                <w:kern w:val="18"/>
                <w:szCs w:val="24"/>
                <w14:textFill>
                  <w14:solidFill>
                    <w14:schemeClr w14:val="tx1"/>
                  </w14:solidFill>
                </w14:textFill>
              </w:rPr>
            </w:pPr>
            <w:r>
              <w:rPr>
                <w:rFonts w:hint="default" w:ascii="Times New Roman" w:hAnsi="Times New Roman" w:eastAsia="宋体" w:cs="Times New Roman"/>
                <w:b/>
                <w:bCs/>
                <w:color w:val="000000" w:themeColor="text1"/>
                <w:kern w:val="18"/>
                <w:szCs w:val="24"/>
                <w14:textFill>
                  <w14:solidFill>
                    <w14:schemeClr w14:val="tx1"/>
                  </w14:solidFill>
                </w14:textFill>
              </w:rPr>
              <w:t>1.2地表水</w:t>
            </w:r>
          </w:p>
          <w:p w14:paraId="3211F7A6">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0" w:firstLineChars="200"/>
              <w:jc w:val="both"/>
              <w:textAlignment w:val="auto"/>
              <w:rPr>
                <w:rFonts w:hint="default" w:ascii="Times New Roman" w:hAnsi="Times New Roman" w:eastAsia="宋体" w:cs="Times New Roman"/>
                <w:color w:val="000000" w:themeColor="text1"/>
                <w:kern w:val="18"/>
                <w:szCs w:val="24"/>
                <w:lang w:eastAsia="zh-CN"/>
                <w14:textFill>
                  <w14:solidFill>
                    <w14:schemeClr w14:val="tx1"/>
                  </w14:solidFill>
                </w14:textFill>
              </w:rPr>
            </w:pPr>
            <w:r>
              <w:rPr>
                <w:rFonts w:hint="default" w:ascii="Times New Roman" w:hAnsi="Times New Roman" w:eastAsia="宋体" w:cs="Times New Roman"/>
                <w:color w:val="000000" w:themeColor="text1"/>
                <w:kern w:val="18"/>
                <w:szCs w:val="24"/>
                <w:lang w:eastAsia="zh-CN"/>
                <w14:textFill>
                  <w14:solidFill>
                    <w14:schemeClr w14:val="tx1"/>
                  </w14:solidFill>
                </w14:textFill>
              </w:rPr>
              <w:t>根据现场调查，项目区评价范围内无地表水体分布</w:t>
            </w:r>
            <w:r>
              <w:rPr>
                <w:rFonts w:hint="eastAsia" w:cs="Times New Roman"/>
                <w:color w:val="000000" w:themeColor="text1"/>
                <w:kern w:val="18"/>
                <w:szCs w:val="24"/>
                <w:lang w:eastAsia="zh-CN"/>
                <w14:textFill>
                  <w14:solidFill>
                    <w14:schemeClr w14:val="tx1"/>
                  </w14:solidFill>
                </w14:textFill>
              </w:rPr>
              <w:t>。</w:t>
            </w:r>
          </w:p>
          <w:p w14:paraId="44C82CC7">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2" w:firstLineChars="200"/>
              <w:jc w:val="both"/>
              <w:textAlignment w:val="auto"/>
              <w:rPr>
                <w:rFonts w:hint="default" w:ascii="Times New Roman" w:hAnsi="Times New Roman" w:eastAsia="宋体" w:cs="Times New Roman"/>
                <w:b/>
                <w:bCs/>
                <w:color w:val="000000" w:themeColor="text1"/>
                <w:kern w:val="18"/>
                <w:szCs w:val="24"/>
                <w14:textFill>
                  <w14:solidFill>
                    <w14:schemeClr w14:val="tx1"/>
                  </w14:solidFill>
                </w14:textFill>
              </w:rPr>
            </w:pPr>
            <w:r>
              <w:rPr>
                <w:rFonts w:hint="default" w:ascii="Times New Roman" w:hAnsi="Times New Roman" w:eastAsia="宋体" w:cs="Times New Roman"/>
                <w:b/>
                <w:bCs/>
                <w:color w:val="000000" w:themeColor="text1"/>
                <w:kern w:val="18"/>
                <w:szCs w:val="24"/>
                <w14:textFill>
                  <w14:solidFill>
                    <w14:schemeClr w14:val="tx1"/>
                  </w14:solidFill>
                </w14:textFill>
              </w:rPr>
              <w:t>1.3声环境</w:t>
            </w:r>
          </w:p>
          <w:p w14:paraId="0CF19BB7">
            <w:pPr>
              <w:bidi w:val="0"/>
              <w:rPr>
                <w:rFonts w:hint="default" w:ascii="Times New Roman" w:hAnsi="Times New Roman" w:eastAsia="宋体" w:cs="Times New Roman"/>
                <w:color w:val="000000" w:themeColor="text1"/>
                <w:kern w:val="18"/>
                <w:szCs w:val="24"/>
                <w:lang w:eastAsia="zh-CN"/>
                <w14:textFill>
                  <w14:solidFill>
                    <w14:schemeClr w14:val="tx1"/>
                  </w14:solidFill>
                </w14:textFill>
              </w:rPr>
            </w:pPr>
            <w:r>
              <w:rPr>
                <w:rFonts w:hint="default" w:ascii="Times New Roman" w:hAnsi="Times New Roman" w:eastAsia="宋体" w:cs="Times New Roman"/>
                <w:color w:val="000000" w:themeColor="text1"/>
                <w:kern w:val="18"/>
                <w:szCs w:val="24"/>
                <w14:textFill>
                  <w14:solidFill>
                    <w14:schemeClr w14:val="tx1"/>
                  </w14:solidFill>
                </w14:textFill>
              </w:rPr>
              <w:t>声环境执行《声环境质量标准》（GB3096-2008）中</w:t>
            </w:r>
            <w:r>
              <w:rPr>
                <w:rFonts w:hint="eastAsia" w:cs="Times New Roman"/>
                <w:color w:val="000000" w:themeColor="text1"/>
                <w:kern w:val="18"/>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18"/>
                <w:szCs w:val="24"/>
                <w14:textFill>
                  <w14:solidFill>
                    <w14:schemeClr w14:val="tx1"/>
                  </w14:solidFill>
                </w14:textFill>
              </w:rPr>
              <w:t>类标准，标准限值见表3-</w:t>
            </w:r>
            <w:r>
              <w:rPr>
                <w:rFonts w:hint="default" w:ascii="Times New Roman" w:hAnsi="Times New Roman" w:eastAsia="宋体" w:cs="Times New Roman"/>
                <w:color w:val="000000" w:themeColor="text1"/>
                <w:kern w:val="18"/>
                <w:szCs w:val="24"/>
                <w:lang w:val="en-US" w:eastAsia="zh-CN"/>
                <w14:textFill>
                  <w14:solidFill>
                    <w14:schemeClr w14:val="tx1"/>
                  </w14:solidFill>
                </w14:textFill>
              </w:rPr>
              <w:t>3</w:t>
            </w:r>
            <w:r>
              <w:rPr>
                <w:rFonts w:hint="default" w:ascii="Times New Roman" w:hAnsi="Times New Roman" w:eastAsia="宋体" w:cs="Times New Roman"/>
                <w:color w:val="000000" w:themeColor="text1"/>
                <w:kern w:val="18"/>
                <w:szCs w:val="24"/>
                <w:lang w:eastAsia="zh-CN"/>
                <w14:textFill>
                  <w14:solidFill>
                    <w14:schemeClr w14:val="tx1"/>
                  </w14:solidFill>
                </w14:textFill>
              </w:rPr>
              <w:t>：</w:t>
            </w:r>
          </w:p>
          <w:p w14:paraId="02874C56">
            <w:pPr>
              <w:ind w:left="0" w:leftChars="0" w:firstLine="0" w:firstLineChars="0"/>
              <w:jc w:val="center"/>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表3-</w:t>
            </w:r>
            <w:r>
              <w:rPr>
                <w:rFonts w:hint="default" w:ascii="Times New Roman" w:hAnsi="Times New Roman" w:eastAsia="宋体" w:cs="Times New Roman"/>
                <w:b/>
                <w:bCs/>
                <w:color w:val="000000" w:themeColor="text1"/>
                <w:lang w:val="en-US" w:eastAsia="zh-CN"/>
                <w14:textFill>
                  <w14:solidFill>
                    <w14:schemeClr w14:val="tx1"/>
                  </w14:solidFill>
                </w14:textFill>
              </w:rPr>
              <w:t>3</w:t>
            </w:r>
            <w:r>
              <w:rPr>
                <w:rFonts w:hint="default" w:ascii="Times New Roman" w:hAnsi="Times New Roman" w:eastAsia="宋体" w:cs="Times New Roman"/>
                <w:b/>
                <w:bCs/>
                <w:color w:val="000000" w:themeColor="text1"/>
                <w14:textFill>
                  <w14:solidFill>
                    <w14:schemeClr w14:val="tx1"/>
                  </w14:solidFill>
                </w14:textFill>
              </w:rPr>
              <w:t>《声环境质量标准》（GB309</w:t>
            </w:r>
            <w:r>
              <w:rPr>
                <w:rFonts w:hint="default" w:ascii="Times New Roman" w:hAnsi="Times New Roman" w:eastAsia="宋体" w:cs="Times New Roman"/>
                <w:b/>
                <w:bCs/>
                <w:color w:val="000000" w:themeColor="text1"/>
                <w:lang w:val="en-US" w:eastAsia="zh-CN"/>
                <w14:textFill>
                  <w14:solidFill>
                    <w14:schemeClr w14:val="tx1"/>
                  </w14:solidFill>
                </w14:textFill>
              </w:rPr>
              <w:t>6</w:t>
            </w:r>
            <w:r>
              <w:rPr>
                <w:rFonts w:hint="default" w:ascii="Times New Roman" w:hAnsi="Times New Roman" w:eastAsia="宋体" w:cs="Times New Roman"/>
                <w:b/>
                <w:bCs/>
                <w:color w:val="000000" w:themeColor="text1"/>
                <w14:textFill>
                  <w14:solidFill>
                    <w14:schemeClr w14:val="tx1"/>
                  </w14:solidFill>
                </w14:textFill>
              </w:rPr>
              <w:t>-20</w:t>
            </w:r>
            <w:r>
              <w:rPr>
                <w:rFonts w:hint="default" w:ascii="Times New Roman" w:hAnsi="Times New Roman" w:eastAsia="宋体" w:cs="Times New Roman"/>
                <w:b/>
                <w:bCs/>
                <w:color w:val="000000" w:themeColor="text1"/>
                <w:lang w:val="en-US" w:eastAsia="zh-CN"/>
                <w14:textFill>
                  <w14:solidFill>
                    <w14:schemeClr w14:val="tx1"/>
                  </w14:solidFill>
                </w14:textFill>
              </w:rPr>
              <w:t>08</w:t>
            </w:r>
            <w:r>
              <w:rPr>
                <w:rFonts w:hint="default" w:ascii="Times New Roman" w:hAnsi="Times New Roman" w:eastAsia="宋体" w:cs="Times New Roman"/>
                <w:b/>
                <w:bCs/>
                <w:color w:val="000000" w:themeColor="text1"/>
                <w14:textFill>
                  <w14:solidFill>
                    <w14:schemeClr w14:val="tx1"/>
                  </w14:solidFill>
                </w14:textFill>
              </w:rPr>
              <w:t>）单位：dB(A)</w:t>
            </w:r>
          </w:p>
          <w:tbl>
            <w:tblPr>
              <w:tblStyle w:val="13"/>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6"/>
              <w:gridCol w:w="3013"/>
              <w:gridCol w:w="2904"/>
            </w:tblGrid>
            <w:tr w14:paraId="4ADF4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470" w:type="pct"/>
                  <w:vMerge w:val="restart"/>
                  <w:vAlign w:val="center"/>
                </w:tcPr>
                <w:p w14:paraId="20AB4341">
                  <w:pPr>
                    <w:spacing w:line="240" w:lineRule="auto"/>
                    <w:ind w:left="0" w:leftChars="0" w:firstLine="0" w:firstLineChars="0"/>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标准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来源</w:t>
                  </w:r>
                </w:p>
              </w:tc>
              <w:tc>
                <w:tcPr>
                  <w:tcW w:w="3529" w:type="pct"/>
                  <w:gridSpan w:val="2"/>
                  <w:vAlign w:val="center"/>
                </w:tcPr>
                <w:p w14:paraId="723F93CF">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标准值，dB（A）</w:t>
                  </w:r>
                </w:p>
              </w:tc>
            </w:tr>
            <w:tr w14:paraId="46AD6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470" w:type="pct"/>
                  <w:vMerge w:val="continue"/>
                  <w:vAlign w:val="center"/>
                </w:tcPr>
                <w:p w14:paraId="7D47509F">
                  <w:pPr>
                    <w:spacing w:line="240" w:lineRule="auto"/>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1797" w:type="pct"/>
                  <w:vAlign w:val="center"/>
                </w:tcPr>
                <w:p w14:paraId="54D7A949">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昼间</w:t>
                  </w:r>
                </w:p>
              </w:tc>
              <w:tc>
                <w:tcPr>
                  <w:tcW w:w="1732" w:type="pct"/>
                  <w:vAlign w:val="center"/>
                </w:tcPr>
                <w:p w14:paraId="27078BA8">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夜间</w:t>
                  </w:r>
                </w:p>
              </w:tc>
            </w:tr>
            <w:tr w14:paraId="41E9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470" w:type="pct"/>
                  <w:vAlign w:val="center"/>
                </w:tcPr>
                <w:p w14:paraId="2A4BB0D5">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《声环境质量标准》（GB309</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6</w:t>
                  </w:r>
                  <w:r>
                    <w:rPr>
                      <w:rFonts w:hint="default" w:ascii="Times New Roman" w:hAnsi="Times New Roman" w:eastAsia="宋体" w:cs="Times New Roman"/>
                      <w:color w:val="000000" w:themeColor="text1"/>
                      <w:sz w:val="21"/>
                      <w:szCs w:val="21"/>
                      <w14:textFill>
                        <w14:solidFill>
                          <w14:schemeClr w14:val="tx1"/>
                        </w14:solidFill>
                      </w14:textFill>
                    </w:rPr>
                    <w:t>-20</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08</w:t>
                  </w:r>
                  <w:r>
                    <w:rPr>
                      <w:rFonts w:hint="default" w:ascii="Times New Roman" w:hAnsi="Times New Roman" w:eastAsia="宋体" w:cs="Times New Roman"/>
                      <w:color w:val="000000" w:themeColor="text1"/>
                      <w:sz w:val="21"/>
                      <w:szCs w:val="21"/>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14:textFill>
                        <w14:solidFill>
                          <w14:schemeClr w14:val="tx1"/>
                        </w14:solidFill>
                      </w14:textFill>
                    </w:rPr>
                    <w:t>类</w:t>
                  </w:r>
                </w:p>
              </w:tc>
              <w:tc>
                <w:tcPr>
                  <w:tcW w:w="1797" w:type="pct"/>
                  <w:vAlign w:val="center"/>
                </w:tcPr>
                <w:p w14:paraId="743ED459">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6</w:t>
                  </w:r>
                  <w:r>
                    <w:rPr>
                      <w:rFonts w:hint="eastAsia" w:cs="Times New Roman"/>
                      <w:color w:val="000000" w:themeColor="text1"/>
                      <w:sz w:val="21"/>
                      <w:szCs w:val="21"/>
                      <w:lang w:val="en-US" w:eastAsia="zh-CN"/>
                      <w14:textFill>
                        <w14:solidFill>
                          <w14:schemeClr w14:val="tx1"/>
                        </w14:solidFill>
                      </w14:textFill>
                    </w:rPr>
                    <w:t>5</w:t>
                  </w:r>
                </w:p>
              </w:tc>
              <w:tc>
                <w:tcPr>
                  <w:tcW w:w="1732" w:type="pct"/>
                  <w:vAlign w:val="center"/>
                </w:tcPr>
                <w:p w14:paraId="3C8D9DF0">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5</w:t>
                  </w:r>
                  <w:r>
                    <w:rPr>
                      <w:rFonts w:hint="eastAsia" w:cs="Times New Roman"/>
                      <w:color w:val="000000" w:themeColor="text1"/>
                      <w:sz w:val="21"/>
                      <w:szCs w:val="21"/>
                      <w:lang w:val="en-US" w:eastAsia="zh-CN"/>
                      <w14:textFill>
                        <w14:solidFill>
                          <w14:schemeClr w14:val="tx1"/>
                        </w14:solidFill>
                      </w14:textFill>
                    </w:rPr>
                    <w:t>5</w:t>
                  </w:r>
                </w:p>
              </w:tc>
            </w:tr>
          </w:tbl>
          <w:p w14:paraId="63760F12">
            <w:pPr>
              <w:keepNext w:val="0"/>
              <w:keepLines w:val="0"/>
              <w:pageBreakBefore w:val="0"/>
              <w:kinsoku/>
              <w:wordWrap/>
              <w:overflowPunct/>
              <w:topLinePunct w:val="0"/>
              <w:bidi w:val="0"/>
              <w:adjustRightInd w:val="0"/>
              <w:snapToGrid w:val="0"/>
              <w:spacing w:line="360" w:lineRule="auto"/>
              <w:ind w:left="0" w:leftChars="0" w:right="0" w:rightChars="0" w:firstLine="482" w:firstLineChars="200"/>
              <w:jc w:val="both"/>
              <w:textAlignment w:val="auto"/>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1.4生态环境</w:t>
            </w:r>
          </w:p>
          <w:p w14:paraId="66F0E424">
            <w:pPr>
              <w:bidi w:val="0"/>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t>依据《环境影响评价技术导则 生态影响》（HJ19-2011），以工程生态环境影响评价范围内（各施工点周围200m范围，工程各类临时占地范围内）的生态环境现状，植被覆盖度、生物量、土壤等作为评价标准，项目应满足区域有关生态环境法规的规定和要求，确保工程实施后区域生态环境质量不下降。详见表3-5</w:t>
            </w:r>
            <w:r>
              <w:rPr>
                <w:rFonts w:hint="eastAsia"/>
                <w:color w:val="000000" w:themeColor="text1"/>
                <w:lang w:val="en-US" w:eastAsia="zh-CN"/>
                <w14:textFill>
                  <w14:solidFill>
                    <w14:schemeClr w14:val="tx1"/>
                  </w14:solidFill>
                </w14:textFill>
              </w:rPr>
              <w:t>。</w:t>
            </w:r>
          </w:p>
          <w:p w14:paraId="1C4D5414">
            <w:pPr>
              <w:ind w:left="0" w:leftChars="0" w:firstLine="0" w:firstLineChars="0"/>
              <w:jc w:val="center"/>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表3-</w:t>
            </w:r>
            <w:r>
              <w:rPr>
                <w:rFonts w:hint="eastAsia" w:cs="Times New Roman"/>
                <w:b/>
                <w:bCs/>
                <w:color w:val="000000" w:themeColor="text1"/>
                <w:lang w:val="en-US" w:eastAsia="zh-CN"/>
                <w14:textFill>
                  <w14:solidFill>
                    <w14:schemeClr w14:val="tx1"/>
                  </w14:solidFill>
                </w14:textFill>
              </w:rPr>
              <w:t xml:space="preserve">4  </w:t>
            </w:r>
            <w:r>
              <w:rPr>
                <w:rFonts w:hint="default" w:ascii="Times New Roman" w:hAnsi="Times New Roman" w:eastAsia="宋体" w:cs="Times New Roman"/>
                <w:b/>
                <w:bCs/>
                <w:color w:val="000000" w:themeColor="text1"/>
                <w14:textFill>
                  <w14:solidFill>
                    <w14:schemeClr w14:val="tx1"/>
                  </w14:solidFill>
                </w14:textFill>
              </w:rPr>
              <w:t>生态环境评价标准</w:t>
            </w:r>
          </w:p>
          <w:tbl>
            <w:tblPr>
              <w:tblStyle w:val="13"/>
              <w:tblW w:w="8383"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3"/>
              <w:gridCol w:w="3703"/>
              <w:gridCol w:w="2597"/>
            </w:tblGrid>
            <w:tr w14:paraId="6ED7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3" w:type="dxa"/>
                  <w:vAlign w:val="center"/>
                </w:tcPr>
                <w:p w14:paraId="3CDABE2F">
                  <w:pPr>
                    <w:spacing w:line="240" w:lineRule="auto"/>
                    <w:ind w:left="0" w:leftChars="0" w:firstLine="0" w:firstLineChars="0"/>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t>植被覆盖度</w:t>
                  </w:r>
                </w:p>
              </w:tc>
              <w:tc>
                <w:tcPr>
                  <w:tcW w:w="3703" w:type="dxa"/>
                  <w:vAlign w:val="center"/>
                </w:tcPr>
                <w:p w14:paraId="14B0FFEC">
                  <w:pPr>
                    <w:spacing w:line="240" w:lineRule="auto"/>
                    <w:ind w:left="0" w:leftChars="0" w:firstLine="0" w:firstLineChars="0"/>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lang w:val="en-US" w:eastAsia="zh-CN"/>
                      <w14:textFill>
                        <w14:solidFill>
                          <w14:schemeClr w14:val="tx1"/>
                        </w14:solidFill>
                      </w14:textFill>
                    </w:rPr>
                    <w:t>生物量</w:t>
                  </w:r>
                </w:p>
              </w:tc>
              <w:tc>
                <w:tcPr>
                  <w:tcW w:w="2597" w:type="dxa"/>
                  <w:vAlign w:val="center"/>
                </w:tcPr>
                <w:p w14:paraId="0D036287">
                  <w:pPr>
                    <w:spacing w:line="240" w:lineRule="auto"/>
                    <w:ind w:left="0" w:leftChars="0" w:firstLine="0" w:firstLineChars="0"/>
                    <w:jc w:val="center"/>
                    <w:rPr>
                      <w:rFonts w:hint="default" w:ascii="Times New Roman" w:hAnsi="Times New Roman" w:eastAsia="宋体" w:cs="Times New Roman"/>
                      <w:b/>
                      <w:bCs/>
                      <w:color w:val="000000" w:themeColor="text1"/>
                      <w:sz w:val="21"/>
                      <w:szCs w:val="21"/>
                      <w:lang w:val="en-US" w:eastAsia="zh-CN"/>
                      <w14:textFill>
                        <w14:solidFill>
                          <w14:schemeClr w14:val="tx1"/>
                        </w14:solidFill>
                      </w14:textFill>
                    </w:rPr>
                  </w:pPr>
                  <w:r>
                    <w:rPr>
                      <w:rFonts w:hint="eastAsia" w:ascii="Times New Roman" w:hAnsi="Times New Roman" w:eastAsia="宋体" w:cs="Times New Roman"/>
                      <w:b/>
                      <w:bCs/>
                      <w:color w:val="000000" w:themeColor="text1"/>
                      <w:sz w:val="21"/>
                      <w:szCs w:val="21"/>
                      <w:lang w:val="en-US" w:eastAsia="zh-CN"/>
                      <w14:textFill>
                        <w14:solidFill>
                          <w14:schemeClr w14:val="tx1"/>
                        </w14:solidFill>
                      </w14:textFill>
                    </w:rPr>
                    <w:t>土壤</w:t>
                  </w:r>
                </w:p>
              </w:tc>
            </w:tr>
            <w:tr w14:paraId="6299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3" w:type="dxa"/>
                  <w:vAlign w:val="center"/>
                </w:tcPr>
                <w:p w14:paraId="783D7118">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植被覆盖度约为20%~30%</w:t>
                  </w:r>
                </w:p>
              </w:tc>
              <w:tc>
                <w:tcPr>
                  <w:tcW w:w="3703" w:type="dxa"/>
                  <w:vAlign w:val="center"/>
                </w:tcPr>
                <w:p w14:paraId="08FC4DC7">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在植被破坏区域通过播种牧草建设植被，多草种混种，提高生物多样性，有利当地畜牧业发展。项目区域植被以短花针茅和芨芨草等禾草伴生旱生杂草类为主。芨芨草群落主要分布在项目区东部和南部部分区域，短花针茅、固沙草群落主要分布在西部区域</w:t>
                  </w:r>
                </w:p>
              </w:tc>
              <w:tc>
                <w:tcPr>
                  <w:tcW w:w="2597" w:type="dxa"/>
                  <w:vAlign w:val="center"/>
                </w:tcPr>
                <w:p w14:paraId="2D07014C">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土壤类型主要为淡栗钙土，各种养分含量低，土壤有机质含量低于2%土体厚度约为30~50cm</w:t>
                  </w:r>
                </w:p>
              </w:tc>
            </w:tr>
          </w:tbl>
          <w:p w14:paraId="690723D0">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2" w:firstLineChars="200"/>
              <w:jc w:val="both"/>
              <w:textAlignment w:val="auto"/>
              <w:rPr>
                <w:rFonts w:hint="default" w:ascii="Times New Roman" w:hAnsi="Times New Roman" w:eastAsia="宋体" w:cs="Times New Roman"/>
                <w:b/>
                <w:bCs/>
                <w:color w:val="000000" w:themeColor="text1"/>
                <w:kern w:val="18"/>
                <w:szCs w:val="24"/>
                <w:lang w:val="en-US" w:eastAsia="zh-CN"/>
                <w14:textFill>
                  <w14:solidFill>
                    <w14:schemeClr w14:val="tx1"/>
                  </w14:solidFill>
                </w14:textFill>
              </w:rPr>
            </w:pPr>
            <w:r>
              <w:rPr>
                <w:rFonts w:hint="default" w:ascii="Times New Roman" w:hAnsi="Times New Roman" w:eastAsia="宋体" w:cs="Times New Roman"/>
                <w:b/>
                <w:bCs/>
                <w:color w:val="000000" w:themeColor="text1"/>
                <w:kern w:val="18"/>
                <w:szCs w:val="24"/>
                <w:lang w:val="en-US" w:eastAsia="zh-CN"/>
                <w14:textFill>
                  <w14:solidFill>
                    <w14:schemeClr w14:val="tx1"/>
                  </w14:solidFill>
                </w14:textFill>
              </w:rPr>
              <w:t>2.污染物排放标准</w:t>
            </w:r>
          </w:p>
          <w:p w14:paraId="0A9D9774">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2" w:firstLineChars="200"/>
              <w:jc w:val="both"/>
              <w:textAlignment w:val="auto"/>
              <w:rPr>
                <w:rFonts w:hint="default" w:ascii="Times New Roman" w:hAnsi="Times New Roman" w:eastAsia="宋体" w:cs="Times New Roman"/>
                <w:b/>
                <w:bCs/>
                <w:color w:val="000000" w:themeColor="text1"/>
                <w:kern w:val="18"/>
                <w:szCs w:val="24"/>
                <w14:textFill>
                  <w14:solidFill>
                    <w14:schemeClr w14:val="tx1"/>
                  </w14:solidFill>
                </w14:textFill>
              </w:rPr>
            </w:pPr>
            <w:r>
              <w:rPr>
                <w:rFonts w:hint="default" w:ascii="Times New Roman" w:hAnsi="Times New Roman" w:eastAsia="宋体" w:cs="Times New Roman"/>
                <w:b/>
                <w:bCs/>
                <w:color w:val="000000" w:themeColor="text1"/>
                <w:kern w:val="18"/>
                <w:szCs w:val="24"/>
                <w14:textFill>
                  <w14:solidFill>
                    <w14:schemeClr w14:val="tx1"/>
                  </w14:solidFill>
                </w14:textFill>
              </w:rPr>
              <w:t>2.1废气排放标准</w:t>
            </w:r>
          </w:p>
          <w:p w14:paraId="25E9A8B1">
            <w:pPr>
              <w:keepNext w:val="0"/>
              <w:keepLines w:val="0"/>
              <w:pageBreakBefore w:val="0"/>
              <w:widowControl w:val="0"/>
              <w:kinsoku/>
              <w:wordWrap/>
              <w:overflowPunct/>
              <w:topLinePunct w:val="0"/>
              <w:autoSpaceDE w:val="0"/>
              <w:autoSpaceDN w:val="0"/>
              <w:bidi w:val="0"/>
              <w:adjustRightInd w:val="0"/>
              <w:snapToGrid w:val="0"/>
              <w:ind w:left="0" w:leftChars="0" w:right="0" w:rightChars="0"/>
              <w:jc w:val="both"/>
              <w:textAlignment w:val="auto"/>
              <w:rPr>
                <w:rFonts w:hint="default" w:ascii="Times New Roman" w:hAnsi="Times New Roman" w:eastAsia="宋体" w:cs="Times New Roman"/>
                <w:color w:val="000000" w:themeColor="text1"/>
                <w:kern w:val="18"/>
                <w:szCs w:val="24"/>
                <w:lang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根据环评及批复要求，建设项目施工</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过程中产生的扬尘无组织排放执行</w:t>
            </w:r>
            <w:r>
              <w:rPr>
                <w:rFonts w:hint="default" w:ascii="Times New Roman" w:hAnsi="Times New Roman" w:eastAsia="宋体" w:cs="Times New Roman"/>
                <w:color w:val="000000" w:themeColor="text1"/>
                <w:kern w:val="18"/>
                <w:szCs w:val="24"/>
                <w14:textFill>
                  <w14:solidFill>
                    <w14:schemeClr w14:val="tx1"/>
                  </w14:solidFill>
                </w14:textFill>
              </w:rPr>
              <w:t>《大气污染物综合排放标准》（GB16297-1996）中表2无组织排放监控浓度限值，浓度限值见表3-</w:t>
            </w:r>
            <w:r>
              <w:rPr>
                <w:rFonts w:hint="default" w:ascii="Times New Roman" w:hAnsi="Times New Roman" w:eastAsia="宋体" w:cs="Times New Roman"/>
                <w:color w:val="000000" w:themeColor="text1"/>
                <w:kern w:val="18"/>
                <w:szCs w:val="24"/>
                <w:lang w:val="en-US" w:eastAsia="zh-CN"/>
                <w14:textFill>
                  <w14:solidFill>
                    <w14:schemeClr w14:val="tx1"/>
                  </w14:solidFill>
                </w14:textFill>
              </w:rPr>
              <w:t>5</w:t>
            </w:r>
            <w:r>
              <w:rPr>
                <w:rFonts w:hint="default" w:ascii="Times New Roman" w:hAnsi="Times New Roman" w:eastAsia="宋体" w:cs="Times New Roman"/>
                <w:color w:val="000000" w:themeColor="text1"/>
                <w:kern w:val="18"/>
                <w:szCs w:val="24"/>
                <w:lang w:eastAsia="zh-CN"/>
                <w14:textFill>
                  <w14:solidFill>
                    <w14:schemeClr w14:val="tx1"/>
                  </w14:solidFill>
                </w14:textFill>
              </w:rPr>
              <w:t>：</w:t>
            </w:r>
          </w:p>
          <w:p w14:paraId="6684F38D">
            <w:pPr>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themeColor="text1"/>
                <w:kern w:val="18"/>
                <w:szCs w:val="24"/>
                <w:vertAlign w:val="superscript"/>
                <w:lang w:eastAsia="zh-CN"/>
                <w14:textFill>
                  <w14:solidFill>
                    <w14:schemeClr w14:val="tx1"/>
                  </w14:solidFill>
                </w14:textFill>
              </w:rPr>
            </w:pPr>
            <w:r>
              <w:rPr>
                <w:rFonts w:hint="default" w:ascii="Times New Roman" w:hAnsi="Times New Roman" w:eastAsia="宋体" w:cs="Times New Roman"/>
                <w:b/>
                <w:bCs/>
                <w:color w:val="000000" w:themeColor="text1"/>
                <w:kern w:val="18"/>
                <w:szCs w:val="24"/>
                <w14:textFill>
                  <w14:solidFill>
                    <w14:schemeClr w14:val="tx1"/>
                  </w14:solidFill>
                </w14:textFill>
              </w:rPr>
              <w:t>表3-</w:t>
            </w:r>
            <w:r>
              <w:rPr>
                <w:rFonts w:hint="default" w:ascii="Times New Roman" w:hAnsi="Times New Roman" w:eastAsia="宋体" w:cs="Times New Roman"/>
                <w:b/>
                <w:bCs/>
                <w:color w:val="000000" w:themeColor="text1"/>
                <w:kern w:val="18"/>
                <w:szCs w:val="24"/>
                <w:lang w:val="en-US" w:eastAsia="zh-CN"/>
                <w14:textFill>
                  <w14:solidFill>
                    <w14:schemeClr w14:val="tx1"/>
                  </w14:solidFill>
                </w14:textFill>
              </w:rPr>
              <w:t>5</w:t>
            </w:r>
            <w:r>
              <w:rPr>
                <w:rFonts w:hint="default" w:ascii="Times New Roman" w:hAnsi="Times New Roman" w:eastAsia="宋体" w:cs="Times New Roman"/>
                <w:b/>
                <w:bCs/>
                <w:color w:val="000000" w:themeColor="text1"/>
                <w:kern w:val="18"/>
                <w:szCs w:val="24"/>
                <w14:textFill>
                  <w14:solidFill>
                    <w14:schemeClr w14:val="tx1"/>
                  </w14:solidFill>
                </w14:textFill>
              </w:rPr>
              <w:t xml:space="preserve"> 大气污染物综合排放标准无组织排放限制 单位：mg/</w:t>
            </w:r>
            <w:r>
              <w:rPr>
                <w:rFonts w:hint="default" w:ascii="Times New Roman" w:hAnsi="Times New Roman" w:eastAsia="宋体" w:cs="Times New Roman"/>
                <w:b/>
                <w:bCs/>
                <w:color w:val="000000" w:themeColor="text1"/>
                <w:kern w:val="18"/>
                <w:szCs w:val="24"/>
                <w:lang w:eastAsia="zh-CN"/>
                <w14:textFill>
                  <w14:solidFill>
                    <w14:schemeClr w14:val="tx1"/>
                  </w14:solidFill>
                </w14:textFill>
              </w:rPr>
              <w:t>m³</w:t>
            </w:r>
          </w:p>
          <w:tbl>
            <w:tblPr>
              <w:tblStyle w:val="13"/>
              <w:tblW w:w="7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4"/>
              <w:gridCol w:w="3204"/>
              <w:gridCol w:w="2940"/>
            </w:tblGrid>
            <w:tr w14:paraId="4464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1854" w:type="dxa"/>
                  <w:vAlign w:val="center"/>
                </w:tcPr>
                <w:p w14:paraId="011FF26C">
                  <w:pPr>
                    <w:pStyle w:val="17"/>
                    <w:widowControl w:val="0"/>
                    <w:bidi w:val="0"/>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污染物</w:t>
                  </w:r>
                </w:p>
              </w:tc>
              <w:tc>
                <w:tcPr>
                  <w:tcW w:w="3204" w:type="dxa"/>
                  <w:vAlign w:val="center"/>
                </w:tcPr>
                <w:p w14:paraId="4ECE4759">
                  <w:pPr>
                    <w:pStyle w:val="17"/>
                    <w:widowControl w:val="0"/>
                    <w:bidi w:val="0"/>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无组织排放监控浓度限值</w:t>
                  </w:r>
                </w:p>
              </w:tc>
              <w:tc>
                <w:tcPr>
                  <w:tcW w:w="2940" w:type="dxa"/>
                  <w:vMerge w:val="restart"/>
                  <w:vAlign w:val="center"/>
                </w:tcPr>
                <w:p w14:paraId="1634132B">
                  <w:pPr>
                    <w:pStyle w:val="17"/>
                    <w:widowControl w:val="0"/>
                    <w:bidi w:val="0"/>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周界外浓度最高点</w:t>
                  </w:r>
                </w:p>
              </w:tc>
            </w:tr>
            <w:tr w14:paraId="5ADAF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854" w:type="dxa"/>
                  <w:vAlign w:val="center"/>
                </w:tcPr>
                <w:p w14:paraId="534AD421">
                  <w:pPr>
                    <w:pStyle w:val="17"/>
                    <w:widowControl w:val="0"/>
                    <w:bidi w:val="0"/>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颗粒物</w:t>
                  </w:r>
                </w:p>
              </w:tc>
              <w:tc>
                <w:tcPr>
                  <w:tcW w:w="3204" w:type="dxa"/>
                  <w:vAlign w:val="center"/>
                </w:tcPr>
                <w:p w14:paraId="340F0730">
                  <w:pPr>
                    <w:pStyle w:val="17"/>
                    <w:widowControl w:val="0"/>
                    <w:bidi w:val="0"/>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1.0</w:t>
                  </w:r>
                </w:p>
              </w:tc>
              <w:tc>
                <w:tcPr>
                  <w:tcW w:w="2940" w:type="dxa"/>
                  <w:vMerge w:val="continue"/>
                  <w:vAlign w:val="center"/>
                </w:tcPr>
                <w:p w14:paraId="78334082">
                  <w:pPr>
                    <w:pStyle w:val="17"/>
                    <w:widowControl w:val="0"/>
                    <w:bidi w:val="0"/>
                    <w:rPr>
                      <w:rFonts w:hint="default" w:ascii="Times New Roman" w:hAnsi="Times New Roman" w:eastAsia="宋体" w:cs="Times New Roman"/>
                      <w:color w:val="000000" w:themeColor="text1"/>
                      <w:sz w:val="21"/>
                      <w:szCs w:val="21"/>
                      <w14:textFill>
                        <w14:solidFill>
                          <w14:schemeClr w14:val="tx1"/>
                        </w14:solidFill>
                      </w14:textFill>
                    </w:rPr>
                  </w:pPr>
                </w:p>
              </w:tc>
            </w:tr>
          </w:tbl>
          <w:p w14:paraId="45A3FD9E">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right="0" w:rightChars="0" w:firstLine="482" w:firstLineChars="200"/>
              <w:jc w:val="both"/>
              <w:textAlignment w:val="auto"/>
              <w:rPr>
                <w:rFonts w:hint="default" w:ascii="Times New Roman" w:hAnsi="Times New Roman" w:eastAsia="宋体" w:cs="Times New Roman"/>
                <w:b/>
                <w:bCs/>
                <w:color w:val="000000" w:themeColor="text1"/>
                <w:kern w:val="18"/>
                <w:szCs w:val="24"/>
                <w14:textFill>
                  <w14:solidFill>
                    <w14:schemeClr w14:val="tx1"/>
                  </w14:solidFill>
                </w14:textFill>
              </w:rPr>
            </w:pPr>
            <w:r>
              <w:rPr>
                <w:rFonts w:hint="default" w:ascii="Times New Roman" w:hAnsi="Times New Roman" w:eastAsia="宋体" w:cs="Times New Roman"/>
                <w:b/>
                <w:bCs/>
                <w:color w:val="000000" w:themeColor="text1"/>
                <w:kern w:val="18"/>
                <w:szCs w:val="24"/>
                <w14:textFill>
                  <w14:solidFill>
                    <w14:schemeClr w14:val="tx1"/>
                  </w14:solidFill>
                </w14:textFill>
              </w:rPr>
              <w:t>2.2噪声排放标准</w:t>
            </w:r>
          </w:p>
          <w:p w14:paraId="0F83B3A1">
            <w:pPr>
              <w:keepNext w:val="0"/>
              <w:keepLines w:val="0"/>
              <w:pageBreakBefore w:val="0"/>
              <w:widowControl w:val="0"/>
              <w:kinsoku/>
              <w:wordWrap/>
              <w:overflowPunct/>
              <w:topLinePunct w:val="0"/>
              <w:autoSpaceDE w:val="0"/>
              <w:autoSpaceDN w:val="0"/>
              <w:bidi w:val="0"/>
              <w:adjustRightInd w:val="0"/>
              <w:snapToGrid w:val="0"/>
              <w:ind w:left="0" w:leftChars="0" w:right="0" w:rightChars="0"/>
              <w:jc w:val="both"/>
              <w:textAlignment w:val="auto"/>
              <w:rPr>
                <w:rFonts w:hint="default" w:ascii="Times New Roman" w:hAnsi="Times New Roman" w:eastAsia="宋体" w:cs="Times New Roman"/>
                <w:color w:val="000000" w:themeColor="text1"/>
                <w:kern w:val="18"/>
                <w:szCs w:val="24"/>
                <w:lang w:eastAsia="zh-CN"/>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根据环评及批复要求，建设项目施工</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过程中产生的施工噪声排放执行</w:t>
            </w:r>
            <w:r>
              <w:rPr>
                <w:rFonts w:hint="default" w:ascii="Times New Roman" w:hAnsi="Times New Roman" w:eastAsia="宋体" w:cs="Times New Roman"/>
                <w:color w:val="000000" w:themeColor="text1"/>
                <w:kern w:val="18"/>
                <w:szCs w:val="24"/>
                <w14:textFill>
                  <w14:solidFill>
                    <w14:schemeClr w14:val="tx1"/>
                  </w14:solidFill>
                </w14:textFill>
              </w:rPr>
              <w:t>《建筑施工场界环境噪声排放标准》（GB12523-2011）标准限值，标准限值见表3-</w:t>
            </w:r>
            <w:r>
              <w:rPr>
                <w:rFonts w:hint="default" w:ascii="Times New Roman" w:hAnsi="Times New Roman" w:eastAsia="宋体" w:cs="Times New Roman"/>
                <w:color w:val="000000" w:themeColor="text1"/>
                <w:kern w:val="18"/>
                <w:szCs w:val="24"/>
                <w:lang w:val="en-US" w:eastAsia="zh-CN"/>
                <w14:textFill>
                  <w14:solidFill>
                    <w14:schemeClr w14:val="tx1"/>
                  </w14:solidFill>
                </w14:textFill>
              </w:rPr>
              <w:t>6</w:t>
            </w:r>
            <w:r>
              <w:rPr>
                <w:rFonts w:hint="default" w:ascii="Times New Roman" w:hAnsi="Times New Roman" w:eastAsia="宋体" w:cs="Times New Roman"/>
                <w:color w:val="000000" w:themeColor="text1"/>
                <w:kern w:val="18"/>
                <w:szCs w:val="24"/>
                <w:lang w:eastAsia="zh-CN"/>
                <w14:textFill>
                  <w14:solidFill>
                    <w14:schemeClr w14:val="tx1"/>
                  </w14:solidFill>
                </w14:textFill>
              </w:rPr>
              <w:t>：</w:t>
            </w:r>
          </w:p>
          <w:p w14:paraId="1771516D">
            <w:pPr>
              <w:bidi w:val="0"/>
              <w:spacing w:line="240" w:lineRule="auto"/>
              <w:ind w:left="0" w:leftChars="0" w:firstLine="0" w:firstLineChars="0"/>
              <w:jc w:val="center"/>
              <w:rPr>
                <w:rFonts w:hint="default" w:ascii="Times New Roman" w:hAnsi="Times New Roman" w:eastAsia="宋体" w:cs="Times New Roman"/>
                <w:b/>
                <w:bCs/>
                <w:color w:val="000000" w:themeColor="text1"/>
                <w:kern w:val="18"/>
                <w:szCs w:val="24"/>
                <w14:textFill>
                  <w14:solidFill>
                    <w14:schemeClr w14:val="tx1"/>
                  </w14:solidFill>
                </w14:textFill>
              </w:rPr>
            </w:pPr>
            <w:r>
              <w:rPr>
                <w:rFonts w:hint="default" w:ascii="Times New Roman" w:hAnsi="Times New Roman" w:eastAsia="宋体" w:cs="Times New Roman"/>
                <w:b/>
                <w:color w:val="000000" w:themeColor="text1"/>
                <w:sz w:val="24"/>
                <w14:textFill>
                  <w14:solidFill>
                    <w14:schemeClr w14:val="tx1"/>
                  </w14:solidFill>
                </w14:textFill>
              </w:rPr>
              <w:t>表</w:t>
            </w:r>
            <w:r>
              <w:rPr>
                <w:rFonts w:hint="default" w:ascii="Times New Roman" w:hAnsi="Times New Roman" w:eastAsia="宋体" w:cs="Times New Roman"/>
                <w:b/>
                <w:color w:val="000000" w:themeColor="text1"/>
                <w:spacing w:val="-61"/>
                <w:sz w:val="24"/>
                <w14:textFill>
                  <w14:solidFill>
                    <w14:schemeClr w14:val="tx1"/>
                  </w14:solidFill>
                </w14:textFill>
              </w:rPr>
              <w:t xml:space="preserve"> </w:t>
            </w:r>
            <w:r>
              <w:rPr>
                <w:rFonts w:hint="default" w:ascii="Times New Roman" w:hAnsi="Times New Roman" w:eastAsia="宋体" w:cs="Times New Roman"/>
                <w:b/>
                <w:color w:val="000000" w:themeColor="text1"/>
                <w:spacing w:val="-3"/>
                <w:sz w:val="24"/>
                <w14:textFill>
                  <w14:solidFill>
                    <w14:schemeClr w14:val="tx1"/>
                  </w14:solidFill>
                </w14:textFill>
              </w:rPr>
              <w:t>3-</w:t>
            </w:r>
            <w:r>
              <w:rPr>
                <w:rFonts w:hint="default" w:ascii="Times New Roman" w:hAnsi="Times New Roman" w:eastAsia="宋体" w:cs="Times New Roman"/>
                <w:b/>
                <w:color w:val="000000" w:themeColor="text1"/>
                <w:spacing w:val="-3"/>
                <w:sz w:val="24"/>
                <w:lang w:val="en-US" w:eastAsia="zh-CN"/>
                <w14:textFill>
                  <w14:solidFill>
                    <w14:schemeClr w14:val="tx1"/>
                  </w14:solidFill>
                </w14:textFill>
              </w:rPr>
              <w:t xml:space="preserve">6 </w:t>
            </w:r>
            <w:r>
              <w:rPr>
                <w:rFonts w:hint="default" w:ascii="Times New Roman" w:hAnsi="Times New Roman" w:eastAsia="宋体" w:cs="Times New Roman"/>
                <w:b/>
                <w:color w:val="000000" w:themeColor="text1"/>
                <w:sz w:val="24"/>
                <w14:textFill>
                  <w14:solidFill>
                    <w14:schemeClr w14:val="tx1"/>
                  </w14:solidFill>
                </w14:textFill>
              </w:rPr>
              <w:t>建</w:t>
            </w:r>
            <w:r>
              <w:rPr>
                <w:rFonts w:hint="default" w:ascii="Times New Roman" w:hAnsi="Times New Roman" w:eastAsia="宋体" w:cs="Times New Roman"/>
                <w:b/>
                <w:color w:val="000000" w:themeColor="text1"/>
                <w:spacing w:val="7"/>
                <w:sz w:val="24"/>
                <w14:textFill>
                  <w14:solidFill>
                    <w14:schemeClr w14:val="tx1"/>
                  </w14:solidFill>
                </w14:textFill>
              </w:rPr>
              <w:t>筑</w:t>
            </w:r>
            <w:r>
              <w:rPr>
                <w:rFonts w:hint="default" w:ascii="Times New Roman" w:hAnsi="Times New Roman" w:eastAsia="宋体" w:cs="Times New Roman"/>
                <w:b/>
                <w:color w:val="000000" w:themeColor="text1"/>
                <w:sz w:val="24"/>
                <w14:textFill>
                  <w14:solidFill>
                    <w14:schemeClr w14:val="tx1"/>
                  </w14:solidFill>
                </w14:textFill>
              </w:rPr>
              <w:t>施工场界环境噪声</w:t>
            </w:r>
            <w:r>
              <w:rPr>
                <w:rFonts w:hint="default" w:ascii="Times New Roman" w:hAnsi="Times New Roman" w:eastAsia="宋体" w:cs="Times New Roman"/>
                <w:b/>
                <w:color w:val="000000" w:themeColor="text1"/>
                <w:spacing w:val="7"/>
                <w:sz w:val="24"/>
                <w14:textFill>
                  <w14:solidFill>
                    <w14:schemeClr w14:val="tx1"/>
                  </w14:solidFill>
                </w14:textFill>
              </w:rPr>
              <w:t>排</w:t>
            </w:r>
            <w:r>
              <w:rPr>
                <w:rFonts w:hint="default" w:ascii="Times New Roman" w:hAnsi="Times New Roman" w:eastAsia="宋体" w:cs="Times New Roman"/>
                <w:b/>
                <w:color w:val="000000" w:themeColor="text1"/>
                <w:sz w:val="24"/>
                <w14:textFill>
                  <w14:solidFill>
                    <w14:schemeClr w14:val="tx1"/>
                  </w14:solidFill>
                </w14:textFill>
              </w:rPr>
              <w:t>放标准</w:t>
            </w:r>
          </w:p>
          <w:tbl>
            <w:tblPr>
              <w:tblStyle w:val="12"/>
              <w:tblW w:w="802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147"/>
              <w:gridCol w:w="3873"/>
            </w:tblGrid>
            <w:tr w14:paraId="06F337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17" w:hRule="atLeast"/>
                <w:jc w:val="center"/>
              </w:trPr>
              <w:tc>
                <w:tcPr>
                  <w:tcW w:w="8020" w:type="dxa"/>
                  <w:gridSpan w:val="2"/>
                  <w:tcBorders>
                    <w:bottom w:val="single" w:color="auto" w:sz="4" w:space="0"/>
                  </w:tcBorders>
                  <w:vAlign w:val="center"/>
                </w:tcPr>
                <w:p w14:paraId="2ABB21BA">
                  <w:pPr>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噪声限值 (单位：dB(A))</w:t>
                  </w:r>
                </w:p>
              </w:tc>
            </w:tr>
            <w:tr w14:paraId="4CD201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17" w:hRule="atLeast"/>
                <w:jc w:val="center"/>
              </w:trPr>
              <w:tc>
                <w:tcPr>
                  <w:tcW w:w="4147" w:type="dxa"/>
                  <w:tcBorders>
                    <w:top w:val="single" w:color="auto" w:sz="4" w:space="0"/>
                  </w:tcBorders>
                  <w:vAlign w:val="center"/>
                </w:tcPr>
                <w:p w14:paraId="68F8E3A7">
                  <w:pPr>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昼间</w:t>
                  </w:r>
                </w:p>
              </w:tc>
              <w:tc>
                <w:tcPr>
                  <w:tcW w:w="3873" w:type="dxa"/>
                  <w:tcBorders>
                    <w:top w:val="single" w:color="auto" w:sz="4" w:space="0"/>
                    <w:bottom w:val="single" w:color="auto" w:sz="4" w:space="0"/>
                  </w:tcBorders>
                  <w:vAlign w:val="center"/>
                </w:tcPr>
                <w:p w14:paraId="7BFDE6FF">
                  <w:pPr>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夜间</w:t>
                  </w:r>
                </w:p>
              </w:tc>
            </w:tr>
            <w:tr w14:paraId="28071E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14" w:hRule="atLeast"/>
                <w:jc w:val="center"/>
              </w:trPr>
              <w:tc>
                <w:tcPr>
                  <w:tcW w:w="4147" w:type="dxa"/>
                  <w:tcBorders>
                    <w:right w:val="single" w:color="auto" w:sz="4" w:space="0"/>
                  </w:tcBorders>
                  <w:vAlign w:val="center"/>
                </w:tcPr>
                <w:p w14:paraId="46CA2331">
                  <w:pPr>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70</w:t>
                  </w:r>
                </w:p>
              </w:tc>
              <w:tc>
                <w:tcPr>
                  <w:tcW w:w="3873" w:type="dxa"/>
                  <w:tcBorders>
                    <w:top w:val="single" w:color="auto" w:sz="4" w:space="0"/>
                    <w:left w:val="single" w:color="auto" w:sz="4" w:space="0"/>
                  </w:tcBorders>
                  <w:vAlign w:val="center"/>
                </w:tcPr>
                <w:p w14:paraId="55C3B487">
                  <w:pPr>
                    <w:keepNext w:val="0"/>
                    <w:keepLines w:val="0"/>
                    <w:pageBreakBefore w:val="0"/>
                    <w:kinsoku/>
                    <w:wordWrap/>
                    <w:overflowPunct/>
                    <w:topLinePunct w:val="0"/>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55</w:t>
                  </w:r>
                </w:p>
              </w:tc>
            </w:tr>
          </w:tbl>
          <w:p w14:paraId="48D94411">
            <w:pPr>
              <w:keepNext w:val="0"/>
              <w:keepLines w:val="0"/>
              <w:pageBreakBefore w:val="0"/>
              <w:widowControl w:val="0"/>
              <w:kinsoku/>
              <w:wordWrap/>
              <w:overflowPunct/>
              <w:topLinePunct w:val="0"/>
              <w:autoSpaceDE w:val="0"/>
              <w:autoSpaceDN w:val="0"/>
              <w:bidi w:val="0"/>
              <w:adjustRightInd w:val="0"/>
              <w:snapToGrid w:val="0"/>
              <w:ind w:left="0" w:leftChars="0" w:right="0" w:rightChars="0" w:firstLine="480"/>
              <w:jc w:val="both"/>
              <w:textAlignment w:val="auto"/>
              <w:rPr>
                <w:rFonts w:hint="eastAsia"/>
                <w:color w:val="000000" w:themeColor="text1"/>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根据环评及批复要求，</w:t>
            </w:r>
            <w:r>
              <w:rPr>
                <w:rFonts w:hint="eastAsia"/>
                <w:color w:val="000000" w:themeColor="text1"/>
                <w14:textFill>
                  <w14:solidFill>
                    <w14:schemeClr w14:val="tx1"/>
                  </w14:solidFill>
                </w14:textFill>
              </w:rPr>
              <w:t>项目运营期厂界噪声执行《工业企业厂界环境噪声排放标准》（GB12348-2008 ）中的3类标准，见表3-</w:t>
            </w:r>
            <w:r>
              <w:rPr>
                <w:rFonts w:hint="eastAsia"/>
                <w:color w:val="000000" w:themeColor="text1"/>
                <w:lang w:val="en-US" w:eastAsia="zh-CN"/>
                <w14:textFill>
                  <w14:solidFill>
                    <w14:schemeClr w14:val="tx1"/>
                  </w14:solidFill>
                </w14:textFill>
              </w:rPr>
              <w:t>7</w:t>
            </w:r>
            <w:r>
              <w:rPr>
                <w:rFonts w:hint="eastAsia"/>
                <w:color w:val="000000" w:themeColor="text1"/>
                <w14:textFill>
                  <w14:solidFill>
                    <w14:schemeClr w14:val="tx1"/>
                  </w14:solidFill>
                </w14:textFill>
              </w:rPr>
              <w:t>。</w:t>
            </w:r>
          </w:p>
          <w:p w14:paraId="2CDF3230">
            <w:pPr>
              <w:ind w:left="0" w:leftChars="0" w:firstLine="0" w:firstLineChars="0"/>
              <w:jc w:val="center"/>
              <w:rPr>
                <w:rFonts w:hint="default" w:ascii="Times New Roman" w:hAnsi="Times New Roman" w:eastAsia="宋体" w:cs="Times New Roman"/>
                <w:b/>
                <w:bCs/>
                <w:color w:val="000000" w:themeColor="text1"/>
                <w14:textFill>
                  <w14:solidFill>
                    <w14:schemeClr w14:val="tx1"/>
                  </w14:solidFill>
                </w14:textFill>
              </w:rPr>
            </w:pPr>
            <w:r>
              <w:rPr>
                <w:rFonts w:hint="default" w:ascii="Times New Roman" w:hAnsi="Times New Roman" w:eastAsia="宋体" w:cs="Times New Roman"/>
                <w:b/>
                <w:bCs/>
                <w:color w:val="000000" w:themeColor="text1"/>
                <w14:textFill>
                  <w14:solidFill>
                    <w14:schemeClr w14:val="tx1"/>
                  </w14:solidFill>
                </w14:textFill>
              </w:rPr>
              <w:t>表3-</w:t>
            </w:r>
            <w:r>
              <w:rPr>
                <w:rFonts w:hint="default" w:ascii="Times New Roman" w:hAnsi="Times New Roman" w:eastAsia="宋体" w:cs="Times New Roman"/>
                <w:b/>
                <w:bCs/>
                <w:color w:val="000000" w:themeColor="text1"/>
                <w:lang w:val="en-US" w:eastAsia="zh-CN"/>
                <w14:textFill>
                  <w14:solidFill>
                    <w14:schemeClr w14:val="tx1"/>
                  </w14:solidFill>
                </w14:textFill>
              </w:rPr>
              <w:t>3</w:t>
            </w:r>
            <w:r>
              <w:rPr>
                <w:rFonts w:hint="default" w:ascii="Times New Roman" w:hAnsi="Times New Roman" w:eastAsia="宋体" w:cs="Times New Roman"/>
                <w:b/>
                <w:bCs/>
                <w:color w:val="000000" w:themeColor="text1"/>
                <w14:textFill>
                  <w14:solidFill>
                    <w14:schemeClr w14:val="tx1"/>
                  </w14:solidFill>
                </w14:textFill>
              </w:rPr>
              <w:t>《声环境质量标准》（GB309</w:t>
            </w:r>
            <w:r>
              <w:rPr>
                <w:rFonts w:hint="default" w:ascii="Times New Roman" w:hAnsi="Times New Roman" w:eastAsia="宋体" w:cs="Times New Roman"/>
                <w:b/>
                <w:bCs/>
                <w:color w:val="000000" w:themeColor="text1"/>
                <w:lang w:val="en-US" w:eastAsia="zh-CN"/>
                <w14:textFill>
                  <w14:solidFill>
                    <w14:schemeClr w14:val="tx1"/>
                  </w14:solidFill>
                </w14:textFill>
              </w:rPr>
              <w:t>6</w:t>
            </w:r>
            <w:r>
              <w:rPr>
                <w:rFonts w:hint="default" w:ascii="Times New Roman" w:hAnsi="Times New Roman" w:eastAsia="宋体" w:cs="Times New Roman"/>
                <w:b/>
                <w:bCs/>
                <w:color w:val="000000" w:themeColor="text1"/>
                <w14:textFill>
                  <w14:solidFill>
                    <w14:schemeClr w14:val="tx1"/>
                  </w14:solidFill>
                </w14:textFill>
              </w:rPr>
              <w:t>-20</w:t>
            </w:r>
            <w:r>
              <w:rPr>
                <w:rFonts w:hint="default" w:ascii="Times New Roman" w:hAnsi="Times New Roman" w:eastAsia="宋体" w:cs="Times New Roman"/>
                <w:b/>
                <w:bCs/>
                <w:color w:val="000000" w:themeColor="text1"/>
                <w:lang w:val="en-US" w:eastAsia="zh-CN"/>
                <w14:textFill>
                  <w14:solidFill>
                    <w14:schemeClr w14:val="tx1"/>
                  </w14:solidFill>
                </w14:textFill>
              </w:rPr>
              <w:t>08</w:t>
            </w:r>
            <w:r>
              <w:rPr>
                <w:rFonts w:hint="default" w:ascii="Times New Roman" w:hAnsi="Times New Roman" w:eastAsia="宋体" w:cs="Times New Roman"/>
                <w:b/>
                <w:bCs/>
                <w:color w:val="000000" w:themeColor="text1"/>
                <w14:textFill>
                  <w14:solidFill>
                    <w14:schemeClr w14:val="tx1"/>
                  </w14:solidFill>
                </w14:textFill>
              </w:rPr>
              <w:t>）单位：dB(A)</w:t>
            </w:r>
          </w:p>
          <w:tbl>
            <w:tblPr>
              <w:tblStyle w:val="13"/>
              <w:tblW w:w="47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5"/>
              <w:gridCol w:w="2469"/>
              <w:gridCol w:w="1875"/>
            </w:tblGrid>
            <w:tr w14:paraId="6F74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76" w:type="pct"/>
                  <w:vMerge w:val="restart"/>
                  <w:vAlign w:val="center"/>
                </w:tcPr>
                <w:p w14:paraId="18C3DFCB">
                  <w:pPr>
                    <w:spacing w:line="240" w:lineRule="auto"/>
                    <w:ind w:left="0" w:leftChars="0" w:firstLine="0" w:firstLineChars="0"/>
                    <w:jc w:val="center"/>
                    <w:rPr>
                      <w:rFonts w:hint="default"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标准</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来源</w:t>
                  </w:r>
                </w:p>
              </w:tc>
              <w:tc>
                <w:tcPr>
                  <w:tcW w:w="2623" w:type="pct"/>
                  <w:gridSpan w:val="2"/>
                  <w:vAlign w:val="center"/>
                </w:tcPr>
                <w:p w14:paraId="1BDD704B">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标准值，dB（A）</w:t>
                  </w:r>
                </w:p>
              </w:tc>
            </w:tr>
            <w:tr w14:paraId="56BC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2376" w:type="pct"/>
                  <w:vMerge w:val="continue"/>
                  <w:vAlign w:val="center"/>
                </w:tcPr>
                <w:p w14:paraId="1C8AFD20">
                  <w:pPr>
                    <w:spacing w:line="240" w:lineRule="auto"/>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1491" w:type="pct"/>
                  <w:vAlign w:val="center"/>
                </w:tcPr>
                <w:p w14:paraId="5D2A4DF0">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昼间</w:t>
                  </w:r>
                </w:p>
              </w:tc>
              <w:tc>
                <w:tcPr>
                  <w:tcW w:w="1132" w:type="pct"/>
                  <w:vAlign w:val="center"/>
                </w:tcPr>
                <w:p w14:paraId="7368004E">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夜间</w:t>
                  </w:r>
                </w:p>
              </w:tc>
            </w:tr>
            <w:tr w14:paraId="2F801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2376" w:type="pct"/>
                  <w:vAlign w:val="center"/>
                </w:tcPr>
                <w:p w14:paraId="39D5973E">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《工业企业厂界环境噪声排放标准》（GB</w:t>
                  </w:r>
                  <w:r>
                    <w:rPr>
                      <w:rFonts w:hint="eastAsia"/>
                      <w:color w:val="000000" w:themeColor="text1"/>
                      <w:sz w:val="21"/>
                      <w:szCs w:val="21"/>
                      <w14:textFill>
                        <w14:solidFill>
                          <w14:schemeClr w14:val="tx1"/>
                        </w14:solidFill>
                      </w14:textFill>
                    </w:rPr>
                    <w:t>12348</w:t>
                  </w:r>
                  <w:r>
                    <w:rPr>
                      <w:rFonts w:hint="eastAsia"/>
                      <w:color w:val="000000" w:themeColor="text1"/>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20</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08</w:t>
                  </w:r>
                  <w:r>
                    <w:rPr>
                      <w:rFonts w:hint="default" w:ascii="Times New Roman" w:hAnsi="Times New Roman" w:eastAsia="宋体" w:cs="Times New Roman"/>
                      <w:color w:val="000000" w:themeColor="text1"/>
                      <w:sz w:val="21"/>
                      <w:szCs w:val="21"/>
                      <w14:textFill>
                        <w14:solidFill>
                          <w14:schemeClr w14:val="tx1"/>
                        </w14:solidFill>
                      </w14:textFill>
                    </w:rPr>
                    <w:t>）</w:t>
                  </w:r>
                  <w:r>
                    <w:rPr>
                      <w:rFonts w:hint="eastAsia" w:cs="Times New Roman"/>
                      <w:color w:val="000000" w:themeColor="text1"/>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z w:val="21"/>
                      <w:szCs w:val="21"/>
                      <w14:textFill>
                        <w14:solidFill>
                          <w14:schemeClr w14:val="tx1"/>
                        </w14:solidFill>
                      </w14:textFill>
                    </w:rPr>
                    <w:t>类</w:t>
                  </w:r>
                </w:p>
              </w:tc>
              <w:tc>
                <w:tcPr>
                  <w:tcW w:w="1491" w:type="pct"/>
                  <w:vAlign w:val="center"/>
                </w:tcPr>
                <w:p w14:paraId="2908994F">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6</w:t>
                  </w:r>
                  <w:r>
                    <w:rPr>
                      <w:rFonts w:hint="eastAsia" w:cs="Times New Roman"/>
                      <w:color w:val="000000" w:themeColor="text1"/>
                      <w:sz w:val="21"/>
                      <w:szCs w:val="21"/>
                      <w:lang w:val="en-US" w:eastAsia="zh-CN"/>
                      <w14:textFill>
                        <w14:solidFill>
                          <w14:schemeClr w14:val="tx1"/>
                        </w14:solidFill>
                      </w14:textFill>
                    </w:rPr>
                    <w:t>5</w:t>
                  </w:r>
                </w:p>
              </w:tc>
              <w:tc>
                <w:tcPr>
                  <w:tcW w:w="1132" w:type="pct"/>
                  <w:vAlign w:val="center"/>
                </w:tcPr>
                <w:p w14:paraId="35FFD7E2">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5</w:t>
                  </w:r>
                  <w:r>
                    <w:rPr>
                      <w:rFonts w:hint="eastAsia" w:cs="Times New Roman"/>
                      <w:color w:val="000000" w:themeColor="text1"/>
                      <w:sz w:val="21"/>
                      <w:szCs w:val="21"/>
                      <w:lang w:val="en-US" w:eastAsia="zh-CN"/>
                      <w14:textFill>
                        <w14:solidFill>
                          <w14:schemeClr w14:val="tx1"/>
                        </w14:solidFill>
                      </w14:textFill>
                    </w:rPr>
                    <w:t>5</w:t>
                  </w:r>
                </w:p>
              </w:tc>
            </w:tr>
          </w:tbl>
          <w:p w14:paraId="234075B8">
            <w:pPr>
              <w:pStyle w:val="2"/>
              <w:keepNext w:val="0"/>
              <w:keepLines w:val="0"/>
              <w:pageBreakBefore w:val="0"/>
              <w:widowControl w:val="0"/>
              <w:kinsoku/>
              <w:wordWrap/>
              <w:overflowPunct/>
              <w:topLinePunct w:val="0"/>
              <w:autoSpaceDE w:val="0"/>
              <w:autoSpaceDN w:val="0"/>
              <w:bidi w:val="0"/>
              <w:adjustRightInd w:val="0"/>
              <w:snapToGrid w:val="0"/>
              <w:ind w:left="48" w:leftChars="20" w:right="48" w:rightChars="20"/>
              <w:jc w:val="both"/>
              <w:textAlignment w:val="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2</w:t>
            </w:r>
            <w:r>
              <w:rPr>
                <w:rFonts w:hint="eastAsia" w:ascii="Times New Roman" w:hAnsi="Times New Roman" w:eastAsia="宋体" w:cs="Times New Roman"/>
                <w:b/>
                <w:bCs/>
                <w:color w:val="000000" w:themeColor="text1"/>
                <w:kern w:val="18"/>
                <w:sz w:val="24"/>
                <w:szCs w:val="24"/>
                <w:lang w:val="en-US" w:eastAsia="zh-CN" w:bidi="zh-CN"/>
                <w14:textFill>
                  <w14:solidFill>
                    <w14:schemeClr w14:val="tx1"/>
                  </w14:solidFill>
                </w14:textFill>
              </w:rPr>
              <w:t>.3</w:t>
            </w:r>
            <w:r>
              <w:rPr>
                <w:rFonts w:hint="eastAsia" w:ascii="Times New Roman" w:hAnsi="Times New Roman" w:eastAsia="宋体" w:cs="Times New Roman"/>
                <w:b/>
                <w:bCs/>
                <w:color w:val="000000" w:themeColor="text1"/>
                <w:kern w:val="18"/>
                <w:sz w:val="24"/>
                <w:szCs w:val="24"/>
                <w:lang w:val="zh-CN" w:eastAsia="zh-CN" w:bidi="zh-CN"/>
                <w14:textFill>
                  <w14:solidFill>
                    <w14:schemeClr w14:val="tx1"/>
                  </w14:solidFill>
                </w14:textFill>
              </w:rPr>
              <w:t>固体废弃物控制标准</w:t>
            </w:r>
          </w:p>
          <w:p w14:paraId="00053C84">
            <w:pPr>
              <w:pStyle w:val="2"/>
              <w:keepNext w:val="0"/>
              <w:keepLines w:val="0"/>
              <w:pageBreakBefore w:val="0"/>
              <w:widowControl w:val="0"/>
              <w:kinsoku/>
              <w:wordWrap/>
              <w:overflowPunct/>
              <w:topLinePunct w:val="0"/>
              <w:autoSpaceDE w:val="0"/>
              <w:autoSpaceDN w:val="0"/>
              <w:bidi w:val="0"/>
              <w:adjustRightInd w:val="0"/>
              <w:snapToGrid w:val="0"/>
              <w:ind w:left="48" w:leftChars="20" w:right="48" w:rightChars="20"/>
              <w:jc w:val="both"/>
              <w:textAlignment w:val="auto"/>
              <w:rPr>
                <w:color w:val="000000" w:themeColor="text1"/>
                <w14:textFill>
                  <w14:solidFill>
                    <w14:schemeClr w14:val="tx1"/>
                  </w14:solidFill>
                </w14:textFill>
              </w:rPr>
            </w:pPr>
            <w:r>
              <w:rPr>
                <w:rFonts w:hint="eastAsia" w:cs="Times New Roman"/>
                <w:b w:val="0"/>
                <w:bCs w:val="0"/>
                <w:color w:val="000000" w:themeColor="text1"/>
                <w:sz w:val="24"/>
                <w:szCs w:val="24"/>
                <w:lang w:val="en-US" w:eastAsia="zh-CN"/>
                <w14:textFill>
                  <w14:solidFill>
                    <w14:schemeClr w14:val="tx1"/>
                  </w14:solidFill>
                </w14:textFill>
              </w:rPr>
              <w:t>根据环评及批复要求，</w:t>
            </w:r>
            <w:r>
              <w:rPr>
                <w:rFonts w:hint="eastAsia"/>
                <w:color w:val="000000" w:themeColor="text1"/>
                <w14:textFill>
                  <w14:solidFill>
                    <w14:schemeClr w14:val="tx1"/>
                  </w14:solidFill>
                </w14:textFill>
              </w:rPr>
              <w:t>一般工业固废的处置执行《一般工业固体废物贮存和填埋污染控制标准》（GB18599-2020）；危险废物的处置执行《危险废物贮存污染控制标准》（GB 18597-</w:t>
            </w:r>
            <w:r>
              <w:rPr>
                <w:rFonts w:hint="eastAsia"/>
                <w:color w:val="000000" w:themeColor="text1"/>
                <w:lang w:val="en-US" w:eastAsia="zh-CN"/>
                <w14:textFill>
                  <w14:solidFill>
                    <w14:schemeClr w14:val="tx1"/>
                  </w14:solidFill>
                </w14:textFill>
              </w:rPr>
              <w:t>2023</w:t>
            </w:r>
            <w:r>
              <w:rPr>
                <w:rFonts w:hint="eastAsia"/>
                <w:color w:val="000000" w:themeColor="text1"/>
                <w14:textFill>
                  <w14:solidFill>
                    <w14:schemeClr w14:val="tx1"/>
                  </w14:solidFill>
                </w14:textFill>
              </w:rPr>
              <w:t>）。</w:t>
            </w:r>
          </w:p>
        </w:tc>
      </w:tr>
      <w:tr w14:paraId="1E50F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8689" w:type="dxa"/>
          </w:tcPr>
          <w:p w14:paraId="5466D182">
            <w:pPr>
              <w:ind w:firstLine="482"/>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验收调查的范围、目标、重点和因子等：</w:t>
            </w:r>
          </w:p>
          <w:p w14:paraId="23A96FEF">
            <w:pPr>
              <w:ind w:firstLine="480"/>
              <w:jc w:val="both"/>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1.调查范围</w:t>
            </w:r>
          </w:p>
          <w:p w14:paraId="6816A172">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本次竣工环保验收调查范围与环评阶段环境影响范围基本一致，依据工程建设规模及内容，结合工程建设现状，确定本次验收调查范围如下：</w:t>
            </w:r>
          </w:p>
          <w:p w14:paraId="017C31EA">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（1）生态环境影响调查范围</w:t>
            </w:r>
          </w:p>
          <w:p w14:paraId="3F379998">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生态环境调查范围为永久占地和临时占地。</w:t>
            </w:r>
          </w:p>
          <w:p w14:paraId="0E65E12B">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（2）大气环境调查范围</w:t>
            </w:r>
          </w:p>
          <w:p w14:paraId="76C7AA69">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大气环境调查范围以施工期扬尘影响范围作为调查范围，即施工区域</w:t>
            </w:r>
            <w:r>
              <w:rPr>
                <w:rFonts w:hint="eastAsia" w:cs="Times New Roman"/>
                <w:color w:val="000000" w:themeColor="text1"/>
                <w:sz w:val="24"/>
                <w:szCs w:val="24"/>
                <w:lang w:eastAsia="zh-CN"/>
                <w14:textFill>
                  <w14:solidFill>
                    <w14:schemeClr w14:val="tx1"/>
                  </w14:solidFill>
                </w14:textFill>
              </w:rPr>
              <w:t>周围</w:t>
            </w:r>
            <w:r>
              <w:rPr>
                <w:rFonts w:hint="default" w:ascii="Times New Roman" w:hAnsi="Times New Roman" w:eastAsia="宋体" w:cs="Times New Roman"/>
                <w:color w:val="000000" w:themeColor="text1"/>
                <w:sz w:val="24"/>
                <w:szCs w:val="24"/>
                <w14:textFill>
                  <w14:solidFill>
                    <w14:schemeClr w14:val="tx1"/>
                  </w14:solidFill>
                </w14:textFill>
              </w:rPr>
              <w:t>200m范围内的区域。</w:t>
            </w:r>
          </w:p>
          <w:p w14:paraId="17006E5B">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（3）声环境调查范围</w:t>
            </w:r>
          </w:p>
          <w:p w14:paraId="5FDBAB15">
            <w:pPr>
              <w:ind w:right="0" w:rightChars="0"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声环境调查范围为施工影响区域100m范围内区域和评价范围内声环境敏感点。</w:t>
            </w:r>
          </w:p>
          <w:p w14:paraId="0F41C130">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（4）固体废物处置调查范围</w:t>
            </w:r>
          </w:p>
          <w:p w14:paraId="678FBA24">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固体废物主要考虑其处置方式及去向。</w:t>
            </w:r>
          </w:p>
          <w:p w14:paraId="7AD9467B">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（5）水环境调查范围</w:t>
            </w:r>
          </w:p>
          <w:p w14:paraId="3C7E86DB">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施工期施工废水和生活污水的产生量、处理措施及排放去向。</w:t>
            </w:r>
          </w:p>
          <w:p w14:paraId="4AE66C8E">
            <w:pPr>
              <w:ind w:firstLine="480"/>
              <w:jc w:val="both"/>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2.调查因子</w:t>
            </w:r>
          </w:p>
          <w:p w14:paraId="7330160B">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（1）生态环境：项目建设过程中</w:t>
            </w:r>
            <w:r>
              <w:rPr>
                <w:rFonts w:hint="eastAsia" w:cs="Times New Roman"/>
                <w:color w:val="000000" w:themeColor="text1"/>
                <w:sz w:val="24"/>
                <w:szCs w:val="24"/>
                <w:lang w:val="en-US" w:eastAsia="zh-CN"/>
                <w14:textFill>
                  <w14:solidFill>
                    <w14:schemeClr w14:val="tx1"/>
                  </w14:solidFill>
                </w14:textFill>
              </w:rPr>
              <w:t>工程开挖占地</w:t>
            </w:r>
            <w:r>
              <w:rPr>
                <w:rFonts w:hint="default" w:ascii="Times New Roman" w:hAnsi="Times New Roman" w:eastAsia="宋体" w:cs="Times New Roman"/>
                <w:color w:val="000000" w:themeColor="text1"/>
                <w:sz w:val="24"/>
                <w:szCs w:val="24"/>
                <w14:textFill>
                  <w14:solidFill>
                    <w14:schemeClr w14:val="tx1"/>
                  </w14:solidFill>
                </w14:textFill>
              </w:rPr>
              <w:t>对植被的影响。</w:t>
            </w:r>
          </w:p>
          <w:p w14:paraId="51657670">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（2）水环境：施工期生活污水、</w:t>
            </w:r>
            <w:r>
              <w:rPr>
                <w:rFonts w:hint="eastAsia" w:cs="Times New Roman"/>
                <w:color w:val="000000" w:themeColor="text1"/>
                <w:sz w:val="24"/>
                <w:szCs w:val="24"/>
                <w:lang w:val="en-US" w:eastAsia="zh-CN"/>
                <w14:textFill>
                  <w14:solidFill>
                    <w14:schemeClr w14:val="tx1"/>
                  </w14:solidFill>
                </w14:textFill>
              </w:rPr>
              <w:t>施工废水；运营期生活污水</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光伏组件清洗废水</w:t>
            </w:r>
            <w:r>
              <w:rPr>
                <w:rFonts w:hint="default" w:ascii="Times New Roman" w:hAnsi="Times New Roman" w:eastAsia="宋体" w:cs="Times New Roman"/>
                <w:color w:val="000000" w:themeColor="text1"/>
                <w:sz w:val="24"/>
                <w:szCs w:val="24"/>
                <w14:textFill>
                  <w14:solidFill>
                    <w14:schemeClr w14:val="tx1"/>
                  </w14:solidFill>
                </w14:textFill>
              </w:rPr>
              <w:t>。</w:t>
            </w:r>
          </w:p>
          <w:p w14:paraId="51ABB0E8">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（3）大气环境：</w:t>
            </w:r>
            <w:r>
              <w:rPr>
                <w:rFonts w:hint="eastAsia" w:cs="Times New Roman"/>
                <w:color w:val="000000" w:themeColor="text1"/>
                <w:sz w:val="24"/>
                <w:szCs w:val="24"/>
                <w:lang w:eastAsia="zh-CN"/>
                <w14:textFill>
                  <w14:solidFill>
                    <w14:schemeClr w14:val="tx1"/>
                  </w14:solidFill>
                </w14:textFill>
              </w:rPr>
              <w:t>颗粒物</w:t>
            </w:r>
            <w:r>
              <w:rPr>
                <w:rFonts w:hint="default" w:ascii="Times New Roman" w:hAnsi="Times New Roman" w:eastAsia="宋体" w:cs="Times New Roman"/>
                <w:color w:val="000000" w:themeColor="text1"/>
                <w:sz w:val="24"/>
                <w:szCs w:val="24"/>
                <w14:textFill>
                  <w14:solidFill>
                    <w14:schemeClr w14:val="tx1"/>
                  </w14:solidFill>
                </w14:textFill>
              </w:rPr>
              <w:t>。</w:t>
            </w:r>
          </w:p>
          <w:p w14:paraId="4F88665D">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（4）声环境：等效连续A声级。</w:t>
            </w:r>
          </w:p>
          <w:p w14:paraId="15E67736">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（5）固体废弃物：</w:t>
            </w:r>
            <w:r>
              <w:rPr>
                <w:rFonts w:hint="eastAsia" w:cs="Times New Roman"/>
                <w:color w:val="000000" w:themeColor="text1"/>
                <w:sz w:val="24"/>
                <w:szCs w:val="24"/>
                <w:lang w:val="en-US" w:eastAsia="zh-CN"/>
                <w14:textFill>
                  <w14:solidFill>
                    <w14:schemeClr w14:val="tx1"/>
                  </w14:solidFill>
                </w14:textFill>
              </w:rPr>
              <w:t>施工期</w:t>
            </w:r>
            <w:r>
              <w:rPr>
                <w:rFonts w:hint="default" w:ascii="Times New Roman" w:hAnsi="Times New Roman" w:eastAsia="宋体" w:cs="Times New Roman"/>
                <w:color w:val="000000" w:themeColor="text1"/>
                <w:sz w:val="24"/>
                <w:szCs w:val="24"/>
                <w14:textFill>
                  <w14:solidFill>
                    <w14:schemeClr w14:val="tx1"/>
                  </w14:solidFill>
                </w14:textFill>
              </w:rPr>
              <w:t>生活垃圾、建筑垃圾</w:t>
            </w:r>
            <w:r>
              <w:rPr>
                <w:rFonts w:hint="eastAsia" w:cs="Times New Roman"/>
                <w:color w:val="000000" w:themeColor="text1"/>
                <w:sz w:val="24"/>
                <w:szCs w:val="24"/>
                <w:lang w:eastAsia="zh-CN"/>
                <w14:textFill>
                  <w14:solidFill>
                    <w14:schemeClr w14:val="tx1"/>
                  </w14:solidFill>
                </w14:textFill>
              </w:rPr>
              <w:t>；</w:t>
            </w:r>
            <w:r>
              <w:rPr>
                <w:rFonts w:hint="eastAsia" w:cs="Times New Roman"/>
                <w:color w:val="000000" w:themeColor="text1"/>
                <w:sz w:val="24"/>
                <w:szCs w:val="24"/>
                <w:lang w:val="en-US" w:eastAsia="zh-CN"/>
                <w14:textFill>
                  <w14:solidFill>
                    <w14:schemeClr w14:val="tx1"/>
                  </w14:solidFill>
                </w14:textFill>
              </w:rPr>
              <w:t>运营期生活垃圾、废变压器油、废电子原件、</w:t>
            </w:r>
            <w:r>
              <w:rPr>
                <w:rFonts w:hint="eastAsia"/>
                <w:color w:val="000000" w:themeColor="text1"/>
                <w14:textFill>
                  <w14:solidFill>
                    <w14:schemeClr w14:val="tx1"/>
                  </w14:solidFill>
                </w14:textFill>
              </w:rPr>
              <w:t>废旧蓄电池</w:t>
            </w:r>
            <w:r>
              <w:rPr>
                <w:rFonts w:hint="default" w:ascii="Times New Roman" w:hAnsi="Times New Roman" w:eastAsia="宋体" w:cs="Times New Roman"/>
                <w:color w:val="000000" w:themeColor="text1"/>
                <w:sz w:val="24"/>
                <w:szCs w:val="24"/>
                <w14:textFill>
                  <w14:solidFill>
                    <w14:schemeClr w14:val="tx1"/>
                  </w14:solidFill>
                </w14:textFill>
              </w:rPr>
              <w:t>。</w:t>
            </w:r>
          </w:p>
          <w:p w14:paraId="31B4CED1">
            <w:pPr>
              <w:ind w:firstLine="480"/>
              <w:jc w:val="both"/>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3.环境敏感目标</w:t>
            </w:r>
          </w:p>
          <w:p w14:paraId="210A609B">
            <w:pPr>
              <w:keepNext w:val="0"/>
              <w:keepLines w:val="0"/>
              <w:widowControl/>
              <w:suppressLineNumbers w:val="0"/>
              <w:jc w:val="lef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经调查评价区不属特殊保护地区、社会关注区、生态脆弱区和特殊地貌景观区，评价区无野生动物重要栖息地和重点保护野生植物生长繁殖地，无文物古迹等人文景观。</w:t>
            </w:r>
            <w:r>
              <w:rPr>
                <w:rFonts w:hint="eastAsia" w:ascii="宋体" w:hAnsi="宋体" w:eastAsia="宋体" w:cs="宋体"/>
                <w:color w:val="000000" w:themeColor="text1"/>
                <w:kern w:val="0"/>
                <w:sz w:val="24"/>
                <w:szCs w:val="24"/>
                <w:lang w:val="en-US" w:eastAsia="zh-CN" w:bidi="ar"/>
                <w14:textFill>
                  <w14:solidFill>
                    <w14:schemeClr w14:val="tx1"/>
                  </w14:solidFill>
                </w14:textFill>
              </w:rPr>
              <w:t>项目区评价范围内无地表水体分布，项目周边无居民居住，</w:t>
            </w:r>
            <w:r>
              <w:rPr>
                <w:rFonts w:hint="default" w:ascii="Times New Roman" w:hAnsi="Times New Roman" w:eastAsia="宋体" w:cs="Times New Roman"/>
                <w:color w:val="000000" w:themeColor="text1"/>
                <w:sz w:val="24"/>
                <w:szCs w:val="24"/>
                <w14:textFill>
                  <w14:solidFill>
                    <w14:schemeClr w14:val="tx1"/>
                  </w14:solidFill>
                </w14:textFill>
              </w:rPr>
              <w:t>工程涉及的主要环境保护目标与环评阶段环境保护目标一致未发生变动。</w:t>
            </w:r>
          </w:p>
          <w:p w14:paraId="6F577ADC">
            <w:pPr>
              <w:pStyle w:val="17"/>
              <w:spacing w:line="360" w:lineRule="auto"/>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000000" w:themeColor="text1"/>
                <w:sz w:val="24"/>
                <w:szCs w:val="24"/>
                <w14:textFill>
                  <w14:solidFill>
                    <w14:schemeClr w14:val="tx1"/>
                  </w14:solidFill>
                </w14:textFill>
              </w:rPr>
              <w:t>表3-</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7</w:t>
            </w:r>
            <w:r>
              <w:rPr>
                <w:rFonts w:hint="default" w:ascii="Times New Roman" w:hAnsi="Times New Roman" w:eastAsia="宋体" w:cs="Times New Roman"/>
                <w:b/>
                <w:bCs/>
                <w:color w:val="000000" w:themeColor="text1"/>
                <w:sz w:val="24"/>
                <w:szCs w:val="24"/>
                <w14:textFill>
                  <w14:solidFill>
                    <w14:schemeClr w14:val="tx1"/>
                  </w14:solidFill>
                </w14:textFill>
              </w:rPr>
              <w:t xml:space="preserve"> </w:t>
            </w:r>
            <w:r>
              <w:rPr>
                <w:rFonts w:hint="eastAsia" w:cs="Times New Roman"/>
                <w:b/>
                <w:bCs/>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b/>
                <w:bCs/>
                <w:color w:val="000000" w:themeColor="text1"/>
                <w:sz w:val="24"/>
                <w:szCs w:val="24"/>
                <w14:textFill>
                  <w14:solidFill>
                    <w14:schemeClr w14:val="tx1"/>
                  </w14:solidFill>
                </w14:textFill>
              </w:rPr>
              <w:t>项目环境敏感点</w:t>
            </w:r>
          </w:p>
          <w:tbl>
            <w:tblPr>
              <w:tblStyle w:val="12"/>
              <w:tblW w:w="8309" w:type="dxa"/>
              <w:tblInd w:w="240" w:type="dxa"/>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Layout w:type="fixed"/>
              <w:tblCellMar>
                <w:top w:w="0" w:type="dxa"/>
                <w:left w:w="0" w:type="dxa"/>
                <w:bottom w:w="0" w:type="dxa"/>
                <w:right w:w="0" w:type="dxa"/>
              </w:tblCellMar>
            </w:tblPr>
            <w:tblGrid>
              <w:gridCol w:w="1129"/>
              <w:gridCol w:w="1471"/>
              <w:gridCol w:w="1262"/>
              <w:gridCol w:w="1535"/>
              <w:gridCol w:w="2912"/>
            </w:tblGrid>
            <w:tr w14:paraId="380ED206">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275" w:hRule="atLeast"/>
              </w:trPr>
              <w:tc>
                <w:tcPr>
                  <w:tcW w:w="1129" w:type="dxa"/>
                  <w:vMerge w:val="restart"/>
                  <w:tcBorders>
                    <w:bottom w:val="single" w:color="auto" w:sz="4" w:space="0"/>
                    <w:right w:val="single" w:color="auto" w:sz="4" w:space="0"/>
                  </w:tcBorders>
                  <w:vAlign w:val="center"/>
                </w:tcPr>
                <w:p w14:paraId="68949913">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环境要素</w:t>
                  </w:r>
                </w:p>
              </w:tc>
              <w:tc>
                <w:tcPr>
                  <w:tcW w:w="4268" w:type="dxa"/>
                  <w:gridSpan w:val="3"/>
                  <w:tcBorders>
                    <w:left w:val="single" w:color="auto" w:sz="4" w:space="0"/>
                    <w:bottom w:val="single" w:color="auto" w:sz="4" w:space="0"/>
                    <w:right w:val="single" w:color="auto" w:sz="4" w:space="0"/>
                  </w:tcBorders>
                  <w:vAlign w:val="center"/>
                </w:tcPr>
                <w:p w14:paraId="1942D708">
                  <w:pPr>
                    <w:spacing w:line="240" w:lineRule="auto"/>
                    <w:ind w:firstLine="42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敏感目标</w:t>
                  </w:r>
                </w:p>
              </w:tc>
              <w:tc>
                <w:tcPr>
                  <w:tcW w:w="2912" w:type="dxa"/>
                  <w:vMerge w:val="restart"/>
                  <w:tcBorders>
                    <w:left w:val="single" w:color="auto" w:sz="4" w:space="0"/>
                    <w:bottom w:val="single" w:color="auto" w:sz="4" w:space="0"/>
                  </w:tcBorders>
                  <w:vAlign w:val="center"/>
                </w:tcPr>
                <w:p w14:paraId="03326F37">
                  <w:pPr>
                    <w:spacing w:line="240" w:lineRule="auto"/>
                    <w:ind w:firstLine="42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保护级别</w:t>
                  </w:r>
                </w:p>
              </w:tc>
            </w:tr>
            <w:tr w14:paraId="339A2049">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275" w:hRule="atLeast"/>
              </w:trPr>
              <w:tc>
                <w:tcPr>
                  <w:tcW w:w="1129" w:type="dxa"/>
                  <w:vMerge w:val="continue"/>
                  <w:tcBorders>
                    <w:top w:val="single" w:color="auto" w:sz="4" w:space="0"/>
                    <w:bottom w:val="single" w:color="auto" w:sz="4" w:space="0"/>
                    <w:right w:val="single" w:color="auto" w:sz="4" w:space="0"/>
                  </w:tcBorders>
                  <w:vAlign w:val="center"/>
                </w:tcPr>
                <w:p w14:paraId="590A7D03">
                  <w:pPr>
                    <w:spacing w:line="240" w:lineRule="auto"/>
                    <w:ind w:firstLine="420"/>
                    <w:jc w:val="center"/>
                    <w:rPr>
                      <w:rFonts w:hint="default" w:ascii="Times New Roman" w:hAnsi="Times New Roman" w:eastAsia="宋体" w:cs="Times New Roman"/>
                      <w:color w:val="000000" w:themeColor="text1"/>
                      <w:sz w:val="21"/>
                      <w:szCs w:val="21"/>
                      <w14:textFill>
                        <w14:solidFill>
                          <w14:schemeClr w14:val="tx1"/>
                        </w14:solidFill>
                      </w14:textFill>
                    </w:rPr>
                  </w:pPr>
                </w:p>
              </w:tc>
              <w:tc>
                <w:tcPr>
                  <w:tcW w:w="1471" w:type="dxa"/>
                  <w:tcBorders>
                    <w:top w:val="single" w:color="auto" w:sz="4" w:space="0"/>
                    <w:left w:val="single" w:color="auto" w:sz="4" w:space="0"/>
                    <w:bottom w:val="single" w:color="auto" w:sz="4" w:space="0"/>
                    <w:right w:val="single" w:color="auto" w:sz="4" w:space="0"/>
                  </w:tcBorders>
                  <w:vAlign w:val="center"/>
                </w:tcPr>
                <w:p w14:paraId="5D00B07A">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保护对象</w:t>
                  </w:r>
                </w:p>
              </w:tc>
              <w:tc>
                <w:tcPr>
                  <w:tcW w:w="1262" w:type="dxa"/>
                  <w:tcBorders>
                    <w:top w:val="single" w:color="auto" w:sz="4" w:space="0"/>
                    <w:left w:val="single" w:color="auto" w:sz="4" w:space="0"/>
                    <w:bottom w:val="single" w:color="auto" w:sz="4" w:space="0"/>
                    <w:right w:val="single" w:color="auto" w:sz="4" w:space="0"/>
                  </w:tcBorders>
                  <w:vAlign w:val="center"/>
                </w:tcPr>
                <w:p w14:paraId="0A22E0C2">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影响人数</w:t>
                  </w:r>
                </w:p>
              </w:tc>
              <w:tc>
                <w:tcPr>
                  <w:tcW w:w="1535" w:type="dxa"/>
                  <w:tcBorders>
                    <w:top w:val="single" w:color="auto" w:sz="4" w:space="0"/>
                    <w:left w:val="single" w:color="auto" w:sz="4" w:space="0"/>
                    <w:bottom w:val="single" w:color="auto" w:sz="4" w:space="0"/>
                    <w:right w:val="single" w:color="auto" w:sz="4" w:space="0"/>
                  </w:tcBorders>
                  <w:vAlign w:val="center"/>
                </w:tcPr>
                <w:p w14:paraId="35F1354E">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方位/距离（m）</w:t>
                  </w:r>
                </w:p>
              </w:tc>
              <w:tc>
                <w:tcPr>
                  <w:tcW w:w="2912" w:type="dxa"/>
                  <w:vMerge w:val="continue"/>
                  <w:tcBorders>
                    <w:top w:val="single" w:color="auto" w:sz="4" w:space="0"/>
                    <w:left w:val="single" w:color="auto" w:sz="4" w:space="0"/>
                    <w:bottom w:val="single" w:color="auto" w:sz="4" w:space="0"/>
                  </w:tcBorders>
                  <w:vAlign w:val="center"/>
                </w:tcPr>
                <w:p w14:paraId="70F10F2C">
                  <w:pPr>
                    <w:spacing w:line="240" w:lineRule="auto"/>
                    <w:ind w:firstLine="420"/>
                    <w:jc w:val="center"/>
                    <w:rPr>
                      <w:rFonts w:hint="default" w:ascii="Times New Roman" w:hAnsi="Times New Roman" w:eastAsia="宋体" w:cs="Times New Roman"/>
                      <w:color w:val="000000" w:themeColor="text1"/>
                      <w:sz w:val="21"/>
                      <w:szCs w:val="21"/>
                      <w14:textFill>
                        <w14:solidFill>
                          <w14:schemeClr w14:val="tx1"/>
                        </w14:solidFill>
                      </w14:textFill>
                    </w:rPr>
                  </w:pPr>
                </w:p>
              </w:tc>
            </w:tr>
            <w:tr w14:paraId="41E4EFD6">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550" w:hRule="atLeast"/>
              </w:trPr>
              <w:tc>
                <w:tcPr>
                  <w:tcW w:w="1129" w:type="dxa"/>
                  <w:tcBorders>
                    <w:top w:val="single" w:color="auto" w:sz="4" w:space="0"/>
                    <w:right w:val="single" w:color="auto" w:sz="4" w:space="0"/>
                  </w:tcBorders>
                  <w:vAlign w:val="center"/>
                </w:tcPr>
                <w:p w14:paraId="4DB8F4E7">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生态环境</w:t>
                  </w:r>
                </w:p>
              </w:tc>
              <w:tc>
                <w:tcPr>
                  <w:tcW w:w="1471" w:type="dxa"/>
                  <w:tcBorders>
                    <w:top w:val="single" w:color="auto" w:sz="4" w:space="0"/>
                    <w:left w:val="single" w:color="auto" w:sz="4" w:space="0"/>
                    <w:right w:val="single" w:color="auto" w:sz="4" w:space="0"/>
                  </w:tcBorders>
                  <w:vAlign w:val="center"/>
                </w:tcPr>
                <w:p w14:paraId="2A3977EB">
                  <w:pPr>
                    <w:spacing w:line="240" w:lineRule="auto"/>
                    <w:ind w:left="0" w:leftChars="0" w:firstLine="0" w:firstLineChars="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项目区及周边 200m</w:t>
                  </w:r>
                </w:p>
                <w:p w14:paraId="767E52AF">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范围内</w:t>
                  </w:r>
                </w:p>
              </w:tc>
              <w:tc>
                <w:tcPr>
                  <w:tcW w:w="2797" w:type="dxa"/>
                  <w:gridSpan w:val="2"/>
                  <w:tcBorders>
                    <w:top w:val="single" w:color="auto" w:sz="4" w:space="0"/>
                    <w:left w:val="single" w:color="auto" w:sz="4" w:space="0"/>
                    <w:right w:val="single" w:color="auto" w:sz="4" w:space="0"/>
                  </w:tcBorders>
                  <w:vAlign w:val="center"/>
                </w:tcPr>
                <w:p w14:paraId="4D38DC30">
                  <w:pPr>
                    <w:spacing w:line="240" w:lineRule="auto"/>
                    <w:ind w:left="0" w:leftChars="0" w:firstLine="0" w:firstLineChars="0"/>
                    <w:jc w:val="cente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项目区及周边200m</w:t>
                  </w:r>
                </w:p>
                <w:p w14:paraId="14751F1D">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eastAsia"/>
                      <w:color w:val="000000" w:themeColor="text1"/>
                      <w:sz w:val="21"/>
                      <w:szCs w:val="21"/>
                      <w14:textFill>
                        <w14:solidFill>
                          <w14:schemeClr w14:val="tx1"/>
                        </w14:solidFill>
                      </w14:textFill>
                    </w:rPr>
                    <w:t>范围内</w:t>
                  </w:r>
                </w:p>
              </w:tc>
              <w:tc>
                <w:tcPr>
                  <w:tcW w:w="2912" w:type="dxa"/>
                  <w:tcBorders>
                    <w:top w:val="single" w:color="auto" w:sz="4" w:space="0"/>
                    <w:left w:val="single" w:color="auto" w:sz="4" w:space="0"/>
                  </w:tcBorders>
                  <w:vAlign w:val="center"/>
                </w:tcPr>
                <w:p w14:paraId="71114ED9">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将对地表植被和土壤的破坏</w:t>
                  </w:r>
                </w:p>
                <w:p w14:paraId="54994088">
                  <w:pPr>
                    <w:spacing w:line="240" w:lineRule="auto"/>
                    <w:ind w:left="0" w:leftChars="0" w:firstLine="0" w:firstLineChars="0"/>
                    <w:jc w:val="center"/>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程度降至最低，保证项目区</w:t>
                  </w:r>
                </w:p>
                <w:p w14:paraId="4061C648">
                  <w:pPr>
                    <w:spacing w:line="240" w:lineRule="auto"/>
                    <w:ind w:left="0" w:leftChars="0" w:firstLine="0" w:firstLineChars="0"/>
                    <w:jc w:val="center"/>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default" w:ascii="Times New Roman" w:hAnsi="Times New Roman" w:eastAsia="宋体" w:cs="Times New Roman"/>
                      <w:color w:val="000000" w:themeColor="text1"/>
                      <w:sz w:val="21"/>
                      <w:szCs w:val="21"/>
                      <w14:textFill>
                        <w14:solidFill>
                          <w14:schemeClr w14:val="tx1"/>
                        </w14:solidFill>
                      </w14:textFill>
                    </w:rPr>
                    <w:t>生态系统完整性</w:t>
                  </w:r>
                </w:p>
              </w:tc>
            </w:tr>
          </w:tbl>
          <w:p w14:paraId="3E5C5F78">
            <w:pPr>
              <w:ind w:firstLine="480"/>
              <w:jc w:val="both"/>
              <w:rPr>
                <w:rFonts w:hint="default" w:ascii="Times New Roman" w:hAnsi="Times New Roman" w:eastAsia="宋体" w:cs="Times New Roman"/>
                <w:color w:val="000000" w:themeColor="text1"/>
                <w:sz w:val="24"/>
                <w:szCs w:val="24"/>
                <w:lang w:val="en-US"/>
                <w14:textFill>
                  <w14:solidFill>
                    <w14:schemeClr w14:val="tx1"/>
                  </w14:solidFill>
                </w14:textFill>
              </w:rPr>
            </w:pPr>
            <w:r>
              <w:rPr>
                <w:rFonts w:hint="default" w:ascii="Times New Roman" w:hAnsi="Times New Roman" w:eastAsia="宋体" w:cs="Times New Roman"/>
                <w:color w:val="000000" w:themeColor="text1"/>
                <w:sz w:val="24"/>
                <w:szCs w:val="24"/>
                <w:lang w:val="en-US"/>
                <w14:textFill>
                  <w14:solidFill>
                    <w14:schemeClr w14:val="tx1"/>
                  </w14:solidFill>
                </w14:textFill>
              </w:rPr>
              <w:t>4.调查重点</w:t>
            </w:r>
          </w:p>
          <w:p w14:paraId="056FB175">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结合项目区域环境特征，本次环境保护竣工验收调查工作重点包括：</w:t>
            </w:r>
          </w:p>
          <w:p w14:paraId="4A1A1DEB">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（1）工程情况调查：</w:t>
            </w:r>
          </w:p>
          <w:p w14:paraId="13610288">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工程实际建设内容与环评阶段是否发生重大变动；实际工程内容变动造成环境影响变动情况；实际环保投资情况。</w:t>
            </w:r>
          </w:p>
          <w:p w14:paraId="28523DC2">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（2）生态环境保护措施及影响调查：</w:t>
            </w:r>
          </w:p>
          <w:p w14:paraId="762BAF21">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对项目区植被的影响程度及采取的生态保护与恢复措施效果的调查。</w:t>
            </w:r>
          </w:p>
          <w:p w14:paraId="0CD62AEB">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（4）项目区环境保护措施及影响调查：</w:t>
            </w:r>
          </w:p>
          <w:p w14:paraId="175C9E5D">
            <w:pPr>
              <w:ind w:firstLine="480"/>
              <w:jc w:val="both"/>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对项目施工期废气、废水、噪声、固废</w:t>
            </w:r>
            <w:r>
              <w:rPr>
                <w:rFonts w:hint="eastAsia" w:cs="Times New Roman"/>
                <w:color w:val="000000" w:themeColor="text1"/>
                <w:sz w:val="24"/>
                <w:szCs w:val="24"/>
                <w:lang w:val="en-US" w:eastAsia="zh-CN"/>
                <w14:textFill>
                  <w14:solidFill>
                    <w14:schemeClr w14:val="tx1"/>
                  </w14:solidFill>
                </w14:textFill>
              </w:rPr>
              <w:t>以及运营期废水、固废</w:t>
            </w:r>
            <w:r>
              <w:rPr>
                <w:rFonts w:hint="default" w:ascii="Times New Roman" w:hAnsi="Times New Roman" w:eastAsia="宋体" w:cs="Times New Roman"/>
                <w:color w:val="000000" w:themeColor="text1"/>
                <w:sz w:val="24"/>
                <w:szCs w:val="24"/>
                <w14:textFill>
                  <w14:solidFill>
                    <w14:schemeClr w14:val="tx1"/>
                  </w14:solidFill>
                </w14:textFill>
              </w:rPr>
              <w:t>的产生、排放情况及采取的防治措施的效果进行调查。</w:t>
            </w:r>
          </w:p>
          <w:p w14:paraId="4EA8D1FE">
            <w:pPr>
              <w:pStyle w:val="2"/>
              <w:rPr>
                <w:color w:val="FF0000"/>
              </w:rPr>
            </w:pPr>
          </w:p>
          <w:p w14:paraId="7F5751BA">
            <w:pPr>
              <w:pStyle w:val="2"/>
              <w:rPr>
                <w:color w:val="FF0000"/>
              </w:rPr>
            </w:pPr>
          </w:p>
          <w:p w14:paraId="24536F77">
            <w:pPr>
              <w:pStyle w:val="2"/>
              <w:rPr>
                <w:color w:val="FF0000"/>
              </w:rPr>
            </w:pPr>
          </w:p>
          <w:p w14:paraId="14FD9138">
            <w:pPr>
              <w:pStyle w:val="2"/>
              <w:rPr>
                <w:color w:val="FF0000"/>
              </w:rPr>
            </w:pPr>
          </w:p>
          <w:p w14:paraId="1DD22A40">
            <w:pPr>
              <w:pStyle w:val="2"/>
              <w:rPr>
                <w:color w:val="FF0000"/>
              </w:rPr>
            </w:pPr>
          </w:p>
          <w:p w14:paraId="3FAD8E86">
            <w:pPr>
              <w:pStyle w:val="2"/>
              <w:rPr>
                <w:color w:val="FF0000"/>
              </w:rPr>
            </w:pPr>
          </w:p>
          <w:p w14:paraId="36103283">
            <w:pPr>
              <w:pStyle w:val="2"/>
              <w:rPr>
                <w:color w:val="FF0000"/>
              </w:rPr>
            </w:pPr>
          </w:p>
          <w:p w14:paraId="40E1F2F0">
            <w:pPr>
              <w:pStyle w:val="2"/>
              <w:rPr>
                <w:color w:val="FF0000"/>
              </w:rPr>
            </w:pPr>
          </w:p>
          <w:p w14:paraId="3FAA44A9">
            <w:pPr>
              <w:pStyle w:val="2"/>
              <w:rPr>
                <w:color w:val="FF0000"/>
              </w:rPr>
            </w:pPr>
          </w:p>
          <w:p w14:paraId="3D9B5B84">
            <w:pPr>
              <w:pStyle w:val="2"/>
              <w:rPr>
                <w:color w:val="FF0000"/>
              </w:rPr>
            </w:pPr>
          </w:p>
          <w:p w14:paraId="6C3E5F06">
            <w:pPr>
              <w:pStyle w:val="2"/>
              <w:rPr>
                <w:color w:val="FF0000"/>
              </w:rPr>
            </w:pPr>
          </w:p>
          <w:p w14:paraId="6410B8A7">
            <w:pPr>
              <w:pStyle w:val="2"/>
              <w:rPr>
                <w:color w:val="FF0000"/>
              </w:rPr>
            </w:pPr>
          </w:p>
          <w:p w14:paraId="4FC1A95C">
            <w:pPr>
              <w:pStyle w:val="2"/>
              <w:rPr>
                <w:color w:val="FF0000"/>
              </w:rPr>
            </w:pPr>
          </w:p>
          <w:p w14:paraId="7807FE86">
            <w:pPr>
              <w:pStyle w:val="2"/>
              <w:rPr>
                <w:color w:val="FF0000"/>
              </w:rPr>
            </w:pPr>
          </w:p>
          <w:p w14:paraId="3F85B0AF">
            <w:pPr>
              <w:pStyle w:val="2"/>
              <w:rPr>
                <w:color w:val="FF0000"/>
              </w:rPr>
            </w:pPr>
          </w:p>
          <w:p w14:paraId="6F0C7541">
            <w:pPr>
              <w:pStyle w:val="2"/>
              <w:rPr>
                <w:color w:val="FF0000"/>
              </w:rPr>
            </w:pPr>
          </w:p>
          <w:p w14:paraId="5475DF1A">
            <w:pPr>
              <w:pStyle w:val="2"/>
              <w:rPr>
                <w:color w:val="FF0000"/>
              </w:rPr>
            </w:pPr>
          </w:p>
          <w:p w14:paraId="2FB1DBC9">
            <w:pPr>
              <w:pStyle w:val="2"/>
              <w:rPr>
                <w:color w:val="FF0000"/>
              </w:rPr>
            </w:pPr>
          </w:p>
          <w:p w14:paraId="5016792A">
            <w:pPr>
              <w:pStyle w:val="2"/>
              <w:rPr>
                <w:color w:val="FF0000"/>
                <w:lang w:val="en-US"/>
              </w:rPr>
            </w:pPr>
          </w:p>
        </w:tc>
      </w:tr>
    </w:tbl>
    <w:p w14:paraId="731C057D">
      <w:pPr>
        <w:ind w:firstLine="480"/>
        <w:rPr>
          <w:color w:val="FF0000"/>
        </w:rPr>
        <w:sectPr>
          <w:pgSz w:w="11910" w:h="16840"/>
          <w:pgMar w:top="1440" w:right="1800" w:bottom="1440" w:left="1800" w:header="0" w:footer="685" w:gutter="0"/>
          <w:cols w:space="720" w:num="1"/>
        </w:sectPr>
      </w:pPr>
    </w:p>
    <w:p w14:paraId="5DD391CA">
      <w:pPr>
        <w:pStyle w:val="6"/>
        <w:ind w:firstLine="560"/>
        <w:rPr>
          <w:rFonts w:ascii="Times New Roman" w:hAnsi="Times New Roman"/>
          <w:color w:val="000000" w:themeColor="text1"/>
          <w:sz w:val="32"/>
          <w:szCs w:val="32"/>
          <w14:textFill>
            <w14:solidFill>
              <w14:schemeClr w14:val="tx1"/>
            </w14:solidFill>
          </w14:textFill>
        </w:rPr>
      </w:pPr>
      <w:r>
        <w:rPr>
          <w:rFonts w:hint="eastAsia" w:ascii="Times New Roman" w:hAnsi="Times New Roman"/>
          <w:color w:val="000000" w:themeColor="text1"/>
          <w:sz w:val="28"/>
          <w:szCs w:val="28"/>
          <w14:textFill>
            <w14:solidFill>
              <w14:schemeClr w14:val="tx1"/>
            </w14:solidFill>
          </w14:textFill>
        </w:rPr>
        <w:t>表四</w:t>
      </w:r>
    </w:p>
    <w:tbl>
      <w:tblPr>
        <w:tblStyle w:val="12"/>
        <w:tblW w:w="8685"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85"/>
      </w:tblGrid>
      <w:tr w14:paraId="2ECE3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5" w:hRule="atLeast"/>
        </w:trPr>
        <w:tc>
          <w:tcPr>
            <w:tcW w:w="8685" w:type="dxa"/>
          </w:tcPr>
          <w:p w14:paraId="0F1A8D13">
            <w:pPr>
              <w:pStyle w:val="16"/>
              <w:spacing w:before="49"/>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验收调查工况：</w:t>
            </w:r>
          </w:p>
          <w:p w14:paraId="7C930B50">
            <w:pPr>
              <w:pStyle w:val="16"/>
              <w:tabs>
                <w:tab w:val="left" w:pos="7920"/>
              </w:tabs>
              <w:spacing w:before="49"/>
              <w:ind w:firstLine="480"/>
              <w:rPr>
                <w:b/>
                <w:bCs/>
                <w:color w:val="000000" w:themeColor="text1"/>
                <w14:textFill>
                  <w14:solidFill>
                    <w14:schemeClr w14:val="tx1"/>
                  </w14:solidFill>
                </w14:textFill>
              </w:rPr>
            </w:pPr>
            <w:r>
              <w:rPr>
                <w:rFonts w:hint="eastAsia"/>
                <w:color w:val="000000" w:themeColor="text1"/>
                <w14:textFill>
                  <w14:solidFill>
                    <w14:schemeClr w14:val="tx1"/>
                  </w14:solidFill>
                </w14:textFill>
              </w:rPr>
              <w:t>本项目为</w:t>
            </w:r>
            <w:r>
              <w:rPr>
                <w:rFonts w:hint="eastAsia"/>
                <w:color w:val="000000" w:themeColor="text1"/>
                <w:lang w:val="en-US" w:eastAsia="zh-CN"/>
                <w14:textFill>
                  <w14:solidFill>
                    <w14:schemeClr w14:val="tx1"/>
                  </w14:solidFill>
                </w14:textFill>
              </w:rPr>
              <w:t>太阳能光伏发电储能、牧光互补项目</w:t>
            </w:r>
            <w:r>
              <w:rPr>
                <w:rFonts w:hint="eastAsia"/>
                <w:color w:val="000000" w:themeColor="text1"/>
                <w14:textFill>
                  <w14:solidFill>
                    <w14:schemeClr w14:val="tx1"/>
                  </w14:solidFill>
                </w14:textFill>
              </w:rPr>
              <w:t>，验收调查期间主体工程已建设完成并正常运行，</w:t>
            </w:r>
            <w:r>
              <w:rPr>
                <w:rFonts w:hint="eastAsia" w:cs="Times New Roman"/>
                <w:color w:val="000000" w:themeColor="text1"/>
                <w:sz w:val="24"/>
                <w:szCs w:val="24"/>
                <w:lang w:eastAsia="zh-CN"/>
                <w14:textFill>
                  <w14:solidFill>
                    <w14:schemeClr w14:val="tx1"/>
                  </w14:solidFill>
                </w14:textFill>
              </w:rPr>
              <w:t>经现场调查，施工影响区域已</w:t>
            </w:r>
            <w:r>
              <w:rPr>
                <w:rFonts w:hint="default" w:cs="Times New Roman"/>
                <w:color w:val="000000" w:themeColor="text1"/>
                <w:sz w:val="24"/>
                <w:szCs w:val="24"/>
                <w:lang w:eastAsia="zh-CN"/>
                <w14:textFill>
                  <w14:solidFill>
                    <w14:schemeClr w14:val="tx1"/>
                  </w14:solidFill>
                </w14:textFill>
              </w:rPr>
              <w:t>进行场地平整、表土覆盖与</w:t>
            </w:r>
            <w:r>
              <w:rPr>
                <w:rFonts w:hint="eastAsia" w:cs="Times New Roman"/>
                <w:color w:val="000000" w:themeColor="text1"/>
                <w:sz w:val="24"/>
                <w:szCs w:val="24"/>
                <w:lang w:eastAsia="zh-CN"/>
                <w14:textFill>
                  <w14:solidFill>
                    <w14:schemeClr w14:val="tx1"/>
                  </w14:solidFill>
                </w14:textFill>
              </w:rPr>
              <w:t>草种播撒。废水、废气、噪声、固废等环保措施执行效果较好，</w:t>
            </w:r>
            <w:r>
              <w:rPr>
                <w:rFonts w:hint="default" w:ascii="Times New Roman" w:hAnsi="Times New Roman" w:eastAsia="宋体" w:cs="Times New Roman"/>
                <w:color w:val="000000" w:themeColor="text1"/>
                <w:sz w:val="24"/>
                <w:szCs w:val="24"/>
                <w:lang w:eastAsia="zh-CN"/>
                <w14:textFill>
                  <w14:solidFill>
                    <w14:schemeClr w14:val="tx1"/>
                  </w14:solidFill>
                </w14:textFill>
              </w:rPr>
              <w:t>满足</w:t>
            </w:r>
            <w:r>
              <w:rPr>
                <w:rFonts w:hint="eastAsia" w:ascii="Times New Roman" w:hAnsi="Times New Roman" w:cs="Times New Roman"/>
                <w:color w:val="000000" w:themeColor="text1"/>
                <w:sz w:val="24"/>
                <w:szCs w:val="24"/>
                <w:lang w:eastAsia="zh-CN"/>
                <w14:textFill>
                  <w14:solidFill>
                    <w14:schemeClr w14:val="tx1"/>
                  </w14:solidFill>
                </w14:textFill>
              </w:rPr>
              <w:t>本次竣工</w:t>
            </w:r>
            <w:r>
              <w:rPr>
                <w:rFonts w:hint="default" w:ascii="Times New Roman" w:hAnsi="Times New Roman" w:eastAsia="宋体" w:cs="Times New Roman"/>
                <w:color w:val="000000" w:themeColor="text1"/>
                <w:sz w:val="24"/>
                <w:szCs w:val="24"/>
                <w:lang w:eastAsia="zh-CN"/>
                <w14:textFill>
                  <w14:solidFill>
                    <w14:schemeClr w14:val="tx1"/>
                  </w14:solidFill>
                </w14:textFill>
              </w:rPr>
              <w:t>验收要求</w:t>
            </w:r>
            <w:r>
              <w:rPr>
                <w:rFonts w:cs="Times New Roman"/>
                <w:color w:val="000000" w:themeColor="text1"/>
                <w:szCs w:val="24"/>
                <w14:textFill>
                  <w14:solidFill>
                    <w14:schemeClr w14:val="tx1"/>
                  </w14:solidFill>
                </w14:textFill>
              </w:rPr>
              <w:t>。</w:t>
            </w:r>
          </w:p>
        </w:tc>
      </w:tr>
      <w:tr w14:paraId="455DB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8685" w:type="dxa"/>
          </w:tcPr>
          <w:p w14:paraId="444FEFFC">
            <w:pPr>
              <w:pStyle w:val="16"/>
              <w:spacing w:before="47"/>
              <w:ind w:firstLine="480"/>
              <w:jc w:val="both"/>
              <w:rPr>
                <w:color w:val="000000" w:themeColor="text1"/>
                <w14:textFill>
                  <w14:solidFill>
                    <w14:schemeClr w14:val="tx1"/>
                  </w14:solidFill>
                </w14:textFill>
              </w:rPr>
            </w:pPr>
            <w:r>
              <w:rPr>
                <w:color w:val="000000" w:themeColor="text1"/>
                <w14:textFill>
                  <w14:solidFill>
                    <w14:schemeClr w14:val="tx1"/>
                  </w14:solidFill>
                </w14:textFill>
              </w:rPr>
              <w:t>生态保护工程和设施实施运行效果调查：</w:t>
            </w:r>
          </w:p>
          <w:p w14:paraId="0A4DCCB2">
            <w:pPr>
              <w:keepNext w:val="0"/>
              <w:keepLines w:val="0"/>
              <w:pageBreakBefore w:val="0"/>
              <w:widowControl w:val="0"/>
              <w:numPr>
                <w:ilvl w:val="0"/>
                <w:numId w:val="1"/>
              </w:numPr>
              <w:kinsoku/>
              <w:wordWrap/>
              <w:overflowPunct/>
              <w:topLinePunct w:val="0"/>
              <w:autoSpaceDE w:val="0"/>
              <w:autoSpaceDN w:val="0"/>
              <w:bidi w:val="0"/>
              <w:adjustRightInd/>
              <w:snapToGrid/>
              <w:ind w:left="48" w:leftChars="20" w:right="48" w:rightChars="20" w:firstLine="480"/>
              <w:jc w:val="both"/>
              <w:textAlignment w:val="auto"/>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对土地占用</w:t>
            </w:r>
            <w:r>
              <w:rPr>
                <w:rFonts w:hint="eastAsia"/>
                <w:color w:val="000000" w:themeColor="text1"/>
                <w14:textFill>
                  <w14:solidFill>
                    <w14:schemeClr w14:val="tx1"/>
                  </w14:solidFill>
                </w14:textFill>
              </w:rPr>
              <w:t>影响调查：</w:t>
            </w:r>
            <w:r>
              <w:rPr>
                <w:rFonts w:hint="eastAsia"/>
                <w:color w:val="000000" w:themeColor="text1"/>
                <w:lang w:eastAsia="zh-CN"/>
                <w14:textFill>
                  <w14:solidFill>
                    <w14:schemeClr w14:val="tx1"/>
                  </w14:solidFill>
                </w14:textFill>
              </w:rPr>
              <w:t>经</w:t>
            </w:r>
            <w:r>
              <w:rPr>
                <w:rFonts w:hint="eastAsia" w:ascii="Times New Roman" w:hAnsi="Times New Roman" w:eastAsia="宋体" w:cs="宋体"/>
                <w:color w:val="000000" w:themeColor="text1"/>
                <w:sz w:val="24"/>
                <w:szCs w:val="22"/>
                <w:lang w:val="zh-CN" w:eastAsia="zh-CN" w:bidi="zh-CN"/>
                <w14:textFill>
                  <w14:solidFill>
                    <w14:schemeClr w14:val="tx1"/>
                  </w14:solidFill>
                </w14:textFill>
              </w:rPr>
              <w:t>现场调查，</w:t>
            </w:r>
            <w:r>
              <w:rPr>
                <w:rFonts w:hint="eastAsia" w:cs="宋体"/>
                <w:color w:val="000000" w:themeColor="text1"/>
                <w:sz w:val="24"/>
                <w:szCs w:val="22"/>
                <w:lang w:val="zh-CN" w:eastAsia="zh-CN" w:bidi="zh-CN"/>
                <w14:textFill>
                  <w14:solidFill>
                    <w14:schemeClr w14:val="tx1"/>
                  </w14:solidFill>
                </w14:textFill>
              </w:rPr>
              <w:t>施工结束后已拆除施工营地，临时道路已改成场区进场道路和检修道路，并对临时占地进行了地貌平整和植被恢复，施工临时占地已恢复原有地貌。</w:t>
            </w:r>
          </w:p>
          <w:p w14:paraId="61893A97">
            <w:pPr>
              <w:keepNext w:val="0"/>
              <w:keepLines w:val="0"/>
              <w:pageBreakBefore w:val="0"/>
              <w:widowControl w:val="0"/>
              <w:numPr>
                <w:ilvl w:val="0"/>
                <w:numId w:val="0"/>
              </w:numPr>
              <w:kinsoku/>
              <w:wordWrap/>
              <w:overflowPunct/>
              <w:topLinePunct w:val="0"/>
              <w:autoSpaceDE w:val="0"/>
              <w:autoSpaceDN w:val="0"/>
              <w:bidi w:val="0"/>
              <w:adjustRightInd/>
              <w:snapToGrid/>
              <w:ind w:left="48" w:leftChars="20" w:right="48" w:rightChars="20" w:firstLine="480" w:firstLineChars="200"/>
              <w:textAlignment w:val="auto"/>
              <w:rPr>
                <w:rFonts w:hint="eastAsia"/>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2</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土地占用和施工</w:t>
            </w:r>
            <w:r>
              <w:rPr>
                <w:rFonts w:hint="eastAsia"/>
                <w:color w:val="000000" w:themeColor="text1"/>
                <w:lang w:eastAsia="zh-CN"/>
                <w14:textFill>
                  <w14:solidFill>
                    <w14:schemeClr w14:val="tx1"/>
                  </w14:solidFill>
                </w14:textFill>
              </w:rPr>
              <w:t>开挖</w:t>
            </w:r>
            <w:r>
              <w:rPr>
                <w:rFonts w:hint="eastAsia"/>
                <w:color w:val="000000" w:themeColor="text1"/>
                <w14:textFill>
                  <w14:solidFill>
                    <w14:schemeClr w14:val="tx1"/>
                  </w14:solidFill>
                </w14:textFill>
              </w:rPr>
              <w:t>对</w:t>
            </w:r>
            <w:r>
              <w:rPr>
                <w:rFonts w:hint="eastAsia"/>
                <w:color w:val="000000" w:themeColor="text1"/>
                <w:lang w:eastAsia="zh-CN"/>
                <w14:textFill>
                  <w14:solidFill>
                    <w14:schemeClr w14:val="tx1"/>
                  </w14:solidFill>
                </w14:textFill>
              </w:rPr>
              <w:t>植物</w:t>
            </w:r>
            <w:r>
              <w:rPr>
                <w:rFonts w:hint="eastAsia"/>
                <w:color w:val="000000" w:themeColor="text1"/>
                <w14:textFill>
                  <w14:solidFill>
                    <w14:schemeClr w14:val="tx1"/>
                  </w14:solidFill>
                </w14:textFill>
              </w:rPr>
              <w:t>的影响：</w:t>
            </w:r>
            <w:r>
              <w:rPr>
                <w:rFonts w:cs="Times New Roman"/>
                <w:color w:val="000000" w:themeColor="text1"/>
                <w:kern w:val="18"/>
                <w:szCs w:val="24"/>
                <w:lang w:val="en-US" w:bidi="ar-SA"/>
                <w14:textFill>
                  <w14:solidFill>
                    <w14:schemeClr w14:val="tx1"/>
                  </w14:solidFill>
                </w14:textFill>
              </w:rPr>
              <w:t>本项目</w:t>
            </w:r>
            <w:r>
              <w:rPr>
                <w:rFonts w:hint="eastAsia" w:ascii="Times New Roman" w:hAnsi="Times New Roman" w:eastAsia="宋体" w:cs="宋体"/>
                <w:color w:val="000000" w:themeColor="text1"/>
                <w:kern w:val="0"/>
                <w:sz w:val="24"/>
                <w:szCs w:val="22"/>
                <w:lang w:val="en-US" w:eastAsia="zh-CN" w:bidi="zh-CN"/>
                <w14:textFill>
                  <w14:solidFill>
                    <w14:schemeClr w14:val="tx1"/>
                  </w14:solidFill>
                </w14:textFill>
              </w:rPr>
              <w:t>施工区内无重点保护野生植物，施工区对地表植被的影响主要表现在施工临时占地和永久占</w:t>
            </w:r>
            <w:r>
              <w:rPr>
                <w:rFonts w:hint="eastAsia"/>
                <w:color w:val="000000" w:themeColor="text1"/>
                <w:lang w:val="en-US" w:eastAsia="zh-CN"/>
                <w14:textFill>
                  <w14:solidFill>
                    <w14:schemeClr w14:val="tx1"/>
                  </w14:solidFill>
                </w14:textFill>
              </w:rPr>
              <w:t>地对地表植被的破坏。项目区植被主要以多年生植物为主。目前施工扰动区域已进行填埋、压实，并种植植被，加之施工期较短，所以项目施工对区域植被多样性和植被分布影响较小。</w:t>
            </w:r>
          </w:p>
          <w:tbl>
            <w:tblPr>
              <w:tblStyle w:val="13"/>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9"/>
              <w:gridCol w:w="4270"/>
            </w:tblGrid>
            <w:tr w14:paraId="7CF3E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6" w:hRule="atLeast"/>
                <w:jc w:val="center"/>
              </w:trPr>
              <w:tc>
                <w:tcPr>
                  <w:tcW w:w="4269" w:type="dxa"/>
                </w:tcPr>
                <w:p w14:paraId="60E6741A">
                  <w:pPr>
                    <w:pStyle w:val="2"/>
                    <w:ind w:left="72" w:leftChars="0" w:hanging="72" w:hangingChars="30"/>
                    <w:jc w:val="both"/>
                    <w:rPr>
                      <w:rFonts w:hint="eastAsia" w:eastAsia="宋体"/>
                      <w:vertAlign w:val="baseline"/>
                      <w:lang w:val="en-US" w:eastAsia="zh-CN"/>
                    </w:rPr>
                  </w:pPr>
                  <w:r>
                    <w:rPr>
                      <w:rFonts w:hint="eastAsia" w:eastAsia="宋体"/>
                      <w:vertAlign w:val="baseline"/>
                      <w:lang w:val="en-US" w:eastAsia="zh-CN"/>
                    </w:rPr>
                    <w:drawing>
                      <wp:inline distT="0" distB="0" distL="114300" distR="114300">
                        <wp:extent cx="2564130" cy="1923415"/>
                        <wp:effectExtent l="0" t="0" r="7620" b="635"/>
                        <wp:docPr id="4" name="图片 4" descr="DJI_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JI_0042"/>
                                <pic:cNvPicPr>
                                  <a:picLocks noChangeAspect="1"/>
                                </pic:cNvPicPr>
                              </pic:nvPicPr>
                              <pic:blipFill>
                                <a:blip r:embed="rId27"/>
                                <a:stretch>
                                  <a:fillRect/>
                                </a:stretch>
                              </pic:blipFill>
                              <pic:spPr>
                                <a:xfrm>
                                  <a:off x="0" y="0"/>
                                  <a:ext cx="2564130" cy="1923415"/>
                                </a:xfrm>
                                <a:prstGeom prst="rect">
                                  <a:avLst/>
                                </a:prstGeom>
                              </pic:spPr>
                            </pic:pic>
                          </a:graphicData>
                        </a:graphic>
                      </wp:inline>
                    </w:drawing>
                  </w:r>
                </w:p>
              </w:tc>
              <w:tc>
                <w:tcPr>
                  <w:tcW w:w="4270" w:type="dxa"/>
                </w:tcPr>
                <w:p w14:paraId="76846E1F">
                  <w:pPr>
                    <w:pStyle w:val="2"/>
                    <w:ind w:left="72" w:leftChars="0" w:hanging="72" w:hangingChars="30"/>
                    <w:jc w:val="both"/>
                    <w:rPr>
                      <w:rFonts w:hint="eastAsia" w:eastAsia="宋体"/>
                      <w:vertAlign w:val="baseline"/>
                      <w:lang w:val="en-US" w:eastAsia="zh-CN"/>
                    </w:rPr>
                  </w:pPr>
                  <w:r>
                    <w:rPr>
                      <w:rFonts w:hint="eastAsia" w:eastAsia="宋体"/>
                      <w:vertAlign w:val="baseline"/>
                      <w:lang w:val="en-US" w:eastAsia="zh-CN"/>
                    </w:rPr>
                    <w:drawing>
                      <wp:inline distT="0" distB="0" distL="114300" distR="114300">
                        <wp:extent cx="2532380" cy="1899285"/>
                        <wp:effectExtent l="0" t="0" r="1270" b="5715"/>
                        <wp:docPr id="5" name="图片 5" descr="DJI_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JI_0056"/>
                                <pic:cNvPicPr>
                                  <a:picLocks noChangeAspect="1"/>
                                </pic:cNvPicPr>
                              </pic:nvPicPr>
                              <pic:blipFill>
                                <a:blip r:embed="rId28"/>
                                <a:stretch>
                                  <a:fillRect/>
                                </a:stretch>
                              </pic:blipFill>
                              <pic:spPr>
                                <a:xfrm>
                                  <a:off x="0" y="0"/>
                                  <a:ext cx="2532380" cy="1899285"/>
                                </a:xfrm>
                                <a:prstGeom prst="rect">
                                  <a:avLst/>
                                </a:prstGeom>
                              </pic:spPr>
                            </pic:pic>
                          </a:graphicData>
                        </a:graphic>
                      </wp:inline>
                    </w:drawing>
                  </w:r>
                </w:p>
              </w:tc>
            </w:tr>
            <w:tr w14:paraId="1ABBF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539" w:type="dxa"/>
                  <w:gridSpan w:val="2"/>
                </w:tcPr>
                <w:p w14:paraId="53A5F388">
                  <w:pPr>
                    <w:pStyle w:val="2"/>
                    <w:ind w:left="0" w:leftChars="0" w:firstLine="0" w:firstLineChars="0"/>
                    <w:jc w:val="center"/>
                    <w:rPr>
                      <w:rFonts w:hint="default" w:eastAsia="宋体"/>
                      <w:vertAlign w:val="baseline"/>
                      <w:lang w:val="en-US" w:eastAsia="zh-CN"/>
                    </w:rPr>
                  </w:pPr>
                  <w:r>
                    <w:rPr>
                      <w:rFonts w:hint="eastAsia"/>
                      <w:vertAlign w:val="baseline"/>
                      <w:lang w:val="en-US" w:eastAsia="zh-CN"/>
                    </w:rPr>
                    <w:t>植被、地貌恢复</w:t>
                  </w:r>
                </w:p>
              </w:tc>
            </w:tr>
          </w:tbl>
          <w:p w14:paraId="7928C54B">
            <w:pPr>
              <w:pStyle w:val="2"/>
              <w:rPr>
                <w:lang w:val="en-US"/>
              </w:rPr>
            </w:pPr>
          </w:p>
        </w:tc>
      </w:tr>
      <w:tr w14:paraId="42BA9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8685" w:type="dxa"/>
          </w:tcPr>
          <w:p w14:paraId="4B14C5C2">
            <w:pPr>
              <w:pStyle w:val="16"/>
              <w:spacing w:before="50"/>
              <w:ind w:firstLine="482"/>
              <w:jc w:val="both"/>
              <w:rPr>
                <w:b/>
                <w:bCs/>
                <w:color w:val="000000" w:themeColor="text1"/>
                <w14:textFill>
                  <w14:solidFill>
                    <w14:schemeClr w14:val="tx1"/>
                  </w14:solidFill>
                </w14:textFill>
              </w:rPr>
            </w:pPr>
            <w:r>
              <w:rPr>
                <w:b/>
                <w:bCs/>
                <w:color w:val="000000" w:themeColor="text1"/>
                <w14:textFill>
                  <w14:solidFill>
                    <w14:schemeClr w14:val="tx1"/>
                  </w14:solidFill>
                </w14:textFill>
              </w:rPr>
              <w:t>污染防治和处置设施效果监测：</w:t>
            </w:r>
          </w:p>
          <w:p w14:paraId="1F8EA5B6">
            <w:pPr>
              <w:ind w:firstLine="480"/>
              <w:jc w:val="both"/>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1、施工期</w:t>
            </w:r>
          </w:p>
          <w:p w14:paraId="19E5AA7D">
            <w:pPr>
              <w:ind w:firstLine="480"/>
              <w:jc w:val="both"/>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（1）</w:t>
            </w:r>
            <w:r>
              <w:rPr>
                <w:rFonts w:hint="eastAsia"/>
                <w:color w:val="000000" w:themeColor="text1"/>
                <w:lang w:val="en-US"/>
                <w14:textFill>
                  <w14:solidFill>
                    <w14:schemeClr w14:val="tx1"/>
                  </w14:solidFill>
                </w14:textFill>
              </w:rPr>
              <w:t>大气环境</w:t>
            </w:r>
          </w:p>
          <w:p w14:paraId="7021E1AE">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根据与生态环境局访谈、沿线调查及施工资料，施工期</w:t>
            </w:r>
            <w:r>
              <w:rPr>
                <w:rFonts w:hint="eastAsia"/>
                <w:color w:val="000000" w:themeColor="text1"/>
                <w:lang w:val="en-US" w:eastAsia="zh-CN"/>
                <w14:textFill>
                  <w14:solidFill>
                    <w14:schemeClr w14:val="tx1"/>
                  </w14:solidFill>
                </w14:textFill>
              </w:rPr>
              <w:t>废气</w:t>
            </w:r>
            <w:r>
              <w:rPr>
                <w:rFonts w:hint="eastAsia"/>
                <w:color w:val="000000" w:themeColor="text1"/>
                <w14:textFill>
                  <w14:solidFill>
                    <w14:schemeClr w14:val="tx1"/>
                  </w14:solidFill>
                </w14:textFill>
              </w:rPr>
              <w:t>处理措施较完善，调查时未发现有居民投诉大气污染事件。</w:t>
            </w:r>
          </w:p>
          <w:p w14:paraId="50295E86">
            <w:pPr>
              <w:ind w:firstLine="480"/>
              <w:jc w:val="both"/>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（2）</w:t>
            </w:r>
            <w:r>
              <w:rPr>
                <w:rFonts w:hint="eastAsia"/>
                <w:color w:val="000000" w:themeColor="text1"/>
                <w:lang w:val="en-US"/>
                <w14:textFill>
                  <w14:solidFill>
                    <w14:schemeClr w14:val="tx1"/>
                  </w14:solidFill>
                </w14:textFill>
              </w:rPr>
              <w:t>水环境</w:t>
            </w:r>
          </w:p>
          <w:p w14:paraId="3025C361">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根据与生态环境局访谈、沿线调查及施工资料，施工期废水处理措施较完善，调查时未发现废水漫流、乱排现象。</w:t>
            </w:r>
          </w:p>
          <w:p w14:paraId="02BB5706">
            <w:pPr>
              <w:ind w:firstLine="480"/>
              <w:jc w:val="both"/>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（3）</w:t>
            </w:r>
            <w:r>
              <w:rPr>
                <w:rFonts w:hint="eastAsia"/>
                <w:color w:val="000000" w:themeColor="text1"/>
                <w:lang w:val="en-US"/>
                <w14:textFill>
                  <w14:solidFill>
                    <w14:schemeClr w14:val="tx1"/>
                  </w14:solidFill>
                </w14:textFill>
              </w:rPr>
              <w:t>声环境</w:t>
            </w:r>
          </w:p>
          <w:p w14:paraId="4D65098C">
            <w:pPr>
              <w:ind w:firstLine="48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根据与生态环境局访谈、沿线调查及施工资料，施工期噪声处理措施较完善，调查时未发现有居民投诉事件。</w:t>
            </w:r>
          </w:p>
          <w:p w14:paraId="7B345AC9">
            <w:pPr>
              <w:ind w:firstLine="480"/>
              <w:jc w:val="both"/>
              <w:rPr>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（4）</w:t>
            </w:r>
            <w:r>
              <w:rPr>
                <w:rFonts w:hint="eastAsia"/>
                <w:color w:val="000000" w:themeColor="text1"/>
                <w:lang w:val="en-US"/>
                <w14:textFill>
                  <w14:solidFill>
                    <w14:schemeClr w14:val="tx1"/>
                  </w14:solidFill>
                </w14:textFill>
              </w:rPr>
              <w:t>固体废物</w:t>
            </w:r>
          </w:p>
          <w:p w14:paraId="093380C8">
            <w:pPr>
              <w:pStyle w:val="16"/>
              <w:spacing w:before="50"/>
              <w:ind w:firstLine="480"/>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根据沿线调查及施工资料，施工期固废处理措施较完善，调查时无垃圾乱堆现象。</w:t>
            </w:r>
          </w:p>
          <w:p w14:paraId="1AF7EEC5">
            <w:pPr>
              <w:pStyle w:val="16"/>
              <w:keepNext w:val="0"/>
              <w:keepLines w:val="0"/>
              <w:pageBreakBefore w:val="0"/>
              <w:widowControl w:val="0"/>
              <w:numPr>
                <w:ilvl w:val="0"/>
                <w:numId w:val="2"/>
              </w:numPr>
              <w:kinsoku/>
              <w:wordWrap/>
              <w:overflowPunct/>
              <w:topLinePunct w:val="0"/>
              <w:autoSpaceDE w:val="0"/>
              <w:autoSpaceDN w:val="0"/>
              <w:bidi w:val="0"/>
              <w:adjustRightInd/>
              <w:snapToGrid/>
              <w:spacing w:before="50"/>
              <w:ind w:left="48" w:leftChars="20" w:right="48" w:rightChars="20" w:firstLine="480"/>
              <w:jc w:val="both"/>
              <w:textAlignment w:val="auto"/>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运营期</w:t>
            </w:r>
          </w:p>
          <w:p w14:paraId="7CF84FC6">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（1）水环境</w:t>
            </w:r>
          </w:p>
          <w:p w14:paraId="27D5A8A9">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①光伏组件冲洗废水沿</w:t>
            </w:r>
            <w:r>
              <w:rPr>
                <w:rFonts w:hint="eastAsia" w:ascii="Times New Roman" w:hAnsi="Times New Roman" w:eastAsia="宋体" w:cs="Times New Roman"/>
                <w:color w:val="000000" w:themeColor="text1"/>
                <w:lang w:val="en-US" w:eastAsia="zh-CN"/>
                <w14:textFill>
                  <w14:solidFill>
                    <w14:schemeClr w14:val="tx1"/>
                  </w14:solidFill>
                </w14:textFill>
              </w:rPr>
              <w:t>光伏组件表面落至地面不外排，根据业主提供资料及现场调查</w:t>
            </w:r>
            <w:r>
              <w:rPr>
                <w:rFonts w:hint="eastAsia"/>
                <w:color w:val="000000" w:themeColor="text1"/>
                <w14:textFill>
                  <w14:solidFill>
                    <w14:schemeClr w14:val="tx1"/>
                  </w14:solidFill>
                </w14:textFill>
              </w:rPr>
              <w:t>未发现废水漫流、乱排现象</w:t>
            </w:r>
          </w:p>
          <w:p w14:paraId="785D67F3">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eastAsia"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②职工生活污水经1座15m</w:t>
            </w:r>
            <w:r>
              <w:rPr>
                <w:rFonts w:hint="eastAsia" w:ascii="Times New Roman" w:hAnsi="Times New Roman" w:eastAsia="宋体" w:cs="Times New Roman"/>
                <w:color w:val="000000" w:themeColor="text1"/>
                <w:vertAlign w:val="superscript"/>
                <w:lang w:val="en-US" w:eastAsia="zh-CN"/>
                <w14:textFill>
                  <w14:solidFill>
                    <w14:schemeClr w14:val="tx1"/>
                  </w14:solidFill>
                </w14:textFill>
              </w:rPr>
              <w:t>3</w:t>
            </w:r>
            <w:r>
              <w:rPr>
                <w:rFonts w:hint="eastAsia" w:ascii="Times New Roman" w:hAnsi="Times New Roman" w:eastAsia="宋体" w:cs="Times New Roman"/>
                <w:color w:val="000000" w:themeColor="text1"/>
                <w:lang w:val="en-US" w:eastAsia="zh-CN"/>
                <w14:textFill>
                  <w14:solidFill>
                    <w14:schemeClr w14:val="tx1"/>
                  </w14:solidFill>
                </w14:textFill>
              </w:rPr>
              <w:t>一体化地埋式化粪池处理后由吸粪车拉运至尖扎县污水处理厂进行处置。</w:t>
            </w:r>
          </w:p>
          <w:p w14:paraId="44AA5170">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eastAsia"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（2）固体废物</w:t>
            </w:r>
          </w:p>
          <w:p w14:paraId="61A11F18">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①</w:t>
            </w:r>
            <w:r>
              <w:rPr>
                <w:rFonts w:hint="eastAsia" w:ascii="Times New Roman" w:hAnsi="Times New Roman" w:eastAsia="宋体" w:cs="Times New Roman"/>
                <w:color w:val="000000" w:themeColor="text1"/>
                <w:lang w:val="en-US" w:eastAsia="zh-CN"/>
                <w14:textFill>
                  <w14:solidFill>
                    <w14:schemeClr w14:val="tx1"/>
                  </w14:solidFill>
                </w14:textFill>
              </w:rPr>
              <w:t>生活垃圾经新购置的生活垃圾桶收集后清运至尖扎县垃圾填埋场填埋。</w:t>
            </w:r>
          </w:p>
          <w:p w14:paraId="77D2C522">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eastAsia" w:ascii="Times New Roman" w:hAnsi="Times New Roman" w:eastAsia="宋体" w:cs="Times New Roman"/>
                <w:color w:val="000000" w:themeColor="text1"/>
                <w:lang w:val="en-US" w:eastAsia="zh-CN"/>
                <w14:textFill>
                  <w14:solidFill>
                    <w14:schemeClr w14:val="tx1"/>
                  </w14:solidFill>
                </w14:textFill>
              </w:rPr>
            </w:pPr>
            <w:r>
              <w:rPr>
                <w:rFonts w:hint="default" w:ascii="Times New Roman" w:hAnsi="Times New Roman" w:eastAsia="宋体" w:cs="Times New Roman"/>
                <w:color w:val="000000" w:themeColor="text1"/>
                <w:lang w:val="en-US" w:eastAsia="zh-CN"/>
                <w14:textFill>
                  <w14:solidFill>
                    <w14:schemeClr w14:val="tx1"/>
                  </w14:solidFill>
                </w14:textFill>
              </w:rPr>
              <w:t>②</w:t>
            </w:r>
            <w:r>
              <w:rPr>
                <w:rFonts w:hint="eastAsia" w:ascii="Times New Roman" w:hAnsi="Times New Roman" w:eastAsia="宋体" w:cs="Times New Roman"/>
                <w:color w:val="000000" w:themeColor="text1"/>
                <w:lang w:val="en-US" w:eastAsia="zh-CN"/>
                <w14:textFill>
                  <w14:solidFill>
                    <w14:schemeClr w14:val="tx1"/>
                  </w14:solidFill>
                </w14:textFill>
              </w:rPr>
              <w:t>废旧电子元件经新建的危废暂存间暂存后由电子元件厂商回收</w:t>
            </w:r>
            <w:r>
              <w:rPr>
                <w:rFonts w:hint="eastAsia" w:cs="Times New Roman"/>
                <w:color w:val="000000" w:themeColor="text1"/>
                <w:lang w:val="en-US" w:eastAsia="zh-CN"/>
                <w14:textFill>
                  <w14:solidFill>
                    <w14:schemeClr w14:val="tx1"/>
                  </w14:solidFill>
                </w14:textFill>
              </w:rPr>
              <w:t>，目前未产生废旧电子元件</w:t>
            </w:r>
            <w:r>
              <w:rPr>
                <w:rFonts w:hint="eastAsia" w:ascii="Times New Roman" w:hAnsi="Times New Roman" w:eastAsia="宋体" w:cs="Times New Roman"/>
                <w:color w:val="000000" w:themeColor="text1"/>
                <w:lang w:val="en-US" w:eastAsia="zh-CN"/>
                <w14:textFill>
                  <w14:solidFill>
                    <w14:schemeClr w14:val="tx1"/>
                  </w14:solidFill>
                </w14:textFill>
              </w:rPr>
              <w:t>。</w:t>
            </w:r>
          </w:p>
          <w:p w14:paraId="3D0C486A">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eastAsia"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③废旧、损坏电池使用年限为15年，废弃</w:t>
            </w:r>
            <w:r>
              <w:rPr>
                <w:rFonts w:hint="eastAsia" w:cs="Times New Roman"/>
                <w:color w:val="000000" w:themeColor="text1"/>
                <w:lang w:val="en-US" w:eastAsia="zh-CN"/>
                <w14:textFill>
                  <w14:solidFill>
                    <w14:schemeClr w14:val="tx1"/>
                  </w14:solidFill>
                </w14:textFill>
              </w:rPr>
              <w:t>后</w:t>
            </w:r>
            <w:r>
              <w:rPr>
                <w:rFonts w:hint="eastAsia" w:ascii="Times New Roman" w:hAnsi="Times New Roman" w:eastAsia="宋体" w:cs="Times New Roman"/>
                <w:color w:val="000000" w:themeColor="text1"/>
                <w:lang w:val="en-US" w:eastAsia="zh-CN"/>
                <w14:textFill>
                  <w14:solidFill>
                    <w14:schemeClr w14:val="tx1"/>
                  </w14:solidFill>
                </w14:textFill>
              </w:rPr>
              <w:t>直接交由厂家回收处理</w:t>
            </w:r>
            <w:r>
              <w:rPr>
                <w:rFonts w:hint="eastAsia" w:cs="Times New Roman"/>
                <w:color w:val="000000" w:themeColor="text1"/>
                <w:lang w:val="en-US" w:eastAsia="zh-CN"/>
                <w14:textFill>
                  <w14:solidFill>
                    <w14:schemeClr w14:val="tx1"/>
                  </w14:solidFill>
                </w14:textFill>
              </w:rPr>
              <w:t>，目前未产生</w:t>
            </w:r>
            <w:r>
              <w:rPr>
                <w:rFonts w:hint="eastAsia" w:ascii="Times New Roman" w:hAnsi="Times New Roman" w:eastAsia="宋体" w:cs="Times New Roman"/>
                <w:color w:val="000000" w:themeColor="text1"/>
                <w:lang w:val="en-US" w:eastAsia="zh-CN"/>
                <w14:textFill>
                  <w14:solidFill>
                    <w14:schemeClr w14:val="tx1"/>
                  </w14:solidFill>
                </w14:textFill>
              </w:rPr>
              <w:t>。废旧、损坏电池</w:t>
            </w:r>
          </w:p>
          <w:p w14:paraId="634847C4">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eastAsia"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lang w:val="en-US" w:eastAsia="zh-CN"/>
                <w14:textFill>
                  <w14:solidFill>
                    <w14:schemeClr w14:val="tx1"/>
                  </w14:solidFill>
                </w14:textFill>
              </w:rPr>
              <w:t>④变压器油事故状态及间检修时产生的废变压器油通过事故排油管排入事故油内</w:t>
            </w:r>
            <w:r>
              <w:rPr>
                <w:rFonts w:hint="eastAsia" w:cs="Times New Roman"/>
                <w:color w:val="000000" w:themeColor="text1"/>
                <w:lang w:val="en-US" w:eastAsia="zh-CN"/>
                <w14:textFill>
                  <w14:solidFill>
                    <w14:schemeClr w14:val="tx1"/>
                  </w14:solidFill>
                </w14:textFill>
              </w:rPr>
              <w:t>，目前未产生</w:t>
            </w:r>
            <w:r>
              <w:rPr>
                <w:rFonts w:hint="eastAsia" w:ascii="Times New Roman" w:hAnsi="Times New Roman" w:eastAsia="宋体" w:cs="Times New Roman"/>
                <w:color w:val="000000" w:themeColor="text1"/>
                <w:lang w:val="en-US" w:eastAsia="zh-CN"/>
                <w14:textFill>
                  <w14:solidFill>
                    <w14:schemeClr w14:val="tx1"/>
                  </w14:solidFill>
                </w14:textFill>
              </w:rPr>
              <w:t>变压器油</w:t>
            </w:r>
          </w:p>
          <w:tbl>
            <w:tblPr>
              <w:tblStyle w:val="13"/>
              <w:tblW w:w="8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9"/>
            </w:tblGrid>
            <w:tr w14:paraId="70F3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099" w:type="dxa"/>
                  <w:vAlign w:val="top"/>
                </w:tcPr>
                <w:p w14:paraId="0BA20261">
                  <w:pPr>
                    <w:pStyle w:val="16"/>
                    <w:keepNext w:val="0"/>
                    <w:keepLines w:val="0"/>
                    <w:pageBreakBefore w:val="0"/>
                    <w:widowControl w:val="0"/>
                    <w:numPr>
                      <w:ilvl w:val="0"/>
                      <w:numId w:val="0"/>
                    </w:numPr>
                    <w:tabs>
                      <w:tab w:val="left" w:pos="3600"/>
                    </w:tabs>
                    <w:kinsoku/>
                    <w:wordWrap/>
                    <w:overflowPunct/>
                    <w:topLinePunct w:val="0"/>
                    <w:autoSpaceDE w:val="0"/>
                    <w:autoSpaceDN w:val="0"/>
                    <w:bidi w:val="0"/>
                    <w:adjustRightInd/>
                    <w:snapToGrid/>
                    <w:spacing w:before="50" w:line="360" w:lineRule="auto"/>
                    <w:ind w:right="48" w:rightChars="20"/>
                    <w:jc w:val="center"/>
                    <w:textAlignment w:val="auto"/>
                    <w:rPr>
                      <w:rFonts w:hint="eastAsia" w:ascii="Times New Roman" w:hAnsi="Times New Roman" w:eastAsia="宋体" w:cs="Times New Roman"/>
                      <w:color w:val="000000" w:themeColor="text1"/>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vertAlign w:val="baseline"/>
                      <w:lang w:val="en-US" w:eastAsia="zh-CN"/>
                      <w14:textFill>
                        <w14:solidFill>
                          <w14:schemeClr w14:val="tx1"/>
                        </w14:solidFill>
                      </w14:textFill>
                    </w:rPr>
                    <w:drawing>
                      <wp:inline distT="0" distB="0" distL="114300" distR="114300">
                        <wp:extent cx="4841875" cy="1881505"/>
                        <wp:effectExtent l="0" t="0" r="15875" b="4445"/>
                        <wp:docPr id="11" name="图片 11" descr="d92d1e6d9808ed00bc1592307daf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92d1e6d9808ed00bc1592307daf360"/>
                                <pic:cNvPicPr>
                                  <a:picLocks noChangeAspect="1"/>
                                </pic:cNvPicPr>
                              </pic:nvPicPr>
                              <pic:blipFill>
                                <a:blip r:embed="rId29"/>
                                <a:srcRect l="-100" t="1501" r="4108" b="15294"/>
                                <a:stretch>
                                  <a:fillRect/>
                                </a:stretch>
                              </pic:blipFill>
                              <pic:spPr>
                                <a:xfrm>
                                  <a:off x="0" y="0"/>
                                  <a:ext cx="4841875" cy="1881505"/>
                                </a:xfrm>
                                <a:prstGeom prst="rect">
                                  <a:avLst/>
                                </a:prstGeom>
                              </pic:spPr>
                            </pic:pic>
                          </a:graphicData>
                        </a:graphic>
                      </wp:inline>
                    </w:drawing>
                  </w:r>
                </w:p>
              </w:tc>
            </w:tr>
          </w:tbl>
          <w:p w14:paraId="66FE2B9B">
            <w:pPr>
              <w:pStyle w:val="16"/>
              <w:keepNext w:val="0"/>
              <w:keepLines w:val="0"/>
              <w:pageBreakBefore w:val="0"/>
              <w:widowControl w:val="0"/>
              <w:numPr>
                <w:ilvl w:val="0"/>
                <w:numId w:val="0"/>
              </w:numPr>
              <w:kinsoku/>
              <w:wordWrap/>
              <w:overflowPunct/>
              <w:topLinePunct w:val="0"/>
              <w:autoSpaceDE w:val="0"/>
              <w:autoSpaceDN w:val="0"/>
              <w:bidi w:val="0"/>
              <w:adjustRightInd/>
              <w:snapToGrid/>
              <w:spacing w:before="50" w:line="360" w:lineRule="auto"/>
              <w:ind w:left="48" w:leftChars="20" w:right="48" w:rightChars="20" w:firstLine="480" w:firstLineChars="200"/>
              <w:jc w:val="both"/>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验收</w:t>
            </w:r>
            <w:r>
              <w:rPr>
                <w:rFonts w:hint="eastAsia" w:ascii="Times New Roman" w:hAnsi="Times New Roman" w:eastAsia="宋体" w:cs="Times New Roman"/>
                <w:color w:val="000000" w:themeColor="text1"/>
                <w:lang w:val="en-US" w:eastAsia="zh-CN"/>
                <w14:textFill>
                  <w14:solidFill>
                    <w14:schemeClr w14:val="tx1"/>
                  </w14:solidFill>
                </w14:textFill>
              </w:rPr>
              <w:t>调查时现场无垃圾</w:t>
            </w:r>
            <w:r>
              <w:rPr>
                <w:rFonts w:hint="eastAsia" w:cs="Times New Roman"/>
                <w:color w:val="000000" w:themeColor="text1"/>
                <w:lang w:val="en-US" w:eastAsia="zh-CN"/>
                <w14:textFill>
                  <w14:solidFill>
                    <w14:schemeClr w14:val="tx1"/>
                  </w14:solidFill>
                </w14:textFill>
              </w:rPr>
              <w:t>乱堆</w:t>
            </w:r>
            <w:r>
              <w:rPr>
                <w:rFonts w:hint="eastAsia" w:ascii="Times New Roman" w:hAnsi="Times New Roman" w:eastAsia="宋体" w:cs="Times New Roman"/>
                <w:color w:val="000000" w:themeColor="text1"/>
                <w:lang w:val="en-US" w:eastAsia="zh-CN"/>
                <w14:textFill>
                  <w14:solidFill>
                    <w14:schemeClr w14:val="tx1"/>
                  </w14:solidFill>
                </w14:textFill>
              </w:rPr>
              <w:t>乱放现象</w:t>
            </w:r>
            <w:r>
              <w:rPr>
                <w:rFonts w:hint="eastAsia" w:cs="Times New Roman"/>
                <w:color w:val="000000" w:themeColor="text1"/>
                <w:lang w:val="en-US" w:eastAsia="zh-CN"/>
                <w14:textFill>
                  <w14:solidFill>
                    <w14:schemeClr w14:val="tx1"/>
                  </w14:solidFill>
                </w14:textFill>
              </w:rPr>
              <w:t>。</w:t>
            </w:r>
          </w:p>
        </w:tc>
      </w:tr>
      <w:tr w14:paraId="212F1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8685" w:type="dxa"/>
          </w:tcPr>
          <w:p w14:paraId="6C014397">
            <w:pPr>
              <w:pStyle w:val="16"/>
              <w:spacing w:before="48"/>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其他环境保护设施效果调查：</w:t>
            </w:r>
          </w:p>
          <w:p w14:paraId="6CA55494">
            <w:pPr>
              <w:ind w:firstLine="480"/>
              <w:rPr>
                <w:rFonts w:hint="eastAsia"/>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无</w:t>
            </w:r>
          </w:p>
          <w:p w14:paraId="7AA81307">
            <w:pPr>
              <w:pStyle w:val="2"/>
              <w:rPr>
                <w:rFonts w:hint="eastAsia"/>
                <w:color w:val="000000" w:themeColor="text1"/>
                <w:lang w:val="en-US"/>
                <w14:textFill>
                  <w14:solidFill>
                    <w14:schemeClr w14:val="tx1"/>
                  </w14:solidFill>
                </w14:textFill>
              </w:rPr>
            </w:pPr>
          </w:p>
          <w:p w14:paraId="5322B03C">
            <w:pPr>
              <w:pStyle w:val="2"/>
              <w:rPr>
                <w:rFonts w:hint="eastAsia"/>
                <w:color w:val="000000" w:themeColor="text1"/>
                <w:lang w:val="en-US"/>
                <w14:textFill>
                  <w14:solidFill>
                    <w14:schemeClr w14:val="tx1"/>
                  </w14:solidFill>
                </w14:textFill>
              </w:rPr>
            </w:pPr>
          </w:p>
          <w:p w14:paraId="517ADA4A">
            <w:pPr>
              <w:pStyle w:val="2"/>
              <w:rPr>
                <w:rFonts w:hint="eastAsia"/>
                <w:color w:val="000000" w:themeColor="text1"/>
                <w:lang w:val="en-US"/>
                <w14:textFill>
                  <w14:solidFill>
                    <w14:schemeClr w14:val="tx1"/>
                  </w14:solidFill>
                </w14:textFill>
              </w:rPr>
            </w:pPr>
          </w:p>
          <w:p w14:paraId="00347792">
            <w:pPr>
              <w:pStyle w:val="2"/>
              <w:rPr>
                <w:rFonts w:hint="eastAsia"/>
                <w:color w:val="000000" w:themeColor="text1"/>
                <w:lang w:val="en-US"/>
                <w14:textFill>
                  <w14:solidFill>
                    <w14:schemeClr w14:val="tx1"/>
                  </w14:solidFill>
                </w14:textFill>
              </w:rPr>
            </w:pPr>
          </w:p>
          <w:p w14:paraId="7AFA4B21">
            <w:pPr>
              <w:pStyle w:val="2"/>
              <w:rPr>
                <w:rFonts w:hint="eastAsia"/>
                <w:color w:val="000000" w:themeColor="text1"/>
                <w:lang w:val="en-US"/>
                <w14:textFill>
                  <w14:solidFill>
                    <w14:schemeClr w14:val="tx1"/>
                  </w14:solidFill>
                </w14:textFill>
              </w:rPr>
            </w:pPr>
          </w:p>
          <w:p w14:paraId="2520D0AA">
            <w:pPr>
              <w:pStyle w:val="2"/>
              <w:rPr>
                <w:rFonts w:hint="eastAsia"/>
                <w:color w:val="000000" w:themeColor="text1"/>
                <w:lang w:val="en-US"/>
                <w14:textFill>
                  <w14:solidFill>
                    <w14:schemeClr w14:val="tx1"/>
                  </w14:solidFill>
                </w14:textFill>
              </w:rPr>
            </w:pPr>
          </w:p>
          <w:p w14:paraId="380B5D78">
            <w:pPr>
              <w:pStyle w:val="2"/>
              <w:rPr>
                <w:rFonts w:hint="eastAsia"/>
                <w:color w:val="000000" w:themeColor="text1"/>
                <w:lang w:val="en-US"/>
                <w14:textFill>
                  <w14:solidFill>
                    <w14:schemeClr w14:val="tx1"/>
                  </w14:solidFill>
                </w14:textFill>
              </w:rPr>
            </w:pPr>
          </w:p>
          <w:p w14:paraId="0F8049CA">
            <w:pPr>
              <w:pStyle w:val="2"/>
              <w:rPr>
                <w:rFonts w:hint="eastAsia"/>
                <w:color w:val="000000" w:themeColor="text1"/>
                <w:lang w:val="en-US"/>
                <w14:textFill>
                  <w14:solidFill>
                    <w14:schemeClr w14:val="tx1"/>
                  </w14:solidFill>
                </w14:textFill>
              </w:rPr>
            </w:pPr>
          </w:p>
          <w:p w14:paraId="420E4ECA">
            <w:pPr>
              <w:pStyle w:val="2"/>
              <w:rPr>
                <w:rFonts w:hint="eastAsia"/>
                <w:color w:val="000000" w:themeColor="text1"/>
                <w:lang w:val="en-US"/>
                <w14:textFill>
                  <w14:solidFill>
                    <w14:schemeClr w14:val="tx1"/>
                  </w14:solidFill>
                </w14:textFill>
              </w:rPr>
            </w:pPr>
          </w:p>
          <w:p w14:paraId="1FE8F528">
            <w:pPr>
              <w:pStyle w:val="2"/>
              <w:rPr>
                <w:rFonts w:hint="eastAsia"/>
                <w:color w:val="000000" w:themeColor="text1"/>
                <w:lang w:val="en-US"/>
                <w14:textFill>
                  <w14:solidFill>
                    <w14:schemeClr w14:val="tx1"/>
                  </w14:solidFill>
                </w14:textFill>
              </w:rPr>
            </w:pPr>
          </w:p>
          <w:p w14:paraId="252E0B34">
            <w:pPr>
              <w:pStyle w:val="2"/>
              <w:rPr>
                <w:rFonts w:hint="eastAsia"/>
                <w:color w:val="000000" w:themeColor="text1"/>
                <w:lang w:val="en-US"/>
                <w14:textFill>
                  <w14:solidFill>
                    <w14:schemeClr w14:val="tx1"/>
                  </w14:solidFill>
                </w14:textFill>
              </w:rPr>
            </w:pPr>
          </w:p>
          <w:p w14:paraId="29E20F86">
            <w:pPr>
              <w:pStyle w:val="2"/>
              <w:rPr>
                <w:rFonts w:hint="eastAsia"/>
                <w:color w:val="000000" w:themeColor="text1"/>
                <w:lang w:val="en-US"/>
                <w14:textFill>
                  <w14:solidFill>
                    <w14:schemeClr w14:val="tx1"/>
                  </w14:solidFill>
                </w14:textFill>
              </w:rPr>
            </w:pPr>
          </w:p>
          <w:p w14:paraId="0DB802D3">
            <w:pPr>
              <w:pStyle w:val="2"/>
              <w:rPr>
                <w:rFonts w:hint="eastAsia"/>
                <w:color w:val="000000" w:themeColor="text1"/>
                <w:lang w:val="en-US"/>
                <w14:textFill>
                  <w14:solidFill>
                    <w14:schemeClr w14:val="tx1"/>
                  </w14:solidFill>
                </w14:textFill>
              </w:rPr>
            </w:pPr>
          </w:p>
          <w:p w14:paraId="6617904C">
            <w:pPr>
              <w:pStyle w:val="2"/>
              <w:rPr>
                <w:rFonts w:hint="eastAsia"/>
                <w:color w:val="000000" w:themeColor="text1"/>
                <w:lang w:val="en-US"/>
                <w14:textFill>
                  <w14:solidFill>
                    <w14:schemeClr w14:val="tx1"/>
                  </w14:solidFill>
                </w14:textFill>
              </w:rPr>
            </w:pPr>
          </w:p>
          <w:p w14:paraId="5F7FCA46">
            <w:pPr>
              <w:pStyle w:val="2"/>
              <w:rPr>
                <w:rFonts w:hint="eastAsia"/>
                <w:color w:val="000000" w:themeColor="text1"/>
                <w:lang w:val="en-US"/>
                <w14:textFill>
                  <w14:solidFill>
                    <w14:schemeClr w14:val="tx1"/>
                  </w14:solidFill>
                </w14:textFill>
              </w:rPr>
            </w:pPr>
          </w:p>
          <w:p w14:paraId="2F76F788">
            <w:pPr>
              <w:pStyle w:val="2"/>
              <w:rPr>
                <w:rFonts w:hint="eastAsia"/>
                <w:color w:val="000000" w:themeColor="text1"/>
                <w:lang w:val="en-US"/>
                <w14:textFill>
                  <w14:solidFill>
                    <w14:schemeClr w14:val="tx1"/>
                  </w14:solidFill>
                </w14:textFill>
              </w:rPr>
            </w:pPr>
          </w:p>
          <w:p w14:paraId="4A9A8456">
            <w:pPr>
              <w:pStyle w:val="2"/>
              <w:rPr>
                <w:rFonts w:hint="eastAsia"/>
                <w:color w:val="000000" w:themeColor="text1"/>
                <w:lang w:val="en-US"/>
                <w14:textFill>
                  <w14:solidFill>
                    <w14:schemeClr w14:val="tx1"/>
                  </w14:solidFill>
                </w14:textFill>
              </w:rPr>
            </w:pPr>
          </w:p>
          <w:p w14:paraId="5553DBFD">
            <w:pPr>
              <w:pStyle w:val="2"/>
              <w:rPr>
                <w:rFonts w:hint="eastAsia"/>
                <w:color w:val="000000" w:themeColor="text1"/>
                <w:lang w:val="en-US"/>
                <w14:textFill>
                  <w14:solidFill>
                    <w14:schemeClr w14:val="tx1"/>
                  </w14:solidFill>
                </w14:textFill>
              </w:rPr>
            </w:pPr>
          </w:p>
          <w:p w14:paraId="6F318A02">
            <w:pPr>
              <w:pStyle w:val="2"/>
              <w:rPr>
                <w:rFonts w:hint="eastAsia"/>
                <w:color w:val="000000" w:themeColor="text1"/>
                <w:lang w:val="en-US"/>
                <w14:textFill>
                  <w14:solidFill>
                    <w14:schemeClr w14:val="tx1"/>
                  </w14:solidFill>
                </w14:textFill>
              </w:rPr>
            </w:pPr>
          </w:p>
          <w:p w14:paraId="4A9C1F1E">
            <w:pPr>
              <w:pStyle w:val="2"/>
              <w:rPr>
                <w:rFonts w:hint="eastAsia"/>
                <w:color w:val="000000" w:themeColor="text1"/>
                <w:lang w:val="en-US"/>
                <w14:textFill>
                  <w14:solidFill>
                    <w14:schemeClr w14:val="tx1"/>
                  </w14:solidFill>
                </w14:textFill>
              </w:rPr>
            </w:pPr>
          </w:p>
          <w:p w14:paraId="46E747F9">
            <w:pPr>
              <w:pStyle w:val="2"/>
              <w:rPr>
                <w:rFonts w:hint="eastAsia"/>
                <w:color w:val="000000" w:themeColor="text1"/>
                <w:lang w:val="en-US"/>
                <w14:textFill>
                  <w14:solidFill>
                    <w14:schemeClr w14:val="tx1"/>
                  </w14:solidFill>
                </w14:textFill>
              </w:rPr>
            </w:pPr>
          </w:p>
          <w:p w14:paraId="09537826">
            <w:pPr>
              <w:pStyle w:val="2"/>
              <w:rPr>
                <w:rFonts w:hint="eastAsia"/>
                <w:color w:val="000000" w:themeColor="text1"/>
                <w:lang w:val="en-US"/>
                <w14:textFill>
                  <w14:solidFill>
                    <w14:schemeClr w14:val="tx1"/>
                  </w14:solidFill>
                </w14:textFill>
              </w:rPr>
            </w:pPr>
          </w:p>
          <w:p w14:paraId="5CF9A6D5">
            <w:pPr>
              <w:pStyle w:val="2"/>
              <w:rPr>
                <w:rFonts w:hint="eastAsia"/>
                <w:color w:val="000000" w:themeColor="text1"/>
                <w:lang w:val="en-US"/>
                <w14:textFill>
                  <w14:solidFill>
                    <w14:schemeClr w14:val="tx1"/>
                  </w14:solidFill>
                </w14:textFill>
              </w:rPr>
            </w:pPr>
          </w:p>
          <w:p w14:paraId="000532F6">
            <w:pPr>
              <w:pStyle w:val="2"/>
              <w:rPr>
                <w:rFonts w:hint="eastAsia"/>
                <w:color w:val="000000" w:themeColor="text1"/>
                <w:lang w:val="en-US"/>
                <w14:textFill>
                  <w14:solidFill>
                    <w14:schemeClr w14:val="tx1"/>
                  </w14:solidFill>
                </w14:textFill>
              </w:rPr>
            </w:pPr>
          </w:p>
          <w:p w14:paraId="0614A8F8">
            <w:pPr>
              <w:pStyle w:val="2"/>
              <w:rPr>
                <w:rFonts w:hint="eastAsia"/>
                <w:color w:val="000000" w:themeColor="text1"/>
                <w:lang w:val="en-US"/>
                <w14:textFill>
                  <w14:solidFill>
                    <w14:schemeClr w14:val="tx1"/>
                  </w14:solidFill>
                </w14:textFill>
              </w:rPr>
            </w:pPr>
          </w:p>
          <w:p w14:paraId="743B78E8">
            <w:pPr>
              <w:pStyle w:val="2"/>
              <w:rPr>
                <w:rFonts w:hint="eastAsia"/>
                <w:color w:val="000000" w:themeColor="text1"/>
                <w:lang w:val="en-US"/>
                <w14:textFill>
                  <w14:solidFill>
                    <w14:schemeClr w14:val="tx1"/>
                  </w14:solidFill>
                </w14:textFill>
              </w:rPr>
            </w:pPr>
          </w:p>
          <w:p w14:paraId="54F81FAF">
            <w:pPr>
              <w:pStyle w:val="2"/>
              <w:rPr>
                <w:rFonts w:hint="eastAsia"/>
                <w:color w:val="000000" w:themeColor="text1"/>
                <w:lang w:val="en-US"/>
                <w14:textFill>
                  <w14:solidFill>
                    <w14:schemeClr w14:val="tx1"/>
                  </w14:solidFill>
                </w14:textFill>
              </w:rPr>
            </w:pPr>
          </w:p>
          <w:p w14:paraId="21387DF1">
            <w:pPr>
              <w:pStyle w:val="2"/>
              <w:rPr>
                <w:rFonts w:hint="eastAsia"/>
                <w:color w:val="000000" w:themeColor="text1"/>
                <w:lang w:val="en-US"/>
                <w14:textFill>
                  <w14:solidFill>
                    <w14:schemeClr w14:val="tx1"/>
                  </w14:solidFill>
                </w14:textFill>
              </w:rPr>
            </w:pPr>
          </w:p>
          <w:p w14:paraId="2CDBD486">
            <w:pPr>
              <w:pStyle w:val="2"/>
              <w:ind w:left="0" w:leftChars="0" w:firstLine="0" w:firstLineChars="0"/>
              <w:rPr>
                <w:rFonts w:hint="eastAsia"/>
                <w:color w:val="000000" w:themeColor="text1"/>
                <w:lang w:val="en-US"/>
                <w14:textFill>
                  <w14:solidFill>
                    <w14:schemeClr w14:val="tx1"/>
                  </w14:solidFill>
                </w14:textFill>
              </w:rPr>
            </w:pPr>
          </w:p>
          <w:p w14:paraId="7285C083">
            <w:pPr>
              <w:pStyle w:val="2"/>
              <w:ind w:left="0" w:leftChars="0" w:firstLine="0" w:firstLineChars="0"/>
              <w:rPr>
                <w:rFonts w:hint="eastAsia"/>
                <w:color w:val="000000" w:themeColor="text1"/>
                <w:lang w:val="en-US"/>
                <w14:textFill>
                  <w14:solidFill>
                    <w14:schemeClr w14:val="tx1"/>
                  </w14:solidFill>
                </w14:textFill>
              </w:rPr>
            </w:pPr>
          </w:p>
          <w:p w14:paraId="1EB9CFAF">
            <w:pPr>
              <w:pStyle w:val="2"/>
              <w:ind w:left="0" w:leftChars="0" w:firstLine="0" w:firstLineChars="0"/>
              <w:rPr>
                <w:rFonts w:hint="eastAsia"/>
                <w:color w:val="000000" w:themeColor="text1"/>
                <w:lang w:val="en-US"/>
                <w14:textFill>
                  <w14:solidFill>
                    <w14:schemeClr w14:val="tx1"/>
                  </w14:solidFill>
                </w14:textFill>
              </w:rPr>
            </w:pPr>
          </w:p>
        </w:tc>
      </w:tr>
    </w:tbl>
    <w:p w14:paraId="22D9E7B8">
      <w:pPr>
        <w:ind w:firstLine="480"/>
        <w:rPr>
          <w:color w:val="FF0000"/>
        </w:rPr>
        <w:sectPr>
          <w:pgSz w:w="11910" w:h="16840"/>
          <w:pgMar w:top="1440" w:right="1800" w:bottom="1440" w:left="1800" w:header="0" w:footer="685" w:gutter="0"/>
          <w:cols w:space="720" w:num="1"/>
        </w:sectPr>
      </w:pPr>
    </w:p>
    <w:tbl>
      <w:tblPr>
        <w:tblStyle w:val="12"/>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20"/>
      </w:tblGrid>
      <w:tr w14:paraId="43B1A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20" w:type="dxa"/>
            <w:vAlign w:val="center"/>
          </w:tcPr>
          <w:p w14:paraId="6D74EFD0">
            <w:pPr>
              <w:pStyle w:val="16"/>
              <w:ind w:firstLine="482"/>
              <w:jc w:val="both"/>
              <w:rPr>
                <w:b/>
                <w:bCs/>
                <w:color w:val="000000" w:themeColor="text1"/>
                <w14:textFill>
                  <w14:solidFill>
                    <w14:schemeClr w14:val="tx1"/>
                  </w14:solidFill>
                </w14:textFill>
              </w:rPr>
            </w:pPr>
            <w:r>
              <w:rPr>
                <w:b/>
                <w:bCs/>
                <w:color w:val="000000" w:themeColor="text1"/>
                <w14:textFill>
                  <w14:solidFill>
                    <w14:schemeClr w14:val="tx1"/>
                  </w14:solidFill>
                </w14:textFill>
              </w:rPr>
              <w:t>环境影响调查和监测（含施工期和运行期）：</w:t>
            </w:r>
          </w:p>
          <w:p w14:paraId="120B4D48">
            <w:pPr>
              <w:pStyle w:val="16"/>
              <w:spacing w:before="50"/>
              <w:ind w:firstLine="480"/>
              <w:jc w:val="both"/>
              <w:rPr>
                <w:rFonts w:cs="Times New Roman"/>
                <w:color w:val="000000" w:themeColor="text1"/>
                <w:szCs w:val="24"/>
                <w:lang w:val="en-US"/>
                <w14:textFill>
                  <w14:solidFill>
                    <w14:schemeClr w14:val="tx1"/>
                  </w14:solidFill>
                </w14:textFill>
              </w:rPr>
            </w:pPr>
            <w:r>
              <w:rPr>
                <w:rFonts w:hint="eastAsia" w:cs="Times New Roman"/>
                <w:color w:val="000000" w:themeColor="text1"/>
                <w:szCs w:val="24"/>
                <w:lang w:val="en-US"/>
                <w14:textFill>
                  <w14:solidFill>
                    <w14:schemeClr w14:val="tx1"/>
                  </w14:solidFill>
                </w14:textFill>
              </w:rPr>
              <w:t>一、施工期</w:t>
            </w:r>
          </w:p>
          <w:p w14:paraId="16EB53B1">
            <w:pPr>
              <w:pStyle w:val="16"/>
              <w:keepNext w:val="0"/>
              <w:keepLines w:val="0"/>
              <w:pageBreakBefore w:val="0"/>
              <w:widowControl w:val="0"/>
              <w:kinsoku/>
              <w:wordWrap/>
              <w:overflowPunct/>
              <w:topLinePunct w:val="0"/>
              <w:autoSpaceDE w:val="0"/>
              <w:autoSpaceDN w:val="0"/>
              <w:bidi w:val="0"/>
              <w:adjustRightInd/>
              <w:snapToGrid/>
              <w:spacing w:before="50"/>
              <w:ind w:right="48" w:rightChars="20"/>
              <w:jc w:val="both"/>
              <w:textAlignment w:val="auto"/>
              <w:rPr>
                <w:rFonts w:cs="Times New Roman"/>
                <w:color w:val="000000" w:themeColor="text1"/>
                <w:szCs w:val="24"/>
                <w:lang w:val="en-US"/>
                <w14:textFill>
                  <w14:solidFill>
                    <w14:schemeClr w14:val="tx1"/>
                  </w14:solidFill>
                </w14:textFill>
              </w:rPr>
            </w:pPr>
            <w:r>
              <w:rPr>
                <w:rFonts w:hint="eastAsia" w:cs="Times New Roman"/>
                <w:color w:val="000000" w:themeColor="text1"/>
                <w:szCs w:val="24"/>
                <w:lang w:val="en-US"/>
                <w14:textFill>
                  <w14:solidFill>
                    <w14:schemeClr w14:val="tx1"/>
                  </w14:solidFill>
                </w14:textFill>
              </w:rPr>
              <w:t>1、生态环境</w:t>
            </w:r>
          </w:p>
          <w:p w14:paraId="0B9F1568">
            <w:pPr>
              <w:keepNext w:val="0"/>
              <w:keepLines w:val="0"/>
              <w:pageBreakBefore w:val="0"/>
              <w:widowControl w:val="0"/>
              <w:numPr>
                <w:ilvl w:val="0"/>
                <w:numId w:val="0"/>
              </w:numPr>
              <w:kinsoku/>
              <w:wordWrap/>
              <w:overflowPunct/>
              <w:topLinePunct w:val="0"/>
              <w:autoSpaceDE w:val="0"/>
              <w:autoSpaceDN w:val="0"/>
              <w:bidi w:val="0"/>
              <w:adjustRightInd/>
              <w:snapToGrid/>
              <w:ind w:left="48" w:leftChars="20" w:right="48" w:rightChars="20" w:firstLine="480" w:firstLineChars="200"/>
              <w:jc w:val="both"/>
              <w:textAlignment w:val="auto"/>
              <w:rPr>
                <w:rFonts w:cs="Times New Roman"/>
                <w:color w:val="0070C0"/>
                <w:szCs w:val="24"/>
                <w:lang w:val="en-US"/>
              </w:rPr>
            </w:pPr>
            <w:r>
              <w:rPr>
                <w:rFonts w:hint="eastAsia" w:cs="宋体"/>
                <w:color w:val="000000" w:themeColor="text1"/>
                <w:sz w:val="24"/>
                <w:szCs w:val="22"/>
                <w:lang w:val="zh-CN" w:eastAsia="zh-CN" w:bidi="zh-CN"/>
                <w14:textFill>
                  <w14:solidFill>
                    <w14:schemeClr w14:val="tx1"/>
                  </w14:solidFill>
                </w14:textFill>
              </w:rPr>
              <w:t>施工结束后已拆除施工营地，临时道路已改成场区进场道路和检修道路，并对临时占地进行了地貌平整和植被恢复，施工临时占地已恢复原有地貌。</w:t>
            </w:r>
            <w:r>
              <w:rPr>
                <w:rFonts w:cs="Times New Roman"/>
                <w:color w:val="000000" w:themeColor="text1"/>
                <w:kern w:val="18"/>
                <w:szCs w:val="24"/>
                <w:lang w:val="en-US" w:bidi="ar-SA"/>
                <w14:textFill>
                  <w14:solidFill>
                    <w14:schemeClr w14:val="tx1"/>
                  </w14:solidFill>
                </w14:textFill>
              </w:rPr>
              <w:t>本项目</w:t>
            </w:r>
            <w:r>
              <w:rPr>
                <w:rFonts w:hint="eastAsia" w:ascii="Times New Roman" w:hAnsi="Times New Roman" w:eastAsia="宋体" w:cs="宋体"/>
                <w:color w:val="000000" w:themeColor="text1"/>
                <w:kern w:val="0"/>
                <w:sz w:val="24"/>
                <w:szCs w:val="22"/>
                <w:lang w:val="en-US" w:eastAsia="zh-CN" w:bidi="zh-CN"/>
                <w14:textFill>
                  <w14:solidFill>
                    <w14:schemeClr w14:val="tx1"/>
                  </w14:solidFill>
                </w14:textFill>
              </w:rPr>
              <w:t>施工区内无重点保护野生植物，施工区对地表植被的影响主要表现在施工临时占地和永久占</w:t>
            </w:r>
            <w:r>
              <w:rPr>
                <w:rFonts w:hint="eastAsia"/>
                <w:color w:val="000000" w:themeColor="text1"/>
                <w:lang w:val="en-US" w:eastAsia="zh-CN"/>
                <w14:textFill>
                  <w14:solidFill>
                    <w14:schemeClr w14:val="tx1"/>
                  </w14:solidFill>
                </w14:textFill>
              </w:rPr>
              <w:t>地对地表植被的破坏。项目区植被主要以多年生植物为主。目前施工扰动区域已进行填埋、压实，并种植植被，加之施工期较短，所以项目施工对区域植被多样性和植被分布影响较小。</w:t>
            </w:r>
          </w:p>
          <w:p w14:paraId="3313B26B">
            <w:pPr>
              <w:pStyle w:val="16"/>
              <w:spacing w:before="50"/>
              <w:jc w:val="both"/>
              <w:rPr>
                <w:rFonts w:cs="Times New Roman"/>
                <w:color w:val="000000" w:themeColor="text1"/>
                <w:szCs w:val="24"/>
                <w:lang w:val="en-US"/>
                <w14:textFill>
                  <w14:solidFill>
                    <w14:schemeClr w14:val="tx1"/>
                  </w14:solidFill>
                </w14:textFill>
              </w:rPr>
            </w:pPr>
            <w:r>
              <w:rPr>
                <w:rFonts w:hint="eastAsia" w:cs="Times New Roman"/>
                <w:color w:val="000000" w:themeColor="text1"/>
                <w:szCs w:val="24"/>
                <w:lang w:val="en-US"/>
                <w14:textFill>
                  <w14:solidFill>
                    <w14:schemeClr w14:val="tx1"/>
                  </w14:solidFill>
                </w14:textFill>
              </w:rPr>
              <w:t>2、水、气、声、固废</w:t>
            </w:r>
          </w:p>
          <w:p w14:paraId="53A05ACF">
            <w:pPr>
              <w:bidi w:val="0"/>
              <w:rPr>
                <w:rFonts w:cs="Times New Roman"/>
                <w:color w:val="000000" w:themeColor="text1"/>
                <w:szCs w:val="24"/>
                <w:lang w:val="en-US"/>
                <w14:textFill>
                  <w14:solidFill>
                    <w14:schemeClr w14:val="tx1"/>
                  </w14:solidFill>
                </w14:textFill>
              </w:rPr>
            </w:pPr>
            <w:r>
              <w:rPr>
                <w:rFonts w:hint="eastAsia" w:cs="Times New Roman"/>
                <w:color w:val="000000" w:themeColor="text1"/>
                <w:szCs w:val="24"/>
                <w:lang w:val="en-US"/>
                <w14:textFill>
                  <w14:solidFill>
                    <w14:schemeClr w14:val="tx1"/>
                  </w14:solidFill>
                </w14:textFill>
              </w:rPr>
              <w:t>经现场调查，随着施工期的结束，水、气、声、固废对环境的污染也随之结束，</w:t>
            </w:r>
            <w:r>
              <w:rPr>
                <w:rFonts w:hint="eastAsia"/>
                <w:color w:val="000000" w:themeColor="text1"/>
                <w14:textFill>
                  <w14:solidFill>
                    <w14:schemeClr w14:val="tx1"/>
                  </w14:solidFill>
                </w14:textFill>
              </w:rPr>
              <w:t>未发现有居民投诉大气污染事件；未发现废水漫流、乱排现象；未发现有居民投诉事件；无垃圾乱堆现象</w:t>
            </w:r>
            <w:r>
              <w:rPr>
                <w:rFonts w:hint="eastAsia" w:cs="Times New Roman"/>
                <w:color w:val="000000" w:themeColor="text1"/>
                <w:szCs w:val="24"/>
                <w:lang w:val="en-US"/>
                <w14:textFill>
                  <w14:solidFill>
                    <w14:schemeClr w14:val="tx1"/>
                  </w14:solidFill>
                </w14:textFill>
              </w:rPr>
              <w:t>。</w:t>
            </w:r>
          </w:p>
          <w:p w14:paraId="15185F30">
            <w:pPr>
              <w:pStyle w:val="16"/>
              <w:spacing w:before="50"/>
              <w:ind w:firstLine="480"/>
              <w:jc w:val="both"/>
              <w:rPr>
                <w:rFonts w:cs="Times New Roman"/>
                <w:color w:val="000000" w:themeColor="text1"/>
                <w:szCs w:val="24"/>
                <w:lang w:val="en-US"/>
                <w14:textFill>
                  <w14:solidFill>
                    <w14:schemeClr w14:val="tx1"/>
                  </w14:solidFill>
                </w14:textFill>
              </w:rPr>
            </w:pPr>
            <w:r>
              <w:rPr>
                <w:rFonts w:hint="eastAsia" w:cs="Times New Roman"/>
                <w:color w:val="000000" w:themeColor="text1"/>
                <w:szCs w:val="24"/>
                <w:lang w:val="en-US"/>
                <w14:textFill>
                  <w14:solidFill>
                    <w14:schemeClr w14:val="tx1"/>
                  </w14:solidFill>
                </w14:textFill>
              </w:rPr>
              <w:t>二、运营期</w:t>
            </w:r>
          </w:p>
          <w:p w14:paraId="5E9C0DC9">
            <w:pPr>
              <w:pStyle w:val="2"/>
              <w:rPr>
                <w:color w:val="FF0000"/>
              </w:rPr>
            </w:pPr>
            <w:r>
              <w:rPr>
                <w:rFonts w:hint="eastAsia" w:cs="Times New Roman"/>
                <w:color w:val="000000" w:themeColor="text1"/>
                <w:szCs w:val="24"/>
                <w:lang w:val="en-US"/>
                <w14:textFill>
                  <w14:solidFill>
                    <w14:schemeClr w14:val="tx1"/>
                  </w14:solidFill>
                </w14:textFill>
              </w:rPr>
              <w:t>经现场调查，</w:t>
            </w:r>
            <w:r>
              <w:rPr>
                <w:rFonts w:hint="eastAsia"/>
                <w:color w:val="000000" w:themeColor="text1"/>
                <w14:textFill>
                  <w14:solidFill>
                    <w14:schemeClr w14:val="tx1"/>
                  </w14:solidFill>
                </w14:textFill>
              </w:rPr>
              <w:t>本项目运营期</w:t>
            </w:r>
            <w:r>
              <w:rPr>
                <w:rFonts w:hint="eastAsia"/>
                <w:color w:val="000000" w:themeColor="text1"/>
                <w:lang w:val="en-US" w:eastAsia="zh-CN"/>
                <w14:textFill>
                  <w14:solidFill>
                    <w14:schemeClr w14:val="tx1"/>
                  </w14:solidFill>
                </w14:textFill>
              </w:rPr>
              <w:t>职工</w:t>
            </w:r>
            <w:r>
              <w:rPr>
                <w:rFonts w:hint="eastAsia"/>
                <w:color w:val="000000" w:themeColor="text1"/>
                <w14:textFill>
                  <w14:solidFill>
                    <w14:schemeClr w14:val="tx1"/>
                  </w14:solidFill>
                </w14:textFill>
              </w:rPr>
              <w:t>生活污水经一体化地埋式污水处理装置处理后定期清掏拉运至</w:t>
            </w:r>
            <w:r>
              <w:rPr>
                <w:rFonts w:hint="eastAsia"/>
                <w:color w:val="000000" w:themeColor="text1"/>
                <w:lang w:eastAsia="zh-CN"/>
                <w14:textFill>
                  <w14:solidFill>
                    <w14:schemeClr w14:val="tx1"/>
                  </w14:solidFill>
                </w14:textFill>
              </w:rPr>
              <w:t>了</w:t>
            </w:r>
            <w:r>
              <w:rPr>
                <w:rFonts w:hint="eastAsia"/>
                <w:color w:val="000000" w:themeColor="text1"/>
                <w14:textFill>
                  <w14:solidFill>
                    <w14:schemeClr w14:val="tx1"/>
                  </w14:solidFill>
                </w14:textFill>
              </w:rPr>
              <w:t>尖扎县污水处理厂</w:t>
            </w:r>
            <w:r>
              <w:rPr>
                <w:rFonts w:hint="eastAsia"/>
                <w:color w:val="000000" w:themeColor="text1"/>
                <w:lang w:val="en-US" w:eastAsia="zh-CN"/>
                <w14:textFill>
                  <w14:solidFill>
                    <w14:schemeClr w14:val="tx1"/>
                  </w14:solidFill>
                </w14:textFill>
              </w:rPr>
              <w:t>处理</w:t>
            </w:r>
            <w:r>
              <w:rPr>
                <w:rFonts w:hint="eastAsia"/>
                <w:color w:val="000000" w:themeColor="text1"/>
                <w14:textFill>
                  <w14:solidFill>
                    <w14:schemeClr w14:val="tx1"/>
                  </w14:solidFill>
                </w14:textFill>
              </w:rPr>
              <w:t>，光伏板清洗废水</w:t>
            </w:r>
            <w:r>
              <w:rPr>
                <w:rFonts w:hint="eastAsia"/>
                <w:color w:val="000000" w:themeColor="text1"/>
                <w:lang w:val="en-US" w:eastAsia="zh-CN"/>
                <w14:textFill>
                  <w14:solidFill>
                    <w14:schemeClr w14:val="tx1"/>
                  </w14:solidFill>
                </w14:textFill>
              </w:rPr>
              <w:t>进行了直接散排</w:t>
            </w:r>
            <w:r>
              <w:rPr>
                <w:rFonts w:hint="eastAsia"/>
                <w:color w:val="000000" w:themeColor="text1"/>
                <w14:textFill>
                  <w14:solidFill>
                    <w14:schemeClr w14:val="tx1"/>
                  </w14:solidFill>
                </w14:textFill>
              </w:rPr>
              <w:t>，自然蒸发</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冬季</w:t>
            </w:r>
            <w:r>
              <w:rPr>
                <w:rFonts w:hint="eastAsia"/>
                <w:color w:val="000000" w:themeColor="text1"/>
                <w:lang w:val="en-US" w:eastAsia="zh-CN"/>
                <w14:textFill>
                  <w14:solidFill>
                    <w14:schemeClr w14:val="tx1"/>
                  </w14:solidFill>
                </w14:textFill>
              </w:rPr>
              <w:t>不进行水洗，现场未发现废水漫流现象；</w:t>
            </w:r>
            <w:r>
              <w:rPr>
                <w:rFonts w:hint="eastAsia"/>
                <w:color w:val="000000" w:themeColor="text1"/>
                <w14:textFill>
                  <w14:solidFill>
                    <w14:schemeClr w14:val="tx1"/>
                  </w14:solidFill>
                </w14:textFill>
              </w:rPr>
              <w:t>运营期</w:t>
            </w:r>
            <w:r>
              <w:rPr>
                <w:rFonts w:hint="eastAsia"/>
                <w:color w:val="000000" w:themeColor="text1"/>
                <w:lang w:val="en-US" w:eastAsia="zh-CN"/>
                <w14:textFill>
                  <w14:solidFill>
                    <w14:schemeClr w14:val="tx1"/>
                  </w14:solidFill>
                </w14:textFill>
              </w:rPr>
              <w:t>噪声通过将</w:t>
            </w:r>
            <w:r>
              <w:rPr>
                <w:rFonts w:hint="eastAsia"/>
                <w:color w:val="000000" w:themeColor="text1"/>
                <w14:textFill>
                  <w14:solidFill>
                    <w14:schemeClr w14:val="tx1"/>
                  </w14:solidFill>
                </w14:textFill>
              </w:rPr>
              <w:t>逆变器、箱式变压器、储能等设备设置在站场中部，并</w:t>
            </w:r>
            <w:r>
              <w:rPr>
                <w:rFonts w:hint="eastAsia"/>
                <w:color w:val="000000" w:themeColor="text1"/>
                <w:lang w:val="en-US" w:eastAsia="zh-CN"/>
                <w14:textFill>
                  <w14:solidFill>
                    <w14:schemeClr w14:val="tx1"/>
                  </w14:solidFill>
                </w14:textFill>
              </w:rPr>
              <w:t>通过</w:t>
            </w:r>
            <w:r>
              <w:rPr>
                <w:rFonts w:hint="eastAsia"/>
                <w:color w:val="000000" w:themeColor="text1"/>
                <w14:textFill>
                  <w14:solidFill>
                    <w14:schemeClr w14:val="tx1"/>
                  </w14:solidFill>
                </w14:textFill>
              </w:rPr>
              <w:t>加强对各类设施、设备的维护和保养，使其处于良好的工作状态</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加上项目周围没有声环境敏感目标，对周围环境影响较小。</w:t>
            </w:r>
            <w:r>
              <w:rPr>
                <w:rFonts w:hint="eastAsia"/>
                <w:color w:val="000000" w:themeColor="text1"/>
                <w14:textFill>
                  <w14:solidFill>
                    <w14:schemeClr w14:val="tx1"/>
                  </w14:solidFill>
                </w14:textFill>
              </w:rPr>
              <w:t>运营期</w:t>
            </w:r>
            <w:r>
              <w:rPr>
                <w:rFonts w:hint="eastAsia"/>
                <w:color w:val="000000" w:themeColor="text1"/>
                <w:lang w:val="en-US" w:eastAsia="zh-CN"/>
                <w14:textFill>
                  <w14:solidFill>
                    <w14:schemeClr w14:val="tx1"/>
                  </w14:solidFill>
                </w14:textFill>
              </w:rPr>
              <w:t>职工</w:t>
            </w:r>
            <w:r>
              <w:rPr>
                <w:rFonts w:hint="eastAsia"/>
                <w:color w:val="000000" w:themeColor="text1"/>
                <w14:textFill>
                  <w14:solidFill>
                    <w14:schemeClr w14:val="tx1"/>
                  </w14:solidFill>
                </w14:textFill>
              </w:rPr>
              <w:t>生活垃圾经垃圾桶收集后，定期清</w:t>
            </w:r>
            <w:r>
              <w:rPr>
                <w:rFonts w:hint="eastAsia"/>
                <w:color w:val="000000" w:themeColor="text1"/>
                <w:lang w:val="en-US" w:eastAsia="zh-CN"/>
                <w14:textFill>
                  <w14:solidFill>
                    <w14:schemeClr w14:val="tx1"/>
                  </w14:solidFill>
                </w14:textFill>
              </w:rPr>
              <w:t>运至了</w:t>
            </w:r>
            <w:r>
              <w:rPr>
                <w:rFonts w:hint="eastAsia"/>
                <w:color w:val="000000" w:themeColor="text1"/>
                <w14:textFill>
                  <w14:solidFill>
                    <w14:schemeClr w14:val="tx1"/>
                  </w14:solidFill>
                </w14:textFill>
              </w:rPr>
              <w:t>尖扎县垃圾填埋场填埋</w:t>
            </w:r>
            <w:r>
              <w:rPr>
                <w:rFonts w:hint="eastAsia"/>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未发现随意堆弃的现象；</w:t>
            </w:r>
            <w:r>
              <w:rPr>
                <w:rFonts w:hint="eastAsia"/>
                <w:color w:val="000000" w:themeColor="text1"/>
                <w:lang w:eastAsia="zh-CN"/>
                <w14:textFill>
                  <w14:solidFill>
                    <w14:schemeClr w14:val="tx1"/>
                  </w14:solidFill>
                </w14:textFill>
              </w:rPr>
              <w:t>目前未产生</w:t>
            </w:r>
            <w:r>
              <w:rPr>
                <w:rFonts w:hint="eastAsia"/>
                <w:color w:val="000000" w:themeColor="text1"/>
                <w14:textFill>
                  <w14:solidFill>
                    <w14:schemeClr w14:val="tx1"/>
                  </w14:solidFill>
                </w14:textFill>
              </w:rPr>
              <w:t>废变压器油</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废旧电子元件</w:t>
            </w:r>
            <w:r>
              <w:rPr>
                <w:rFonts w:hint="eastAsia"/>
                <w:color w:val="000000" w:themeColor="text1"/>
                <w:lang w:eastAsia="zh-CN"/>
                <w14:textFill>
                  <w14:solidFill>
                    <w14:schemeClr w14:val="tx1"/>
                  </w14:solidFill>
                </w14:textFill>
              </w:rPr>
              <w:t>、</w:t>
            </w:r>
            <w:r>
              <w:rPr>
                <w:rFonts w:hint="eastAsia"/>
                <w:color w:val="000000" w:themeColor="text1"/>
                <w14:textFill>
                  <w14:solidFill>
                    <w14:schemeClr w14:val="tx1"/>
                  </w14:solidFill>
                </w14:textFill>
              </w:rPr>
              <w:t>废旧损坏电池等。</w:t>
            </w:r>
            <w:r>
              <w:rPr>
                <w:rFonts w:hint="eastAsia"/>
                <w:color w:val="000000" w:themeColor="text1"/>
                <w:lang w:val="en-US" w:eastAsia="zh-CN"/>
                <w14:textFill>
                  <w14:solidFill>
                    <w14:schemeClr w14:val="tx1"/>
                  </w14:solidFill>
                </w14:textFill>
              </w:rPr>
              <w:t>经现场勘查未发现随意丢弃，对周围环境影响较小。</w:t>
            </w:r>
          </w:p>
        </w:tc>
      </w:tr>
      <w:tr w14:paraId="06D88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2" w:hRule="atLeast"/>
          <w:jc w:val="center"/>
        </w:trPr>
        <w:tc>
          <w:tcPr>
            <w:tcW w:w="8820" w:type="dxa"/>
            <w:vAlign w:val="center"/>
          </w:tcPr>
          <w:p w14:paraId="5FDF0AFA">
            <w:pPr>
              <w:pStyle w:val="16"/>
              <w:ind w:left="0" w:leftChars="0" w:firstLine="482" w:firstLineChars="200"/>
              <w:rPr>
                <w:color w:val="000000" w:themeColor="text1"/>
                <w14:textFill>
                  <w14:solidFill>
                    <w14:schemeClr w14:val="tx1"/>
                  </w14:solidFill>
                </w14:textFill>
              </w:rPr>
            </w:pPr>
            <w:r>
              <w:rPr>
                <w:b/>
                <w:bCs/>
                <w:color w:val="000000" w:themeColor="text1"/>
                <w14:textFill>
                  <w14:solidFill>
                    <w14:schemeClr w14:val="tx1"/>
                  </w14:solidFill>
                </w14:textFill>
              </w:rPr>
              <w:t>是否超标：</w:t>
            </w:r>
          </w:p>
          <w:p w14:paraId="27AE13B6">
            <w:pPr>
              <w:pStyle w:val="16"/>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否</w:t>
            </w:r>
          </w:p>
          <w:p w14:paraId="5A5D4435">
            <w:pPr>
              <w:pStyle w:val="1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如超标，原因分析：</w:t>
            </w:r>
          </w:p>
          <w:p w14:paraId="7A97CB6A">
            <w:pPr>
              <w:spacing w:line="240" w:lineRule="auto"/>
              <w:ind w:firstLine="480"/>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w:t>
            </w:r>
          </w:p>
        </w:tc>
      </w:tr>
      <w:tr w14:paraId="19180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8820" w:type="dxa"/>
            <w:vAlign w:val="center"/>
          </w:tcPr>
          <w:p w14:paraId="20B11F53">
            <w:pPr>
              <w:pStyle w:val="16"/>
              <w:ind w:firstLine="482"/>
              <w:rPr>
                <w:b/>
                <w:bCs/>
                <w:color w:val="000000" w:themeColor="text1"/>
                <w14:textFill>
                  <w14:solidFill>
                    <w14:schemeClr w14:val="tx1"/>
                  </w14:solidFill>
                </w14:textFill>
              </w:rPr>
            </w:pPr>
            <w:r>
              <w:rPr>
                <w:b/>
                <w:bCs/>
                <w:color w:val="000000" w:themeColor="text1"/>
                <w14:textFill>
                  <w14:solidFill>
                    <w14:schemeClr w14:val="tx1"/>
                  </w14:solidFill>
                </w14:textFill>
              </w:rPr>
              <w:t>后续要求：</w:t>
            </w:r>
          </w:p>
          <w:p w14:paraId="67421423">
            <w:pPr>
              <w:pStyle w:val="16"/>
              <w:ind w:left="0" w:leftChars="0" w:firstLine="48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运营过程中产生的废变压器油、废电子元件严格按照危险废物贮存与处置方式，更换的废旧铅蓄电池交由厂家更换回收处理不在厂区内贮存，并记录好危废台账</w:t>
            </w:r>
            <w:r>
              <w:rPr>
                <w:rFonts w:hint="eastAsia"/>
                <w:color w:val="000000" w:themeColor="text1"/>
                <w14:textFill>
                  <w14:solidFill>
                    <w14:schemeClr w14:val="tx1"/>
                  </w14:solidFill>
                </w14:textFill>
              </w:rPr>
              <w:t>。</w:t>
            </w:r>
          </w:p>
        </w:tc>
      </w:tr>
    </w:tbl>
    <w:p w14:paraId="428B2666">
      <w:pPr>
        <w:pStyle w:val="6"/>
        <w:ind w:left="12" w:leftChars="5" w:firstLine="630" w:firstLineChars="225"/>
        <w:rPr>
          <w:rFonts w:ascii="Times New Roman" w:hAnsi="Times New Roman"/>
          <w:color w:val="000000" w:themeColor="text1"/>
          <w:sz w:val="28"/>
          <w:szCs w:val="28"/>
          <w14:textFill>
            <w14:solidFill>
              <w14:schemeClr w14:val="tx1"/>
            </w14:solidFill>
          </w14:textFill>
        </w:rPr>
      </w:pPr>
      <w:r>
        <w:rPr>
          <w:rFonts w:hint="eastAsia" w:ascii="Times New Roman" w:hAnsi="Times New Roman"/>
          <w:color w:val="000000" w:themeColor="text1"/>
          <w:sz w:val="28"/>
          <w:szCs w:val="28"/>
          <w14:textFill>
            <w14:solidFill>
              <w14:schemeClr w14:val="tx1"/>
            </w14:solidFill>
          </w14:textFill>
        </w:rPr>
        <w:t>表六</w:t>
      </w:r>
    </w:p>
    <w:tbl>
      <w:tblPr>
        <w:tblStyle w:val="12"/>
        <w:tblW w:w="89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08"/>
        <w:gridCol w:w="4"/>
      </w:tblGrid>
      <w:tr w14:paraId="37D02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4" w:type="dxa"/>
          <w:trHeight w:val="9225" w:hRule="atLeast"/>
          <w:jc w:val="center"/>
        </w:trPr>
        <w:tc>
          <w:tcPr>
            <w:tcW w:w="8908" w:type="dxa"/>
          </w:tcPr>
          <w:p w14:paraId="0FE63ED1">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2"/>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验收调查结论与建议：</w:t>
            </w:r>
          </w:p>
          <w:p w14:paraId="52DC46F2">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14:textFill>
                  <w14:solidFill>
                    <w14:schemeClr w14:val="tx1"/>
                  </w14:solidFill>
                </w14:textFill>
              </w:rPr>
            </w:pPr>
            <w:r>
              <w:rPr>
                <w:color w:val="000000" w:themeColor="text1"/>
                <w14:textFill>
                  <w14:solidFill>
                    <w14:schemeClr w14:val="tx1"/>
                  </w14:solidFill>
                </w14:textFill>
              </w:rPr>
              <w:t>通过对</w:t>
            </w:r>
            <w:r>
              <w:rPr>
                <w:rFonts w:hint="eastAsia"/>
                <w:color w:val="000000" w:themeColor="text1"/>
                <w:lang w:val="en-US" w:eastAsia="zh-CN"/>
                <w14:textFill>
                  <w14:solidFill>
                    <w14:schemeClr w14:val="tx1"/>
                  </w14:solidFill>
                </w14:textFill>
              </w:rPr>
              <w:t>尖扎县尖扎滩乡40万千瓦“牧光储”一体化建设项目</w:t>
            </w:r>
            <w:r>
              <w:rPr>
                <w:color w:val="000000" w:themeColor="text1"/>
                <w14:textFill>
                  <w14:solidFill>
                    <w14:schemeClr w14:val="tx1"/>
                  </w14:solidFill>
                </w14:textFill>
              </w:rPr>
              <w:t>现场环境状况的调查，对有关技术文件、环评报告的分析，对工程环保执行情况、环境保护措施的重点调查，从环境保护角度对工程提出如下调查结论和建议：</w:t>
            </w:r>
          </w:p>
          <w:p w14:paraId="144FD3D5">
            <w:pPr>
              <w:pStyle w:val="3"/>
              <w:keepNext w:val="0"/>
              <w:keepLines w:val="0"/>
              <w:pageBreakBefore w:val="0"/>
              <w:widowControl w:val="0"/>
              <w:numPr>
                <w:ilvl w:val="0"/>
                <w:numId w:val="3"/>
              </w:numPr>
              <w:kinsoku/>
              <w:wordWrap/>
              <w:overflowPunct/>
              <w:topLinePunct w:val="0"/>
              <w:autoSpaceDE w:val="0"/>
              <w:autoSpaceDN w:val="0"/>
              <w:bidi w:val="0"/>
              <w:adjustRightInd/>
              <w:snapToGrid/>
              <w:spacing w:line="360" w:lineRule="auto"/>
              <w:ind w:left="48" w:leftChars="20" w:right="48" w:rightChars="20" w:firstLine="482"/>
              <w:textAlignment w:val="auto"/>
              <w:rPr>
                <w:color w:val="000000" w:themeColor="text1"/>
                <w14:textFill>
                  <w14:solidFill>
                    <w14:schemeClr w14:val="tx1"/>
                  </w14:solidFill>
                </w14:textFill>
              </w:rPr>
            </w:pPr>
            <w:r>
              <w:rPr>
                <w:color w:val="000000" w:themeColor="text1"/>
                <w14:textFill>
                  <w14:solidFill>
                    <w14:schemeClr w14:val="tx1"/>
                  </w14:solidFill>
                </w14:textFill>
              </w:rPr>
              <w:t>工程概况</w:t>
            </w:r>
          </w:p>
          <w:p w14:paraId="6D529178">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rFonts w:hint="default" w:eastAsia="宋体"/>
                <w:color w:val="000000" w:themeColor="text1"/>
                <w:szCs w:val="24"/>
                <w:lang w:val="en-US" w:eastAsia="zh-CN"/>
                <w14:textFill>
                  <w14:solidFill>
                    <w14:schemeClr w14:val="tx1"/>
                  </w14:solidFill>
                </w14:textFill>
              </w:rPr>
            </w:pPr>
            <w:r>
              <w:rPr>
                <w:rFonts w:hint="eastAsia"/>
                <w:color w:val="000000" w:themeColor="text1"/>
                <w:szCs w:val="24"/>
                <w14:textFill>
                  <w14:solidFill>
                    <w14:schemeClr w14:val="tx1"/>
                  </w14:solidFill>
                </w14:textFill>
              </w:rPr>
              <w:t>1.1</w:t>
            </w:r>
            <w:r>
              <w:rPr>
                <w:rFonts w:hint="eastAsia"/>
                <w:color w:val="000000" w:themeColor="text1"/>
                <w:szCs w:val="24"/>
                <w:lang w:val="en-US" w:eastAsia="zh-CN"/>
                <w14:textFill>
                  <w14:solidFill>
                    <w14:schemeClr w14:val="tx1"/>
                  </w14:solidFill>
                </w14:textFill>
              </w:rPr>
              <w:t>建设内容</w:t>
            </w:r>
          </w:p>
          <w:p w14:paraId="3D28948D">
            <w:pPr>
              <w:keepNext w:val="0"/>
              <w:keepLines w:val="0"/>
              <w:pageBreakBefore w:val="0"/>
              <w:widowControl w:val="0"/>
              <w:kinsoku/>
              <w:wordWrap/>
              <w:overflowPunct/>
              <w:topLinePunct w:val="0"/>
              <w:autoSpaceDE w:val="0"/>
              <w:autoSpaceDN w:val="0"/>
              <w:bidi w:val="0"/>
              <w:adjustRightInd/>
              <w:snapToGrid/>
              <w:ind w:left="48" w:leftChars="20" w:right="48" w:rightChars="20" w:firstLine="48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本项目配备</w:t>
            </w:r>
            <w:r>
              <w:rPr>
                <w:rFonts w:hint="eastAsia"/>
                <w:color w:val="000000" w:themeColor="text1"/>
                <w:lang w:val="en-US" w:eastAsia="zh-CN"/>
                <w14:textFill>
                  <w14:solidFill>
                    <w14:schemeClr w14:val="tx1"/>
                  </w14:solidFill>
                </w14:textFill>
              </w:rPr>
              <w:t>了</w:t>
            </w:r>
            <w:r>
              <w:rPr>
                <w:rFonts w:hint="eastAsia"/>
                <w:color w:val="000000" w:themeColor="text1"/>
                <w14:textFill>
                  <w14:solidFill>
                    <w14:schemeClr w14:val="tx1"/>
                  </w14:solidFill>
                </w14:textFill>
              </w:rPr>
              <w:t>储能系统，工程光伏总装机容量为400MW（AC），储能系统由1台20尺“逆”“变”一体储能变流器集装箱和2台45尺磷酸铁锂电池集装箱组成，储能系统交流侧并网电压等级为35kV，每12个储能发电单元为1回储能发电系统，共2回储能发电系统接入</w:t>
            </w:r>
            <w:r>
              <w:rPr>
                <w:rFonts w:hint="eastAsia"/>
                <w:color w:val="000000" w:themeColor="text1"/>
                <w:lang w:val="en-US" w:eastAsia="zh-CN"/>
                <w14:textFill>
                  <w14:solidFill>
                    <w14:schemeClr w14:val="tx1"/>
                  </w14:solidFill>
                </w14:textFill>
              </w:rPr>
              <w:t>了</w:t>
            </w:r>
            <w:r>
              <w:rPr>
                <w:rFonts w:hint="eastAsia"/>
                <w:color w:val="000000" w:themeColor="text1"/>
                <w14:textFill>
                  <w14:solidFill>
                    <w14:schemeClr w14:val="tx1"/>
                  </w14:solidFill>
                </w14:textFill>
              </w:rPr>
              <w:t>330kV升压站35kV储能进线间隔。项目配置</w:t>
            </w:r>
            <w:r>
              <w:rPr>
                <w:rFonts w:hint="eastAsia"/>
                <w:color w:val="000000" w:themeColor="text1"/>
                <w:lang w:val="en-US" w:eastAsia="zh-CN"/>
                <w14:textFill>
                  <w14:solidFill>
                    <w14:schemeClr w14:val="tx1"/>
                  </w14:solidFill>
                </w14:textFill>
              </w:rPr>
              <w:t>了</w:t>
            </w:r>
            <w:r>
              <w:rPr>
                <w:rFonts w:hint="eastAsia"/>
                <w:color w:val="000000" w:themeColor="text1"/>
                <w14:textFill>
                  <w14:solidFill>
                    <w14:schemeClr w14:val="tx1"/>
                  </w14:solidFill>
                </w14:textFill>
              </w:rPr>
              <w:t>48套箱式储能电池系统，每套含5000kWh的电池；24套变流升压系统，每套</w:t>
            </w:r>
            <w:r>
              <w:rPr>
                <w:rFonts w:hint="eastAsia"/>
                <w:color w:val="000000" w:themeColor="text1"/>
                <w:lang w:val="en-US" w:eastAsia="zh-CN"/>
                <w14:textFill>
                  <w14:solidFill>
                    <w14:schemeClr w14:val="tx1"/>
                  </w14:solidFill>
                </w14:textFill>
              </w:rPr>
              <w:t>包含了</w:t>
            </w:r>
            <w:r>
              <w:rPr>
                <w:rFonts w:hint="eastAsia"/>
                <w:color w:val="000000" w:themeColor="text1"/>
                <w14:textFill>
                  <w14:solidFill>
                    <w14:schemeClr w14:val="tx1"/>
                  </w14:solidFill>
                </w14:textFill>
              </w:rPr>
              <w:t>1台储能变流器和1台0.55kV/35kV，Dy11，2500kVA箱变。</w:t>
            </w:r>
          </w:p>
          <w:p w14:paraId="5FA9F6EB">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1.2</w:t>
            </w:r>
            <w:r>
              <w:rPr>
                <w:color w:val="000000" w:themeColor="text1"/>
                <w:szCs w:val="24"/>
                <w14:textFill>
                  <w14:solidFill>
                    <w14:schemeClr w14:val="tx1"/>
                  </w14:solidFill>
                </w14:textFill>
              </w:rPr>
              <w:t>环保投资调查</w:t>
            </w:r>
          </w:p>
          <w:p w14:paraId="16E876D0">
            <w:pPr>
              <w:keepNext w:val="0"/>
              <w:keepLines w:val="0"/>
              <w:pageBreakBefore w:val="0"/>
              <w:widowControl w:val="0"/>
              <w:kinsoku/>
              <w:wordWrap/>
              <w:overflowPunct/>
              <w:topLinePunct w:val="0"/>
              <w:autoSpaceDE w:val="0"/>
              <w:autoSpaceDN w:val="0"/>
              <w:bidi w:val="0"/>
              <w:adjustRightInd/>
              <w:snapToGrid/>
              <w:ind w:left="48" w:leftChars="20" w:right="48" w:rightChars="20"/>
              <w:textAlignment w:val="auto"/>
              <w:rPr>
                <w:color w:val="000000" w:themeColor="text1"/>
                <w:sz w:val="24"/>
                <w:szCs w:val="24"/>
                <w14:textFill>
                  <w14:solidFill>
                    <w14:schemeClr w14:val="tx1"/>
                  </w14:solidFill>
                </w14:textFill>
              </w:rPr>
            </w:pPr>
            <w:r>
              <w:rPr>
                <w:rFonts w:hint="eastAsia"/>
                <w:color w:val="000000" w:themeColor="text1"/>
                <w:lang w:val="en-US"/>
                <w14:textFill>
                  <w14:solidFill>
                    <w14:schemeClr w14:val="tx1"/>
                  </w14:solidFill>
                </w14:textFill>
              </w:rPr>
              <w:t>本项目</w:t>
            </w:r>
            <w:r>
              <w:rPr>
                <w:rFonts w:hint="eastAsia"/>
                <w:color w:val="000000" w:themeColor="text1"/>
                <w:lang w:val="en-US" w:eastAsia="zh-CN"/>
                <w14:textFill>
                  <w14:solidFill>
                    <w14:schemeClr w14:val="tx1"/>
                  </w14:solidFill>
                </w14:textFill>
              </w:rPr>
              <w:t>环评阶段项目</w:t>
            </w:r>
            <w:r>
              <w:rPr>
                <w:rFonts w:hint="eastAsia"/>
                <w:color w:val="000000" w:themeColor="text1"/>
                <w:lang w:val="en-US"/>
                <w14:textFill>
                  <w14:solidFill>
                    <w14:schemeClr w14:val="tx1"/>
                  </w14:solidFill>
                </w14:textFill>
              </w:rPr>
              <w:t>总投资为199705.13万元，其中环保投资672万元，占项目总投资的0.34%</w:t>
            </w:r>
            <w:r>
              <w:rPr>
                <w:rFonts w:hint="eastAsia"/>
                <w:color w:val="000000" w:themeColor="text1"/>
                <w:lang w:val="en-US" w:eastAsia="zh-CN"/>
                <w14:textFill>
                  <w14:solidFill>
                    <w14:schemeClr w14:val="tx1"/>
                  </w14:solidFill>
                </w14:textFill>
              </w:rPr>
              <w:t>，</w:t>
            </w:r>
            <w:r>
              <w:rPr>
                <w:color w:val="000000" w:themeColor="text1"/>
                <w:lang w:val="en-US"/>
                <w14:textFill>
                  <w14:solidFill>
                    <w14:schemeClr w14:val="tx1"/>
                  </w14:solidFill>
                </w14:textFill>
              </w:rPr>
              <w:t>项目建成后工程实际总投资</w:t>
            </w:r>
            <w:r>
              <w:rPr>
                <w:rFonts w:hint="eastAsia"/>
                <w:color w:val="000000" w:themeColor="text1"/>
                <w:lang w:val="en-US"/>
                <w14:textFill>
                  <w14:solidFill>
                    <w14:schemeClr w14:val="tx1"/>
                  </w14:solidFill>
                </w14:textFill>
              </w:rPr>
              <w:t>199705.13</w:t>
            </w:r>
            <w:r>
              <w:rPr>
                <w:color w:val="000000" w:themeColor="text1"/>
                <w:lang w:val="en-US"/>
                <w14:textFill>
                  <w14:solidFill>
                    <w14:schemeClr w14:val="tx1"/>
                  </w14:solidFill>
                </w14:textFill>
              </w:rPr>
              <w:t>万元，其中实际完成环保投资</w:t>
            </w:r>
            <w:r>
              <w:rPr>
                <w:rFonts w:hint="eastAsia"/>
                <w:color w:val="000000" w:themeColor="text1"/>
                <w:lang w:val="en-US" w:eastAsia="zh-CN"/>
                <w14:textFill>
                  <w14:solidFill>
                    <w14:schemeClr w14:val="tx1"/>
                  </w14:solidFill>
                </w14:textFill>
              </w:rPr>
              <w:t>681</w:t>
            </w:r>
            <w:r>
              <w:rPr>
                <w:color w:val="000000" w:themeColor="text1"/>
                <w:lang w:val="en-US"/>
                <w14:textFill>
                  <w14:solidFill>
                    <w14:schemeClr w14:val="tx1"/>
                  </w14:solidFill>
                </w14:textFill>
              </w:rPr>
              <w:t>万元</w:t>
            </w:r>
            <w:r>
              <w:rPr>
                <w:rFonts w:hint="eastAsia"/>
                <w:color w:val="000000" w:themeColor="text1"/>
                <w:lang w:val="en-US"/>
                <w14:textFill>
                  <w14:solidFill>
                    <w14:schemeClr w14:val="tx1"/>
                  </w14:solidFill>
                </w14:textFill>
              </w:rPr>
              <w:t>，</w:t>
            </w:r>
            <w:r>
              <w:rPr>
                <w:color w:val="000000" w:themeColor="text1"/>
                <w:lang w:val="en-US"/>
                <w14:textFill>
                  <w14:solidFill>
                    <w14:schemeClr w14:val="tx1"/>
                  </w14:solidFill>
                </w14:textFill>
              </w:rPr>
              <w:t>占实际总投资的</w:t>
            </w:r>
            <w:r>
              <w:rPr>
                <w:rFonts w:hint="eastAsia"/>
                <w:color w:val="000000" w:themeColor="text1"/>
                <w:lang w:val="en-US" w:eastAsia="zh-CN"/>
                <w14:textFill>
                  <w14:solidFill>
                    <w14:schemeClr w14:val="tx1"/>
                  </w14:solidFill>
                </w14:textFill>
              </w:rPr>
              <w:t>0.34</w:t>
            </w:r>
            <w:r>
              <w:rPr>
                <w:color w:val="000000" w:themeColor="text1"/>
                <w:lang w:val="en-US"/>
                <w14:textFill>
                  <w14:solidFill>
                    <w14:schemeClr w14:val="tx1"/>
                  </w14:solidFill>
                </w14:textFill>
              </w:rPr>
              <w:t>%。</w:t>
            </w:r>
            <w:r>
              <w:rPr>
                <w:rFonts w:hint="eastAsia" w:cs="Times New Roman"/>
                <w:color w:val="000000" w:themeColor="text1"/>
                <w:sz w:val="24"/>
                <w:szCs w:val="24"/>
                <w:lang w:eastAsia="zh-CN"/>
                <w14:textFill>
                  <w14:solidFill>
                    <w14:schemeClr w14:val="tx1"/>
                  </w14:solidFill>
                </w14:textFill>
              </w:rPr>
              <w:t>通过竣工环保验收现场查验结果来看，</w:t>
            </w:r>
            <w:r>
              <w:rPr>
                <w:rFonts w:ascii="Times New Roman" w:hAnsi="Times New Roman" w:cs="Times New Roman"/>
                <w:color w:val="000000" w:themeColor="text1"/>
                <w:spacing w:val="-3"/>
                <w:sz w:val="24"/>
                <w:szCs w:val="24"/>
                <w14:textFill>
                  <w14:solidFill>
                    <w14:schemeClr w14:val="tx1"/>
                  </w14:solidFill>
                </w14:textFill>
              </w:rPr>
              <w:t>工程实际环保投资</w:t>
            </w:r>
            <w:r>
              <w:rPr>
                <w:rFonts w:hint="eastAsia" w:cs="Times New Roman"/>
                <w:color w:val="000000" w:themeColor="text1"/>
                <w:spacing w:val="-3"/>
                <w:sz w:val="24"/>
                <w:szCs w:val="24"/>
                <w:lang w:eastAsia="zh-CN"/>
                <w14:textFill>
                  <w14:solidFill>
                    <w14:schemeClr w14:val="tx1"/>
                  </w14:solidFill>
                </w14:textFill>
              </w:rPr>
              <w:t>高于</w:t>
            </w:r>
            <w:r>
              <w:rPr>
                <w:rFonts w:ascii="Times New Roman" w:hAnsi="Times New Roman" w:cs="Times New Roman"/>
                <w:color w:val="000000" w:themeColor="text1"/>
                <w:spacing w:val="-3"/>
                <w:sz w:val="24"/>
                <w:szCs w:val="24"/>
                <w14:textFill>
                  <w14:solidFill>
                    <w14:schemeClr w14:val="tx1"/>
                  </w14:solidFill>
                </w14:textFill>
              </w:rPr>
              <w:t>环评阶段投资</w:t>
            </w:r>
            <w:r>
              <w:rPr>
                <w:rFonts w:hint="eastAsia" w:ascii="Times New Roman" w:hAnsi="Times New Roman" w:cs="Times New Roman"/>
                <w:color w:val="000000" w:themeColor="text1"/>
                <w:spacing w:val="-2"/>
                <w:sz w:val="24"/>
                <w:szCs w:val="24"/>
                <w14:textFill>
                  <w14:solidFill>
                    <w14:schemeClr w14:val="tx1"/>
                  </w14:solidFill>
                </w14:textFill>
              </w:rPr>
              <w:t>，</w:t>
            </w:r>
            <w:r>
              <w:rPr>
                <w:rFonts w:hint="eastAsia" w:ascii="Times New Roman" w:hAnsi="Times New Roman" w:cs="Times New Roman"/>
                <w:color w:val="000000" w:themeColor="text1"/>
                <w:spacing w:val="-2"/>
                <w:sz w:val="24"/>
                <w:szCs w:val="24"/>
                <w:lang w:eastAsia="zh-CN"/>
                <w14:textFill>
                  <w14:solidFill>
                    <w14:schemeClr w14:val="tx1"/>
                  </w14:solidFill>
                </w14:textFill>
              </w:rPr>
              <w:t>各项</w:t>
            </w:r>
            <w:r>
              <w:rPr>
                <w:rFonts w:ascii="Times New Roman" w:hAnsi="Times New Roman" w:cs="Times New Roman"/>
                <w:color w:val="000000" w:themeColor="text1"/>
                <w:spacing w:val="-2"/>
                <w:sz w:val="24"/>
                <w:szCs w:val="24"/>
                <w14:textFill>
                  <w14:solidFill>
                    <w14:schemeClr w14:val="tx1"/>
                  </w14:solidFill>
                </w14:textFill>
              </w:rPr>
              <w:t>污染防</w:t>
            </w:r>
            <w:r>
              <w:rPr>
                <w:rFonts w:ascii="Times New Roman" w:hAnsi="Times New Roman" w:cs="Times New Roman"/>
                <w:color w:val="000000" w:themeColor="text1"/>
                <w:spacing w:val="-3"/>
                <w:sz w:val="24"/>
                <w:szCs w:val="24"/>
                <w14:textFill>
                  <w14:solidFill>
                    <w14:schemeClr w14:val="tx1"/>
                  </w14:solidFill>
                </w14:textFill>
              </w:rPr>
              <w:t>治措施落实</w:t>
            </w:r>
            <w:r>
              <w:rPr>
                <w:rFonts w:hint="eastAsia" w:ascii="Times New Roman" w:hAnsi="Times New Roman" w:cs="Times New Roman"/>
                <w:color w:val="000000" w:themeColor="text1"/>
                <w:spacing w:val="-3"/>
                <w:sz w:val="24"/>
                <w:szCs w:val="24"/>
                <w14:textFill>
                  <w14:solidFill>
                    <w14:schemeClr w14:val="tx1"/>
                  </w14:solidFill>
                </w14:textFill>
              </w:rPr>
              <w:t>到位</w:t>
            </w:r>
            <w:r>
              <w:rPr>
                <w:rFonts w:ascii="Times New Roman" w:hAnsi="Times New Roman" w:cs="Times New Roman"/>
                <w:color w:val="000000" w:themeColor="text1"/>
                <w:spacing w:val="-6"/>
                <w:sz w:val="24"/>
                <w:szCs w:val="24"/>
                <w14:textFill>
                  <w14:solidFill>
                    <w14:schemeClr w14:val="tx1"/>
                  </w14:solidFill>
                </w14:textFill>
              </w:rPr>
              <w:t>，环保投资可以满足生态恢复及环境保护要求。</w:t>
            </w:r>
          </w:p>
          <w:p w14:paraId="5BCCC677">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14:textFill>
                  <w14:solidFill>
                    <w14:schemeClr w14:val="tx1"/>
                  </w14:solidFill>
                </w14:textFill>
              </w:rPr>
            </w:pPr>
            <w:r>
              <w:rPr>
                <w:rFonts w:hint="eastAsia"/>
                <w:color w:val="000000" w:themeColor="text1"/>
                <w14:textFill>
                  <w14:solidFill>
                    <w14:schemeClr w14:val="tx1"/>
                  </w14:solidFill>
                </w14:textFill>
              </w:rPr>
              <w:t>1.3</w:t>
            </w:r>
            <w:r>
              <w:rPr>
                <w:color w:val="000000" w:themeColor="text1"/>
                <w14:textFill>
                  <w14:solidFill>
                    <w14:schemeClr w14:val="tx1"/>
                  </w14:solidFill>
                </w14:textFill>
              </w:rPr>
              <w:t>工程变动情况调查</w:t>
            </w:r>
          </w:p>
          <w:p w14:paraId="7BCFE5A9">
            <w:pPr>
              <w:pStyle w:val="2"/>
              <w:keepNext w:val="0"/>
              <w:keepLines w:val="0"/>
              <w:pageBreakBefore w:val="0"/>
              <w:widowControl w:val="0"/>
              <w:kinsoku/>
              <w:wordWrap/>
              <w:overflowPunct/>
              <w:topLinePunct w:val="0"/>
              <w:autoSpaceDE w:val="0"/>
              <w:autoSpaceDN w:val="0"/>
              <w:bidi w:val="0"/>
              <w:adjustRightInd/>
              <w:snapToGrid/>
              <w:ind w:left="48" w:leftChars="20" w:right="48" w:rightChars="20"/>
              <w:textAlignment w:val="auto"/>
              <w:rPr>
                <w:rFonts w:hint="default"/>
                <w:color w:val="000000" w:themeColor="text1"/>
                <w:sz w:val="24"/>
                <w:szCs w:val="24"/>
                <w:lang w:val="en-US" w:eastAsia="zh-CN"/>
                <w14:textFill>
                  <w14:solidFill>
                    <w14:schemeClr w14:val="tx1"/>
                  </w14:solidFill>
                </w14:textFill>
              </w:rPr>
            </w:pPr>
            <w:r>
              <w:rPr>
                <w:rFonts w:hint="eastAsia" w:ascii="Times New Roman" w:hAnsi="Times New Roman"/>
                <w:bCs/>
                <w:color w:val="000000" w:themeColor="text1"/>
                <w:lang w:eastAsia="zh-CN"/>
                <w14:textFill>
                  <w14:solidFill>
                    <w14:schemeClr w14:val="tx1"/>
                  </w14:solidFill>
                </w14:textFill>
              </w:rPr>
              <w:t>根据</w:t>
            </w:r>
            <w:r>
              <w:rPr>
                <w:rFonts w:hint="eastAsia"/>
                <w:bCs/>
                <w:color w:val="000000" w:themeColor="text1"/>
                <w:lang w:val="en-US" w:eastAsia="zh-CN"/>
                <w14:textFill>
                  <w14:solidFill>
                    <w14:schemeClr w14:val="tx1"/>
                  </w14:solidFill>
                </w14:textFill>
              </w:rPr>
              <w:t>实际勘察</w:t>
            </w:r>
            <w:r>
              <w:rPr>
                <w:rFonts w:hint="eastAsia" w:ascii="Times New Roman" w:hAnsi="Times New Roman"/>
                <w:bCs/>
                <w:color w:val="000000" w:themeColor="text1"/>
                <w:lang w:eastAsia="zh-CN"/>
                <w14:textFill>
                  <w14:solidFill>
                    <w14:schemeClr w14:val="tx1"/>
                  </w14:solidFill>
                </w14:textFill>
              </w:rPr>
              <w:t>、沿线调查及施工资料</w:t>
            </w:r>
            <w:r>
              <w:rPr>
                <w:rFonts w:hint="eastAsia"/>
                <w:bCs/>
                <w:color w:val="000000" w:themeColor="text1"/>
                <w:lang w:eastAsia="zh-CN"/>
                <w14:textFill>
                  <w14:solidFill>
                    <w14:schemeClr w14:val="tx1"/>
                  </w14:solidFill>
                </w14:textFill>
              </w:rPr>
              <w:t>：</w:t>
            </w:r>
            <w:r>
              <w:rPr>
                <w:rFonts w:hint="eastAsia"/>
                <w:color w:val="000000" w:themeColor="text1"/>
                <w:lang w:val="en-US" w:eastAsia="zh-CN"/>
                <w14:textFill>
                  <w14:solidFill>
                    <w14:schemeClr w14:val="tx1"/>
                  </w14:solidFill>
                </w14:textFill>
              </w:rPr>
              <w:t>临时占地中办公、生活区域临时占地面积比环评设计减少了60m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专业仓库较环评增加了37m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材料加工厂较环评增加了24m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道路地坪等较环评减少了24m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14:textFill>
                  <w14:solidFill>
                    <w14:schemeClr w14:val="tx1"/>
                  </w14:solidFill>
                </w14:textFill>
              </w:rPr>
              <w:t>，</w:t>
            </w:r>
            <w:r>
              <w:rPr>
                <w:rFonts w:hint="eastAsia"/>
                <w:color w:val="000000" w:themeColor="text1"/>
                <w:lang w:val="en-US" w:eastAsia="zh-CN"/>
                <w14:textFill>
                  <w14:solidFill>
                    <w14:schemeClr w14:val="tx1"/>
                  </w14:solidFill>
                </w14:textFill>
              </w:rPr>
              <w:t>临时占地</w:t>
            </w:r>
            <w:r>
              <w:rPr>
                <w:rFonts w:hint="eastAsia"/>
                <w:color w:val="000000" w:themeColor="text1"/>
                <w:lang w:val="en-US"/>
                <w14:textFill>
                  <w14:solidFill>
                    <w14:schemeClr w14:val="tx1"/>
                  </w14:solidFill>
                </w14:textFill>
              </w:rPr>
              <w:t>总</w:t>
            </w:r>
            <w:r>
              <w:rPr>
                <w:rFonts w:hint="eastAsia"/>
                <w:color w:val="000000" w:themeColor="text1"/>
                <w:lang w:val="en-US" w:eastAsia="zh-CN"/>
                <w14:textFill>
                  <w14:solidFill>
                    <w14:schemeClr w14:val="tx1"/>
                  </w14:solidFill>
                </w14:textFill>
              </w:rPr>
              <w:t>占地</w:t>
            </w:r>
            <w:r>
              <w:rPr>
                <w:rFonts w:hint="eastAsia"/>
                <w:color w:val="000000" w:themeColor="text1"/>
                <w:lang w:val="en-US"/>
                <w14:textFill>
                  <w14:solidFill>
                    <w14:schemeClr w14:val="tx1"/>
                  </w14:solidFill>
                </w14:textFill>
              </w:rPr>
              <w:t>面积</w:t>
            </w:r>
            <w:r>
              <w:rPr>
                <w:rFonts w:hint="eastAsia"/>
                <w:color w:val="000000" w:themeColor="text1"/>
                <w:lang w:val="en-US" w:eastAsia="zh-CN"/>
                <w14:textFill>
                  <w14:solidFill>
                    <w14:schemeClr w14:val="tx1"/>
                  </w14:solidFill>
                </w14:textFill>
              </w:rPr>
              <w:t>较环评设计减少了53m</w:t>
            </w:r>
            <w:r>
              <w:rPr>
                <w:rFonts w:hint="eastAsia"/>
                <w:color w:val="000000" w:themeColor="text1"/>
                <w:vertAlign w:val="superscript"/>
                <w:lang w:val="en-US" w:eastAsia="zh-CN"/>
                <w14:textFill>
                  <w14:solidFill>
                    <w14:schemeClr w14:val="tx1"/>
                  </w14:solidFill>
                </w14:textFill>
              </w:rPr>
              <w:t>2</w:t>
            </w:r>
            <w:r>
              <w:rPr>
                <w:rFonts w:hint="eastAsia"/>
                <w:color w:val="000000" w:themeColor="text1"/>
                <w:lang w:val="en-US" w:eastAsia="zh-CN"/>
                <w14:textFill>
                  <w14:solidFill>
                    <w14:schemeClr w14:val="tx1"/>
                  </w14:solidFill>
                </w14:textFill>
              </w:rPr>
              <w:t>。</w:t>
            </w:r>
          </w:p>
          <w:p w14:paraId="1245290E">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0" w:firstLineChars="0"/>
              <w:jc w:val="both"/>
              <w:textAlignment w:val="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除以上变动内容外，其余工程内容均与环评阶段一致。上述变动不属于《建设项目重大变动清单》（环发[2015]52号），不存在重大变动。</w:t>
            </w:r>
          </w:p>
          <w:p w14:paraId="25EAC94E">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jc w:val="both"/>
              <w:textAlignment w:val="auto"/>
              <w:rPr>
                <w:color w:val="000000" w:themeColor="text1"/>
                <w14:textFill>
                  <w14:solidFill>
                    <w14:schemeClr w14:val="tx1"/>
                  </w14:solidFill>
                </w14:textFill>
              </w:rPr>
            </w:pPr>
            <w:r>
              <w:rPr>
                <w:rFonts w:hint="eastAsia"/>
                <w:b/>
                <w:bCs/>
                <w:color w:val="000000" w:themeColor="text1"/>
                <w:lang w:val="en-US"/>
                <w14:textFill>
                  <w14:solidFill>
                    <w14:schemeClr w14:val="tx1"/>
                  </w14:solidFill>
                </w14:textFill>
              </w:rPr>
              <w:t>2、</w:t>
            </w:r>
            <w:r>
              <w:rPr>
                <w:b/>
                <w:bCs/>
                <w:color w:val="000000" w:themeColor="text1"/>
                <w14:textFill>
                  <w14:solidFill>
                    <w14:schemeClr w14:val="tx1"/>
                  </w14:solidFill>
                </w14:textFill>
              </w:rPr>
              <w:t>环保措施落实情况调查结论</w:t>
            </w:r>
          </w:p>
          <w:p w14:paraId="79630B63">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2</w:t>
            </w:r>
            <w:r>
              <w:rPr>
                <w:rFonts w:hint="eastAsia"/>
                <w:color w:val="000000" w:themeColor="text1"/>
                <w14:textFill>
                  <w14:solidFill>
                    <w14:schemeClr w14:val="tx1"/>
                  </w14:solidFill>
                </w14:textFill>
              </w:rPr>
              <w:t>.1生态环境影响调查</w:t>
            </w:r>
          </w:p>
          <w:p w14:paraId="1015AB17">
            <w:pPr>
              <w:keepNext w:val="0"/>
              <w:keepLines w:val="0"/>
              <w:pageBreakBefore w:val="0"/>
              <w:widowControl w:val="0"/>
              <w:kinsoku/>
              <w:wordWrap/>
              <w:overflowPunct/>
              <w:topLinePunct w:val="0"/>
              <w:autoSpaceDE w:val="0"/>
              <w:autoSpaceDN w:val="0"/>
              <w:bidi w:val="0"/>
              <w:adjustRightInd/>
              <w:snapToGrid/>
              <w:ind w:left="48" w:leftChars="20" w:right="48" w:rightChars="20"/>
              <w:textAlignment w:val="auto"/>
              <w:rPr>
                <w:color w:val="000000" w:themeColor="text1"/>
                <w14:textFill>
                  <w14:solidFill>
                    <w14:schemeClr w14:val="tx1"/>
                  </w14:solidFill>
                </w14:textFill>
              </w:rPr>
            </w:pPr>
            <w:r>
              <w:rPr>
                <w:rFonts w:hint="eastAsia" w:cs="宋体"/>
                <w:color w:val="000000" w:themeColor="text1"/>
                <w:sz w:val="24"/>
                <w:szCs w:val="22"/>
                <w:lang w:val="zh-CN" w:eastAsia="zh-CN" w:bidi="zh-CN"/>
                <w14:textFill>
                  <w14:solidFill>
                    <w14:schemeClr w14:val="tx1"/>
                  </w14:solidFill>
                </w14:textFill>
              </w:rPr>
              <w:t>施工结束后已拆除施工营地，临时道路已改成场区进场道路和检修道路，并对临时占地进行了地貌平整和植被恢复，施工临时占地已恢复原有地貌。</w:t>
            </w:r>
            <w:r>
              <w:rPr>
                <w:rFonts w:cs="Times New Roman"/>
                <w:color w:val="000000" w:themeColor="text1"/>
                <w:kern w:val="18"/>
                <w:szCs w:val="24"/>
                <w:lang w:val="en-US" w:bidi="ar-SA"/>
                <w14:textFill>
                  <w14:solidFill>
                    <w14:schemeClr w14:val="tx1"/>
                  </w14:solidFill>
                </w14:textFill>
              </w:rPr>
              <w:t>本项目</w:t>
            </w:r>
            <w:r>
              <w:rPr>
                <w:rFonts w:hint="eastAsia" w:ascii="Times New Roman" w:hAnsi="Times New Roman" w:eastAsia="宋体" w:cs="宋体"/>
                <w:color w:val="000000" w:themeColor="text1"/>
                <w:kern w:val="0"/>
                <w:sz w:val="24"/>
                <w:szCs w:val="22"/>
                <w:lang w:val="en-US" w:eastAsia="zh-CN" w:bidi="zh-CN"/>
                <w14:textFill>
                  <w14:solidFill>
                    <w14:schemeClr w14:val="tx1"/>
                  </w14:solidFill>
                </w14:textFill>
              </w:rPr>
              <w:t>施工区内无重点保护野生植物，施工区对地表植被的影响主要表现在施工临时占地和永久占</w:t>
            </w:r>
            <w:r>
              <w:rPr>
                <w:rFonts w:hint="eastAsia"/>
                <w:color w:val="000000" w:themeColor="text1"/>
                <w:lang w:val="en-US" w:eastAsia="zh-CN"/>
                <w14:textFill>
                  <w14:solidFill>
                    <w14:schemeClr w14:val="tx1"/>
                  </w14:solidFill>
                </w14:textFill>
              </w:rPr>
              <w:t>地对地表植被的破坏。项目区植被主要以多年生植物为主。目前施工扰动区域已进行填埋、压实，并种植植被，加之施工期较短，所以项目施工对区域植被多样性和植被分布影响较小。</w:t>
            </w:r>
          </w:p>
          <w:p w14:paraId="06E5B575">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2</w:t>
            </w:r>
            <w:r>
              <w:rPr>
                <w:rFonts w:hint="eastAsia"/>
                <w:color w:val="000000" w:themeColor="text1"/>
                <w14:textFill>
                  <w14:solidFill>
                    <w14:schemeClr w14:val="tx1"/>
                  </w14:solidFill>
                </w14:textFill>
              </w:rPr>
              <w:t>.2</w:t>
            </w:r>
            <w:r>
              <w:rPr>
                <w:color w:val="000000" w:themeColor="text1"/>
                <w14:textFill>
                  <w14:solidFill>
                    <w14:schemeClr w14:val="tx1"/>
                  </w14:solidFill>
                </w14:textFill>
              </w:rPr>
              <w:t>水、气、声、固废环境影响调查</w:t>
            </w:r>
          </w:p>
          <w:p w14:paraId="6E19775A">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14:textFill>
                  <w14:solidFill>
                    <w14:schemeClr w14:val="tx1"/>
                  </w14:solidFill>
                </w14:textFill>
              </w:rPr>
            </w:pPr>
            <w:r>
              <w:rPr>
                <w:color w:val="000000" w:themeColor="text1"/>
                <w14:textFill>
                  <w14:solidFill>
                    <w14:schemeClr w14:val="tx1"/>
                  </w14:solidFill>
                </w14:textFill>
              </w:rPr>
              <w:t>工程施工期废水、废气、噪声及固废均按照《报告表》要求进行处理处置，污染防治措施满足环评文件及审批决定的要求，执行效果较好，对周围环境影响可接受。</w:t>
            </w:r>
          </w:p>
          <w:p w14:paraId="1F4698A5">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14:textFill>
                  <w14:solidFill>
                    <w14:schemeClr w14:val="tx1"/>
                  </w14:solidFill>
                </w14:textFill>
              </w:rPr>
            </w:pPr>
            <w:r>
              <w:rPr>
                <w:rFonts w:hint="eastAsia"/>
                <w:color w:val="000000" w:themeColor="text1"/>
                <w:lang w:val="en-US"/>
                <w14:textFill>
                  <w14:solidFill>
                    <w14:schemeClr w14:val="tx1"/>
                  </w14:solidFill>
                </w14:textFill>
              </w:rPr>
              <w:t>2</w:t>
            </w:r>
            <w:r>
              <w:rPr>
                <w:rFonts w:hint="eastAsia"/>
                <w:color w:val="000000" w:themeColor="text1"/>
                <w14:textFill>
                  <w14:solidFill>
                    <w14:schemeClr w14:val="tx1"/>
                  </w14:solidFill>
                </w14:textFill>
              </w:rPr>
              <w:t>.3</w:t>
            </w:r>
            <w:r>
              <w:rPr>
                <w:color w:val="000000" w:themeColor="text1"/>
                <w14:textFill>
                  <w14:solidFill>
                    <w14:schemeClr w14:val="tx1"/>
                  </w14:solidFill>
                </w14:textFill>
              </w:rPr>
              <w:t>运营期环境影响调查</w:t>
            </w:r>
          </w:p>
          <w:p w14:paraId="5B0F2903">
            <w:pPr>
              <w:pStyle w:val="16"/>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48" w:leftChars="20" w:right="48" w:rightChars="20" w:firstLine="480" w:firstLineChars="200"/>
              <w:jc w:val="both"/>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cs="Times New Roman"/>
                <w:color w:val="000000" w:themeColor="text1"/>
                <w:lang w:val="en-US" w:eastAsia="zh-CN"/>
                <w14:textFill>
                  <w14:solidFill>
                    <w14:schemeClr w14:val="tx1"/>
                  </w14:solidFill>
                </w14:textFill>
              </w:rPr>
              <w:t>光</w:t>
            </w:r>
            <w:r>
              <w:rPr>
                <w:rFonts w:hint="default" w:ascii="Times New Roman" w:hAnsi="Times New Roman" w:eastAsia="宋体" w:cs="Times New Roman"/>
                <w:color w:val="000000" w:themeColor="text1"/>
                <w:lang w:val="en-US" w:eastAsia="zh-CN"/>
                <w14:textFill>
                  <w14:solidFill>
                    <w14:schemeClr w14:val="tx1"/>
                  </w14:solidFill>
                </w14:textFill>
              </w:rPr>
              <w:t>伏组件冲洗废水沿</w:t>
            </w:r>
            <w:r>
              <w:rPr>
                <w:rFonts w:hint="eastAsia" w:ascii="Times New Roman" w:hAnsi="Times New Roman" w:eastAsia="宋体" w:cs="Times New Roman"/>
                <w:color w:val="000000" w:themeColor="text1"/>
                <w:lang w:val="en-US" w:eastAsia="zh-CN"/>
                <w14:textFill>
                  <w14:solidFill>
                    <w14:schemeClr w14:val="tx1"/>
                  </w14:solidFill>
                </w14:textFill>
              </w:rPr>
              <w:t>光伏组件表面落至地面不外排，根据业主提供资料及现场调查</w:t>
            </w:r>
            <w:r>
              <w:rPr>
                <w:rFonts w:hint="eastAsia"/>
                <w:color w:val="000000" w:themeColor="text1"/>
                <w14:textFill>
                  <w14:solidFill>
                    <w14:schemeClr w14:val="tx1"/>
                  </w14:solidFill>
                </w14:textFill>
              </w:rPr>
              <w:t>未发现废水漫流、乱排现象</w:t>
            </w:r>
            <w:r>
              <w:rPr>
                <w:rFonts w:hint="eastAsia"/>
                <w:color w:val="000000" w:themeColor="text1"/>
                <w:lang w:eastAsia="zh-CN"/>
                <w14:textFill>
                  <w14:solidFill>
                    <w14:schemeClr w14:val="tx1"/>
                  </w14:solidFill>
                </w14:textFill>
              </w:rPr>
              <w:t>；</w:t>
            </w:r>
            <w:r>
              <w:rPr>
                <w:rFonts w:hint="eastAsia" w:ascii="Times New Roman" w:hAnsi="Times New Roman" w:eastAsia="宋体" w:cs="Times New Roman"/>
                <w:color w:val="000000" w:themeColor="text1"/>
                <w:lang w:val="en-US" w:eastAsia="zh-CN"/>
                <w14:textFill>
                  <w14:solidFill>
                    <w14:schemeClr w14:val="tx1"/>
                  </w14:solidFill>
                </w14:textFill>
              </w:rPr>
              <w:t>职工生活污水经1座15m</w:t>
            </w:r>
            <w:r>
              <w:rPr>
                <w:rFonts w:hint="eastAsia" w:ascii="Times New Roman" w:hAnsi="Times New Roman" w:eastAsia="宋体" w:cs="Times New Roman"/>
                <w:color w:val="000000" w:themeColor="text1"/>
                <w:vertAlign w:val="superscript"/>
                <w:lang w:val="en-US" w:eastAsia="zh-CN"/>
                <w14:textFill>
                  <w14:solidFill>
                    <w14:schemeClr w14:val="tx1"/>
                  </w14:solidFill>
                </w14:textFill>
              </w:rPr>
              <w:t>3</w:t>
            </w:r>
            <w:r>
              <w:rPr>
                <w:rFonts w:hint="eastAsia" w:ascii="Times New Roman" w:hAnsi="Times New Roman" w:eastAsia="宋体" w:cs="Times New Roman"/>
                <w:color w:val="000000" w:themeColor="text1"/>
                <w:lang w:val="en-US" w:eastAsia="zh-CN"/>
                <w14:textFill>
                  <w14:solidFill>
                    <w14:schemeClr w14:val="tx1"/>
                  </w14:solidFill>
                </w14:textFill>
              </w:rPr>
              <w:t>一体化地埋式化粪池处理后由吸粪车拉运至尖扎县污水处理厂进行处置。生活垃圾经新购置的生活垃圾桶收集后清运至尖扎县垃圾填埋场填埋。</w:t>
            </w:r>
          </w:p>
          <w:p w14:paraId="4CD38D54">
            <w:pPr>
              <w:pStyle w:val="16"/>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48" w:leftChars="20" w:right="48" w:rightChars="20" w:firstLine="480" w:firstLineChars="200"/>
              <w:jc w:val="both"/>
              <w:textAlignment w:val="auto"/>
              <w:rPr>
                <w:color w:val="000000" w:themeColor="text1"/>
                <w14:textFill>
                  <w14:solidFill>
                    <w14:schemeClr w14:val="tx1"/>
                  </w14:solidFill>
                </w14:textFill>
              </w:rPr>
            </w:pPr>
            <w:r>
              <w:rPr>
                <w:rFonts w:hint="eastAsia" w:cs="Times New Roman"/>
                <w:color w:val="000000" w:themeColor="text1"/>
                <w:lang w:val="en-US" w:eastAsia="zh-CN"/>
                <w14:textFill>
                  <w14:solidFill>
                    <w14:schemeClr w14:val="tx1"/>
                  </w14:solidFill>
                </w14:textFill>
              </w:rPr>
              <w:t>目前未产生</w:t>
            </w:r>
            <w:r>
              <w:rPr>
                <w:rFonts w:hint="eastAsia" w:ascii="Times New Roman" w:hAnsi="Times New Roman" w:eastAsia="宋体" w:cs="Times New Roman"/>
                <w:color w:val="000000" w:themeColor="text1"/>
                <w:lang w:val="en-US" w:eastAsia="zh-CN"/>
                <w14:textFill>
                  <w14:solidFill>
                    <w14:schemeClr w14:val="tx1"/>
                  </w14:solidFill>
                </w14:textFill>
              </w:rPr>
              <w:t>废旧电子元件</w:t>
            </w:r>
            <w:r>
              <w:rPr>
                <w:rFonts w:hint="eastAsia" w:cs="Times New Roman"/>
                <w:color w:val="000000" w:themeColor="text1"/>
                <w:lang w:val="en-US" w:eastAsia="zh-CN"/>
                <w14:textFill>
                  <w14:solidFill>
                    <w14:schemeClr w14:val="tx1"/>
                  </w14:solidFill>
                </w14:textFill>
              </w:rPr>
              <w:t>、</w:t>
            </w:r>
            <w:r>
              <w:rPr>
                <w:rFonts w:hint="eastAsia" w:ascii="Times New Roman" w:hAnsi="Times New Roman" w:eastAsia="宋体" w:cs="Times New Roman"/>
                <w:color w:val="000000" w:themeColor="text1"/>
                <w:lang w:val="en-US" w:eastAsia="zh-CN"/>
                <w14:textFill>
                  <w14:solidFill>
                    <w14:schemeClr w14:val="tx1"/>
                  </w14:solidFill>
                </w14:textFill>
              </w:rPr>
              <w:t>废旧损坏电池</w:t>
            </w:r>
            <w:r>
              <w:rPr>
                <w:rFonts w:hint="eastAsia" w:cs="Times New Roman"/>
                <w:color w:val="000000" w:themeColor="text1"/>
                <w:lang w:val="en-US" w:eastAsia="zh-CN"/>
                <w14:textFill>
                  <w14:solidFill>
                    <w14:schemeClr w14:val="tx1"/>
                  </w14:solidFill>
                </w14:textFill>
              </w:rPr>
              <w:t>、</w:t>
            </w:r>
            <w:r>
              <w:rPr>
                <w:rFonts w:hint="eastAsia" w:ascii="Times New Roman" w:hAnsi="Times New Roman" w:eastAsia="宋体" w:cs="Times New Roman"/>
                <w:color w:val="000000" w:themeColor="text1"/>
                <w:lang w:val="en-US" w:eastAsia="zh-CN"/>
                <w14:textFill>
                  <w14:solidFill>
                    <w14:schemeClr w14:val="tx1"/>
                  </w14:solidFill>
                </w14:textFill>
              </w:rPr>
              <w:t>变压器油</w:t>
            </w:r>
            <w:r>
              <w:rPr>
                <w:color w:val="000000" w:themeColor="text1"/>
                <w14:textFill>
                  <w14:solidFill>
                    <w14:schemeClr w14:val="tx1"/>
                  </w14:solidFill>
                </w14:textFill>
              </w:rPr>
              <w:t>，污染防治措施满足环评文件及审批决定的要求，执行效果较好，对项目区域环境影响很小。</w:t>
            </w:r>
          </w:p>
          <w:p w14:paraId="4BD93537">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0" w:firstLineChars="0"/>
              <w:textAlignment w:val="auto"/>
              <w:rPr>
                <w:rFonts w:hint="eastAsia" w:eastAsia="宋体"/>
                <w:b/>
                <w:bCs/>
                <w:color w:val="000000" w:themeColor="text1"/>
                <w:lang w:eastAsia="zh-CN"/>
                <w14:textFill>
                  <w14:solidFill>
                    <w14:schemeClr w14:val="tx1"/>
                  </w14:solidFill>
                </w14:textFill>
              </w:rPr>
            </w:pPr>
            <w:r>
              <w:rPr>
                <w:rFonts w:hint="eastAsia"/>
                <w:b/>
                <w:bCs/>
                <w:color w:val="000000" w:themeColor="text1"/>
                <w:lang w:val="en-US"/>
                <w14:textFill>
                  <w14:solidFill>
                    <w14:schemeClr w14:val="tx1"/>
                  </w14:solidFill>
                </w14:textFill>
              </w:rPr>
              <w:t>3、</w:t>
            </w:r>
            <w:r>
              <w:rPr>
                <w:rFonts w:hint="eastAsia"/>
                <w:b/>
                <w:bCs/>
                <w:color w:val="000000" w:themeColor="text1"/>
                <w:lang w:val="en-US" w:eastAsia="zh-CN"/>
                <w14:textFill>
                  <w14:solidFill>
                    <w14:schemeClr w14:val="tx1"/>
                  </w14:solidFill>
                </w14:textFill>
              </w:rPr>
              <w:t>后续要求</w:t>
            </w:r>
          </w:p>
          <w:p w14:paraId="65B3638F">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2"/>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（1）场区设备</w:t>
            </w:r>
          </w:p>
          <w:p w14:paraId="2FDAEE09">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2"/>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光伏电站25年服务期满后严格按照要求将光伏组件全部拆除后由光伏组件供应厂家回收，电器设备组串式逆变器拆解后运回原供货单位，储能设备由原供货厂家回收处置。</w:t>
            </w:r>
          </w:p>
          <w:p w14:paraId="1EE1D31A">
            <w:pPr>
              <w:pStyle w:val="2"/>
              <w:keepNext w:val="0"/>
              <w:keepLines w:val="0"/>
              <w:pageBreakBefore w:val="0"/>
              <w:widowControl w:val="0"/>
              <w:kinsoku/>
              <w:wordWrap/>
              <w:overflowPunct/>
              <w:topLinePunct w:val="0"/>
              <w:autoSpaceDE w:val="0"/>
              <w:autoSpaceDN w:val="0"/>
              <w:bidi w:val="0"/>
              <w:adjustRightInd/>
              <w:snapToGrid/>
              <w:ind w:left="48" w:leftChars="20" w:right="48" w:rightChars="20"/>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（2）主要构筑物</w:t>
            </w:r>
          </w:p>
          <w:p w14:paraId="541EA17D">
            <w:pPr>
              <w:pStyle w:val="2"/>
              <w:keepNext w:val="0"/>
              <w:keepLines w:val="0"/>
              <w:pageBreakBefore w:val="0"/>
              <w:widowControl w:val="0"/>
              <w:kinsoku/>
              <w:wordWrap/>
              <w:overflowPunct/>
              <w:topLinePunct w:val="0"/>
              <w:autoSpaceDE w:val="0"/>
              <w:autoSpaceDN w:val="0"/>
              <w:bidi w:val="0"/>
              <w:adjustRightInd/>
              <w:snapToGrid/>
              <w:ind w:left="48" w:leftChars="20" w:right="48" w:rightChars="20"/>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光伏电站25年服务期满后严格按照要求将</w:t>
            </w:r>
            <w:r>
              <w:rPr>
                <w:rFonts w:hint="default"/>
                <w:b w:val="0"/>
                <w:bCs w:val="0"/>
                <w:color w:val="000000" w:themeColor="text1"/>
                <w:lang w:val="en-US" w:eastAsia="zh-CN"/>
                <w14:textFill>
                  <w14:solidFill>
                    <w14:schemeClr w14:val="tx1"/>
                  </w14:solidFill>
                </w14:textFill>
              </w:rPr>
              <w:t>光伏组件、箱式变压器和储能设备基础全部拆除后作为建筑垃圾运送至城管部门指定的建筑垃圾填埋场填埋处理</w:t>
            </w:r>
            <w:r>
              <w:rPr>
                <w:rFonts w:hint="eastAsia"/>
                <w:b w:val="0"/>
                <w:bCs w:val="0"/>
                <w:color w:val="000000" w:themeColor="text1"/>
                <w:lang w:val="en-US" w:eastAsia="zh-CN"/>
                <w14:textFill>
                  <w14:solidFill>
                    <w14:schemeClr w14:val="tx1"/>
                  </w14:solidFill>
                </w14:textFill>
              </w:rPr>
              <w:t>，不得在厂区乱堆乱放</w:t>
            </w:r>
          </w:p>
          <w:p w14:paraId="02A45DD7">
            <w:pPr>
              <w:pStyle w:val="2"/>
              <w:keepNext w:val="0"/>
              <w:keepLines w:val="0"/>
              <w:pageBreakBefore w:val="0"/>
              <w:widowControl w:val="0"/>
              <w:kinsoku/>
              <w:wordWrap/>
              <w:overflowPunct/>
              <w:topLinePunct w:val="0"/>
              <w:autoSpaceDE w:val="0"/>
              <w:autoSpaceDN w:val="0"/>
              <w:bidi w:val="0"/>
              <w:adjustRightInd/>
              <w:snapToGrid/>
              <w:ind w:left="48" w:leftChars="20" w:right="48" w:rightChars="20"/>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（3）电站场地</w:t>
            </w:r>
          </w:p>
          <w:p w14:paraId="495A24EE">
            <w:pPr>
              <w:pStyle w:val="2"/>
              <w:keepNext w:val="0"/>
              <w:keepLines w:val="0"/>
              <w:pageBreakBefore w:val="0"/>
              <w:widowControl w:val="0"/>
              <w:kinsoku/>
              <w:wordWrap/>
              <w:overflowPunct/>
              <w:topLinePunct w:val="0"/>
              <w:autoSpaceDE w:val="0"/>
              <w:autoSpaceDN w:val="0"/>
              <w:bidi w:val="0"/>
              <w:adjustRightInd/>
              <w:snapToGrid/>
              <w:ind w:left="48" w:leftChars="20" w:right="48" w:rightChars="20"/>
              <w:textAlignment w:val="auto"/>
              <w:rPr>
                <w:rFonts w:hint="default"/>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光伏电站25年服务期满后，</w:t>
            </w:r>
            <w:r>
              <w:rPr>
                <w:rFonts w:hint="default"/>
                <w:b w:val="0"/>
                <w:bCs w:val="0"/>
                <w:color w:val="000000" w:themeColor="text1"/>
                <w:lang w:val="en-US" w:eastAsia="zh-CN"/>
                <w14:textFill>
                  <w14:solidFill>
                    <w14:schemeClr w14:val="tx1"/>
                  </w14:solidFill>
                </w14:textFill>
              </w:rPr>
              <w:t>设备和构筑物处理后</w:t>
            </w:r>
            <w:r>
              <w:rPr>
                <w:rFonts w:hint="eastAsia"/>
                <w:b w:val="0"/>
                <w:bCs w:val="0"/>
                <w:color w:val="000000" w:themeColor="text1"/>
                <w:lang w:val="en-US" w:eastAsia="zh-CN"/>
                <w14:textFill>
                  <w14:solidFill>
                    <w14:schemeClr w14:val="tx1"/>
                  </w14:solidFill>
                </w14:textFill>
              </w:rPr>
              <w:t>需进行</w:t>
            </w:r>
            <w:r>
              <w:rPr>
                <w:rFonts w:hint="default"/>
                <w:b w:val="0"/>
                <w:bCs w:val="0"/>
                <w:color w:val="000000" w:themeColor="text1"/>
                <w:lang w:val="en-US" w:eastAsia="zh-CN"/>
                <w14:textFill>
                  <w14:solidFill>
                    <w14:schemeClr w14:val="tx1"/>
                  </w14:solidFill>
                </w14:textFill>
              </w:rPr>
              <w:t>场地平整后</w:t>
            </w:r>
            <w:r>
              <w:rPr>
                <w:rFonts w:hint="eastAsia"/>
                <w:b w:val="0"/>
                <w:bCs w:val="0"/>
                <w:color w:val="000000" w:themeColor="text1"/>
                <w:lang w:val="en-US" w:eastAsia="zh-CN"/>
                <w14:textFill>
                  <w14:solidFill>
                    <w14:schemeClr w14:val="tx1"/>
                  </w14:solidFill>
                </w14:textFill>
              </w:rPr>
              <w:t>，并在扰动区域进行</w:t>
            </w:r>
            <w:r>
              <w:rPr>
                <w:rFonts w:hint="default"/>
                <w:b w:val="0"/>
                <w:bCs w:val="0"/>
                <w:color w:val="000000" w:themeColor="text1"/>
                <w:lang w:val="en-US" w:eastAsia="zh-CN"/>
                <w14:textFill>
                  <w14:solidFill>
                    <w14:schemeClr w14:val="tx1"/>
                  </w14:solidFill>
                </w14:textFill>
              </w:rPr>
              <w:t>植被恢复。</w:t>
            </w:r>
          </w:p>
          <w:p w14:paraId="28B78877">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2"/>
              <w:textAlignment w:val="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4、</w:t>
            </w:r>
            <w:r>
              <w:rPr>
                <w:b/>
                <w:bCs/>
                <w:color w:val="000000" w:themeColor="text1"/>
                <w14:textFill>
                  <w14:solidFill>
                    <w14:schemeClr w14:val="tx1"/>
                  </w14:solidFill>
                </w14:textFill>
              </w:rPr>
              <w:t>综合结论</w:t>
            </w:r>
          </w:p>
          <w:p w14:paraId="07D744B5">
            <w:pPr>
              <w:keepNext w:val="0"/>
              <w:keepLines w:val="0"/>
              <w:pageBreakBefore w:val="0"/>
              <w:widowControl w:val="0"/>
              <w:kinsoku/>
              <w:wordWrap/>
              <w:overflowPunct/>
              <w:topLinePunct w:val="0"/>
              <w:autoSpaceDE w:val="0"/>
              <w:autoSpaceDN w:val="0"/>
              <w:bidi w:val="0"/>
              <w:adjustRightInd/>
              <w:snapToGrid/>
              <w:spacing w:line="360" w:lineRule="auto"/>
              <w:ind w:left="48" w:leftChars="20" w:right="48" w:rightChars="20" w:firstLine="480"/>
              <w:textAlignment w:val="auto"/>
              <w:rPr>
                <w:color w:val="000000" w:themeColor="text1"/>
                <w14:textFill>
                  <w14:solidFill>
                    <w14:schemeClr w14:val="tx1"/>
                  </w14:solidFill>
                </w14:textFill>
              </w:rPr>
            </w:pPr>
            <w:r>
              <w:rPr>
                <w:color w:val="000000" w:themeColor="text1"/>
                <w14:textFill>
                  <w14:solidFill>
                    <w14:schemeClr w14:val="tx1"/>
                  </w14:solidFill>
                </w14:textFill>
              </w:rPr>
              <w:t>根据建设项目竣工环境保护验收调查结果，项目建设地点及建设内容等未发生</w:t>
            </w:r>
            <w:r>
              <w:rPr>
                <w:rFonts w:hint="eastAsia"/>
                <w:color w:val="000000" w:themeColor="text1"/>
                <w14:textFill>
                  <w14:solidFill>
                    <w14:schemeClr w14:val="tx1"/>
                  </w14:solidFill>
                </w14:textFill>
              </w:rPr>
              <w:t>变动</w:t>
            </w:r>
            <w:r>
              <w:rPr>
                <w:color w:val="000000" w:themeColor="text1"/>
                <w14:textFill>
                  <w14:solidFill>
                    <w14:schemeClr w14:val="tx1"/>
                  </w14:solidFill>
                </w14:textFill>
              </w:rPr>
              <w:t>，不存在重大变动，</w:t>
            </w:r>
            <w:r>
              <w:rPr>
                <w:rFonts w:hint="eastAsia"/>
                <w:color w:val="000000" w:themeColor="text1"/>
                <w14:textFill>
                  <w14:solidFill>
                    <w14:schemeClr w14:val="tx1"/>
                  </w14:solidFill>
                </w14:textFill>
              </w:rPr>
              <w:t>建设项目不包含《建设项目竣工环境保护验收暂行办法》中规定的验收不合格的情形。“</w:t>
            </w:r>
            <w:r>
              <w:rPr>
                <w:rFonts w:hint="eastAsia"/>
                <w:color w:val="000000" w:themeColor="text1"/>
                <w:lang w:val="en-US" w:eastAsia="zh-CN"/>
                <w14:textFill>
                  <w14:solidFill>
                    <w14:schemeClr w14:val="tx1"/>
                  </w14:solidFill>
                </w14:textFill>
              </w:rPr>
              <w:t>中国电建集团尖扎县尖扎滩乡 40 万千瓦“牧光储”一体化建设项目</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在建设过程中严格执行了环境管理制度</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严格履行了环评制度及落实了各项环保措施，施工和运行过程中采取的各项污染防治措施有效，项目实际建设情况与环评阶段所述工程内容一致，总体满足建设项目竣工环保验收的要求。</w:t>
            </w:r>
          </w:p>
          <w:p w14:paraId="481DE8C5">
            <w:pPr>
              <w:pStyle w:val="2"/>
              <w:rPr>
                <w:color w:val="000000" w:themeColor="text1"/>
                <w14:textFill>
                  <w14:solidFill>
                    <w14:schemeClr w14:val="tx1"/>
                  </w14:solidFill>
                </w14:textFill>
              </w:rPr>
            </w:pPr>
          </w:p>
          <w:p w14:paraId="5878BF48">
            <w:pPr>
              <w:pStyle w:val="2"/>
              <w:rPr>
                <w:color w:val="000000" w:themeColor="text1"/>
                <w14:textFill>
                  <w14:solidFill>
                    <w14:schemeClr w14:val="tx1"/>
                  </w14:solidFill>
                </w14:textFill>
              </w:rPr>
            </w:pPr>
          </w:p>
          <w:p w14:paraId="2EE17BB2">
            <w:pPr>
              <w:pStyle w:val="2"/>
              <w:rPr>
                <w:color w:val="000000" w:themeColor="text1"/>
                <w14:textFill>
                  <w14:solidFill>
                    <w14:schemeClr w14:val="tx1"/>
                  </w14:solidFill>
                </w14:textFill>
              </w:rPr>
            </w:pPr>
          </w:p>
          <w:p w14:paraId="6049604D">
            <w:pPr>
              <w:pStyle w:val="2"/>
              <w:rPr>
                <w:color w:val="000000" w:themeColor="text1"/>
                <w14:textFill>
                  <w14:solidFill>
                    <w14:schemeClr w14:val="tx1"/>
                  </w14:solidFill>
                </w14:textFill>
              </w:rPr>
            </w:pPr>
          </w:p>
          <w:p w14:paraId="56D551DD">
            <w:pPr>
              <w:pStyle w:val="2"/>
              <w:rPr>
                <w:color w:val="000000" w:themeColor="text1"/>
                <w14:textFill>
                  <w14:solidFill>
                    <w14:schemeClr w14:val="tx1"/>
                  </w14:solidFill>
                </w14:textFill>
              </w:rPr>
            </w:pPr>
          </w:p>
          <w:p w14:paraId="25EB2BC4">
            <w:pPr>
              <w:pStyle w:val="2"/>
              <w:rPr>
                <w:color w:val="000000" w:themeColor="text1"/>
                <w14:textFill>
                  <w14:solidFill>
                    <w14:schemeClr w14:val="tx1"/>
                  </w14:solidFill>
                </w14:textFill>
              </w:rPr>
            </w:pPr>
          </w:p>
          <w:p w14:paraId="310C2253">
            <w:pPr>
              <w:pStyle w:val="2"/>
              <w:rPr>
                <w:color w:val="000000" w:themeColor="text1"/>
                <w14:textFill>
                  <w14:solidFill>
                    <w14:schemeClr w14:val="tx1"/>
                  </w14:solidFill>
                </w14:textFill>
              </w:rPr>
            </w:pPr>
          </w:p>
          <w:p w14:paraId="75E4365B">
            <w:pPr>
              <w:pStyle w:val="2"/>
              <w:rPr>
                <w:color w:val="000000" w:themeColor="text1"/>
                <w14:textFill>
                  <w14:solidFill>
                    <w14:schemeClr w14:val="tx1"/>
                  </w14:solidFill>
                </w14:textFill>
              </w:rPr>
            </w:pPr>
          </w:p>
          <w:p w14:paraId="70DC0986">
            <w:pPr>
              <w:pStyle w:val="2"/>
              <w:rPr>
                <w:color w:val="000000" w:themeColor="text1"/>
                <w14:textFill>
                  <w14:solidFill>
                    <w14:schemeClr w14:val="tx1"/>
                  </w14:solidFill>
                </w14:textFill>
              </w:rPr>
            </w:pPr>
          </w:p>
          <w:p w14:paraId="10A40989">
            <w:pPr>
              <w:pStyle w:val="2"/>
              <w:rPr>
                <w:color w:val="000000" w:themeColor="text1"/>
                <w14:textFill>
                  <w14:solidFill>
                    <w14:schemeClr w14:val="tx1"/>
                  </w14:solidFill>
                </w14:textFill>
              </w:rPr>
            </w:pPr>
          </w:p>
          <w:p w14:paraId="71CD68CF">
            <w:pPr>
              <w:pStyle w:val="2"/>
              <w:rPr>
                <w:color w:val="000000" w:themeColor="text1"/>
                <w14:textFill>
                  <w14:solidFill>
                    <w14:schemeClr w14:val="tx1"/>
                  </w14:solidFill>
                </w14:textFill>
              </w:rPr>
            </w:pPr>
          </w:p>
          <w:p w14:paraId="41259D96">
            <w:pPr>
              <w:pStyle w:val="2"/>
              <w:rPr>
                <w:color w:val="000000" w:themeColor="text1"/>
                <w14:textFill>
                  <w14:solidFill>
                    <w14:schemeClr w14:val="tx1"/>
                  </w14:solidFill>
                </w14:textFill>
              </w:rPr>
            </w:pPr>
          </w:p>
          <w:p w14:paraId="0F5CDF2B">
            <w:pPr>
              <w:pStyle w:val="2"/>
              <w:rPr>
                <w:color w:val="000000" w:themeColor="text1"/>
                <w14:textFill>
                  <w14:solidFill>
                    <w14:schemeClr w14:val="tx1"/>
                  </w14:solidFill>
                </w14:textFill>
              </w:rPr>
            </w:pPr>
          </w:p>
          <w:p w14:paraId="22E8EFAC">
            <w:pPr>
              <w:pStyle w:val="2"/>
              <w:rPr>
                <w:color w:val="000000" w:themeColor="text1"/>
                <w14:textFill>
                  <w14:solidFill>
                    <w14:schemeClr w14:val="tx1"/>
                  </w14:solidFill>
                </w14:textFill>
              </w:rPr>
            </w:pPr>
          </w:p>
          <w:p w14:paraId="6F2F0C27">
            <w:pPr>
              <w:pStyle w:val="2"/>
              <w:rPr>
                <w:color w:val="000000" w:themeColor="text1"/>
                <w14:textFill>
                  <w14:solidFill>
                    <w14:schemeClr w14:val="tx1"/>
                  </w14:solidFill>
                </w14:textFill>
              </w:rPr>
            </w:pPr>
          </w:p>
          <w:p w14:paraId="2AD5AEEE">
            <w:pPr>
              <w:pStyle w:val="2"/>
              <w:rPr>
                <w:color w:val="000000" w:themeColor="text1"/>
                <w14:textFill>
                  <w14:solidFill>
                    <w14:schemeClr w14:val="tx1"/>
                  </w14:solidFill>
                </w14:textFill>
              </w:rPr>
            </w:pPr>
          </w:p>
          <w:p w14:paraId="4E437354">
            <w:pPr>
              <w:pStyle w:val="2"/>
              <w:ind w:left="0" w:leftChars="0" w:firstLine="0" w:firstLineChars="0"/>
              <w:rPr>
                <w:color w:val="000000" w:themeColor="text1"/>
                <w14:textFill>
                  <w14:solidFill>
                    <w14:schemeClr w14:val="tx1"/>
                  </w14:solidFill>
                </w14:textFill>
              </w:rPr>
            </w:pPr>
          </w:p>
          <w:p w14:paraId="77087DB9">
            <w:pPr>
              <w:pStyle w:val="2"/>
              <w:rPr>
                <w:color w:val="000000" w:themeColor="text1"/>
                <w14:textFill>
                  <w14:solidFill>
                    <w14:schemeClr w14:val="tx1"/>
                  </w14:solidFill>
                </w14:textFill>
              </w:rPr>
            </w:pPr>
          </w:p>
          <w:p w14:paraId="178B9C33">
            <w:pPr>
              <w:pStyle w:val="2"/>
              <w:rPr>
                <w:color w:val="000000" w:themeColor="text1"/>
                <w14:textFill>
                  <w14:solidFill>
                    <w14:schemeClr w14:val="tx1"/>
                  </w14:solidFill>
                </w14:textFill>
              </w:rPr>
            </w:pPr>
          </w:p>
          <w:p w14:paraId="15796D02">
            <w:pPr>
              <w:pStyle w:val="2"/>
              <w:rPr>
                <w:color w:val="000000" w:themeColor="text1"/>
                <w14:textFill>
                  <w14:solidFill>
                    <w14:schemeClr w14:val="tx1"/>
                  </w14:solidFill>
                </w14:textFill>
              </w:rPr>
            </w:pPr>
          </w:p>
          <w:p w14:paraId="4AD55F6C">
            <w:pPr>
              <w:pStyle w:val="2"/>
              <w:rPr>
                <w:color w:val="000000" w:themeColor="text1"/>
                <w14:textFill>
                  <w14:solidFill>
                    <w14:schemeClr w14:val="tx1"/>
                  </w14:solidFill>
                </w14:textFill>
              </w:rPr>
            </w:pPr>
          </w:p>
          <w:p w14:paraId="7581FC3A">
            <w:pPr>
              <w:pStyle w:val="2"/>
              <w:rPr>
                <w:color w:val="000000" w:themeColor="text1"/>
                <w14:textFill>
                  <w14:solidFill>
                    <w14:schemeClr w14:val="tx1"/>
                  </w14:solidFill>
                </w14:textFill>
              </w:rPr>
            </w:pPr>
          </w:p>
          <w:p w14:paraId="7E29940F">
            <w:pPr>
              <w:pStyle w:val="2"/>
              <w:rPr>
                <w:color w:val="000000" w:themeColor="text1"/>
                <w14:textFill>
                  <w14:solidFill>
                    <w14:schemeClr w14:val="tx1"/>
                  </w14:solidFill>
                </w14:textFill>
              </w:rPr>
            </w:pPr>
          </w:p>
          <w:p w14:paraId="2F298DAE">
            <w:pPr>
              <w:pStyle w:val="2"/>
              <w:rPr>
                <w:color w:val="000000" w:themeColor="text1"/>
                <w14:textFill>
                  <w14:solidFill>
                    <w14:schemeClr w14:val="tx1"/>
                  </w14:solidFill>
                </w14:textFill>
              </w:rPr>
            </w:pPr>
          </w:p>
          <w:p w14:paraId="6D7F5DFB">
            <w:pPr>
              <w:pStyle w:val="2"/>
              <w:ind w:left="0" w:leftChars="0" w:firstLine="0" w:firstLineChars="0"/>
              <w:rPr>
                <w:color w:val="000000" w:themeColor="text1"/>
                <w14:textFill>
                  <w14:solidFill>
                    <w14:schemeClr w14:val="tx1"/>
                  </w14:solidFill>
                </w14:textFill>
              </w:rPr>
            </w:pPr>
          </w:p>
        </w:tc>
      </w:tr>
      <w:tr w14:paraId="2EFED210">
        <w:tblPrEx>
          <w:tblBorders>
            <w:top w:val="single" w:color="000000" w:sz="8" w:space="0"/>
            <w:left w:val="single" w:color="000000" w:sz="8" w:space="0"/>
            <w:bottom w:val="single" w:color="000000" w:sz="8" w:space="0"/>
            <w:right w:val="single" w:color="000000" w:sz="8" w:space="0"/>
            <w:insideH w:val="single" w:color="008000" w:sz="12" w:space="0"/>
            <w:insideV w:val="single" w:color="008000" w:sz="12" w:space="0"/>
          </w:tblBorders>
          <w:tblCellMar>
            <w:top w:w="0" w:type="dxa"/>
            <w:left w:w="108" w:type="dxa"/>
            <w:bottom w:w="0" w:type="dxa"/>
            <w:right w:w="108" w:type="dxa"/>
          </w:tblCellMar>
        </w:tblPrEx>
        <w:trPr>
          <w:trHeight w:val="10490" w:hRule="atLeast"/>
          <w:jc w:val="center"/>
        </w:trPr>
        <w:tc>
          <w:tcPr>
            <w:tcW w:w="8912" w:type="dxa"/>
            <w:gridSpan w:val="2"/>
          </w:tcPr>
          <w:p w14:paraId="2EF56925">
            <w:pPr>
              <w:spacing w:before="600" w:after="600" w:line="360" w:lineRule="auto"/>
              <w:ind w:firstLine="482"/>
              <w:jc w:val="center"/>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注  释</w:t>
            </w:r>
          </w:p>
          <w:p w14:paraId="412128C7">
            <w:pPr>
              <w:pStyle w:val="17"/>
              <w:spacing w:line="360" w:lineRule="auto"/>
              <w:ind w:firstLine="425"/>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一、调查表应附以下附件：</w:t>
            </w:r>
          </w:p>
          <w:p w14:paraId="3C8BD3AB">
            <w:pPr>
              <w:pStyle w:val="17"/>
              <w:spacing w:line="360" w:lineRule="auto"/>
              <w:ind w:firstLine="480" w:firstLineChars="20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附件1 </w:t>
            </w:r>
            <w:r>
              <w:rPr>
                <w:rFonts w:hint="eastAsia"/>
                <w:color w:val="000000" w:themeColor="text1"/>
                <w:sz w:val="24"/>
                <w:lang w:val="en-US" w:eastAsia="zh-CN"/>
                <w14:textFill>
                  <w14:solidFill>
                    <w14:schemeClr w14:val="tx1"/>
                  </w14:solidFill>
                </w14:textFill>
              </w:rPr>
              <w:t>本项目</w:t>
            </w:r>
            <w:r>
              <w:rPr>
                <w:color w:val="000000" w:themeColor="text1"/>
                <w:sz w:val="24"/>
                <w14:textFill>
                  <w14:solidFill>
                    <w14:schemeClr w14:val="tx1"/>
                  </w14:solidFill>
                </w14:textFill>
              </w:rPr>
              <w:t>环境影响报告表审批意见</w:t>
            </w:r>
          </w:p>
          <w:p w14:paraId="39900BD3">
            <w:pPr>
              <w:pStyle w:val="17"/>
              <w:spacing w:line="360" w:lineRule="auto"/>
              <w:ind w:firstLine="425"/>
              <w:jc w:val="both"/>
              <w:rPr>
                <w:color w:val="000000" w:themeColor="text1"/>
                <w:sz w:val="24"/>
                <w14:textFill>
                  <w14:solidFill>
                    <w14:schemeClr w14:val="tx1"/>
                  </w14:solidFill>
                </w14:textFill>
              </w:rPr>
            </w:pPr>
          </w:p>
          <w:p w14:paraId="70335C35">
            <w:pPr>
              <w:pStyle w:val="17"/>
              <w:spacing w:line="360" w:lineRule="auto"/>
              <w:ind w:firstLine="425"/>
              <w:jc w:val="both"/>
              <w:rPr>
                <w:color w:val="000000" w:themeColor="text1"/>
                <w:sz w:val="24"/>
                <w14:textFill>
                  <w14:solidFill>
                    <w14:schemeClr w14:val="tx1"/>
                  </w14:solidFill>
                </w14:textFill>
              </w:rPr>
            </w:pPr>
          </w:p>
          <w:p w14:paraId="22AB2C65">
            <w:pPr>
              <w:pStyle w:val="17"/>
              <w:spacing w:line="360" w:lineRule="auto"/>
              <w:ind w:firstLine="425"/>
              <w:jc w:val="both"/>
              <w:rPr>
                <w:color w:val="000000" w:themeColor="text1"/>
                <w:sz w:val="24"/>
                <w14:textFill>
                  <w14:solidFill>
                    <w14:schemeClr w14:val="tx1"/>
                  </w14:solidFill>
                </w14:textFill>
              </w:rPr>
            </w:pPr>
          </w:p>
          <w:p w14:paraId="3E92C6A6">
            <w:pPr>
              <w:pStyle w:val="17"/>
              <w:spacing w:line="360" w:lineRule="auto"/>
              <w:ind w:firstLine="420"/>
              <w:jc w:val="both"/>
              <w:rPr>
                <w:color w:val="000000" w:themeColor="text1"/>
                <w:sz w:val="24"/>
                <w14:textFill>
                  <w14:solidFill>
                    <w14:schemeClr w14:val="tx1"/>
                  </w14:solidFill>
                </w14:textFill>
              </w:rPr>
            </w:pPr>
            <w:r>
              <w:rPr>
                <w:color w:val="000000" w:themeColor="text1"/>
                <w:sz w:val="24"/>
                <w14:textFill>
                  <w14:solidFill>
                    <w14:schemeClr w14:val="tx1"/>
                  </w14:solidFill>
                </w14:textFill>
              </w:rPr>
              <w:t>二、如果本调查表不能说明建设项目对环境造成的影响及措施实施情况，应根据建设项目的特点和当地环境特征，结合环境影响评价阶段情况进行专项评价，专项评价可按照本</w:t>
            </w:r>
            <w:r>
              <w:rPr>
                <w:rFonts w:hint="eastAsia"/>
                <w:color w:val="000000" w:themeColor="text1"/>
                <w:sz w:val="24"/>
                <w14:textFill>
                  <w14:solidFill>
                    <w14:schemeClr w14:val="tx1"/>
                  </w14:solidFill>
                </w14:textFill>
              </w:rPr>
              <w:t>标准</w:t>
            </w:r>
            <w:r>
              <w:rPr>
                <w:color w:val="000000" w:themeColor="text1"/>
                <w:sz w:val="24"/>
                <w14:textFill>
                  <w14:solidFill>
                    <w14:schemeClr w14:val="tx1"/>
                  </w14:solidFill>
                </w14:textFill>
              </w:rPr>
              <w:t>中相应影响因素调查的要求进行。</w:t>
            </w:r>
          </w:p>
          <w:p w14:paraId="707FEA3F">
            <w:pPr>
              <w:spacing w:line="360" w:lineRule="auto"/>
              <w:ind w:firstLine="480"/>
              <w:rPr>
                <w:color w:val="FF0000"/>
              </w:rPr>
            </w:pPr>
          </w:p>
          <w:p w14:paraId="769129C1">
            <w:pPr>
              <w:spacing w:line="360" w:lineRule="auto"/>
              <w:ind w:firstLine="480"/>
              <w:rPr>
                <w:color w:val="FF0000"/>
              </w:rPr>
            </w:pPr>
          </w:p>
          <w:p w14:paraId="191F7568">
            <w:pPr>
              <w:spacing w:line="360" w:lineRule="auto"/>
              <w:ind w:firstLine="480"/>
              <w:rPr>
                <w:color w:val="FF0000"/>
              </w:rPr>
            </w:pPr>
          </w:p>
          <w:p w14:paraId="3ACDABEC">
            <w:pPr>
              <w:spacing w:line="360" w:lineRule="auto"/>
              <w:ind w:firstLine="480"/>
              <w:rPr>
                <w:color w:val="FF0000"/>
              </w:rPr>
            </w:pPr>
          </w:p>
          <w:p w14:paraId="64F588C1">
            <w:pPr>
              <w:spacing w:line="360" w:lineRule="auto"/>
              <w:ind w:firstLine="480"/>
              <w:rPr>
                <w:color w:val="FF0000"/>
              </w:rPr>
            </w:pPr>
          </w:p>
          <w:p w14:paraId="5E672182">
            <w:pPr>
              <w:spacing w:line="360" w:lineRule="auto"/>
              <w:ind w:firstLine="480"/>
              <w:rPr>
                <w:color w:val="FF0000"/>
              </w:rPr>
            </w:pPr>
          </w:p>
          <w:p w14:paraId="185E3C47">
            <w:pPr>
              <w:spacing w:line="360" w:lineRule="auto"/>
              <w:ind w:firstLine="480"/>
              <w:rPr>
                <w:color w:val="FF0000"/>
              </w:rPr>
            </w:pPr>
          </w:p>
          <w:p w14:paraId="18247880">
            <w:pPr>
              <w:spacing w:line="360" w:lineRule="auto"/>
              <w:ind w:firstLine="480"/>
              <w:rPr>
                <w:color w:val="FF0000"/>
              </w:rPr>
            </w:pPr>
          </w:p>
          <w:p w14:paraId="5A54ABC4">
            <w:pPr>
              <w:pStyle w:val="2"/>
              <w:spacing w:line="360" w:lineRule="auto"/>
              <w:rPr>
                <w:color w:val="FF0000"/>
              </w:rPr>
            </w:pPr>
          </w:p>
          <w:p w14:paraId="2BF10C7B">
            <w:pPr>
              <w:pStyle w:val="2"/>
              <w:spacing w:line="360" w:lineRule="auto"/>
              <w:rPr>
                <w:color w:val="FF0000"/>
              </w:rPr>
            </w:pPr>
          </w:p>
          <w:p w14:paraId="19C8DDFF">
            <w:pPr>
              <w:pStyle w:val="2"/>
              <w:spacing w:line="360" w:lineRule="auto"/>
              <w:rPr>
                <w:color w:val="FF0000"/>
              </w:rPr>
            </w:pPr>
          </w:p>
          <w:p w14:paraId="1C4670FB">
            <w:pPr>
              <w:spacing w:line="240" w:lineRule="auto"/>
              <w:ind w:firstLine="480"/>
              <w:rPr>
                <w:color w:val="FF0000"/>
              </w:rPr>
            </w:pPr>
          </w:p>
          <w:p w14:paraId="20A901E1">
            <w:pPr>
              <w:spacing w:line="240" w:lineRule="auto"/>
              <w:ind w:firstLine="480"/>
              <w:rPr>
                <w:color w:val="FF0000"/>
              </w:rPr>
            </w:pPr>
          </w:p>
          <w:p w14:paraId="77873177">
            <w:pPr>
              <w:spacing w:line="360" w:lineRule="auto"/>
              <w:ind w:firstLine="480"/>
              <w:rPr>
                <w:color w:val="FF0000"/>
              </w:rPr>
            </w:pPr>
          </w:p>
          <w:p w14:paraId="1AA80C6F">
            <w:pPr>
              <w:pStyle w:val="15"/>
              <w:spacing w:before="312" w:line="360" w:lineRule="auto"/>
              <w:ind w:firstLine="482"/>
              <w:rPr>
                <w:color w:val="FF0000"/>
              </w:rPr>
            </w:pPr>
          </w:p>
          <w:p w14:paraId="3D2F69E8">
            <w:pPr>
              <w:spacing w:line="360" w:lineRule="auto"/>
              <w:ind w:left="0" w:leftChars="0" w:firstLine="0" w:firstLineChars="0"/>
              <w:rPr>
                <w:color w:val="FF0000"/>
              </w:rPr>
            </w:pPr>
          </w:p>
        </w:tc>
      </w:tr>
    </w:tbl>
    <w:p w14:paraId="7C4726B2">
      <w:pPr>
        <w:ind w:left="0" w:leftChars="0" w:firstLine="0" w:firstLineChars="0"/>
      </w:pPr>
    </w:p>
    <w:p w14:paraId="107DDE3D">
      <w:pPr>
        <w:pStyle w:val="2"/>
      </w:pPr>
    </w:p>
    <w:p w14:paraId="29935367">
      <w:pPr>
        <w:pStyle w:val="2"/>
        <w:rPr>
          <w:rFonts w:hint="default" w:eastAsia="宋体"/>
          <w:lang w:val="en-US" w:eastAsia="zh-CN"/>
        </w:rPr>
      </w:pPr>
      <w:r>
        <w:rPr>
          <w:rFonts w:hint="eastAsia"/>
          <w:lang w:val="en-US" w:eastAsia="zh-CN"/>
        </w:rPr>
        <w:t>附件1 环评批复</w:t>
      </w:r>
    </w:p>
    <w:p w14:paraId="7126D99F">
      <w:pPr>
        <w:pStyle w:val="2"/>
        <w:ind w:left="72" w:leftChars="0" w:hanging="72" w:hangingChars="30"/>
        <w:rPr>
          <w:rFonts w:hint="eastAsia" w:eastAsia="宋体"/>
          <w:lang w:eastAsia="zh-CN"/>
        </w:rPr>
      </w:pPr>
      <w:r>
        <w:rPr>
          <w:rFonts w:hint="eastAsia" w:eastAsia="宋体"/>
          <w:lang w:eastAsia="zh-CN"/>
        </w:rPr>
        <w:drawing>
          <wp:inline distT="0" distB="0" distL="114300" distR="114300">
            <wp:extent cx="5267960" cy="7450455"/>
            <wp:effectExtent l="0" t="0" r="8890" b="17145"/>
            <wp:docPr id="9" name="图片 9" descr="尖扎县尖扎滩乡40万千瓦“牧光储”一体化建设项目环境影响报告表批复(1)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尖扎县尖扎滩乡40万千瓦“牧光储”一体化建设项目环境影响报告表批复(1)_00"/>
                    <pic:cNvPicPr>
                      <a:picLocks noChangeAspect="1"/>
                    </pic:cNvPicPr>
                  </pic:nvPicPr>
                  <pic:blipFill>
                    <a:blip r:embed="rId30"/>
                    <a:stretch>
                      <a:fillRect/>
                    </a:stretch>
                  </pic:blipFill>
                  <pic:spPr>
                    <a:xfrm>
                      <a:off x="0" y="0"/>
                      <a:ext cx="5267960" cy="7450455"/>
                    </a:xfrm>
                    <a:prstGeom prst="rect">
                      <a:avLst/>
                    </a:prstGeom>
                  </pic:spPr>
                </pic:pic>
              </a:graphicData>
            </a:graphic>
          </wp:inline>
        </w:drawing>
      </w:r>
      <w:r>
        <w:rPr>
          <w:rFonts w:hint="eastAsia" w:eastAsia="宋体"/>
          <w:lang w:eastAsia="zh-CN"/>
        </w:rPr>
        <w:drawing>
          <wp:inline distT="0" distB="0" distL="114300" distR="114300">
            <wp:extent cx="5267960" cy="7450455"/>
            <wp:effectExtent l="0" t="0" r="8890" b="17145"/>
            <wp:docPr id="8" name="图片 8" descr="尖扎县尖扎滩乡40万千瓦“牧光储”一体化建设项目环境影响报告表批复(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尖扎县尖扎滩乡40万千瓦“牧光储”一体化建设项目环境影响报告表批复(1)_01"/>
                    <pic:cNvPicPr>
                      <a:picLocks noChangeAspect="1"/>
                    </pic:cNvPicPr>
                  </pic:nvPicPr>
                  <pic:blipFill>
                    <a:blip r:embed="rId31"/>
                    <a:stretch>
                      <a:fillRect/>
                    </a:stretch>
                  </pic:blipFill>
                  <pic:spPr>
                    <a:xfrm>
                      <a:off x="0" y="0"/>
                      <a:ext cx="5267960" cy="7450455"/>
                    </a:xfrm>
                    <a:prstGeom prst="rect">
                      <a:avLst/>
                    </a:prstGeom>
                  </pic:spPr>
                </pic:pic>
              </a:graphicData>
            </a:graphic>
          </wp:inline>
        </w:drawing>
      </w:r>
    </w:p>
    <w:p w14:paraId="68338AE7">
      <w:pPr>
        <w:pStyle w:val="2"/>
        <w:ind w:left="72" w:leftChars="0" w:hanging="72" w:hangingChars="30"/>
        <w:rPr>
          <w:rFonts w:hint="eastAsia" w:eastAsia="宋体"/>
          <w:lang w:eastAsia="zh-CN"/>
        </w:rPr>
      </w:pPr>
      <w:r>
        <w:rPr>
          <w:rFonts w:hint="eastAsia" w:eastAsia="宋体"/>
          <w:lang w:eastAsia="zh-CN"/>
        </w:rPr>
        <w:drawing>
          <wp:inline distT="0" distB="0" distL="114300" distR="114300">
            <wp:extent cx="5267960" cy="7450455"/>
            <wp:effectExtent l="0" t="0" r="8890" b="17145"/>
            <wp:docPr id="10" name="图片 10" descr="尖扎县尖扎滩乡40万千瓦“牧光储”一体化建设项目环境影响报告表批复(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尖扎县尖扎滩乡40万千瓦“牧光储”一体化建设项目环境影响报告表批复(1)_02"/>
                    <pic:cNvPicPr>
                      <a:picLocks noChangeAspect="1"/>
                    </pic:cNvPicPr>
                  </pic:nvPicPr>
                  <pic:blipFill>
                    <a:blip r:embed="rId32"/>
                    <a:stretch>
                      <a:fillRect/>
                    </a:stretch>
                  </pic:blipFill>
                  <pic:spPr>
                    <a:xfrm>
                      <a:off x="0" y="0"/>
                      <a:ext cx="5267960" cy="7450455"/>
                    </a:xfrm>
                    <a:prstGeom prst="rect">
                      <a:avLst/>
                    </a:prstGeom>
                  </pic:spPr>
                </pic:pic>
              </a:graphicData>
            </a:graphic>
          </wp:inline>
        </w:drawing>
      </w:r>
    </w:p>
    <w:p w14:paraId="256AEB4D">
      <w:pPr>
        <w:pStyle w:val="2"/>
        <w:ind w:left="72" w:leftChars="0" w:hanging="72" w:hangingChars="30"/>
        <w:rPr>
          <w:rFonts w:hint="eastAsia" w:eastAsia="宋体"/>
          <w:lang w:eastAsia="zh-CN"/>
        </w:rPr>
      </w:pPr>
      <w:r>
        <w:rPr>
          <w:rFonts w:hint="eastAsia" w:eastAsia="宋体"/>
          <w:lang w:eastAsia="zh-CN"/>
        </w:rPr>
        <w:drawing>
          <wp:inline distT="0" distB="0" distL="114300" distR="114300">
            <wp:extent cx="5267960" cy="7450455"/>
            <wp:effectExtent l="0" t="0" r="8890" b="17145"/>
            <wp:docPr id="7" name="图片 7" descr="尖扎县尖扎滩乡40万千瓦“牧光储”一体化建设项目环境影响报告表批复(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尖扎县尖扎滩乡40万千瓦“牧光储”一体化建设项目环境影响报告表批复(1)_03"/>
                    <pic:cNvPicPr>
                      <a:picLocks noChangeAspect="1"/>
                    </pic:cNvPicPr>
                  </pic:nvPicPr>
                  <pic:blipFill>
                    <a:blip r:embed="rId33"/>
                    <a:stretch>
                      <a:fillRect/>
                    </a:stretch>
                  </pic:blipFill>
                  <pic:spPr>
                    <a:xfrm>
                      <a:off x="0" y="0"/>
                      <a:ext cx="5267960" cy="7450455"/>
                    </a:xfrm>
                    <a:prstGeom prst="rect">
                      <a:avLst/>
                    </a:prstGeom>
                  </pic:spPr>
                </pic:pic>
              </a:graphicData>
            </a:graphic>
          </wp:inline>
        </w:drawing>
      </w:r>
    </w:p>
    <w:p w14:paraId="5239822C">
      <w:pPr>
        <w:pStyle w:val="2"/>
        <w:ind w:left="72" w:leftChars="0" w:hanging="72" w:hangingChars="30"/>
        <w:rPr>
          <w:rFonts w:hint="eastAsia" w:eastAsia="宋体"/>
          <w:lang w:eastAsia="zh-CN"/>
        </w:rPr>
      </w:pPr>
    </w:p>
    <w:p w14:paraId="53E3FBE8">
      <w:pPr>
        <w:pStyle w:val="2"/>
        <w:ind w:left="72" w:leftChars="0" w:hanging="72" w:hangingChars="30"/>
        <w:rPr>
          <w:rFonts w:hint="eastAsia" w:eastAsia="宋体"/>
          <w:lang w:eastAsia="zh-CN"/>
        </w:rPr>
      </w:pPr>
    </w:p>
    <w:p w14:paraId="37C27A4B">
      <w:pPr>
        <w:pStyle w:val="2"/>
        <w:ind w:left="72" w:leftChars="0" w:hanging="72" w:hangingChars="30"/>
        <w:rPr>
          <w:rFonts w:hint="eastAsia" w:eastAsia="宋体"/>
          <w:lang w:eastAsia="zh-CN"/>
        </w:rPr>
      </w:pPr>
    </w:p>
    <w:p w14:paraId="64778411">
      <w:pPr>
        <w:pStyle w:val="2"/>
        <w:ind w:left="72" w:leftChars="0" w:hanging="72" w:hangingChars="30"/>
        <w:rPr>
          <w:rFonts w:hint="eastAsia" w:eastAsia="宋体"/>
          <w:lang w:eastAsia="zh-CN"/>
        </w:rPr>
      </w:pPr>
    </w:p>
    <w:p w14:paraId="3291D521">
      <w:pPr>
        <w:jc w:val="center"/>
        <w:rPr>
          <w:rFonts w:hint="default" w:ascii="Times New Roman" w:hAnsi="Times New Roman" w:cs="Times New Roman"/>
          <w:b/>
          <w:bCs/>
          <w:sz w:val="30"/>
          <w:szCs w:val="30"/>
        </w:rPr>
      </w:pPr>
      <w:r>
        <w:rPr>
          <w:rFonts w:hint="default" w:ascii="Times New Roman" w:hAnsi="Times New Roman" w:cs="Times New Roman"/>
          <w:b/>
          <w:bCs/>
          <w:sz w:val="30"/>
          <w:szCs w:val="30"/>
          <w:lang w:val="en-US" w:eastAsia="zh-CN"/>
        </w:rPr>
        <w:t xml:space="preserve"> </w:t>
      </w:r>
      <w:r>
        <w:rPr>
          <w:rFonts w:hint="default" w:ascii="Times New Roman" w:hAnsi="Times New Roman" w:cs="Times New Roman"/>
          <w:b/>
          <w:bCs/>
          <w:sz w:val="30"/>
          <w:szCs w:val="30"/>
        </w:rPr>
        <w:t>其他需要说明的事项</w:t>
      </w:r>
    </w:p>
    <w:p w14:paraId="4E45E1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cs="Times New Roman"/>
          <w:sz w:val="24"/>
          <w:szCs w:val="24"/>
          <w:lang w:val="en-US" w:eastAsia="zh-CN"/>
        </w:rPr>
        <w:t>根据《</w:t>
      </w:r>
      <w:r>
        <w:rPr>
          <w:rFonts w:hint="default" w:ascii="Times New Roman" w:hAnsi="Times New Roman" w:eastAsia="宋体" w:cs="Times New Roman"/>
          <w:bCs w:val="0"/>
          <w:color w:val="auto"/>
          <w:kern w:val="2"/>
          <w:sz w:val="24"/>
          <w:szCs w:val="21"/>
          <w:lang w:val="en-US" w:eastAsia="zh-CN" w:bidi="ar-SA"/>
        </w:rPr>
        <w:t>建设项目环境保护管理条例》和《建设项目竣工环境保护验收暂行办法》要求，2023年8月，尖扎金能新能源有限公司组织专家对《尖扎县尖扎滩乡40万千瓦“牧光储”一体化建设项目竣工环境保护设施验收调查报告表》（以下简称“报告表”）进行了技术评估</w:t>
      </w:r>
      <w:r>
        <w:rPr>
          <w:rFonts w:hint="default" w:ascii="Times New Roman" w:hAnsi="Times New Roman" w:eastAsia="宋体" w:cs="Times New Roman"/>
          <w:color w:val="auto"/>
          <w:sz w:val="24"/>
          <w:szCs w:val="24"/>
          <w:lang w:val="en-US" w:eastAsia="zh-CN"/>
        </w:rPr>
        <w:t>。</w:t>
      </w:r>
    </w:p>
    <w:p w14:paraId="5463A09F">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outlineLvl w:val="9"/>
        <w:rPr>
          <w:rFonts w:hint="default" w:ascii="Times New Roman" w:hAnsi="Times New Roman" w:eastAsia="宋体" w:cs="Times New Roman"/>
          <w:spacing w:val="1"/>
          <w:sz w:val="24"/>
          <w:szCs w:val="24"/>
          <w:lang w:val="en-US" w:eastAsia="zh-CN"/>
        </w:rPr>
      </w:pPr>
      <w:r>
        <w:rPr>
          <w:rFonts w:hint="default" w:ascii="Times New Roman" w:hAnsi="Times New Roman" w:eastAsia="宋体" w:cs="Times New Roman"/>
          <w:spacing w:val="1"/>
          <w:sz w:val="24"/>
          <w:szCs w:val="24"/>
          <w:lang w:val="en-US" w:eastAsia="zh-CN"/>
        </w:rPr>
        <w:t>本工程建设总装机容量400MW。根据本光伏电场规划容量，将系统分成128个3.125MW固定集中式并网发电单元。</w:t>
      </w:r>
    </w:p>
    <w:p w14:paraId="16126B8A">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outlineLvl w:val="9"/>
        <w:rPr>
          <w:rFonts w:hint="default" w:ascii="Times New Roman" w:hAnsi="Times New Roman" w:eastAsia="宋体" w:cs="Times New Roman"/>
          <w:spacing w:val="1"/>
          <w:sz w:val="24"/>
          <w:szCs w:val="24"/>
          <w:lang w:val="en-US" w:eastAsia="zh-CN"/>
        </w:rPr>
      </w:pPr>
      <w:r>
        <w:rPr>
          <w:rFonts w:hint="default" w:ascii="Times New Roman" w:hAnsi="Times New Roman" w:eastAsia="宋体" w:cs="Times New Roman"/>
          <w:spacing w:val="1"/>
          <w:sz w:val="24"/>
          <w:szCs w:val="24"/>
          <w:lang w:val="en-US" w:eastAsia="zh-CN"/>
        </w:rPr>
        <w:t>采用540Wp单晶硅双面双玻组件+固定支架+3125kW一体化集中式逆变器，共792064块组件，3125kW的逆变器共128台。光伏厂区共分为128个子方阵，每个子方阵配置1台3125kW并网逆变器接入一台3150kVA双绕组升压变压器，逆变器与变压器为集成装置，一体化就地布置+1台油浸变压器。每个3.125MW光伏方阵中，通过1台3125kW逆变器将直流电逆变为1500V交流后，接入1台3150kVA箱变低压侧。全场共128台箱变，每8台35kV箱变串并联为1回集电线路，直流逆变为交流，就地升压至35kV后分别以16回35kV集电线路接入330kV升压站。</w:t>
      </w:r>
    </w:p>
    <w:p w14:paraId="5595E389">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outlineLvl w:val="9"/>
        <w:rPr>
          <w:rFonts w:hint="default" w:ascii="Times New Roman" w:hAnsi="Times New Roman" w:eastAsia="宋体" w:cs="Times New Roman"/>
          <w:spacing w:val="1"/>
          <w:sz w:val="24"/>
          <w:szCs w:val="24"/>
          <w:lang w:val="en-US" w:eastAsia="zh-CN"/>
        </w:rPr>
      </w:pPr>
      <w:r>
        <w:rPr>
          <w:rFonts w:hint="default" w:ascii="Times New Roman" w:hAnsi="Times New Roman" w:eastAsia="宋体" w:cs="Times New Roman"/>
          <w:spacing w:val="1"/>
          <w:sz w:val="24"/>
          <w:szCs w:val="24"/>
          <w:lang w:val="en-US" w:eastAsia="zh-CN"/>
        </w:rPr>
        <w:t>本项目配备储能系统，工程光伏总装机容量为400MW（AC），储能系统由1台20尺“逆”“变”一体储能变流器集装箱和2台45尺磷酸铁锂电池集装箱组成，储能系统交流侧并网电压等级为35kV，每12个储能发电单元为1回储能发电系统，共2回储能发电系统接入330kV升压站35kV储能进线间隔。项目配置48套箱式储能电池系统，每套含5000kWh的电池；24套变流升压系统，每套含1台储能变流器和1台0.55kV/35kV，Dy11，2500kVA箱变。</w:t>
      </w:r>
    </w:p>
    <w:p w14:paraId="430D785C">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4" w:firstLineChars="200"/>
        <w:textAlignment w:val="auto"/>
        <w:outlineLvl w:val="9"/>
        <w:rPr>
          <w:rFonts w:hint="default" w:ascii="Times New Roman" w:hAnsi="Times New Roman" w:eastAsia="宋体" w:cs="Times New Roman"/>
          <w:spacing w:val="1"/>
          <w:sz w:val="24"/>
          <w:szCs w:val="24"/>
          <w:lang w:val="en-US" w:eastAsia="zh-CN"/>
        </w:rPr>
      </w:pPr>
      <w:r>
        <w:rPr>
          <w:rFonts w:hint="default" w:ascii="Times New Roman" w:hAnsi="Times New Roman" w:eastAsia="宋体" w:cs="Times New Roman"/>
          <w:spacing w:val="1"/>
          <w:sz w:val="24"/>
          <w:szCs w:val="24"/>
          <w:lang w:val="en-US" w:eastAsia="zh-CN"/>
        </w:rPr>
        <w:t>本次建设不包含330kV升压站送出线路。</w:t>
      </w:r>
    </w:p>
    <w:p w14:paraId="1C5640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eastAsia="zh-CN"/>
        </w:rPr>
        <w:t>现将该工程环境保护设施设计、施工和验收过程简况、环境影响报告表及审批决定中提出的除环境保护设施外的其他环境保护对策措施的实施情况等其他需要说明的事项说明如下：</w:t>
      </w:r>
    </w:p>
    <w:p w14:paraId="2818A9D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bCs/>
          <w:sz w:val="24"/>
          <w:szCs w:val="24"/>
          <w:lang w:eastAsia="zh-CN"/>
        </w:rPr>
      </w:pPr>
      <w:r>
        <w:rPr>
          <w:rFonts w:hint="default" w:ascii="Times New Roman" w:hAnsi="Times New Roman" w:cs="Times New Roman"/>
          <w:b/>
          <w:bCs/>
          <w:sz w:val="24"/>
          <w:szCs w:val="24"/>
          <w:lang w:val="en-US" w:eastAsia="zh-CN"/>
        </w:rPr>
        <w:t>1、</w:t>
      </w:r>
      <w:r>
        <w:rPr>
          <w:rFonts w:hint="default" w:ascii="Times New Roman" w:hAnsi="Times New Roman" w:cs="Times New Roman"/>
          <w:b/>
          <w:bCs/>
          <w:sz w:val="24"/>
          <w:szCs w:val="24"/>
          <w:lang w:eastAsia="zh-CN"/>
        </w:rPr>
        <w:t>环境保护设施设计、施工和验收过程简况</w:t>
      </w:r>
    </w:p>
    <w:p w14:paraId="4D16F6D4">
      <w:pPr>
        <w:keepNext w:val="0"/>
        <w:keepLines w:val="0"/>
        <w:pageBreakBefore w:val="0"/>
        <w:widowControl w:val="0"/>
        <w:numPr>
          <w:ilvl w:val="1"/>
          <w:numId w:val="4"/>
        </w:numPr>
        <w:kinsoku/>
        <w:wordWrap/>
        <w:overflowPunct/>
        <w:topLinePunct w:val="0"/>
        <w:autoSpaceDE/>
        <w:autoSpaceDN/>
        <w:bidi w:val="0"/>
        <w:adjustRightInd/>
        <w:snapToGrid/>
        <w:spacing w:line="360" w:lineRule="auto"/>
        <w:jc w:val="both"/>
        <w:textAlignment w:val="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设计简况</w:t>
      </w:r>
    </w:p>
    <w:p w14:paraId="445B09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建设项目已将环境保护设施纳入了初步设计，环境保护设施的设计符合环境保护设计规范的要求，编制了环境保护篇章，落实了防止污染和生态破坏的措施和环境保护设施投资概算。</w:t>
      </w:r>
    </w:p>
    <w:p w14:paraId="09CF481E">
      <w:pPr>
        <w:widowControl/>
        <w:spacing w:line="480" w:lineRule="exact"/>
        <w:outlineLvl w:val="1"/>
        <w:rPr>
          <w:rFonts w:hint="default" w:ascii="Times New Roman" w:hAnsi="Times New Roman" w:cs="Times New Roman"/>
          <w:b/>
          <w:bCs/>
          <w:color w:val="333333"/>
          <w:spacing w:val="9"/>
          <w:kern w:val="0"/>
          <w:sz w:val="24"/>
          <w:szCs w:val="24"/>
          <w:lang w:val="en-US" w:eastAsia="zh-CN"/>
        </w:rPr>
      </w:pPr>
      <w:r>
        <w:rPr>
          <w:rFonts w:hint="default" w:ascii="Times New Roman" w:hAnsi="Times New Roman" w:cs="Times New Roman"/>
          <w:b/>
          <w:bCs/>
          <w:color w:val="333333"/>
          <w:spacing w:val="9"/>
          <w:kern w:val="0"/>
          <w:sz w:val="24"/>
          <w:szCs w:val="24"/>
          <w:lang w:val="en-US" w:eastAsia="zh-CN"/>
        </w:rPr>
        <w:t>1.2施工简况</w:t>
      </w:r>
    </w:p>
    <w:p w14:paraId="38BCC34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建设项目已将环境保护设施纳入了施工合同，环境保护设施的建设进度和资金均得到了保证，项目建设过程中组织实施了环境影响报告表及其审批部门决定中提出的环境保护对策。</w:t>
      </w:r>
    </w:p>
    <w:p w14:paraId="064EE9E4">
      <w:pPr>
        <w:widowControl/>
        <w:spacing w:line="480" w:lineRule="exact"/>
        <w:outlineLvl w:val="1"/>
        <w:rPr>
          <w:rFonts w:hint="default" w:ascii="Times New Roman" w:hAnsi="Times New Roman" w:cs="Times New Roman"/>
          <w:b/>
          <w:bCs/>
          <w:color w:val="333333"/>
          <w:spacing w:val="9"/>
          <w:kern w:val="0"/>
          <w:sz w:val="24"/>
          <w:szCs w:val="24"/>
          <w:lang w:val="en-US" w:eastAsia="zh-CN"/>
        </w:rPr>
      </w:pPr>
      <w:r>
        <w:rPr>
          <w:rFonts w:hint="default" w:ascii="Times New Roman" w:hAnsi="Times New Roman" w:cs="Times New Roman"/>
          <w:b/>
          <w:bCs/>
          <w:color w:val="333333"/>
          <w:spacing w:val="9"/>
          <w:kern w:val="0"/>
          <w:sz w:val="24"/>
          <w:szCs w:val="24"/>
          <w:lang w:val="en-US" w:eastAsia="zh-CN"/>
        </w:rPr>
        <w:t>1.3验收过程简况</w:t>
      </w:r>
    </w:p>
    <w:p w14:paraId="77FB2576">
      <w:pPr>
        <w:widowControl/>
        <w:spacing w:line="480" w:lineRule="exact"/>
        <w:ind w:firstLine="480" w:firstLineChars="200"/>
        <w:outlineLvl w:val="1"/>
        <w:rPr>
          <w:rFonts w:hint="default" w:ascii="Times New Roman" w:hAnsi="Times New Roman" w:eastAsia="宋体" w:cs="Times New Roman"/>
          <w:b w:val="0"/>
          <w:bCs/>
          <w:color w:val="FF0000"/>
          <w:kern w:val="0"/>
          <w:sz w:val="24"/>
          <w:szCs w:val="24"/>
          <w:lang w:val="en-US" w:eastAsia="zh-CN"/>
        </w:rPr>
      </w:pPr>
      <w:r>
        <w:rPr>
          <w:rFonts w:hint="default" w:ascii="Times New Roman" w:hAnsi="Times New Roman" w:cs="Times New Roman"/>
          <w:b w:val="0"/>
          <w:bCs w:val="0"/>
          <w:kern w:val="2"/>
          <w:sz w:val="24"/>
          <w:szCs w:val="24"/>
          <w:lang w:val="en-US" w:eastAsia="zh-CN" w:bidi="ar-SA"/>
        </w:rPr>
        <w:t>尖扎金能新能源有限公司于2022年5月委托青海青唐环境工程有限公司进行该项目的环境影响评价工作，并编制完成了《尖扎县尖扎滩乡40万千瓦“牧光储”一体化建设项目环境影响报告表》；2022年10月14日，黄南州生态环境局对《中国电建集团尖扎县尖扎滩乡40万千瓦“牧光储”一体化建设项目环境影响报告表》进行了批复（黄生发〔2022〕89），同意项目建设。；</w:t>
      </w:r>
      <w:r>
        <w:rPr>
          <w:rFonts w:hint="default" w:ascii="Times New Roman" w:hAnsi="Times New Roman" w:eastAsia="宋体" w:cs="Times New Roman"/>
          <w:b w:val="0"/>
          <w:bCs/>
          <w:color w:val="000000" w:themeColor="text1"/>
          <w:kern w:val="0"/>
          <w:sz w:val="24"/>
          <w:szCs w:val="24"/>
          <w:lang w:val="en-US" w:eastAsia="zh-CN"/>
          <w14:textFill>
            <w14:solidFill>
              <w14:schemeClr w14:val="tx1"/>
            </w14:solidFill>
          </w14:textFill>
        </w:rPr>
        <w:t>企业于2024年8月成立了验收工作组对项目进行验收，验收工作组通过现场检查、查阅资料等方式提出了验收意见，建设项目竣工验收合格，可正式投入使用。</w:t>
      </w:r>
    </w:p>
    <w:p w14:paraId="1CDAA04A">
      <w:pPr>
        <w:widowControl/>
        <w:spacing w:line="480" w:lineRule="exact"/>
        <w:outlineLvl w:val="1"/>
        <w:rPr>
          <w:rFonts w:hint="default" w:ascii="Times New Roman" w:hAnsi="Times New Roman" w:cs="Times New Roman"/>
          <w:color w:val="333333"/>
          <w:spacing w:val="9"/>
          <w:kern w:val="0"/>
          <w:sz w:val="24"/>
          <w:szCs w:val="24"/>
        </w:rPr>
      </w:pPr>
      <w:r>
        <w:rPr>
          <w:rFonts w:hint="default" w:ascii="Times New Roman" w:hAnsi="Times New Roman" w:cs="Times New Roman"/>
          <w:b/>
          <w:bCs/>
          <w:color w:val="333333"/>
          <w:spacing w:val="9"/>
          <w:kern w:val="0"/>
          <w:sz w:val="24"/>
          <w:szCs w:val="24"/>
        </w:rPr>
        <w:t>1.4公众反馈意见及处理情况</w:t>
      </w:r>
    </w:p>
    <w:p w14:paraId="45528A00">
      <w:pPr>
        <w:widowControl/>
        <w:spacing w:line="480" w:lineRule="exact"/>
        <w:ind w:firstLine="463"/>
        <w:rPr>
          <w:rFonts w:hint="default" w:ascii="Times New Roman" w:hAnsi="Times New Roman" w:cs="Times New Roman"/>
          <w:color w:val="333333"/>
          <w:spacing w:val="9"/>
          <w:kern w:val="0"/>
          <w:sz w:val="24"/>
          <w:szCs w:val="24"/>
        </w:rPr>
      </w:pPr>
      <w:r>
        <w:rPr>
          <w:rFonts w:hint="default" w:ascii="Times New Roman" w:hAnsi="Times New Roman" w:eastAsia="宋体" w:cs="Times New Roman"/>
          <w:b w:val="0"/>
          <w:bCs/>
          <w:color w:val="000000"/>
          <w:kern w:val="0"/>
          <w:sz w:val="24"/>
          <w:szCs w:val="24"/>
          <w:lang w:val="en-US" w:eastAsia="zh-CN"/>
        </w:rPr>
        <w:t>本项目在设计、施工和验收期间未接到相关的环保投诉。</w:t>
      </w:r>
    </w:p>
    <w:p w14:paraId="3B5553B0">
      <w:pPr>
        <w:widowControl/>
        <w:spacing w:line="480" w:lineRule="exact"/>
        <w:outlineLvl w:val="1"/>
        <w:rPr>
          <w:rFonts w:hint="default" w:ascii="Times New Roman" w:hAnsi="Times New Roman" w:cs="Times New Roman"/>
          <w:color w:val="333333"/>
          <w:spacing w:val="9"/>
          <w:kern w:val="0"/>
          <w:sz w:val="24"/>
          <w:szCs w:val="24"/>
        </w:rPr>
      </w:pPr>
      <w:r>
        <w:rPr>
          <w:rFonts w:hint="default" w:ascii="Times New Roman" w:hAnsi="Times New Roman" w:cs="Times New Roman"/>
          <w:b/>
          <w:bCs/>
          <w:color w:val="333333"/>
          <w:spacing w:val="9"/>
          <w:kern w:val="0"/>
          <w:sz w:val="24"/>
          <w:szCs w:val="24"/>
        </w:rPr>
        <w:t>2其他环境保护措施的落实情况</w:t>
      </w:r>
    </w:p>
    <w:p w14:paraId="71D3639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环境影响报告书（表）及其审批部门审批决定中提出的，除环境保护设施外的其他环境保护措施，主要包括制度措施和配套措施等，现将需要说明的措施内容和要求梳理如下：</w:t>
      </w:r>
    </w:p>
    <w:p w14:paraId="435CCCCA">
      <w:pPr>
        <w:widowControl/>
        <w:spacing w:line="480" w:lineRule="exact"/>
        <w:outlineLvl w:val="1"/>
        <w:rPr>
          <w:rFonts w:hint="default" w:ascii="Times New Roman" w:hAnsi="Times New Roman" w:cs="Times New Roman"/>
          <w:b/>
          <w:bCs/>
          <w:color w:val="333333"/>
          <w:spacing w:val="9"/>
          <w:kern w:val="0"/>
          <w:sz w:val="24"/>
          <w:szCs w:val="24"/>
        </w:rPr>
      </w:pPr>
      <w:r>
        <w:rPr>
          <w:rFonts w:hint="default" w:ascii="Times New Roman" w:hAnsi="Times New Roman" w:cs="Times New Roman"/>
          <w:b/>
          <w:bCs/>
          <w:color w:val="333333"/>
          <w:spacing w:val="9"/>
          <w:kern w:val="0"/>
          <w:sz w:val="24"/>
          <w:szCs w:val="24"/>
        </w:rPr>
        <w:t>2.1制度措施落实情况</w:t>
      </w:r>
    </w:p>
    <w:p w14:paraId="28BD9290">
      <w:pPr>
        <w:widowControl/>
        <w:numPr>
          <w:ilvl w:val="0"/>
          <w:numId w:val="5"/>
        </w:numPr>
        <w:spacing w:line="480" w:lineRule="exact"/>
        <w:ind w:firstLine="480" w:firstLineChars="200"/>
        <w:outlineLvl w:val="1"/>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环保组织机构及规章制度</w:t>
      </w:r>
    </w:p>
    <w:p w14:paraId="72E503C6">
      <w:pPr>
        <w:widowControl/>
        <w:numPr>
          <w:ilvl w:val="0"/>
          <w:numId w:val="0"/>
        </w:numPr>
        <w:spacing w:line="480" w:lineRule="exact"/>
        <w:ind w:firstLine="480" w:firstLineChars="200"/>
        <w:outlineLvl w:val="1"/>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企业已制定了环境管理制度，严格按操作规程执行，员工责任分工明确，确保安全生产。</w:t>
      </w:r>
    </w:p>
    <w:p w14:paraId="72CF9811">
      <w:pPr>
        <w:widowControl/>
        <w:spacing w:line="360" w:lineRule="auto"/>
        <w:outlineLvl w:val="1"/>
        <w:rPr>
          <w:rFonts w:hint="default" w:ascii="Times New Roman" w:hAnsi="Times New Roman" w:cs="Times New Roman"/>
          <w:b/>
          <w:bCs/>
          <w:color w:val="333333"/>
          <w:spacing w:val="9"/>
          <w:kern w:val="0"/>
          <w:sz w:val="24"/>
          <w:szCs w:val="24"/>
        </w:rPr>
      </w:pPr>
      <w:r>
        <w:rPr>
          <w:rFonts w:hint="default" w:ascii="Times New Roman" w:hAnsi="Times New Roman" w:cs="Times New Roman"/>
          <w:b/>
          <w:bCs/>
          <w:color w:val="333333"/>
          <w:spacing w:val="9"/>
          <w:kern w:val="0"/>
          <w:sz w:val="24"/>
          <w:szCs w:val="24"/>
        </w:rPr>
        <w:t>2.2配套措施落实情况</w:t>
      </w:r>
    </w:p>
    <w:p w14:paraId="6995C94F">
      <w:pPr>
        <w:widowControl/>
        <w:spacing w:line="360" w:lineRule="auto"/>
        <w:ind w:firstLine="480" w:firstLineChars="200"/>
        <w:outlineLvl w:val="1"/>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（1）区域削减及淘汰落后产能</w:t>
      </w:r>
    </w:p>
    <w:p w14:paraId="2EB0C6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建设项目不涉及区域内削减污染物总量措施和淘汰落后产能的措施，无需说明。</w:t>
      </w:r>
    </w:p>
    <w:p w14:paraId="169B5A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（2）防护距离控制及居民搬迁</w:t>
      </w:r>
    </w:p>
    <w:p w14:paraId="0FD483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建设项目运营期无重大污染，不涉及防护距离，无需搬迁。</w:t>
      </w:r>
    </w:p>
    <w:p w14:paraId="1CBF773D">
      <w:pPr>
        <w:widowControl/>
        <w:spacing w:line="360" w:lineRule="auto"/>
        <w:outlineLvl w:val="1"/>
        <w:rPr>
          <w:rFonts w:hint="default" w:ascii="Times New Roman" w:hAnsi="Times New Roman" w:cs="Times New Roman"/>
          <w:color w:val="333333"/>
          <w:spacing w:val="9"/>
          <w:kern w:val="0"/>
          <w:sz w:val="24"/>
          <w:szCs w:val="24"/>
        </w:rPr>
      </w:pPr>
      <w:r>
        <w:rPr>
          <w:rFonts w:hint="default" w:ascii="Times New Roman" w:hAnsi="Times New Roman" w:cs="Times New Roman"/>
          <w:b/>
          <w:bCs/>
          <w:color w:val="333333"/>
          <w:spacing w:val="9"/>
          <w:kern w:val="0"/>
          <w:sz w:val="24"/>
          <w:szCs w:val="24"/>
        </w:rPr>
        <w:t>2.3其他措施落实情况</w:t>
      </w:r>
    </w:p>
    <w:p w14:paraId="6026FB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建设项目不涉及林地补偿、珍稀动植物保护、区域环境整治、相关外围工程建设情况等，无需落实。</w:t>
      </w:r>
    </w:p>
    <w:p w14:paraId="6003F4CA">
      <w:pPr>
        <w:widowControl/>
        <w:spacing w:line="360" w:lineRule="auto"/>
        <w:outlineLvl w:val="1"/>
        <w:rPr>
          <w:rFonts w:hint="default" w:ascii="Times New Roman" w:hAnsi="Times New Roman" w:cs="Times New Roman"/>
          <w:color w:val="333333"/>
          <w:spacing w:val="9"/>
          <w:kern w:val="0"/>
          <w:sz w:val="24"/>
          <w:szCs w:val="24"/>
        </w:rPr>
      </w:pPr>
      <w:r>
        <w:rPr>
          <w:rFonts w:hint="default" w:ascii="Times New Roman" w:hAnsi="Times New Roman" w:cs="Times New Roman"/>
          <w:b/>
          <w:bCs/>
          <w:color w:val="333333"/>
          <w:spacing w:val="9"/>
          <w:kern w:val="0"/>
          <w:sz w:val="24"/>
          <w:szCs w:val="24"/>
        </w:rPr>
        <w:t>3整改工作情况</w:t>
      </w:r>
    </w:p>
    <w:p w14:paraId="762F720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outlineLvl w:val="9"/>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根据验收意见，建设项目竣工验收合格，各项环保措施已落实到位，无需整改。</w:t>
      </w:r>
    </w:p>
    <w:p w14:paraId="76D4E001">
      <w:pPr>
        <w:jc w:val="both"/>
        <w:rPr>
          <w:rFonts w:hint="default" w:ascii="Times New Roman" w:hAnsi="Times New Roman" w:cs="Times New Roman" w:eastAsiaTheme="minorEastAsia"/>
          <w:sz w:val="28"/>
          <w:szCs w:val="28"/>
          <w:lang w:val="en-US" w:eastAsia="zh-CN"/>
        </w:rPr>
      </w:pPr>
      <w:r>
        <w:rPr>
          <w:rFonts w:hint="default" w:ascii="Times New Roman" w:hAnsi="Times New Roman" w:cs="Times New Roman"/>
          <w:sz w:val="28"/>
          <w:szCs w:val="28"/>
          <w:lang w:val="en-US" w:eastAsia="zh-CN"/>
        </w:rPr>
        <w:t xml:space="preserve"> </w:t>
      </w:r>
    </w:p>
    <w:p w14:paraId="2F94668A">
      <w:pPr>
        <w:pStyle w:val="2"/>
        <w:ind w:left="72" w:leftChars="0" w:hanging="72" w:hangingChars="30"/>
        <w:rPr>
          <w:rFonts w:hint="default" w:eastAsia="宋体"/>
          <w:lang w:val="en-US" w:eastAsia="zh-CN"/>
        </w:rPr>
      </w:pPr>
    </w:p>
    <w:p w14:paraId="489DD881">
      <w:pPr>
        <w:pStyle w:val="2"/>
        <w:ind w:left="72" w:leftChars="0" w:hanging="72" w:hangingChars="30"/>
        <w:rPr>
          <w:rFonts w:hint="eastAsia" w:eastAsia="宋体"/>
          <w:lang w:eastAsia="zh-CN"/>
        </w:rPr>
        <w:sectPr>
          <w:headerReference r:id="rId8" w:type="default"/>
          <w:pgSz w:w="11906" w:h="16838"/>
          <w:pgMar w:top="1440" w:right="1800" w:bottom="1440" w:left="1800" w:header="851" w:footer="992" w:gutter="0"/>
          <w:cols w:space="425" w:num="1"/>
          <w:docGrid w:type="lines" w:linePitch="312" w:charSpace="0"/>
        </w:sectPr>
      </w:pPr>
    </w:p>
    <w:p w14:paraId="5B933421">
      <w:pPr>
        <w:spacing w:line="240" w:lineRule="auto"/>
        <w:jc w:val="center"/>
        <w:rPr>
          <w:rFonts w:hint="eastAsia" w:ascii="Times New Roman" w:hAnsi="Times New Roman" w:cs="Times New Roman"/>
          <w:b/>
          <w:bCs/>
          <w:color w:val="000000" w:themeColor="text1"/>
          <w:sz w:val="28"/>
          <w:szCs w:val="28"/>
          <w:lang w:val="en-US" w:eastAsia="zh-CN"/>
          <w14:textFill>
            <w14:solidFill>
              <w14:schemeClr w14:val="tx1"/>
            </w14:solidFill>
          </w14:textFill>
        </w:rPr>
      </w:pPr>
      <w:r>
        <w:rPr>
          <w:rFonts w:hint="eastAsia" w:ascii="Times New Roman" w:hAnsi="Times New Roman" w:cs="Times New Roman"/>
          <w:b/>
          <w:bCs/>
          <w:color w:val="000000" w:themeColor="text1"/>
          <w:sz w:val="28"/>
          <w:szCs w:val="28"/>
          <w:lang w:val="en-US" w:eastAsia="zh-CN"/>
          <w14:textFill>
            <w14:solidFill>
              <w14:schemeClr w14:val="tx1"/>
            </w14:solidFill>
          </w14:textFill>
        </w:rPr>
        <w:t>尖扎县尖扎滩乡40万千瓦“牧光储”一体化建设项目</w:t>
      </w:r>
    </w:p>
    <w:p w14:paraId="32B3A94C">
      <w:pPr>
        <w:spacing w:line="240" w:lineRule="auto"/>
        <w:jc w:val="center"/>
        <w:rPr>
          <w:rFonts w:hint="default" w:ascii="Times New Roman" w:hAnsi="Times New Roman" w:eastAsia="宋体" w:cs="Times New Roman"/>
          <w:b/>
          <w:bCs/>
          <w:color w:val="000000" w:themeColor="text1"/>
          <w:sz w:val="28"/>
          <w:szCs w:val="28"/>
          <w:lang w:val="en-US" w:eastAsia="zh-CN"/>
          <w14:textFill>
            <w14:solidFill>
              <w14:schemeClr w14:val="tx1"/>
            </w14:solidFill>
          </w14:textFill>
        </w:rPr>
      </w:pPr>
      <w:r>
        <w:rPr>
          <w:rFonts w:hint="default" w:ascii="Times New Roman" w:hAnsi="Times New Roman" w:cs="Times New Roman"/>
          <w:b/>
          <w:bCs/>
          <w:color w:val="000000" w:themeColor="text1"/>
          <w:sz w:val="28"/>
          <w:szCs w:val="28"/>
          <w14:textFill>
            <w14:solidFill>
              <w14:schemeClr w14:val="tx1"/>
            </w14:solidFill>
          </w14:textFill>
        </w:rPr>
        <w:t>竣工环境保护验收意见</w:t>
      </w:r>
    </w:p>
    <w:p w14:paraId="3E9800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bCs w:val="0"/>
          <w:color w:val="auto"/>
          <w:kern w:val="2"/>
          <w:sz w:val="24"/>
          <w:szCs w:val="21"/>
          <w:lang w:val="en-US" w:eastAsia="zh-CN" w:bidi="ar-SA"/>
        </w:rPr>
      </w:pPr>
      <w:r>
        <w:rPr>
          <w:rFonts w:hint="default" w:ascii="Times New Roman" w:hAnsi="Times New Roman" w:eastAsia="宋体" w:cs="Times New Roman"/>
          <w:bCs w:val="0"/>
          <w:color w:val="000000" w:themeColor="text1"/>
          <w:kern w:val="2"/>
          <w:sz w:val="24"/>
          <w:szCs w:val="21"/>
          <w:lang w:val="en-US" w:eastAsia="zh-CN" w:bidi="ar-SA"/>
          <w14:textFill>
            <w14:solidFill>
              <w14:schemeClr w14:val="tx1"/>
            </w14:solidFill>
          </w14:textFill>
        </w:rPr>
        <w:t>202</w:t>
      </w:r>
      <w:r>
        <w:rPr>
          <w:rFonts w:hint="eastAsia" w:ascii="Times New Roman" w:hAnsi="Times New Roman" w:eastAsia="宋体" w:cs="Times New Roman"/>
          <w:bCs w:val="0"/>
          <w:color w:val="000000" w:themeColor="text1"/>
          <w:kern w:val="2"/>
          <w:sz w:val="24"/>
          <w:szCs w:val="21"/>
          <w:lang w:val="en-US" w:eastAsia="zh-CN" w:bidi="ar-SA"/>
          <w14:textFill>
            <w14:solidFill>
              <w14:schemeClr w14:val="tx1"/>
            </w14:solidFill>
          </w14:textFill>
        </w:rPr>
        <w:t>4</w:t>
      </w:r>
      <w:r>
        <w:rPr>
          <w:rFonts w:hint="default" w:ascii="Times New Roman" w:hAnsi="Times New Roman" w:eastAsia="宋体" w:cs="Times New Roman"/>
          <w:bCs w:val="0"/>
          <w:color w:val="000000" w:themeColor="text1"/>
          <w:kern w:val="2"/>
          <w:sz w:val="24"/>
          <w:szCs w:val="21"/>
          <w:lang w:val="en-US" w:eastAsia="zh-CN" w:bidi="ar-SA"/>
          <w14:textFill>
            <w14:solidFill>
              <w14:schemeClr w14:val="tx1"/>
            </w14:solidFill>
          </w14:textFill>
        </w:rPr>
        <w:t>年</w:t>
      </w:r>
      <w:r>
        <w:rPr>
          <w:rFonts w:hint="eastAsia" w:ascii="Times New Roman" w:hAnsi="Times New Roman" w:eastAsia="宋体" w:cs="Times New Roman"/>
          <w:bCs w:val="0"/>
          <w:color w:val="000000" w:themeColor="text1"/>
          <w:kern w:val="2"/>
          <w:sz w:val="24"/>
          <w:szCs w:val="21"/>
          <w:lang w:val="en-US" w:eastAsia="zh-CN" w:bidi="ar-SA"/>
          <w14:textFill>
            <w14:solidFill>
              <w14:schemeClr w14:val="tx1"/>
            </w14:solidFill>
          </w14:textFill>
        </w:rPr>
        <w:t>8</w:t>
      </w:r>
      <w:r>
        <w:rPr>
          <w:rFonts w:hint="default" w:ascii="Times New Roman" w:hAnsi="Times New Roman" w:eastAsia="宋体" w:cs="Times New Roman"/>
          <w:bCs w:val="0"/>
          <w:color w:val="000000" w:themeColor="text1"/>
          <w:kern w:val="2"/>
          <w:sz w:val="24"/>
          <w:szCs w:val="21"/>
          <w:lang w:val="en-US" w:eastAsia="zh-CN" w:bidi="ar-SA"/>
          <w14:textFill>
            <w14:solidFill>
              <w14:schemeClr w14:val="tx1"/>
            </w14:solidFill>
          </w14:textFill>
        </w:rPr>
        <w:t>月，</w:t>
      </w:r>
      <w:r>
        <w:rPr>
          <w:rFonts w:hint="eastAsia" w:ascii="Times New Roman" w:hAnsi="Times New Roman" w:eastAsia="宋体" w:cs="Times New Roman"/>
          <w:bCs w:val="0"/>
          <w:color w:val="000000" w:themeColor="text1"/>
          <w:kern w:val="2"/>
          <w:sz w:val="24"/>
          <w:szCs w:val="21"/>
          <w:lang w:val="en-US" w:eastAsia="zh-CN" w:bidi="ar-SA"/>
          <w14:textFill>
            <w14:solidFill>
              <w14:schemeClr w14:val="tx1"/>
            </w14:solidFill>
          </w14:textFill>
        </w:rPr>
        <w:t>尖扎金能新能源有限公司</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组织各相关单位及专家召开</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尖扎县尖扎滩乡40万千瓦“牧光储”一体化建设项目</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竣工环境保护验收会</w:t>
      </w:r>
      <w:r>
        <w:rPr>
          <w:rFonts w:hint="default" w:ascii="Times New Roman" w:hAnsi="Times New Roman" w:eastAsia="宋体" w:cs="Times New Roman"/>
          <w:bCs w:val="0"/>
          <w:color w:val="000000" w:themeColor="text1"/>
          <w:kern w:val="2"/>
          <w:sz w:val="24"/>
          <w:szCs w:val="21"/>
          <w:lang w:val="en-US" w:eastAsia="zh-CN" w:bidi="ar-SA"/>
          <w14:textFill>
            <w14:solidFill>
              <w14:schemeClr w14:val="tx1"/>
            </w14:solidFill>
          </w14:textFill>
        </w:rPr>
        <w:t>，严格依照国家有关法律法规、建设项目竣工环境保护验收技术规范、本项目环境影响报告表和审批部门批复意见等要求对本项目进行验收，对照《建</w:t>
      </w:r>
      <w:r>
        <w:rPr>
          <w:rFonts w:hint="default" w:ascii="Times New Roman" w:hAnsi="Times New Roman" w:eastAsia="宋体" w:cs="Times New Roman"/>
          <w:bCs w:val="0"/>
          <w:color w:val="auto"/>
          <w:kern w:val="2"/>
          <w:sz w:val="24"/>
          <w:szCs w:val="21"/>
          <w:lang w:val="en-US" w:eastAsia="zh-CN" w:bidi="ar-SA"/>
        </w:rPr>
        <w:t>设项目竣工环境保护验收暂行办法》，提出意见如下：</w:t>
      </w:r>
    </w:p>
    <w:p w14:paraId="4101F444">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0" w:firstLine="482" w:firstLineChars="200"/>
        <w:jc w:val="both"/>
        <w:textAlignment w:val="auto"/>
        <w:outlineLvl w:val="9"/>
        <w:rPr>
          <w:rFonts w:hint="default" w:ascii="Times New Roman" w:hAnsi="Times New Roman" w:eastAsia="宋体" w:cs="Times New Roman"/>
          <w:b/>
          <w:bCs/>
          <w:color w:val="auto"/>
          <w:sz w:val="24"/>
          <w:szCs w:val="24"/>
          <w:lang w:eastAsia="zh-CN"/>
        </w:rPr>
      </w:pPr>
      <w:r>
        <w:rPr>
          <w:rFonts w:hint="default" w:ascii="Times New Roman" w:hAnsi="Times New Roman" w:eastAsia="宋体" w:cs="Times New Roman"/>
          <w:b/>
          <w:bCs/>
          <w:color w:val="auto"/>
          <w:sz w:val="24"/>
          <w:szCs w:val="24"/>
          <w:lang w:eastAsia="zh-CN"/>
        </w:rPr>
        <w:t>工程建设基本情况</w:t>
      </w:r>
    </w:p>
    <w:p w14:paraId="38266648">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200"/>
        <w:jc w:val="both"/>
        <w:textAlignment w:val="auto"/>
        <w:outlineLvl w:val="9"/>
        <w:rPr>
          <w:rFonts w:hint="default" w:ascii="Times New Roman" w:hAnsi="Times New Roman" w:eastAsia="宋体" w:cs="Times New Roman"/>
          <w:snapToGrid w:val="0"/>
          <w:color w:val="000000"/>
          <w:sz w:val="24"/>
          <w:szCs w:val="24"/>
          <w:lang w:eastAsia="zh-CN"/>
        </w:rPr>
      </w:pPr>
      <w:r>
        <w:rPr>
          <w:rFonts w:hint="default" w:ascii="Times New Roman" w:hAnsi="Times New Roman" w:eastAsia="宋体" w:cs="Times New Roman"/>
          <w:color w:val="auto"/>
          <w:sz w:val="24"/>
          <w:szCs w:val="24"/>
          <w:lang w:eastAsia="zh-CN"/>
        </w:rPr>
        <w:t>建设地点，规模、主要建设内容</w:t>
      </w:r>
    </w:p>
    <w:p w14:paraId="2A0CC81C">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spacing w:val="1"/>
          <w:sz w:val="24"/>
          <w:szCs w:val="24"/>
          <w:lang w:val="en-US" w:eastAsia="zh-CN"/>
        </w:rPr>
      </w:pPr>
      <w:r>
        <w:rPr>
          <w:rFonts w:hint="default" w:ascii="Times New Roman" w:hAnsi="Times New Roman" w:eastAsia="宋体" w:cs="Times New Roman"/>
          <w:sz w:val="24"/>
          <w:szCs w:val="24"/>
        </w:rPr>
        <w:t>本项目</w:t>
      </w:r>
      <w:r>
        <w:rPr>
          <w:rFonts w:hint="eastAsia" w:eastAsia="宋体" w:cs="Times New Roman"/>
          <w:sz w:val="24"/>
          <w:szCs w:val="24"/>
          <w:lang w:val="en-US" w:eastAsia="zh-CN"/>
        </w:rPr>
        <w:t>位于</w:t>
      </w:r>
      <w:r>
        <w:rPr>
          <w:rFonts w:hint="eastAsia" w:cs="Times New Roman" w:eastAsiaTheme="minorEastAsia"/>
          <w:color w:val="000000" w:themeColor="text1"/>
          <w:sz w:val="24"/>
          <w:szCs w:val="24"/>
          <w:lang w:val="en-US" w:eastAsia="zh-CN"/>
          <w14:textFill>
            <w14:solidFill>
              <w14:schemeClr w14:val="tx1"/>
            </w14:solidFill>
          </w14:textFill>
        </w:rPr>
        <w:t>青海省黄南州尖扎县尖扎滩本项目配备储能系统，工程光伏总装机容量为400MW（AC），储能系统由1台20尺“逆”“变”一体储能变流器集装箱和2台45尺磷酸铁锂电池集装箱组成，储能系统交流侧并网电压等级为35kV，每12个储能发电单元为1回储能发电系统，共2回储能发电系统接入330kV升压站35kV储能进线间隔。项目配置48套箱式储能电池系统，每套含5000kWh的电池；24套变流升压系统，每套含1台储能变流器和1台0.55kV/35kV，Dy11，2500kVA箱变。</w:t>
      </w:r>
    </w:p>
    <w:p w14:paraId="22E8565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80" w:leftChars="200" w:firstLine="0" w:firstLineChars="0"/>
        <w:jc w:val="both"/>
        <w:textAlignment w:val="auto"/>
        <w:outlineLvl w:val="9"/>
        <w:rPr>
          <w:rFonts w:hint="default"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lang w:val="en-US" w:eastAsia="zh-CN" w:bidi="ar-SA"/>
        </w:rPr>
        <w:t>建设工程及环保审批过程</w:t>
      </w:r>
    </w:p>
    <w:p w14:paraId="18D47980">
      <w:pPr>
        <w:spacing w:line="360" w:lineRule="auto"/>
        <w:ind w:firstLine="480" w:firstLineChars="200"/>
        <w:jc w:val="both"/>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尖扎金能新能源有限公司于2022年5月委托青海青唐环境工程有限公司进行该项目的环境影响评价工作，并编制完成了《尖扎县尖扎滩乡40万千瓦“牧光储”一体化建设项目环境影响报告表》；2022年10月14日，黄南州生态环境局对《中国电建集团尖扎县尖扎滩乡40万千瓦“牧光储”一体化建设项目环境影响报告表》进行了批复（黄生发〔2022〕89），同意项目建设。；企业于2024年8月成立了验收工作组对项目进行验收，验收工作组通过现场检查、查阅资料等方式提出了验收意见，建设项目竣工验收合格，可正式投入使用。</w:t>
      </w:r>
    </w:p>
    <w:p w14:paraId="15602575">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80" w:leftChars="200" w:firstLine="0" w:firstLineChars="0"/>
        <w:jc w:val="both"/>
        <w:textAlignment w:val="auto"/>
        <w:outlineLvl w:val="9"/>
        <w:rPr>
          <w:rFonts w:hint="default" w:ascii="Times New Roman" w:hAnsi="Times New Roman" w:cs="Times New Roman"/>
          <w:bCs w:val="0"/>
          <w:color w:val="auto"/>
          <w:kern w:val="2"/>
          <w:sz w:val="24"/>
          <w:szCs w:val="21"/>
          <w:lang w:val="en-US" w:eastAsia="zh-CN" w:bidi="ar-SA"/>
        </w:rPr>
      </w:pPr>
      <w:r>
        <w:rPr>
          <w:rFonts w:hint="default" w:ascii="Times New Roman" w:hAnsi="Times New Roman" w:cs="Times New Roman"/>
          <w:bCs w:val="0"/>
          <w:color w:val="auto"/>
          <w:kern w:val="2"/>
          <w:sz w:val="24"/>
          <w:szCs w:val="21"/>
          <w:lang w:val="en-US" w:eastAsia="zh-CN" w:bidi="ar-SA"/>
        </w:rPr>
        <w:t>环保投资</w:t>
      </w:r>
    </w:p>
    <w:p w14:paraId="2F9B95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Cs w:val="0"/>
          <w:color w:val="0000FF"/>
          <w:kern w:val="2"/>
          <w:sz w:val="24"/>
          <w:szCs w:val="21"/>
          <w:lang w:val="en-US" w:eastAsia="zh-CN" w:bidi="ar-SA"/>
        </w:rPr>
      </w:pPr>
      <w:r>
        <w:rPr>
          <w:rFonts w:hint="default" w:ascii="Times New Roman" w:hAnsi="Times New Roman" w:cs="Times New Roman"/>
          <w:bCs w:val="0"/>
          <w:color w:val="auto"/>
          <w:kern w:val="2"/>
          <w:sz w:val="24"/>
          <w:szCs w:val="21"/>
          <w:lang w:val="en-US" w:eastAsia="zh-CN" w:bidi="ar-SA"/>
        </w:rPr>
        <w:t>本项目原环评阶段预算为199705.13万元，环保投资估算672万元，占工程建设总投资的</w:t>
      </w:r>
      <w:r>
        <w:rPr>
          <w:rFonts w:hint="eastAsia" w:ascii="Times New Roman" w:hAnsi="Times New Roman" w:cs="Times New Roman"/>
          <w:bCs w:val="0"/>
          <w:color w:val="auto"/>
          <w:kern w:val="2"/>
          <w:sz w:val="24"/>
          <w:szCs w:val="21"/>
          <w:lang w:val="en-US" w:eastAsia="zh-CN" w:bidi="ar-SA"/>
        </w:rPr>
        <w:t>0.34</w:t>
      </w:r>
      <w:r>
        <w:rPr>
          <w:rFonts w:hint="default" w:ascii="Times New Roman" w:hAnsi="Times New Roman" w:cs="Times New Roman"/>
          <w:bCs w:val="0"/>
          <w:color w:val="auto"/>
          <w:kern w:val="2"/>
          <w:sz w:val="24"/>
          <w:szCs w:val="21"/>
          <w:lang w:val="en-US" w:eastAsia="zh-CN" w:bidi="ar-SA"/>
        </w:rPr>
        <w:t>%。</w:t>
      </w:r>
    </w:p>
    <w:p w14:paraId="491D10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Cs w:val="0"/>
          <w:color w:val="auto"/>
          <w:kern w:val="2"/>
          <w:sz w:val="24"/>
          <w:szCs w:val="21"/>
          <w:lang w:val="en-US" w:eastAsia="zh-CN" w:bidi="ar-SA"/>
        </w:rPr>
      </w:pPr>
      <w:r>
        <w:rPr>
          <w:rFonts w:hint="default" w:ascii="Times New Roman" w:hAnsi="Times New Roman" w:cs="Times New Roman"/>
          <w:bCs w:val="0"/>
          <w:color w:val="auto"/>
          <w:kern w:val="2"/>
          <w:sz w:val="24"/>
          <w:szCs w:val="21"/>
          <w:lang w:val="en-US" w:eastAsia="zh-CN" w:bidi="ar-SA"/>
        </w:rPr>
        <w:t>工程实际总投资为199705.13万元，实际环保投资估算681万元，占工程建设总投资的</w:t>
      </w:r>
      <w:r>
        <w:rPr>
          <w:rFonts w:hint="eastAsia" w:ascii="Times New Roman" w:hAnsi="Times New Roman" w:cs="Times New Roman"/>
          <w:bCs w:val="0"/>
          <w:color w:val="auto"/>
          <w:kern w:val="2"/>
          <w:sz w:val="24"/>
          <w:szCs w:val="21"/>
          <w:lang w:val="en-US" w:eastAsia="zh-CN" w:bidi="ar-SA"/>
        </w:rPr>
        <w:t>0.34</w:t>
      </w:r>
      <w:r>
        <w:rPr>
          <w:rFonts w:hint="default" w:ascii="Times New Roman" w:hAnsi="Times New Roman" w:cs="Times New Roman"/>
          <w:bCs w:val="0"/>
          <w:color w:val="auto"/>
          <w:kern w:val="2"/>
          <w:sz w:val="24"/>
          <w:szCs w:val="21"/>
          <w:lang w:val="en-US" w:eastAsia="zh-CN" w:bidi="ar-SA"/>
        </w:rPr>
        <w:t>%。</w:t>
      </w:r>
    </w:p>
    <w:p w14:paraId="415BDBE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0" w:firstLine="482" w:firstLineChars="200"/>
        <w:jc w:val="both"/>
        <w:textAlignment w:val="auto"/>
        <w:outlineLvl w:val="9"/>
        <w:rPr>
          <w:rFonts w:hint="default" w:ascii="Times New Roman" w:hAnsi="Times New Roman" w:eastAsia="宋体" w:cs="Times New Roman"/>
          <w:b w:val="0"/>
          <w:bCs/>
          <w:color w:val="auto"/>
          <w:kern w:val="2"/>
          <w:sz w:val="24"/>
          <w:szCs w:val="22"/>
          <w:lang w:val="en-US" w:eastAsia="zh-CN" w:bidi="ar-SA"/>
        </w:rPr>
      </w:pPr>
      <w:r>
        <w:rPr>
          <w:rFonts w:hint="default" w:ascii="Times New Roman" w:hAnsi="Times New Roman" w:eastAsia="宋体" w:cs="Times New Roman"/>
          <w:b/>
          <w:bCs/>
          <w:color w:val="auto"/>
          <w:sz w:val="24"/>
          <w:szCs w:val="24"/>
          <w:lang w:val="en-US" w:eastAsia="zh-CN"/>
        </w:rPr>
        <w:t>工程变动情况</w:t>
      </w:r>
    </w:p>
    <w:p w14:paraId="43A4116D">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b w:val="0"/>
          <w:bCs w:val="0"/>
          <w:color w:val="000000"/>
          <w:kern w:val="0"/>
          <w:sz w:val="24"/>
          <w:szCs w:val="24"/>
          <w:lang w:val="en-US" w:eastAsia="zh-CN" w:bidi="ar"/>
        </w:rPr>
        <w:t>根据对比环评内容，本项目建设内容和规模、环保设施均未发生变动，根据《污染影响类建设项目重大变动清单（试行）》，项目不涉及重大变动。</w:t>
      </w:r>
    </w:p>
    <w:p w14:paraId="7629F942">
      <w:pPr>
        <w:keepNext w:val="0"/>
        <w:keepLines w:val="0"/>
        <w:widowControl/>
        <w:suppressLineNumbers w:val="0"/>
        <w:spacing w:line="360" w:lineRule="auto"/>
        <w:ind w:firstLine="482" w:firstLineChars="200"/>
        <w:jc w:val="left"/>
        <w:rPr>
          <w:rFonts w:hint="default" w:ascii="Times New Roman" w:hAnsi="Times New Roman" w:cs="Times New Roman"/>
        </w:rPr>
      </w:pPr>
      <w:r>
        <w:rPr>
          <w:rFonts w:hint="default" w:ascii="Times New Roman" w:hAnsi="Times New Roman" w:cs="Times New Roman" w:eastAsiaTheme="minorEastAsia"/>
          <w:b/>
          <w:bCs/>
          <w:color w:val="auto"/>
          <w:kern w:val="0"/>
          <w:sz w:val="24"/>
          <w:szCs w:val="24"/>
          <w:lang w:val="en-US" w:eastAsia="zh-CN" w:bidi="ar-SA"/>
        </w:rPr>
        <w:t>三、</w:t>
      </w:r>
      <w:r>
        <w:rPr>
          <w:rFonts w:hint="default" w:ascii="Times New Roman" w:hAnsi="Times New Roman" w:eastAsia="宋体" w:cs="Times New Roman"/>
          <w:b/>
          <w:bCs/>
          <w:color w:val="000000"/>
          <w:kern w:val="0"/>
          <w:sz w:val="24"/>
          <w:szCs w:val="24"/>
          <w:lang w:val="en-US" w:eastAsia="zh-CN" w:bidi="ar"/>
        </w:rPr>
        <w:t>环境影响调查结论</w:t>
      </w:r>
    </w:p>
    <w:p w14:paraId="59193394">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3</w:t>
      </w:r>
      <w:r>
        <w:rPr>
          <w:rFonts w:hint="default" w:ascii="Times New Roman" w:hAnsi="Times New Roman" w:eastAsia="宋体" w:cs="Times New Roman"/>
          <w:b w:val="0"/>
          <w:bCs w:val="0"/>
          <w:color w:val="000000"/>
          <w:kern w:val="0"/>
          <w:sz w:val="24"/>
          <w:szCs w:val="24"/>
          <w:lang w:val="en-US" w:eastAsia="zh-CN" w:bidi="ar"/>
        </w:rPr>
        <w:t>.1生态环境影响调查</w:t>
      </w:r>
    </w:p>
    <w:p w14:paraId="40AED688">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b w:val="0"/>
          <w:bCs w:val="0"/>
          <w:color w:val="000000"/>
          <w:kern w:val="0"/>
          <w:sz w:val="24"/>
          <w:szCs w:val="24"/>
          <w:lang w:val="en-US" w:eastAsia="zh-CN" w:bidi="ar"/>
        </w:rPr>
        <w:t>施工结束后已拆除施工营地，临时道路已改成场区进场道路和检修道路，并对临时占地进行了地貌平整和植被恢复，施工临时占地已恢复原有地貌。本项目施工区内无重点保护野生植物，施工区对地表植被的影响主要表现在施工临时占地和永久占地对地表植被的破坏。项目区植被主要以多年生植物为主。目前施工扰动区域已进行填埋、压实，并种植植被，加之施工期较短，所以项目施工对区域植被多样性和植被分布影响较小。</w:t>
      </w:r>
    </w:p>
    <w:p w14:paraId="08DBAB9E">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3</w:t>
      </w:r>
      <w:r>
        <w:rPr>
          <w:rFonts w:hint="default" w:ascii="Times New Roman" w:hAnsi="Times New Roman" w:eastAsia="宋体" w:cs="Times New Roman"/>
          <w:b w:val="0"/>
          <w:bCs w:val="0"/>
          <w:color w:val="000000"/>
          <w:kern w:val="0"/>
          <w:sz w:val="24"/>
          <w:szCs w:val="24"/>
          <w:lang w:val="en-US" w:eastAsia="zh-CN" w:bidi="ar"/>
        </w:rPr>
        <w:t>.2水、气、声、固废环境影响调查</w:t>
      </w:r>
    </w:p>
    <w:p w14:paraId="6C35AB8E">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b w:val="0"/>
          <w:bCs w:val="0"/>
          <w:color w:val="000000"/>
          <w:kern w:val="0"/>
          <w:sz w:val="24"/>
          <w:szCs w:val="24"/>
          <w:lang w:val="en-US" w:eastAsia="zh-CN" w:bidi="ar"/>
        </w:rPr>
        <w:t>工程施工期废水、废气、噪声及固废均按照《报告表》要求进行处理处置，污染防治措施满足环评文件及审批决定的要求，执行效果较好，对周围环境影响可接受。</w:t>
      </w:r>
    </w:p>
    <w:p w14:paraId="3CEABBFF">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eastAsia" w:ascii="Times New Roman" w:hAnsi="Times New Roman" w:eastAsia="宋体" w:cs="Times New Roman"/>
          <w:b w:val="0"/>
          <w:bCs w:val="0"/>
          <w:color w:val="000000"/>
          <w:kern w:val="0"/>
          <w:sz w:val="24"/>
          <w:szCs w:val="24"/>
          <w:lang w:val="en-US" w:eastAsia="zh-CN" w:bidi="ar"/>
        </w:rPr>
        <w:t>3</w:t>
      </w:r>
      <w:r>
        <w:rPr>
          <w:rFonts w:hint="default" w:ascii="Times New Roman" w:hAnsi="Times New Roman" w:eastAsia="宋体" w:cs="Times New Roman"/>
          <w:b w:val="0"/>
          <w:bCs w:val="0"/>
          <w:color w:val="000000"/>
          <w:kern w:val="0"/>
          <w:sz w:val="24"/>
          <w:szCs w:val="24"/>
          <w:lang w:val="en-US" w:eastAsia="zh-CN" w:bidi="ar"/>
        </w:rPr>
        <w:t>.3运营期环境影响调查</w:t>
      </w:r>
    </w:p>
    <w:p w14:paraId="452B92FD">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b w:val="0"/>
          <w:bCs w:val="0"/>
          <w:color w:val="000000"/>
          <w:kern w:val="0"/>
          <w:sz w:val="24"/>
          <w:szCs w:val="24"/>
          <w:lang w:val="en-US" w:eastAsia="zh-CN" w:bidi="ar"/>
        </w:rPr>
        <w:t>光伏组件冲洗废水沿光伏组件表面落至地面不外排，根据业主提供资料及现场调查未发现废水漫流、乱排现象。</w:t>
      </w:r>
    </w:p>
    <w:p w14:paraId="4A7FE855">
      <w:pPr>
        <w:keepNext w:val="0"/>
        <w:keepLines w:val="0"/>
        <w:widowControl/>
        <w:suppressLineNumbers w:val="0"/>
        <w:spacing w:line="360" w:lineRule="auto"/>
        <w:ind w:firstLine="480" w:firstLineChars="200"/>
        <w:jc w:val="left"/>
        <w:rPr>
          <w:rFonts w:hint="default" w:ascii="Times New Roman" w:hAnsi="Times New Roman" w:eastAsia="宋体" w:cs="Times New Roman"/>
          <w:b w:val="0"/>
          <w:bCs w:val="0"/>
          <w:color w:val="000000"/>
          <w:kern w:val="0"/>
          <w:sz w:val="24"/>
          <w:szCs w:val="24"/>
          <w:lang w:val="en-US" w:eastAsia="zh-CN" w:bidi="ar"/>
        </w:rPr>
      </w:pPr>
      <w:r>
        <w:rPr>
          <w:rFonts w:hint="default" w:ascii="Times New Roman" w:hAnsi="Times New Roman" w:eastAsia="宋体" w:cs="Times New Roman"/>
          <w:b w:val="0"/>
          <w:bCs w:val="0"/>
          <w:color w:val="000000"/>
          <w:kern w:val="0"/>
          <w:sz w:val="24"/>
          <w:szCs w:val="24"/>
          <w:lang w:val="en-US" w:eastAsia="zh-CN" w:bidi="ar"/>
        </w:rPr>
        <w:t>目前未产生废旧电子元件、废旧损坏电池、变压器油，污染防治措施满足环评文件及审批决定的要求，执行效果较好，对项目区域环境影响很小。</w:t>
      </w:r>
    </w:p>
    <w:p w14:paraId="46394213">
      <w:pPr>
        <w:keepNext w:val="0"/>
        <w:keepLines w:val="0"/>
        <w:widowControl/>
        <w:numPr>
          <w:ilvl w:val="0"/>
          <w:numId w:val="0"/>
        </w:numPr>
        <w:suppressLineNumbers w:val="0"/>
        <w:spacing w:line="360" w:lineRule="auto"/>
        <w:ind w:firstLine="482" w:firstLineChars="200"/>
        <w:jc w:val="left"/>
        <w:rPr>
          <w:rFonts w:hint="default" w:ascii="Times New Roman" w:hAnsi="Times New Roman" w:cs="Times New Roman" w:eastAsiaTheme="minorEastAsia"/>
          <w:b/>
          <w:bCs/>
          <w:color w:val="auto"/>
          <w:kern w:val="0"/>
          <w:sz w:val="24"/>
          <w:szCs w:val="24"/>
          <w:lang w:val="en-US" w:eastAsia="zh-CN" w:bidi="ar-SA"/>
        </w:rPr>
      </w:pPr>
      <w:r>
        <w:rPr>
          <w:rFonts w:hint="default" w:ascii="Times New Roman" w:hAnsi="Times New Roman" w:cs="Times New Roman"/>
          <w:b/>
          <w:bCs/>
          <w:color w:val="auto"/>
          <w:kern w:val="0"/>
          <w:sz w:val="24"/>
          <w:szCs w:val="24"/>
          <w:lang w:val="en-US" w:eastAsia="zh-CN" w:bidi="ar-SA"/>
        </w:rPr>
        <w:t>四、</w:t>
      </w:r>
      <w:r>
        <w:rPr>
          <w:rFonts w:hint="default" w:ascii="Times New Roman" w:hAnsi="Times New Roman" w:cs="Times New Roman" w:eastAsiaTheme="minorEastAsia"/>
          <w:b/>
          <w:bCs/>
          <w:color w:val="auto"/>
          <w:kern w:val="0"/>
          <w:sz w:val="24"/>
          <w:szCs w:val="24"/>
          <w:lang w:val="en-US" w:eastAsia="zh-CN" w:bidi="ar-SA"/>
        </w:rPr>
        <w:t>验收结论</w:t>
      </w:r>
    </w:p>
    <w:p w14:paraId="15EECFEC">
      <w:pPr>
        <w:keepNext w:val="0"/>
        <w:keepLines w:val="0"/>
        <w:widowControl/>
        <w:suppressLineNumbers w:val="0"/>
        <w:spacing w:line="360" w:lineRule="auto"/>
        <w:ind w:firstLine="480" w:firstLineChars="200"/>
        <w:jc w:val="left"/>
        <w:rPr>
          <w:rFonts w:hint="default" w:ascii="Times New Roman" w:hAnsi="Times New Roman" w:eastAsia="宋体" w:cs="Times New Roman"/>
          <w:sz w:val="24"/>
          <w:szCs w:val="24"/>
          <w:lang w:val="en-US" w:eastAsia="zh-CN"/>
        </w:rPr>
      </w:pPr>
      <w:r>
        <w:rPr>
          <w:rFonts w:hint="eastAsia" w:ascii="Times New Roman" w:hAnsi="Times New Roman" w:cs="Times New Roman"/>
          <w:color w:val="auto"/>
          <w:kern w:val="0"/>
          <w:sz w:val="24"/>
          <w:szCs w:val="24"/>
          <w:lang w:val="en-US" w:eastAsia="zh-CN"/>
        </w:rPr>
        <w:t>尖扎县尖扎滩乡40万千瓦“牧光储”一体化建设项目</w:t>
      </w:r>
      <w:r>
        <w:rPr>
          <w:rFonts w:hint="default" w:ascii="Times New Roman" w:hAnsi="Times New Roman" w:cs="Times New Roman"/>
          <w:color w:val="auto"/>
          <w:kern w:val="0"/>
          <w:sz w:val="24"/>
          <w:szCs w:val="24"/>
        </w:rPr>
        <w:t>遵守国家相关法律</w:t>
      </w:r>
      <w:r>
        <w:rPr>
          <w:rFonts w:hint="default" w:ascii="Times New Roman" w:hAnsi="Times New Roman" w:eastAsia="宋体" w:cs="Times New Roman"/>
          <w:sz w:val="24"/>
          <w:szCs w:val="24"/>
        </w:rPr>
        <w:t>法规规定，按照环评要求建设，严格执行“三同时”制度。</w:t>
      </w:r>
      <w:r>
        <w:rPr>
          <w:rFonts w:hint="default" w:ascii="Times New Roman" w:hAnsi="Times New Roman" w:cs="Times New Roman"/>
          <w:color w:val="auto"/>
          <w:kern w:val="0"/>
          <w:sz w:val="24"/>
          <w:szCs w:val="24"/>
          <w:lang w:val="en-US" w:eastAsia="zh-CN"/>
        </w:rPr>
        <w:t>根据项目竣工环境保护验收监测报告和现场检查，该项目不涉及重大变动，环保设施基本按照环评和批复要求建设完成并正常运行，各类污染物能够实现达标排放要求</w:t>
      </w:r>
      <w:r>
        <w:rPr>
          <w:rFonts w:hint="default" w:ascii="Times New Roman" w:hAnsi="Times New Roman" w:eastAsia="宋体" w:cs="Times New Roman"/>
          <w:sz w:val="24"/>
          <w:szCs w:val="24"/>
        </w:rPr>
        <w:t>。</w:t>
      </w:r>
      <w:r>
        <w:rPr>
          <w:rFonts w:hint="default" w:ascii="Times New Roman" w:hAnsi="Times New Roman" w:cs="Times New Roman"/>
          <w:sz w:val="24"/>
          <w:szCs w:val="24"/>
          <w:lang w:val="en-US" w:eastAsia="zh-CN"/>
        </w:rPr>
        <w:t>因此，</w:t>
      </w:r>
      <w:r>
        <w:rPr>
          <w:rFonts w:hint="default" w:ascii="Times New Roman" w:hAnsi="Times New Roman" w:eastAsia="宋体" w:cs="Times New Roman"/>
          <w:sz w:val="24"/>
          <w:szCs w:val="24"/>
        </w:rPr>
        <w:t>验收组一致同意通过项目竣工环境保护验收</w:t>
      </w:r>
      <w:r>
        <w:rPr>
          <w:rFonts w:hint="default" w:ascii="Times New Roman" w:hAnsi="Times New Roman" w:cs="Times New Roman"/>
          <w:sz w:val="24"/>
          <w:szCs w:val="24"/>
          <w:lang w:val="en-US" w:eastAsia="zh-CN"/>
        </w:rPr>
        <w:t>。</w:t>
      </w:r>
    </w:p>
    <w:p w14:paraId="2CC9AB41">
      <w:pPr>
        <w:autoSpaceDE w:val="0"/>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lang w:val="en-US" w:eastAsia="zh-CN"/>
        </w:rPr>
        <w:t>五</w:t>
      </w:r>
      <w:r>
        <w:rPr>
          <w:rFonts w:hint="default" w:ascii="Times New Roman" w:hAnsi="Times New Roman" w:cs="Times New Roman"/>
          <w:b/>
          <w:color w:val="auto"/>
          <w:sz w:val="24"/>
          <w:szCs w:val="24"/>
        </w:rPr>
        <w:t>、验收人员信息（见附表）</w:t>
      </w:r>
    </w:p>
    <w:p w14:paraId="2D6B1BCA">
      <w:pPr>
        <w:pStyle w:val="19"/>
        <w:numPr>
          <w:ilvl w:val="0"/>
          <w:numId w:val="0"/>
        </w:numPr>
        <w:spacing w:line="360" w:lineRule="auto"/>
        <w:jc w:val="right"/>
        <w:rPr>
          <w:rFonts w:hint="eastAsia" w:eastAsia="宋体" w:cs="Times New Roman"/>
          <w:b/>
          <w:bCs w:val="0"/>
          <w:color w:val="auto"/>
          <w:kern w:val="2"/>
          <w:sz w:val="24"/>
          <w:szCs w:val="24"/>
          <w:lang w:val="en-US" w:eastAsia="zh-CN" w:bidi="ar-SA"/>
        </w:rPr>
      </w:pPr>
    </w:p>
    <w:p w14:paraId="1BFB33B2">
      <w:pPr>
        <w:pStyle w:val="19"/>
        <w:numPr>
          <w:ilvl w:val="0"/>
          <w:numId w:val="0"/>
        </w:numPr>
        <w:spacing w:line="360" w:lineRule="auto"/>
        <w:jc w:val="right"/>
        <w:rPr>
          <w:rFonts w:hint="default" w:ascii="Times New Roman" w:hAnsi="Times New Roman" w:eastAsia="宋体" w:cs="Times New Roman"/>
          <w:b/>
          <w:bCs w:val="0"/>
          <w:color w:val="000000" w:themeColor="text1"/>
          <w:kern w:val="2"/>
          <w:sz w:val="24"/>
          <w:szCs w:val="24"/>
          <w:lang w:val="en-US" w:eastAsia="zh-CN" w:bidi="ar-SA"/>
          <w14:textFill>
            <w14:solidFill>
              <w14:schemeClr w14:val="tx1"/>
            </w14:solidFill>
          </w14:textFill>
        </w:rPr>
      </w:pPr>
      <w:r>
        <w:rPr>
          <w:rFonts w:hint="eastAsia" w:eastAsia="宋体" w:cs="Times New Roman"/>
          <w:b/>
          <w:bCs w:val="0"/>
          <w:color w:val="auto"/>
          <w:kern w:val="2"/>
          <w:sz w:val="24"/>
          <w:szCs w:val="24"/>
          <w:lang w:val="en-US" w:eastAsia="zh-CN" w:bidi="ar-SA"/>
        </w:rPr>
        <w:t>尖扎金能新能源有限公司</w:t>
      </w:r>
    </w:p>
    <w:p w14:paraId="1F56B2CA">
      <w:pPr>
        <w:pStyle w:val="20"/>
        <w:jc w:val="center"/>
        <w:rPr>
          <w:rFonts w:hint="eastAsia" w:eastAsia="宋体"/>
          <w:lang w:eastAsia="zh-CN"/>
        </w:rPr>
      </w:pPr>
      <w:r>
        <w:rPr>
          <w:rFonts w:hint="default" w:ascii="Times New Roman" w:hAnsi="Times New Roman" w:cs="Times New Roman"/>
          <w:b/>
          <w:bCs w:val="0"/>
          <w:color w:val="000000" w:themeColor="text1"/>
          <w:kern w:val="2"/>
          <w:sz w:val="24"/>
          <w:szCs w:val="24"/>
          <w:lang w:val="en-US" w:eastAsia="zh-CN" w:bidi="ar-SA"/>
          <w14:textFill>
            <w14:solidFill>
              <w14:schemeClr w14:val="tx1"/>
            </w14:solidFill>
          </w14:textFill>
        </w:rPr>
        <w:t xml:space="preserve">                                           </w:t>
      </w:r>
      <w:r>
        <w:rPr>
          <w:rFonts w:hint="eastAsia" w:cs="Times New Roman"/>
          <w:b/>
          <w:bCs w:val="0"/>
          <w:color w:val="000000" w:themeColor="text1"/>
          <w:kern w:val="2"/>
          <w:sz w:val="24"/>
          <w:szCs w:val="24"/>
          <w:lang w:val="en-US" w:eastAsia="zh-CN" w:bidi="ar-SA"/>
          <w14:textFill>
            <w14:solidFill>
              <w14:schemeClr w14:val="tx1"/>
            </w14:solidFill>
          </w14:textFill>
        </w:rPr>
        <w:t xml:space="preserve">  2024</w:t>
      </w:r>
      <w:r>
        <w:rPr>
          <w:rFonts w:hint="default" w:ascii="Times New Roman" w:hAnsi="Times New Roman" w:eastAsia="宋体" w:cs="Times New Roman"/>
          <w:b/>
          <w:bCs w:val="0"/>
          <w:color w:val="000000" w:themeColor="text1"/>
          <w:kern w:val="2"/>
          <w:sz w:val="24"/>
          <w:szCs w:val="24"/>
          <w:lang w:val="en-US" w:eastAsia="zh-CN" w:bidi="ar-SA"/>
          <w14:textFill>
            <w14:solidFill>
              <w14:schemeClr w14:val="tx1"/>
            </w14:solidFill>
          </w14:textFill>
        </w:rPr>
        <w:t>年</w:t>
      </w:r>
      <w:r>
        <w:rPr>
          <w:rFonts w:hint="eastAsia" w:cs="Times New Roman"/>
          <w:b/>
          <w:bCs w:val="0"/>
          <w:color w:val="000000" w:themeColor="text1"/>
          <w:kern w:val="2"/>
          <w:sz w:val="24"/>
          <w:szCs w:val="24"/>
          <w:lang w:val="en-US" w:eastAsia="zh-CN" w:bidi="ar-SA"/>
          <w14:textFill>
            <w14:solidFill>
              <w14:schemeClr w14:val="tx1"/>
            </w14:solidFill>
          </w14:textFill>
        </w:rPr>
        <w:t>8</w:t>
      </w:r>
      <w:r>
        <w:rPr>
          <w:rFonts w:hint="default" w:ascii="Times New Roman" w:hAnsi="Times New Roman" w:eastAsia="宋体" w:cs="Times New Roman"/>
          <w:b/>
          <w:bCs w:val="0"/>
          <w:color w:val="000000" w:themeColor="text1"/>
          <w:kern w:val="2"/>
          <w:sz w:val="24"/>
          <w:szCs w:val="24"/>
          <w:lang w:val="en-US" w:eastAsia="zh-CN" w:bidi="ar-SA"/>
          <w14:textFill>
            <w14:solidFill>
              <w14:schemeClr w14:val="tx1"/>
            </w14:solidFill>
          </w14:textFill>
        </w:rPr>
        <w:t>月</w:t>
      </w:r>
      <w:r>
        <w:rPr>
          <w:rFonts w:hint="eastAsia" w:cs="Times New Roman"/>
          <w:b/>
          <w:bCs w:val="0"/>
          <w:color w:val="000000" w:themeColor="text1"/>
          <w:kern w:val="2"/>
          <w:sz w:val="24"/>
          <w:szCs w:val="24"/>
          <w:lang w:val="en-US" w:eastAsia="zh-CN" w:bidi="ar-SA"/>
          <w14:textFill>
            <w14:solidFill>
              <w14:schemeClr w14:val="tx1"/>
            </w14:solidFill>
          </w14:textFill>
        </w:rPr>
        <w:t>31</w:t>
      </w:r>
      <w:r>
        <w:rPr>
          <w:rFonts w:hint="default" w:ascii="Times New Roman" w:hAnsi="Times New Roman" w:eastAsia="宋体" w:cs="Times New Roman"/>
          <w:b/>
          <w:bCs w:val="0"/>
          <w:color w:val="000000" w:themeColor="text1"/>
          <w:kern w:val="2"/>
          <w:sz w:val="24"/>
          <w:szCs w:val="24"/>
          <w:lang w:val="en-US" w:eastAsia="zh-CN" w:bidi="ar-SA"/>
          <w14:textFill>
            <w14:solidFill>
              <w14:schemeClr w14:val="tx1"/>
            </w14:solidFill>
          </w14:textFill>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72" w:right="72" w:firstLine="480"/>
      </w:pPr>
      <w:r>
        <w:separator/>
      </w:r>
    </w:p>
  </w:endnote>
  <w:endnote w:type="continuationSeparator" w:id="1">
    <w:p>
      <w:pPr>
        <w:spacing w:line="240" w:lineRule="auto"/>
        <w:ind w:left="72" w:right="72"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385D9">
    <w:pPr>
      <w:ind w:left="0" w:leftChars="0" w:firstLine="0" w:firstLineChars="0"/>
      <w:rPr>
        <w:sz w:val="20"/>
        <w:lang w:val="en-US"/>
      </w:rPr>
    </w:pPr>
    <w:r>
      <w:rPr>
        <w:sz w:val="20"/>
        <w:lang w:val="en-US" w:bidi="ar-SA"/>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ECCF0">
                          <w:pPr>
                            <w:ind w:firstLine="400"/>
                          </w:pPr>
                          <w:r>
                            <w:rPr>
                              <w:rFonts w:hint="eastAsia"/>
                              <w:sz w:val="20"/>
                              <w:szCs w:val="20"/>
                            </w:rPr>
                            <w:fldChar w:fldCharType="begin"/>
                          </w:r>
                          <w:r>
                            <w:rPr>
                              <w:rFonts w:hint="eastAsia"/>
                              <w:sz w:val="20"/>
                              <w:szCs w:val="20"/>
                            </w:rPr>
                            <w:instrText xml:space="preserve"> PAGE  \* MERGEFORMAT </w:instrText>
                          </w:r>
                          <w:r>
                            <w:rPr>
                              <w:rFonts w:hint="eastAsia"/>
                              <w:sz w:val="20"/>
                              <w:szCs w:val="20"/>
                            </w:rPr>
                            <w:fldChar w:fldCharType="separate"/>
                          </w:r>
                          <w:r>
                            <w:rPr>
                              <w:sz w:val="20"/>
                              <w:szCs w:val="20"/>
                            </w:rPr>
                            <w:t>5</w:t>
                          </w:r>
                          <w:r>
                            <w:rPr>
                              <w:rFonts w:hint="eastAsia"/>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D9ECCF0">
                    <w:pPr>
                      <w:ind w:firstLine="400"/>
                    </w:pPr>
                    <w:r>
                      <w:rPr>
                        <w:rFonts w:hint="eastAsia"/>
                        <w:sz w:val="20"/>
                        <w:szCs w:val="20"/>
                      </w:rPr>
                      <w:fldChar w:fldCharType="begin"/>
                    </w:r>
                    <w:r>
                      <w:rPr>
                        <w:rFonts w:hint="eastAsia"/>
                        <w:sz w:val="20"/>
                        <w:szCs w:val="20"/>
                      </w:rPr>
                      <w:instrText xml:space="preserve"> PAGE  \* MERGEFORMAT </w:instrText>
                    </w:r>
                    <w:r>
                      <w:rPr>
                        <w:rFonts w:hint="eastAsia"/>
                        <w:sz w:val="20"/>
                        <w:szCs w:val="20"/>
                      </w:rPr>
                      <w:fldChar w:fldCharType="separate"/>
                    </w:r>
                    <w:r>
                      <w:rPr>
                        <w:sz w:val="20"/>
                        <w:szCs w:val="20"/>
                      </w:rPr>
                      <w:t>5</w:t>
                    </w:r>
                    <w:r>
                      <w:rPr>
                        <w:rFonts w:hint="eastAsia"/>
                        <w:sz w:val="20"/>
                        <w:szCs w:val="20"/>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left="72" w:right="72" w:firstLine="480"/>
      </w:pPr>
      <w:r>
        <w:separator/>
      </w:r>
    </w:p>
  </w:footnote>
  <w:footnote w:type="continuationSeparator" w:id="1">
    <w:p>
      <w:pPr>
        <w:spacing w:line="360" w:lineRule="auto"/>
        <w:ind w:left="72" w:right="72"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384CC">
    <w:pPr>
      <w:pStyle w:val="9"/>
      <w:pBdr>
        <w:bottom w:val="none" w:color="auto" w:sz="0" w:space="1"/>
      </w:pBdr>
      <w:ind w:firstLine="360"/>
    </w:pPr>
  </w:p>
  <w:p w14:paraId="043B0835">
    <w:pPr>
      <w:pStyle w:val="9"/>
      <w:pBdr>
        <w:bottom w:val="none" w:color="auto" w:sz="0" w:space="1"/>
      </w:pBdr>
      <w:ind w:firstLine="360"/>
    </w:pPr>
  </w:p>
  <w:p w14:paraId="02216CAD">
    <w:pPr>
      <w:pStyle w:val="9"/>
      <w:pBdr>
        <w:bottom w:val="none" w:color="auto" w:sz="0" w:space="1"/>
      </w:pBdr>
      <w:ind w:firstLine="360"/>
    </w:pPr>
  </w:p>
  <w:p w14:paraId="3A8FD93C">
    <w:pPr>
      <w:pStyle w:val="9"/>
      <w:pBdr>
        <w:bottom w:val="none" w:color="auto" w:sz="0" w:space="1"/>
      </w:pBdr>
      <w:ind w:firstLine="360"/>
    </w:pPr>
  </w:p>
  <w:p w14:paraId="4875A786">
    <w:pPr>
      <w:pStyle w:val="9"/>
      <w:pBdr>
        <w:bottom w:val="none" w:color="auto" w:sz="0" w:space="1"/>
      </w:pBdr>
      <w:ind w:left="0" w:leftChars="0" w:firstLine="0" w:firstLineChars="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730D5">
    <w:pPr>
      <w:pStyle w:val="9"/>
      <w:pBdr>
        <w:bottom w:val="none" w:color="auto" w:sz="0" w:space="1"/>
      </w:pBdr>
      <w:ind w:firstLine="360"/>
    </w:pPr>
  </w:p>
  <w:p w14:paraId="5FD36CDA">
    <w:pPr>
      <w:pStyle w:val="9"/>
      <w:pBdr>
        <w:bottom w:val="none" w:color="auto" w:sz="0" w:space="1"/>
      </w:pBdr>
      <w:ind w:firstLine="360"/>
    </w:pPr>
  </w:p>
  <w:p w14:paraId="434D01FA">
    <w:pPr>
      <w:pStyle w:val="9"/>
      <w:pBdr>
        <w:bottom w:val="none" w:color="auto" w:sz="0" w:space="1"/>
      </w:pBdr>
      <w:ind w:firstLine="360"/>
    </w:pPr>
  </w:p>
  <w:p w14:paraId="094A61E0">
    <w:pPr>
      <w:pStyle w:val="9"/>
      <w:pBdr>
        <w:bottom w:val="none" w:color="auto" w:sz="0" w:space="1"/>
      </w:pBdr>
      <w:ind w:firstLine="360"/>
    </w:pPr>
  </w:p>
  <w:p w14:paraId="5D0AC5E2">
    <w:pPr>
      <w:pStyle w:val="9"/>
      <w:pBdr>
        <w:bottom w:val="single" w:color="auto" w:sz="4" w:space="1"/>
      </w:pBdr>
      <w:ind w:left="0" w:leftChars="0" w:firstLine="0" w:firstLineChars="0"/>
      <w:jc w:val="center"/>
    </w:pPr>
    <w:r>
      <w:rPr>
        <w:rFonts w:hint="eastAsia"/>
        <w:lang w:val="en-US" w:eastAsia="zh-CN"/>
      </w:rPr>
      <w:t>尖扎县尖扎滩乡40万千瓦“牧光储”一体化建设项目</w:t>
    </w:r>
    <w:r>
      <w:rPr>
        <w:color w:val="000000" w:themeColor="text1"/>
        <w:lang w:val="en-US"/>
        <w14:textFill>
          <w14:solidFill>
            <w14:schemeClr w14:val="tx1"/>
          </w14:solidFill>
        </w14:textFill>
      </w:rPr>
      <w:t>竣工环境保护设施验收调查报告表</w:t>
    </w:r>
  </w:p>
  <w:p w14:paraId="6B93C5B0">
    <w:pPr>
      <w:pStyle w:val="9"/>
      <w:pBdr>
        <w:bottom w:val="none" w:color="auto" w:sz="0" w:space="1"/>
      </w:pBdr>
      <w:ind w:left="0" w:leftChars="0" w:firstLine="0" w:firstLineChars="0"/>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DBC95">
    <w:pPr>
      <w:pStyle w:val="9"/>
      <w:pBdr>
        <w:bottom w:val="single" w:color="auto" w:sz="4" w:space="1"/>
      </w:pBdr>
      <w:ind w:left="0" w:leftChars="0" w:firstLine="0" w:firstLineChars="0"/>
      <w:jc w:val="center"/>
    </w:pPr>
    <w:r>
      <w:rPr>
        <w:rFonts w:hint="eastAsia"/>
        <w:lang w:val="en-US" w:eastAsia="zh-CN"/>
      </w:rPr>
      <w:t>中国电建集团尖扎县尖扎滩乡40万千瓦“牧光储”一体化建设项目</w:t>
    </w:r>
    <w:r>
      <w:rPr>
        <w:color w:val="000000" w:themeColor="text1"/>
        <w:lang w:val="en-US"/>
        <w14:textFill>
          <w14:solidFill>
            <w14:schemeClr w14:val="tx1"/>
          </w14:solidFill>
        </w14:textFill>
      </w:rPr>
      <w:t>竣工环境保护设施验收调查报告表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AFD0D1"/>
    <w:multiLevelType w:val="singleLevel"/>
    <w:tmpl w:val="A3AFD0D1"/>
    <w:lvl w:ilvl="0" w:tentative="0">
      <w:start w:val="1"/>
      <w:numFmt w:val="chineseCounting"/>
      <w:suff w:val="nothing"/>
      <w:lvlText w:val="（%1）"/>
      <w:lvlJc w:val="left"/>
      <w:rPr>
        <w:rFonts w:hint="eastAsia"/>
      </w:rPr>
    </w:lvl>
  </w:abstractNum>
  <w:abstractNum w:abstractNumId="1">
    <w:nsid w:val="B0283352"/>
    <w:multiLevelType w:val="singleLevel"/>
    <w:tmpl w:val="B0283352"/>
    <w:lvl w:ilvl="0" w:tentative="0">
      <w:start w:val="2"/>
      <w:numFmt w:val="decimal"/>
      <w:suff w:val="nothing"/>
      <w:lvlText w:val="%1、"/>
      <w:lvlJc w:val="left"/>
    </w:lvl>
  </w:abstractNum>
  <w:abstractNum w:abstractNumId="2">
    <w:nsid w:val="D7BEE05C"/>
    <w:multiLevelType w:val="singleLevel"/>
    <w:tmpl w:val="D7BEE05C"/>
    <w:lvl w:ilvl="0" w:tentative="0">
      <w:start w:val="1"/>
      <w:numFmt w:val="decimal"/>
      <w:suff w:val="nothing"/>
      <w:lvlText w:val="（%1）"/>
      <w:lvlJc w:val="left"/>
    </w:lvl>
  </w:abstractNum>
  <w:abstractNum w:abstractNumId="3">
    <w:nsid w:val="E7472DCC"/>
    <w:multiLevelType w:val="singleLevel"/>
    <w:tmpl w:val="E7472DCC"/>
    <w:lvl w:ilvl="0" w:tentative="0">
      <w:start w:val="1"/>
      <w:numFmt w:val="decimal"/>
      <w:suff w:val="nothing"/>
      <w:lvlText w:val="%1、"/>
      <w:lvlJc w:val="left"/>
    </w:lvl>
  </w:abstractNum>
  <w:abstractNum w:abstractNumId="4">
    <w:nsid w:val="02E6BB76"/>
    <w:multiLevelType w:val="singleLevel"/>
    <w:tmpl w:val="02E6BB76"/>
    <w:lvl w:ilvl="0" w:tentative="0">
      <w:start w:val="1"/>
      <w:numFmt w:val="chineseCounting"/>
      <w:suff w:val="nothing"/>
      <w:lvlText w:val="%1、"/>
      <w:lvlJc w:val="left"/>
      <w:rPr>
        <w:rFonts w:hint="eastAsia"/>
      </w:rPr>
    </w:lvl>
  </w:abstractNum>
  <w:abstractNum w:abstractNumId="5">
    <w:nsid w:val="4322B9F5"/>
    <w:multiLevelType w:val="multilevel"/>
    <w:tmpl w:val="4322B9F5"/>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7016DB44"/>
    <w:multiLevelType w:val="singleLevel"/>
    <w:tmpl w:val="7016DB44"/>
    <w:lvl w:ilvl="0" w:tentative="0">
      <w:start w:val="1"/>
      <w:numFmt w:val="decimal"/>
      <w:suff w:val="nothing"/>
      <w:lvlText w:val="（%1）"/>
      <w:lvlJc w:val="left"/>
    </w:lvl>
  </w:abstractNum>
  <w:num w:numId="1">
    <w:abstractNumId w:val="6"/>
  </w:num>
  <w:num w:numId="2">
    <w:abstractNumId w:val="1"/>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0NTgzYmYzZWMyYzk4MjJjNDQ1MzhiZTM1YTQ5OWIifQ=="/>
  </w:docVars>
  <w:rsids>
    <w:rsidRoot w:val="45B37493"/>
    <w:rsid w:val="00114711"/>
    <w:rsid w:val="0027148F"/>
    <w:rsid w:val="00326584"/>
    <w:rsid w:val="0071723D"/>
    <w:rsid w:val="009C15CF"/>
    <w:rsid w:val="00D06612"/>
    <w:rsid w:val="00D2183E"/>
    <w:rsid w:val="00F82668"/>
    <w:rsid w:val="00FB64A0"/>
    <w:rsid w:val="00FD4BC6"/>
    <w:rsid w:val="02573A0B"/>
    <w:rsid w:val="026F122E"/>
    <w:rsid w:val="03F039AD"/>
    <w:rsid w:val="088A55EA"/>
    <w:rsid w:val="08D229FD"/>
    <w:rsid w:val="0AE514B6"/>
    <w:rsid w:val="0D5B2A58"/>
    <w:rsid w:val="0D786B25"/>
    <w:rsid w:val="0E4527D8"/>
    <w:rsid w:val="0E7816A2"/>
    <w:rsid w:val="0F0E7A1E"/>
    <w:rsid w:val="105C75BC"/>
    <w:rsid w:val="113F222E"/>
    <w:rsid w:val="121256CF"/>
    <w:rsid w:val="14A625C4"/>
    <w:rsid w:val="151B14B1"/>
    <w:rsid w:val="1529540B"/>
    <w:rsid w:val="16274910"/>
    <w:rsid w:val="182F5975"/>
    <w:rsid w:val="189D372C"/>
    <w:rsid w:val="19287A4C"/>
    <w:rsid w:val="1FFE7609"/>
    <w:rsid w:val="20BF646E"/>
    <w:rsid w:val="20EE33D2"/>
    <w:rsid w:val="237A76DC"/>
    <w:rsid w:val="24F719FD"/>
    <w:rsid w:val="26B935E1"/>
    <w:rsid w:val="26D71B04"/>
    <w:rsid w:val="277E1307"/>
    <w:rsid w:val="294E267F"/>
    <w:rsid w:val="2955745C"/>
    <w:rsid w:val="299B7F95"/>
    <w:rsid w:val="2ACE550F"/>
    <w:rsid w:val="2B51626A"/>
    <w:rsid w:val="2B557BFF"/>
    <w:rsid w:val="2BBB547C"/>
    <w:rsid w:val="2BDC793A"/>
    <w:rsid w:val="2C1C6070"/>
    <w:rsid w:val="2D361B02"/>
    <w:rsid w:val="34DD1092"/>
    <w:rsid w:val="35365218"/>
    <w:rsid w:val="35C465FB"/>
    <w:rsid w:val="361733C4"/>
    <w:rsid w:val="36E6295E"/>
    <w:rsid w:val="38393B31"/>
    <w:rsid w:val="39B779A2"/>
    <w:rsid w:val="3B427D60"/>
    <w:rsid w:val="3B957AF7"/>
    <w:rsid w:val="3BC56403"/>
    <w:rsid w:val="3BE26046"/>
    <w:rsid w:val="3C4A5B5C"/>
    <w:rsid w:val="3C9115B1"/>
    <w:rsid w:val="3CB75E6F"/>
    <w:rsid w:val="3E8821EF"/>
    <w:rsid w:val="3E8A7821"/>
    <w:rsid w:val="3F020977"/>
    <w:rsid w:val="40713DBE"/>
    <w:rsid w:val="40E328DF"/>
    <w:rsid w:val="42886158"/>
    <w:rsid w:val="44E07487"/>
    <w:rsid w:val="45B37493"/>
    <w:rsid w:val="47466E88"/>
    <w:rsid w:val="48DB5AEB"/>
    <w:rsid w:val="498A2878"/>
    <w:rsid w:val="4A5506F8"/>
    <w:rsid w:val="4AFD1087"/>
    <w:rsid w:val="4BEF428B"/>
    <w:rsid w:val="4D8F2BD7"/>
    <w:rsid w:val="4DE646A0"/>
    <w:rsid w:val="4E100EE5"/>
    <w:rsid w:val="4F743A8B"/>
    <w:rsid w:val="4F916A0D"/>
    <w:rsid w:val="514032E7"/>
    <w:rsid w:val="514367DA"/>
    <w:rsid w:val="525849EB"/>
    <w:rsid w:val="55313748"/>
    <w:rsid w:val="565F31AA"/>
    <w:rsid w:val="57103A2E"/>
    <w:rsid w:val="57C921EE"/>
    <w:rsid w:val="591A6ADB"/>
    <w:rsid w:val="5AD601AF"/>
    <w:rsid w:val="5B396BC7"/>
    <w:rsid w:val="5CA50038"/>
    <w:rsid w:val="5F64124D"/>
    <w:rsid w:val="613F76A0"/>
    <w:rsid w:val="64923639"/>
    <w:rsid w:val="68A46CC5"/>
    <w:rsid w:val="6AA958D8"/>
    <w:rsid w:val="6C58554B"/>
    <w:rsid w:val="6CAA1229"/>
    <w:rsid w:val="6E4169C8"/>
    <w:rsid w:val="70BE4364"/>
    <w:rsid w:val="723B526F"/>
    <w:rsid w:val="725152F0"/>
    <w:rsid w:val="73C04E9C"/>
    <w:rsid w:val="75CD6F8E"/>
    <w:rsid w:val="778E3B1F"/>
    <w:rsid w:val="795C15E4"/>
    <w:rsid w:val="7BBF74CE"/>
    <w:rsid w:val="7C1653BE"/>
    <w:rsid w:val="7C242C39"/>
    <w:rsid w:val="7EB66414"/>
    <w:rsid w:val="7FBA60A4"/>
    <w:rsid w:val="7FE035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360" w:lineRule="auto"/>
      <w:ind w:left="72" w:leftChars="30" w:right="72" w:rightChars="30" w:firstLine="836" w:firstLineChars="200"/>
    </w:pPr>
    <w:rPr>
      <w:rFonts w:ascii="Times New Roman" w:hAnsi="Times New Roman" w:eastAsia="宋体" w:cs="宋体"/>
      <w:sz w:val="24"/>
      <w:szCs w:val="22"/>
      <w:lang w:val="zh-CN" w:eastAsia="zh-CN" w:bidi="zh-CN"/>
    </w:rPr>
  </w:style>
  <w:style w:type="paragraph" w:styleId="3">
    <w:name w:val="heading 2"/>
    <w:basedOn w:val="1"/>
    <w:next w:val="1"/>
    <w:qFormat/>
    <w:uiPriority w:val="1"/>
    <w:pPr>
      <w:ind w:left="653"/>
      <w:outlineLvl w:val="1"/>
    </w:pPr>
    <w:rPr>
      <w:rFonts w:ascii="宋体" w:hAnsi="宋体"/>
      <w:b/>
      <w:bCs/>
      <w:szCs w:val="24"/>
    </w:rPr>
  </w:style>
  <w:style w:type="paragraph" w:styleId="4">
    <w:name w:val="heading 4"/>
    <w:basedOn w:val="1"/>
    <w:next w:val="1"/>
    <w:qFormat/>
    <w:uiPriority w:val="1"/>
    <w:pPr>
      <w:ind w:left="500"/>
      <w:outlineLvl w:val="3"/>
    </w:pPr>
    <w:rPr>
      <w:rFonts w:ascii="仿宋" w:hAnsi="仿宋" w:eastAsia="仿宋" w:cs="仿宋"/>
      <w:b/>
      <w:bCs/>
      <w:sz w:val="28"/>
      <w:szCs w:val="28"/>
    </w:rPr>
  </w:style>
  <w:style w:type="paragraph" w:styleId="5">
    <w:name w:val="heading 5"/>
    <w:basedOn w:val="1"/>
    <w:next w:val="1"/>
    <w:qFormat/>
    <w:uiPriority w:val="1"/>
    <w:pPr>
      <w:ind w:left="500"/>
      <w:outlineLvl w:val="4"/>
    </w:pPr>
    <w:rPr>
      <w:rFonts w:ascii="仿宋" w:hAnsi="仿宋" w:eastAsia="仿宋" w:cs="仿宋"/>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99"/>
    <w:pPr>
      <w:ind w:firstLine="480"/>
    </w:pPr>
  </w:style>
  <w:style w:type="paragraph" w:styleId="6">
    <w:name w:val="Body Text"/>
    <w:basedOn w:val="1"/>
    <w:qFormat/>
    <w:uiPriority w:val="1"/>
    <w:rPr>
      <w:rFonts w:ascii="宋体" w:hAnsi="宋体"/>
      <w:sz w:val="21"/>
      <w:szCs w:val="21"/>
    </w:rPr>
  </w:style>
  <w:style w:type="paragraph" w:styleId="7">
    <w:name w:val="Balloon Text"/>
    <w:basedOn w:val="1"/>
    <w:link w:val="18"/>
    <w:qFormat/>
    <w:uiPriority w:val="0"/>
    <w:pPr>
      <w:spacing w:line="240" w:lineRule="auto"/>
    </w:pPr>
    <w:rPr>
      <w:sz w:val="18"/>
      <w:szCs w:val="18"/>
    </w:rPr>
  </w:style>
  <w:style w:type="paragraph" w:styleId="8">
    <w:name w:val="footer"/>
    <w:basedOn w:val="1"/>
    <w:qFormat/>
    <w:uiPriority w:val="0"/>
    <w:pPr>
      <w:tabs>
        <w:tab w:val="center" w:pos="4153"/>
        <w:tab w:val="right" w:pos="8306"/>
      </w:tabs>
      <w:snapToGrid w:val="0"/>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paragraph" w:styleId="10">
    <w:name w:val="Body Text First Indent"/>
    <w:basedOn w:val="6"/>
    <w:autoRedefine/>
    <w:qFormat/>
    <w:uiPriority w:val="0"/>
    <w:pPr>
      <w:spacing w:after="120"/>
      <w:ind w:firstLine="100" w:firstLineChars="100"/>
    </w:pPr>
  </w:style>
  <w:style w:type="paragraph" w:styleId="11">
    <w:name w:val="Body Text First Indent 2"/>
    <w:basedOn w:val="1"/>
    <w:next w:val="1"/>
    <w:qFormat/>
    <w:uiPriority w:val="0"/>
    <w:pPr>
      <w:snapToGrid w:val="0"/>
      <w:spacing w:line="312" w:lineRule="auto"/>
      <w:ind w:firstLine="200"/>
    </w:pPr>
    <w:rPr>
      <w:rFonts w:ascii="仿宋_GB2312" w:eastAsia="仿宋_GB2312"/>
      <w:sz w:val="28"/>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风评表头"/>
    <w:basedOn w:val="1"/>
    <w:next w:val="1"/>
    <w:qFormat/>
    <w:uiPriority w:val="0"/>
    <w:pPr>
      <w:spacing w:beforeLines="100"/>
      <w:jc w:val="center"/>
    </w:pPr>
    <w:rPr>
      <w:rFonts w:eastAsia="黑体"/>
      <w:b/>
    </w:rPr>
  </w:style>
  <w:style w:type="paragraph" w:customStyle="1" w:styleId="16">
    <w:name w:val="Table Paragraph"/>
    <w:basedOn w:val="1"/>
    <w:qFormat/>
    <w:uiPriority w:val="1"/>
  </w:style>
  <w:style w:type="paragraph" w:customStyle="1" w:styleId="17">
    <w:name w:val="表文字"/>
    <w:qFormat/>
    <w:uiPriority w:val="0"/>
    <w:pPr>
      <w:adjustRightInd w:val="0"/>
      <w:spacing w:line="270" w:lineRule="exact"/>
      <w:jc w:val="center"/>
    </w:pPr>
    <w:rPr>
      <w:rFonts w:ascii="Times New Roman" w:hAnsi="Times New Roman" w:eastAsia="宋体" w:cs="Times New Roman"/>
      <w:kern w:val="18"/>
      <w:sz w:val="18"/>
      <w:lang w:val="en-US" w:eastAsia="zh-CN" w:bidi="ar-SA"/>
    </w:rPr>
  </w:style>
  <w:style w:type="character" w:customStyle="1" w:styleId="18">
    <w:name w:val="批注框文本 Char"/>
    <w:basedOn w:val="14"/>
    <w:link w:val="7"/>
    <w:qFormat/>
    <w:uiPriority w:val="0"/>
    <w:rPr>
      <w:rFonts w:ascii="Times New Roman" w:hAnsi="Times New Roman" w:eastAsia="宋体" w:cs="宋体"/>
      <w:sz w:val="18"/>
      <w:szCs w:val="18"/>
      <w:lang w:val="zh-CN" w:bidi="zh-CN"/>
    </w:rPr>
  </w:style>
  <w:style w:type="paragraph" w:customStyle="1" w:styleId="19">
    <w:name w:val="文本格式"/>
    <w:basedOn w:val="1"/>
    <w:autoRedefine/>
    <w:qFormat/>
    <w:uiPriority w:val="0"/>
    <w:pPr>
      <w:spacing w:line="480" w:lineRule="exact"/>
      <w:ind w:firstLine="520" w:firstLineChars="200"/>
    </w:pPr>
    <w:rPr>
      <w:rFonts w:ascii="Times New Roman" w:hAnsi="Times New Roman"/>
      <w:bCs/>
      <w:sz w:val="26"/>
      <w:szCs w:val="26"/>
    </w:rPr>
  </w:style>
  <w:style w:type="paragraph" w:customStyle="1" w:styleId="20">
    <w:name w:val="Normal"/>
    <w:autoRedefine/>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4.jpeg"/><Relationship Id="rId32" Type="http://schemas.openxmlformats.org/officeDocument/2006/relationships/image" Target="media/image23.jpeg"/><Relationship Id="rId31" Type="http://schemas.openxmlformats.org/officeDocument/2006/relationships/image" Target="media/image22.jpeg"/><Relationship Id="rId30" Type="http://schemas.openxmlformats.org/officeDocument/2006/relationships/image" Target="media/image21.jpeg"/><Relationship Id="rId3" Type="http://schemas.openxmlformats.org/officeDocument/2006/relationships/footnotes" Target="footnotes.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extobjs>
    <extobj name="ECB019B1-382A-4266-B25C-5B523AA43C14-1">
      <extobjdata type="ECB019B1-382A-4266-B25C-5B523AA43C14" data="ewoJIkZpbGVJZCIgOiAiMzE2MzM2Mjk5MTA0IiwKCSJHcm91cElkIiA6ICIxNzA3ODcyNDkyIiwKCSJJbWFnZSIgOiAiaVZCT1J3MEtHZ29BQUFBTlNVaEVVZ0FBQTQwQUFBRHFDQVlBQUFBR1RhQkdBQUFBQVhOU1IwSUFyczRjNlFBQUlBQkpSRUZVZUp6czNYbFlWTlgvQi9EM25ZVk5RQlpGVVZUY3QxUndTeXZybTJtMm1sdG1MbWxsYW91NTVrOXpGN2VNTERSelgzSkx5MzNKSmRmVXhCVkVCUlZRVUZ3UVVCQVFHR2J1L2YyQk04MHdjMkVHeFlGOHY1N0hSK2F1WitDY2UrL24zTE1B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dSUGdyMFRRTmFyVlBPNUtnNXFWVTE3cDRQSUdqazVPZGR1WDR1S3QzYzZpSWlJaU9qeE1HZ3NKU3JWYUZEVjBWSDlod1NoanIzVFFtUU5RWklTdEZwZHB4c3hGMkx0blJZaU11Zm4xOUJMNWFMd3NYYzZpT1RrS25LVGJsNjZsR0x2ZEJBUm9MSjNBc2c2RGdwVkpRbW9xaEFFRHpjM1Z6aW9IZXlkSkNLTGNuTno4U0E5SFNJQXBVcFZCUUNEUnJDbFFHbnhyTHdoOTZ2VHBMSmFJZndrUVhyTzNta2hrdU1BeHhpL09rMEdKVnc1ZDlQZWFiRVgzanRLaDJmaDNzR2dzWlJ4ZG5iRzRNOEhvR21UeHZaT0NwRkZGeUtqOE9QYytiaWZsbWJ2cEpRWS92NEIvbEJMeXlGSTlleWRGaXFZbzVQRGRiK2FEWHNseEY2TXNYZGFpcE5LSWRTV0JPa2xBVUpGZTZlRlNJNEVWRlFwVUJ2QU14azBWcTdWMkUrdEVsYnkzbEh5T1RvNVhQZjNEL2dnTGk0OHp0NXBLUzRNR2tzWnBWS0JXaldxSXpDQVFTT1ZURGthRFZRcVhscE1PTUVmQXVvSkVDcTZPRHREcVZMYU8wV1VqMDRuSWlzckM2SWtPYWxVeWxvQS90TkJvNTZUa3hQNjkrdUQyalZyMkRzcFJBYlJzVmZ4NityZjhDQWp3OTVKc1NzMTRLZS9kemc3TzBQRmUwZUpvOVBxa0pXZERWR1NuT0FFZndBTUdvbUk2UEc0T0R0aitOZGZva0g5dXZaT0N1VVRIUk9MMlhOK1FlcURCL1pPeWxPbFZxdndRcXVXYU5XeXViMlRRbVFRZXZJMDF2MnhDWGpHZzBZOUYyZG5mUFg1QUFRMFptdnlraVl5NmpMbXpsLzBUTnc3R0RRU0VUMGxTcFVTRGVyWDVRTjZDZVRvNEFDMVdtM3ZaQkFSbVZHcWxLaGZ0emJ2SFNYVXMzTHZVTmc3QVVSRVJFUkVSRlJ5TVdna0lpSWlJaUlpV1F3YWlZaUlpSWlJU0JhRFJpSWlJaUlpSXBMRm9KR0lpSWlJaUloa01XZ2tJcUxIb3RWcTdaMEVJcHN4M3hJUldZOUJJeFhvekprejJMWnRHMUpTVXV5ZEZETVRKa3pBeElrVDhVQm1icHh0MjdaaDNMaHhTRTFOZmV4elJVZEhZOGlRSWRpd1lVT1I5OWZwZEZadHUyalJJdlR1M1JzWk5zeFB0WC8vZml4YXRBaDM3dHdwVXZxb2RNckl5TUNXTFZ1SzVkang4ZkdGYnBPVGs0TnZ2LzBXUTRjT2hTaUtOcDlqMWFwVkNBb0tLckNNM3JoeEExT21UQ20yNzBrbHo0TUhEekJvMENBc1hiclU1bjJmUnI1OW1uYnQyb1VoUTRZZ1BEejhzWTdEc2tiR0hqNThpUFBuejF0Y3A5VnFNWC8rZkZ5L2ZsMTIvOTkrK3cxUlVWRTJuMWVTSk96Y3VSTkJRVUUyNzB2Mngza2FxVUMvLy80Nzl1M2JoOFdMRjhQYjI5dXFmVkpUVS9ISko1OVlYQmNZR0lqeDQ4ZGoxNjVkaUlpSXNPcDRUWnMyUmZ2MjdVMldIVGx5QkR0MzdzVExMNzhNZDNkM2kvdWRQMzhldTNidHdoZGZmQUVQRHcvRGNvMUdndzBiTnNEZjN4OHZ2UENDVldsSVMwdkQwYU5IVWFsU0phdTJOM2Jod2dWODl0bG5DQWdJd015Wk0xRzJiTmtDdDc5NTh5YWlvcUpzcWdWZnZIZ3hZbU5qelg1UHk1WXRRMXBhV3FINysvbjU0ZjMzMzdmNmZGUXkvUFRUVDlpOGVUTU9IVHFFeVpNbkcvSldXRmdZL3Z6elQ1dVAxNmhSSTNUczJCRUxGaXpBOHVYTE1XYk1HSFRxMUVsMmUwZEhSNGlpaU9QSGoyUEpraVVZTUdDQTFlZUtqbzVHU0VnSVhuNzVaWlB5bWQvS2xTdXhkZXRXdlBYV1d6WjlGeXE5TkJvTlRwMDZCVTlQVDV2Mks2NThtNWlZS1B1QWJVbEFRQUMyYmR1RzNOeGNpK3M5UFQzUnZYdDNxNDUxL2ZwMUhEMTZGTysrKzY3VjU4K1BaWTN5KytxcnJ4QWRIWTFWcTFiQjM5L2ZaTjNseTVleFlzVUs3Tnk1RXl0V3JFQzVjdVZNMXA4N2R3NC8vUEFEZkh4OHNISGpSamc3TzF0OVhrRVE4TmRmZitISWtTTm8yclFwM243N2JhdjNsU1FKR3pkdWxGMWZzV0pGdlBUU1N3Q0FIVHQySURzNzIrSjJycTZ1ZU9PTk42dytMLzJMUVNNVlNGOExLd2lDMWZ0b3RWckV4OGZEMTljWE5XdldOQ3dMRFExRmxTcFZBQUNuVHAzQzFxMWJyVDZtY1RDVWxwYUdxVk9ud3R2Ykd4TW1UQUFBL1BQUFA3aCsvVHA2OU9oUllMcTJiOStPeFlzWEl6RXhFVldyVnNXR0RSdWdWQ3F0VGtkUjFLbFRCeSsvL0RMMjdkdUhQbjM2SUNRa0JOV3JWNGRPcDhPTkd6Zmc2dXBxZGxHMnhaa3paeEFkSFkzMzNuc1AxYXRYTjFtM2NlTkdxOTQrTm0zYWxFRmpLVFI0OEdEY3VYTUhSNDRjd1ljZmZvZ1pNMmFnU1pNbWlJMk54YVpObTJ3K1hsWldGanAyN0lnMzNuZ0RPM2JzUUZCUUVPTGk0akJreUJEWmE4Q1lNV053OXV4WlJFZEhReFJGS0JTRk4yQVJSUkV6Wjg2RUpFbW9YTG15eFRmNGRldldSYmx5NWJCOSszYTR1N3NqTGk0T2NYRnhadHRWcTFZTkxWcTBzUG03a24yY1BuMGErL2Z2TDNBYi9jTmVWRlFVdnZ2dXUwS1ArZnJycnlNd01MRFk4bTE0ZURpKy9mYmJRdE9oOTlOUFAySHAwcVd5RDYwMWF0U3dPbWg4WEN4clpNbG5uMzJHd1lNSFk4U0lFVmk1Y2lYS2xDbGpXTmV3WVVPTUhUc1dreWRQeGxkZmZZVWxTNWJBMWRVVkFKQ1ptWW1KRXlmQ3djRUJ3Y0hCTmdXTWVpTkdqTUR4NDhleGVmTm1tNEpHblU2SEdUTm1RS1ZTUWFVeURWOXljbkxRcWxVclE5QVlFaEtDdExRMHFOVnFrKzAwR2cwcVZhckVvTEdJR0RSU2dTUkpBbUJiMEtqWHBrMGIvTi8vL1I4QTRNU0pFd2dORFVWQVFJREpObi84OFFjcVZxeG9jZi80K0hqMDd0M2JMRDFUcGt4QlNrb0tmdjc1WjNoNmVrS1NKQ3hZc0FDUmtaR29YYnMybWpWclpySlBXbG9hZHUvZWpmWHIxeU01T1JsbHlwVEJ4eDkvakY2OWVoa0N4dWpvYVB6ODg4K3kzMFgvdHU3SWtTTzRkZXVXN0hhdnZQSUt1blRwWXJMTXdjRUJNMmZPUkhCd01OYXRXNGQrL2ZwaHlaSWxLRisrUExwMjdZbzMzM3dUVTZkT2xUMW1ZWll0V3dZSEJ3Y01IRGdRUUY0VEkwOVBUOE5Gdm03ZHVsaXlaSW5zL2gwN2Rpenl1Y20reXBZdGl6bHo1aUFrSkFTclY2L0dxRkdqVENwalB2cm9JNXNxQTF4Y1hBQUEvdjcrV0xGaUJRWU5Hb1JWcTFZaE56Y1hTcVZTdHBZM056Y1gvL3p6RDlxMGFXTngvWkFoUTB3ZWtwY3ZYNDd3OEhBNE9UbGgwNlpORmgvYSsvVHBnL2o0ZU1PNWYvenhSNHZIZnV1dHQvZ2dXNHBjdlhvVjI3WnRzMnJiVzdkdVdiVnQzYnAxRVJnWVdHejU5dVdYWDhiMjdkc055MmZObW9YNzkrOWp4b3daR0RObUREdzlQVEZxMUNqRGVpOHZMeHc4ZU5Cdy96VDI1WmRmbXJUKzJMVnJGM2J2M2kzNzNmVE5iVmVzV0dHU2h2ejY5KytQUm8wYW1TMW5XU05MV3JkdWpjOCsrd3lMRmkzQ3hJa1RFUndjYkxLK1k4ZU9pSXlNUkdabXBrbCtDUW9Ld28wYk56QjkrblEwYU5EQTdMaDkrdlRCMWF0WEN6Mi9UcWREWkdRa1huenh4VUszWGJ0MkxhcFZxMmI0M0tOSER3d2JOc3hrRzB2M3VYZmVlY2Z3WWtGditQRGhpSTJOTGZTY1pCbURSaXFRdm9say9sb2RXeDA5ZWhRQThMLy8vYzlrdVpPVGsrRkJOYi84TlZpU0pDRTRPQmlIRGgzQ0YxOThnVmF0V2dISUMyZ25UWnFFbmoxN1l1ellzVmkzYnAxSkU1eStmZnRDcDlQQng4Y0hYMzc1SmJwMzd3NG5KeWZrNU9RWXR0RTNQN1ZVZ3dYOCs4WTFLU2tKOSsvZnQ3aGVvOUVZM3FUbUp3Z0N2dm5tRzdpNXVTRW1KZ2JWcTFlM3FjOWlRa0lDenAwN2g1U1VGSHowMFVlRzVSY3VYRUJvYUNqNjlldUhDaFVxQUFER2p4K1BxMWV2WXUzYXRRQUFoVUloK3p2V3A0M01OVzdjdUl4Q29XZ1NIaDUrRWtDSkhURkRvVkJnMkxCaHFGYXRHcXBWcXdZbkp5ZkRPbmQzOXlJMXFRYUFjdVhLWWZIaXhSZy9mancrK09BRFhMcDBDVmxaV1NiYjdOKy9IMDJiTmkyMEdhSHhHL0I5Ky9iaGwxOStRZXZXclRGbnpoeEVSRVJnNU1pUitQNzc3eEVZR0dqWTd1REJnMWk4ZURGZWYvMTF6Smd4QXl0V3JFQm9hQ2ptekprREJ3ZUhJbjJuMHE2MDVNbUNkTy9ldmRDM2JNbkp5ZWpRb1FOZWUrMDF6Smd4dzZiakYwZStkWFoyTnJrZk9UczdJek16RTVVcVZZS0Rnd09jbloydExtZjVyN2Y2NXFjT0RnNFczM2JxNzhHeHNiRzRkdTJheGZWYXJkWmljMXlXTmZzb0xlWDAwMDgveFQvLy9JT0RCdy9peUpFamNIWjJ4cEFoUTh5Mk8zRGdnT0ZuL2R2ektWT21ZTXFVS1libFM1Y3VSYjE2OWZEaWl5K2lkdTNhRnMrM2I5OCtLQlFLdEczYjFyRHN6Smt6U0VoSXdGdHZ2V1gyVmxEUCtDMG8yUmVEeG1lVUpFbG1OMUpMOUJjSXJWYUxodzhmRnJpdElBaXlUUldPSERtQ0tsV3FtRFdmdE1XTUdUT3djZU5HbEM5Zkh1N3U3bGk2ZENuUzB0SncvLzU5cEthbXd0SFJFVWxKU2ZqdXUrOU1IalNlZSs0NTlPalJBMjNidGpVRWhIRnhjZWpWcXhlR0RoMXFVa1BWcFVzWHc5dFJZNmRQbjhiQWdRTUxYVitZUVlNR1dkMkU3L2ZmZjBkTVRBek9uVHVINU9Sa0FFRGp4bzFOZ3NhZmZ2b0o1Y3FWdzZlZmZnb0FPSDc4T002ZlA0ODJiZHJBejgrdjBIT1FQS1ZTV1U0UWhHT0JnWUd4b2lndVVTZ1UyeVJKdWhVZUhwNE93THBSalo2aS9HKzRud1JQVDAvREcvaXFWYXZpOWRkZk42eGJ1M1l0MHRMU2NQUG1UY3ljT2RPa3NrV3IxVnFzZk5tMWF4Y21UWnFFcWxXcll2cjA2VkFvRktoVHB3Njh2THd3ZE9oUUxGdTJERFZyMXNUZHUzY3hhZElrdUx1N1k4U0lFUUFBWDE5Zm5EcDFDbVBIanNXc1diT2V5Y3FPMHBZbkM1T1FrR0N4NzdhK1lpNHpNOU5pTTBrZzc2MjRqNCtQeFhWUE90OCtEVUZCUVdqWHJwM1o4b1VMRjJMUm9rV0ZycytQWmMxK1NrczVWYWxVQ0FvS3d1blRwOUdtVFJ0Y3ZYclZZaDREOHZvSWxpdFhUbmE5Zm15SlFZTUdtU3pYYURTR2lvY3paODdBd2NIQjVPM2Z1SEhqa0pDUWdGR2pSc0hOelEwNm5hN1FMa01QSHo1RVltS2l5VEpMQXcxbVoyZWJiYWZSYUFvOE5oV01RZU16S2o0K0hsMjdkclY2ZTMxUVVwQ3laY3VhMUVqcHhjWEY0Y2FORytqWHI1OU5hY3hQWDVPYmxKU0VtVE5uQWdEVWFqVThQVDNoNGVHQkJnMGFJRDQrSG52MzdqVjVTSmc2ZGFwWkxmRDkrL2VSblozOVJFWldMY3o4K2ZQeDdydnZHb0s0L0FGalptWW1EaDgralBEd2NFUkVST0RpeFlzQThoNEdYRnhjMExoeFk3ei8vdnRZdUhBaEhCMGREZnR0MjdZTllXRmhDQW9LZ291TEN5Ukp3cng1ODZCV3F6Rnk1TWhpLzE3UENrRVFhaXFWeWhtU0pJMFZCT0ZNMDZaTlQ0bWlHQTdnV0hoNHVPVW4ycWNnTGk0T1M1Y3V4YkJodytEbDVmWEVqcXZUNmJCbXpSckRHM2xMamg4L2poOS8vQkVWSzFiRVR6LzlaUEtnZmZqd1ljeWNPUk56NXN3eHEzRytlL2N1ZkgxOXNYRGhRcmk3dTJQV3JGbW9YcjA2ZnZ6eFI4eWNPZE5Rbyt6ajQ0TytmZnVpZHUzYWh2NitIVHAwUUhSME5NNmVQWXZNekV4RDgrdG5VVW5OazdicTM3OC9rcEtTWk5jZk8zWU14NDRkczdqdWxWZGV3ZXpac3cyZml6UGZBbmw5SVBmdTNXdXl6TGdyaEg1ZGpSbzE4TWNmZjhoK3A2ZUZaYzMrU2tNNXJWcTFLcXBXclFvZ0wrOU9uanpaYkJ0SmtyQmp4dzdVcmwzYjRubzUyN2R2eDlLbFN6RjM3bHpaVmxqR3pwOC9qOUdqUjJQMDZOR3lUY1lCWU5PbVRSYjc3T2QvenR1elp3LzI3TmxqdGgwcjFJdU9RZU16cWt5Wk1pWk5CT1Q4L2ZmZjBHcTFhTlNvRWNxWEwxL2d0bkkzbG9NSER3S0FiQTJWdFRwMTZnUS9QeitVSzFjTzN0N2U4UEx5TW11MmNQcjBhWXdhTlFxNXVibUdCd0pMZ3hIY3VIRURBRkM1Y3VYSFNsTmh6cHc1Z3lWTGxtRGR1bldZT25VcTJyUnBnNXljSE96WXNRTm56NTRGa1BjNy92dnZ2d0VBM3Q3ZWNIZDNSMHBLQ2hZdVhJakF3RUJEcmR2OCtmTk5nc2FRa0JBSWdvQzllL2RpejU0OXlNaklRRlJVRkQ3NTVCT1RpMkp5Y2pLV0wxOHVtMFpyM2pnLzZ5UkpnaUFJcmdCZWtTVHBaWVZDa1M1SjB0M0F3TUFJUVJCV1BIandZRzlNVEV4T29RZDZnbGFzV0lFLy8vd1RSNDhleFRmZmZQUEVSanhjdjM0OVFrSkNzSDM3ZG56Ly9mZG1JK3NkUDM0Y0kwYU1RUG55NWJGdzRVSkRzMmc5VDA5UHBLU2tZUGp3NFZpMWFwVlpVL0d1WGJzYXJoVUhEaHhBOCtiTjhmNzc3MlB1M0xrQTh2S3J2ZzlhWkdRa0lpTWpEZnVyVkNvMGE5WU1hOWFzQVFDODhNSUxGdnR4UFF0S1lwNHNDajgvUDVzcnVZWU9IV3EyckRqenJaNlBqdzgrL2ZSVGJObXlCUmtaR2VqZHV6ZFdyMTROVjFkWGRPclVDZHUyYlNzeDExT1d0WktodEpYVE8zZnVvR3ZYcnVqVHA0L1pXOFA4K3ZYcmg5emNYRU1lTVhiaXhBbE1uVG9WWGw1ZVZnODJxQitqWXNTSUVaZzBhWkxzUGExOSsvYm8xcTJieWJLZ29DQW9GQXFjT25VS1ZhcFVnVktwUkpzMmJmRGFhNjloejU0OTZOV3JGOVJxTlg3NTVaY1NPWVZjYWNHZzhSbFZ2bng1ZlAvOTl3VnVrNUdSZ1ZkZWVRVkEzdWlhWDMvOWRaSE9kZWpRSWZqNitxSisvZnBGMmwvUHc4TUQxYXBWdzUwN2Q1Q2VuaTdiYkduanhvM3c5UFEwTk9tY08zY3VPblRvWUdoaWs1NmVqaFVyVmdDQVdVZnU4K2ZQWTk2OGVXYkgxSTlBV3RqNi9KbzFhNGJwMDZkajBxUkpHRHAwS1ByMzc0K1BQLzRZMzMzM25hRTVSYzJhTmRHM2IxODBhZElFZm41K21EaHhJbmJzMklGYXRXb1pMcmI2Smx6R05lZ3RXN1pFZEhRME1qSXk0T2pvaVBEd2NGU29VTUhzclhCU1VsS0JnL3lRZFl3R3RSQWtTWElINEM0SVFpMEFYZHpjM0JJREF3Ti8xK2wwS3pRYVRYeDJkblptWEZ5YzVhRVRuNUN4WThmQzFkVVZ2LzMyRzhhUEg0OGpSNDRZbGoyTzd0MjdJeVltQmx1M2JrWGZ2bjB4WThZTXc5UTBXN2R1eGN5Wk0xR2hRZ1VzV0xBQUZTdFdOUFRuemNuSlFVNU9Eanc5UGZIV1cyOWgrL2J0R0RkdUhPYk9uV3ZTdksydzlLV2twR0RSb2tXeS9ZdUJ2TDlGVGs0TzNOemNudWtIMlpLV0o0dkN6YzJ0d0xjSzFpcnVmQXZrdGFicDFxMGJRa05Ea1ptWmlXN2R1bUhQbmowb1Y2NGN1blhyaHZEd2NGeStmQmxBM2lBN2xxYmNrSnNYY3MrZVBZWjlqWVdGaFZtMTNoS1d0WktocEpYVDBhTkg0K1RKazRiUGZmdjJSZCsrZlFIazVjL3M3R3lUWnB4eWMwem4zMDR2SWlJQzMzenpEVnhkWFRGLy9ueXIrL3Y2K2ZsaDBhSkYrT3l6enpCKy9IaGtaMmViZEx0UXFWUll0V29WdkwyOXpTcDl0bTdkaXB5Y0hMejAwa3ZvMXEyYllYQ3ByVnUzNHRTcFU3aDc5eTZtVFp1R3VYUG5XajFuTnBsajBFaXlqQ2R1UFh6NGNKR0RSbzFHZzdTME5OeTVjMGQycEZSci9mNzc3NFZPSmFDZm42NVRwMDdZdjMrL3laczhQZjFvby9scm82T2lvZ3Fjc0xhdzlaWjA2TkFCbFNwVndwQWhRL0RiYjcvaDNYZmZ4Y0tGQzFHK2ZIbTg5OTU3cUZPblRxSERUdXN2ek1adkdvMzdiYzZmUHgraG9hRVlPM2FzV2RNc2U0MmVLb2tTbk5SU3phWk5tK3BFVVJRRlFSQjFPcDJvVUNnTS95c1VDbEdyMWNvdVV5cVZZbTV1cnFoVUtrV05SaU1xbFVwUnJWYUxXVmxab2xxdEZqTXpNMFcxV2kwNk9qcUs5KzdkRTUyY25NU1ltQmdSZWYxR250aXMzY1lQajhZaklocU5MbHdCd0dDVlN2V1pTcVdLY25aMlB1L3A2ZmszZ05OaFlXSG5ubFE2ak9tYklUZHIxZ3lUSmsxQ1dGaVlUWE43eWxHcFZKZ3dZUUlxVnF5SWhRc1g0cnZ2dnNPR0RSdnd4eDkvNEljZmZnQ1E5NGFpZS9mdXlNbkpLZkNjeDQ4ZngrclZxOUduVHg4QWVaVXUrZ0dhZ0x4SjNNUEN3akJtekJnQXdQUFBQMitvWEJvK2ZEZysrT0FEaThlTmlZbVJYZmU0SkZHQ2t3TFZtelJwOHBJZ0NLSW9pcUpDb2REcDg2ZFNxZFJwdFZwUnFWU0tPcDFPcDgrdktwVktwOUZvUkpWS0phclZhbDFPVG82b1ZxdEZqVWFqVTZ2VllrWkdodWppNHFJenlxYzZQTVlnR1NVeFR4WkZVbEpTZ2RjbmF4Vm52czB2TFMydDBDYmhzMmZQeHUrLy8yNXhYWTBhTmN5V1dlcmFZY3Y2L0VwRFdiT0czSDFFcVZRYXlxVHgvU0wvdlVPbFV1a0t1NGM0T1RucG5KMmR4WlNVRk5IRnhVV01qSXdVOFlRR3NDbUo1YlJHalJyUWFEU0dQQ0UzTll5ZUxRTWluang1RXNPR0RZT1RreFBtejU5djlveFZHT1BBY2RxMGFSQUVBWjA3ZDhiOSsvY0xIRDBZQUc3ZnZnMVJGSEh2M2oyc1hMblNzRncvRmMvMzMzOXZtSklEQUY1ODhVWER0SEJrSFFhTkpPdlFvVU1BOG9LZVBYdjJJQ0lpQW8wYk43YjVPQk1uVGtUdjNyMFJIQnhzTnF4elVlY0dYTEZpaGRrZ0NDRWhJU2J0MTExY1hMQjA2VklrSnljakxTM05jSkYyY0hDQWo0K1B4WDR2WGJwME1SdktHY2lyemYzNjY2OExYUytuVWFOR1dMNThPWktUaytIbjV3Yy9QeitiK2xQcUJ5R3lOTkJRVEV3TVZxeFlnZmZlZTgvaThOWDJHajFWQU9Db1Vud0VvTFlnQ0JJQVNhbFVTZ0NnVnFzbEFCSUE2ZEdOU0ZJb0ZOS2o3ZURnNENCSmVYOHc2ZEdJYXBLenM3TitIK2gvTGx1MnJQVG9PMGcrUGo0U0FPblJxSUQ1QTBZTjhoNEN0SklrNlFSQjBBSFFDWUtnbFNSSlo3Uk1Ld2lDL3JQRlVaMHNQUVFZUFFBNEFRZ0VFQUNncXlBSXlRRUJBVmV5Y3FXek9TS0s1UmY5NnF1dm9tN2R1a2hOVFMxdzRtNWJEUmd3QU9YTGwwZEFRQURVYWpWYXQyNE5oVUtCR2pWcXdOUFRFMlhLbERIOGMzRnhnWXVMaTJHVVNSY1hGeWlWU2t5WU1BRS8vL3d6V3Jac2licDE2OExCd2NHUXhxU2tKT1RrNUpnc0t5aWZQaTBDQUVjSFJTK0ZRcWlCZi9Pc1pKeG45ZmxZcVZSS2dpQkkrdnpxNk9nb0FaQWtTWkllRGY0Z09UZzRTQUFrTnpjM3FhQjhLZ2lDSkVsU0ZoN2wwMGQ1VXd0QUowbVNWcUZRYUNWSnN0aFpyNlRsU1Z2Y3YzL2ZKTGg1WE1XUmI0MUprb1FyVjY2WWpBQnJhV29OdmM4Ly85ems4NVl0V3l4dUZ4UVVaRGE2T0pBM3BkTHk1Y3NMWFo5ZmFTaHIxcEM3andpQ1lMaDNHSlZOcUZRcS9YMUVVcXZWa0NUSnNONzRIdUxpNGlKSmtpU1ZMVnRXZWxUMjRPWGxwUytiaHUwQVE5bk1SbDdaMUQzNnA3K1hHTjlUOUdYMmlkMDdjblhTaVV5dDlFVEw2WUFCQXdEa1ZTeFlNOWFFUHFpVTZ5dXNwOVZxOGYzMzM4UEZ4UVVMRml3d0M4aWVlKzQ1c3hGUzY5U3BnOVRVVkpPQXRFcVZLb2JBY2UzYXRYanp6VGVSbEpSa2FGWXRSLzhXZjkrK2ZZYVJXdlVVQ2dYQ3dzSk0zc3g3ZVhreGFMUVJnMGF5U0t2Vll0KytmZkR3OE1EUW9VT3hkKzllckZ1M3JraEJZNzE2OWRDaFF3ZnMzcjBic2JHeEpvVzBWYXRXc2lPdVptUms0TWlSSXhiWFdXcWVrUCtDRmg4ZmozdjM3cUZSbzBhR0R2N0dMSTNTcFZLcExONU05Vy80Q2x0ZkVQMlVDRVZ4OSs1ZEFIbE51WXhsWjJkajNMaHg4UGIyeHZEaHc0dDA3T0trRUFTMUpFbk93cjkzUzVQL0pjbHdNOVJ2WXZHekpFbkNvNXVyWUx4UzVuaUNJTWhId3ZsWENZSmdjVmxSUE9xL29rK2ZFd0JYUVJES0toUndnQ2ovWVBtNEtsV3FWT1NwTlFyU3VYTm53OC9WcTFmSGdRTUh6UEpnUVM1ZnZveHIxNjRaOG4zZHVuVU5vdy9Qbno4ZkJ3OGVSTU9HRFUxR0pOWTN3WnN6Wnc0V0xseG84YmpGM2J4SUVLQUM0SkkvVHdMLzVyRzg3UVRqL0ZwUVhyVXFuOHJsdy96LzI4SmVlZEphZGVyVXdlclZxMjNhSi85Y3ZQazk2WHhyN01TSkU4akl5RURUcGswQjVJMFBFQllXaHQ5Ly94M1hyMTgzMjc1Ly8vNG1uenQyN0dpeGlhcURnNFBGZTR2K0lidXc5Zm1WbHJKbURabjdpTms5QkRDL054UlVMbzNLdDZYN1VZRmwwM2laOGJvbmZlOFFKTEh3aDR0aWtKcWFpcGlZR0FBd0RGYWwwV2dNeS9TZmphbFVLaXhac2dRUEhqekE1Y3VYelZwNDFhcFZDd0RNS2ptYU5XdUdkZXZXR1Q2LytlYWJxRnExS3BZdlh3NFBEdzg0T1RtaFRwMDZPSFhxbE1XMHhzWEZJU2dvQ09IaDRaZ3hZd1lpSXlPeGF0VXFkT3ZXRFVPSERyWHErWXlzdzZDUkxOcTVjeWVTazVQUnAwOGYrUGo0NEgvLyt4LzI3dDJManovK1dIWU9ub0owNnRRSnUzZnZ4dTdkdS9IbGwxOGFsbzhZTVVMMllUY3VMazQyYUxUMGhqSi8vNUhGaXhkajE2NWQyTDkvdjhrYm1JU0VCS3hldlJyNzkrL0gzTGx6VWE5ZVBadS9UMUhjdW5VTGJtNXVWais4UEh6NEVEdDI3RURac21VTjdmT05tM3BvdFZxTUh6OGUwZEhSbUQxN05wS1RrM0grL0huY3ZIa1R2cjYrVmsyYVc1d2tBQTgxdW1WT1NseFRLQlFLU1pJVXh2K0xvbWl5VEJBRWhTUkpaai9uMzFlU0pBVUFzMlg2ZlJSNTFZdUdhOXVqOVVwQkVCUUFMQjVidjh4NHZTQUk3Z0RNTXByY1d3VkJFQ0JKVXE0a1NVbUNJQ1JLa25SSmtxUjU0ZUhoeC96ckJmd1BBajRzbGw4MGdIdjM3ajNSRVZUbHVMbTVZZGl3WVhCMWRVVlFVQkNBdkFGSXRtL2Zqamx6NXNETHl3c3JWNjdFMnJWcnNXelpNdlR2M3g4T0RnNW1EMUlhamNid3hpVWpJd05MbHk1RnYzNzlUQ3B4WG5qaEJaTzU1SXdsSnlmajExOS9MWmJ2S0FISXl0R3RjbElMbHhSNWxIa3RWQlVLVVJTVlJ2bFhhWlIvbEViNXllUm5QTXFyK2JjUkJFR05mNE5KaUtLb2ZwVDN6STZyWDQ2OHZsQTl6ZEpzUlo2VUpDbFJFSVNubGlldGxaNmVMbnVkZjFLZVZMNFZSUkh6NTg5SGhRb1YwTEpsU3dCNTk2SXBVNllnSkNRRXVibTVoVllNeWswVFVseEtjbG16Um1IM0VlTXlwUytuY3RkM2hVS2h0T1lla3I5c1NwS2tBcUJFSWZjUC9YMUdraVIzaFVKaE5obHBrZTRkdFJxM2dscXczRTY2R0czZHVoVmJ0MjQxV1hiNDhHRWNQbnpZWkZuKy9GNjJiRm1VTFZzV3djSEJodm01YmRXb1VTTlVyRmhSOXRsUWtpVEV4OGZqNU1tVE9IandJRTZlUElreVpjcGc4dVRKZVAzMTE5RytmWHNJZ29DVksxZmkwS0ZEZU9lZGQ5QytmWHZVcUZIRGJsUHEvRmZ3dDBkbXNyT3pzWGp4WXFoVUtrTVRuTDU5KytMZ3dZT1lQWHMyNXMrZmIvTXg5UjNvTDEyNjlFVFNPSERnUUxPbWVQb3BLQ3pSNlhRNGVmSWtObTNhaElNSEQwS3RWcU5idDI1bUk4TEt6VWVaazVOajFmcUNyRjY5R2p0MzdzVGt5Wk10TmpQS3o5blpHZlBuenpjMERmSHo4elBaYi8vKy9ZWitMdm5mTW43NTVaZUdvUEhPblR0bXpZS05GVGIvWmxFSkNnRWFuUkJ6NVdMNG9XSTVnVzJFZlAvUXJGa3pJU3NyUzlCb05BSUFhTFZhUWF2VkNxSW9DcjYrdmhCRjBWOFFoUGVCZ20vMmo5WW5TWkswVlJURnRRQnU2blM2TEVtU01pOWV2Rmo4YzdvQW1ENTlPbTdldklucDA2Yy8xbHlvbG83YnFGRWp2UFBPTzRidkdoa1pDVjlmWDhNMmlZbUppSXFLTWxUYXBLZW5JeWtwQ1RxZFRyYUdkOU9tVGNqSnlZRzd1enN1WHJ5SUkwZU80UHo1OC9qdXUrOE0yelJ2M3J4SGVIRW1BQUFnQUVsRVFWVEFmbGJGOVNBcktBUm9SQ0gyU2tURS9tSTVRUUduTnY1bktYKzZ1Ym41cTlYcW5rREp6NVBXU2toSXNEZ2E2dU1vcm55Ym5aME5aMmRuZlBYVlY0YWc2OFVYWHpSMGl4ZzNicHpGd1dxc29kRm9MRjZMOWVrcmJMMmNrbHpXckZGQzdpTlczejhxVktnZ1NKSlVEVUIzb1BTVjA3Smx5MkxVcUZFbXkzYnYzbzJJaUFqMDZOSERNRDBIWVA3RzBOaXNXYk9nMCttUW01dUxqei8rR0xkdTNjTGl4WXRsbTROdTM3NGRzMmJOUW9NR0RkQ3dZVU96OWV2V3JVTnNiQ3l1WGJ0bUdBQVFBQ3BXcklqKy9mdWpSNDhlOFBUMEJKRDN1eDB5WkFoZWYvMTFMRjI2RkwvKytpdVdMVnNHbFVxRmF0V3F3ZHZiRzQ2T2ptallzQ0UrKyt3em0zOUh6eklHaldSbTd0eTV1SDM3Tmo3NDRBTkRUVStqUm8zdzJtdXZZZi8rL1ZpN2RpMTY5alNyN0M2UWs1TVRYRnhjREFYOWNiVnIxODZzRmlvOFBOeGkwTGhnd1FJY1BIZ1F5Y25KY0hCd3dQdnZ2NDlQUC8zVVlwTlZ1ZmwvckYxZmtHUEhqaUVqSThOd1lTdU1JQWo0L3Z2dkRmczBhdFFJUjQ4ZWhhK3ZMeG8yYklpNmRldWlVYU5HOFBQelE1VXFWVXorTjM3cmxKcWFpczJiTjh1ZXA3Qk84UDhSSm4xVWdMenBVT1RjdW5VTGdZR0JtY2JMakc3eWtpQUlXUUFlaUtKNFFSQ0VoZW5wNmR2dE5XeTZWcXZGeVpNbmtabVphVk1Udk1Ka1ptWmk4K2JOK1B2dnYvSHV1KzhhbG1kbFpSWGF0NlVncWFtcFdMUm9FVDc0NEFOczNib1Z6WnMzUjUwNmRSQVNFb0podzRiaHE2KytlaExKTDQxTThxaWwvQmtZR0dneW4wTkp6Wk8ycUYyN05rSkNRbXphcDZEcFpZb3Izd0o1VFVFblRKZ0FCd2NIdzdSTnhxeXRnTXZNekRTYkxtcjgrUEVGN2xQWWVrdFkxcDRZcSs4ZkNRa0pDQXdNZkdpcHlXcHBLS2RseXBReHFVREl5Y25Ca2lWTDRPVGtoTUdEQjV1VW9YdjM3c2tPS0dWYzhUSjE2bFI4OHNrbm1EQmhncUhKcWJITm16ZGoxcXhacUZxMUt1Yk9uV3V4eTlLTkd6ZXdhZE1tQ0lLQWF0V3FvVzNidG1qUm9nWHExNjhQUVJDUWxwYUduSndjdzJDTENRa0poZ3Flano3NkNLR2hvVGgzN2h5aW82TVJHeHNMaFVKaE5tMEhGWTVCSTVuWXMyY1AxcTFiaDNMbHltSGd3SUVtNjRZUEg0NFRKMDVnenB3NXFGT25EcG8zYjI3MWNWTlRVL0h3NFVNOEdoemlzUjA3ZHN3cytMcDE2NWJGYmYvNDR3LzQrUGpnaXkrK1FOZXVYZUhoNFFGSmtwQ2JtMnZXSDZSNjllb1crMjBtSnlmajJMRmpzdXYxR2pkdWpNT0hENk4rL2ZvbXpaQVNFaEtRa0pCZ0NQNnNwUjh5WG0vZHVuVUlDd3ZENXMyYjRlL3ZiNWc2cENEMTZ0VXJzTTlRKy9idHJVN1BzK3BSODZFTUFHY0VRVGdwU2RKWm5VNTNJaUlpNHBxOTAzYnUzRGxrWm1iSzl0MHRxb2lJQ0lpaWlCWXRXaGlXWldkbkl6TXowK3FLRDB1Q2c0T1JrNU9ERHovODBORDg2YU9QUGpKTWY2Qi9nek43OW16TW1UUEg0akVLR25qa1dWR1M4NlF0VkNxVldmLzB4MUZjK1JiSTZ6SmhQQUNPSlpaR1JzM3ZwNTkrUW54OHZFbitidEdpaGNYbWVKY3VYY0xseTVkbDErdFZxbFFKTzNmdXhLdXZ2bXJvKzhpeVpuK2x2WndHQndmajNyMTc2TktsaTFtbFMvNUJudVEwYU5BQUV5ZE94TGh4NHpCbzBDRDgvUFBQS0ZldUhEUWFEWDcrK1dlc1diTUdsU3RYeHJ4NTgyUUhjeHM4ZURBR0RScUV0bTNiSWk0dURuRnhjZGkyYlp2Sk5pMWF0TUNDQlFzQTVQVWwxdmZGeks5aXhZcll0bTJiMWZOSDByOFlOSkxCaVJNbk1ISGlSQWlDZ0NsVHBrQ1NKSVNHaHFKVnExWUE4Z3JhdUhIak1IcjBhQXdiTmd5Ly9QSkxnUUZRV2xvYWZ2amhCN2k1dVJuNnJNajFtN0RWckZtenpKYkp6WDgxYWRJa3ZQbm1teVp0MlZOVFU5RzVjMmQ4L3ZubkpyVnFMVnEwTUJrb1FPLzA2ZE00ZHV5WTdIcGpQWHIwUUV4TURBNGRPbVNZSjB2ZnRyOU5telltSTNyWjZ2YnQyMUNwVkxJUER4cU5CcGN1WGNMZHUzZlJybDI3SXArSC9pVkpVaHlBVlRxZDdrK3RWaHNYR1JtWkFxRGdObUZQMFQvLy9BTUFoamxWbnhUOVczdmpoKytyVjY4Q2dFMVQ1eVFuSnlNN094dCtmbjdZc1dNSGR1M2FoZjc5KzVzOUhPZ0hETkUzNzJ2YnRxM3NnQ2RQYXBxRzBxcWs1MGxiWExwMDZZbjJ2eTZPZkt2bjUrZFg0QnMvL1dqZGhYbnc0QUhPblR0blVvbmFyVnMzaTlmc2hRc1g0dkxseTdMcjlkTFQwOUd6WjAvVXIxOGZxMWV2WmxrckFVcDdPWjAzYng0MmJkb0VMeTh2REI0OCtMR085ZWFiYnlJN094dlRwMDlIcjE2OU1IRGdRS3hmdng0eE1URm8wNllOZ29LQ0Ntd3A0K1RrWkFoYU8zVG9nTjY5ZTV1c0h6dDJyTmsrTDd6d2dsbGdPMi9lUE1URnhURmdMQ0lHalFRZ3IzL2MyTEZqa1p1Ymk1RWpSNko1OCtibzNyMDdFaElTTUdmT0hEei8vUE1BOHQ1S1hidDJEUXNYTHNUQWdRTXhhZElrdlA3NjZ4YVBXYlpzV2V6ZHU5ZHdFMjNldkxsVnd6dGJZK3ZXcldhQjA1UXBVOHc2YmdONWdWcit6cy9wNmVsSVQwOUhRa0lDQUtCaHc0Wll2Mzc5WTA5Wm9OUHBrSkNRZ0hMbHlwbE1yS3p2ODJLcEwyUCttdHl4WThmaS8vN3YvOHhHeXN2T3prWmlZaUpxMWFvRmxVb0ZVUlJ4L2ZwMVJFWkc0dUxGaTdodzRRSXVYYm9FclZhTDU1OS9ua0hqWThySnlVbHhkSFQ4WDFoWTJEOG93VGY2ZmZ2MkFiQ2N0eDdIMmJObkFjQ2tSWUYrUXVnNmRlcFlmWnlvcUNnTUhUb1V3Y0hCMkxGakI2cFhyMjQyb3FRbEFRRUJzczJIWW1KaW5za0gyZEtTSjIxUnZueDVmUGloYmVQeEZOU2N0VGp5N2F1dnZnb2dyNTk1UVMxc3RtelpZbFhRbUpLU2dnb1ZLa0NoVU9EOTk5L0hhNis5OXRoekdNZkZ4UUg0ZDdBMGxqWDdLUzNsTkNzcnkrTHkrL2Z2WThhTUdkaS9mei9LbENtREgzNzRBZTd1N285OXZzNmRPeU05UFIwaElTR1lObTBhZ0x5bTVsT21UTEZwMUZrdkx5ODBhTkRBWkptbGZzaGx5NVkxMis1SmZJOW5HWVBHWjV4V3E4VXZ2L3hpNk9nK2NPQkF3dzE4MEtCQkdEMTZORWFNR0lIRml4Y2JKZ0llTUdBQUhqNThpRldyVm1ITW1ERTRldlFvUm93WWdiSmx5NW9kZjhtU0piaC8vejY4dkx4TWFtejFzck96WmZ1QnlGM1Fub1I3OSs0QmdHRWdIR2RuWjhOdzBKYm9hOEFLZXlBNGUvWXNzckt5MExwMWE4T3ltemR2SWlJaUFvNk9qb2JnR3dCY1hWMmhWQ29SRXhOakdHNGJ5QnRhM1ZJejNrT0hEa0dTSkVNbjhhKy8vaHJIang4M3JLOVFvUUplZmZWVlBQZmNjNGFSL2Fqb0lpTWpNd0FjTG5SRE80cUlpRUJDUWdLcVZhdjJSQWZBU1U5UFIwUkVCSHg5ZlEyVk14cU5CaHMyYklCS3BUTEozNFZKUzBzRGtGZFQzS05IRDNoN2U4dE9FMEFGS3cxNTBsYmUzdDc0NktPUGJOcEhMbWdzcm55cmw1dWJLOXNOQXJCOHp4SkYwYXgxeWExYnR3d0Rpbmg1ZVJVNDhySCszcE9Ta2xKZ2VvOGRPd2JnMzBIbldOYnNwelNVMDRTRUJFeWFOQWtBY1BEZ1FmVHExUXV1cnE1SVRVMUZ0Mjdka0pxYUNtOXZiOHllUFJ2UFBmZmNZNTByTVRFUmh3NGR3cTVkdTNEKy9Ia0FlVTFXbzZLaThPZWZmK0xHalJ0NDY2MjM4TUlMTDFoOFRxU1NnMEhqTXl3eU1oTFRwMDlIVkZRVUZBb0ZSb3dZZ1I0OWVoald0Mi9mSGxldlhzV2lSWXZ3MVZkZlljMmFOWWJhMEtGRGg2SjgrZklJQ1FuQnpwMDc4ZmZmZjZObno1NW1UUWFxVkttQ0tsV3F5S2JCMHRRWlJhVWZ3VlJmNDZTL1dhYWtwSmk5UVl5TmpRVUFxeTlRMWFwVmc0ZUhCdzRjT0lEQmd3ZGJ2TWxuWm1ZaU5EUVVBRXplOHUzYXRRc0E4UHp6ejVzOGdLaFVLalJ1M0JoaFlXSG8yYk1uYXRldUxWdmI5dURCQTBNenhIZmVlUWRBWGhNTlB6OC9ORzNhRkFFQkFZWStsSC8vL1RmV3JGa0RJSzhaYmxaV0ZpWk9uQ2o3M1RJeU1oQVhGNGVKRXllaVhyMTZOdGY2ay8zczNMa1RnUHhieGgwN2RpQThQTnpxNDdtNHVHREdqQm40NTU5L29OUHBERzlWZERvZEprK2VqTnUzYnh2NkJjdlJsenY5L0c3NnQvbjZnWnFzeFg1Vy8wMXIxNjVGZW5vNmdMeHJwaVJKc25NRUZpUXVMczZ3bjZlbko3cDM3MTVzK2RiNG5NYUQ2MWlpNzlPbzd6OFpHeHRyTWszVm5UdDNrSmlZaURadDJsajFQUU1DQWdEa0RWQVhGaFptOFkxS1VsSVNUcHc0QWFWU2FXaW1ia3ZMQTVhMVowdENRZ0lHREJpQXhNUkVkT3JVQ1Z1M2JrVy9mdjB3ZXZSb05HL2VISjA3ZDBaQ1FnSkdqeDVkcE5aWHQyN2RRbVJrSk02ZVBZc3paODRZNW5aMGRYVkZseTVkMEt0WEwvajcrK1BxMWF0WXRtd1o5dS9mYndnbUsxYXNpSHIxNnFGT25UcW9YTGt5Zkh4OFVMTm1UWGg3ZXh1Ty84Y2ZmNWdON3BlVGsyUFdDbUR2M3IwNGVQQ2d5YkxjM0Z5elVmUEplZ3dhbjFISGp4L0g0TUdESVVrU3ZMeThNSDM2ZEpNK0lIb0RCZ3hBYkd3c0tsV3FaRmJRZXZYcWhRWU5HbURjdUhHNGMrY09JaUlpYks3VmZQdnR0ODFHa2ROTFQwODNCRnh5OXU3ZGk3UzBOT2gwT2h3OWVoVGx5cFV6WE9UME4rOUpreVlaK21VQ2VUWFAyN2R2aDBxbE10eVFDK1BrNUlUdnYvOGVzMmJOUW1ob3FHei9TWGQzZC9UcTFRc2RPblF3TER0Mzdod0F5MzNPSms2Y2lLQ2dJRVJFUk9ES2xTc0Zwc0hIeHdjREJnd3c5QXQ5OTkxM0xUN0FYTHQyemRCa0VjaTdtQnAvemsraFVPRGh3NGZZdDI4Zk5Cb05nOFpTUXBJa0hEcVVOd3E5dnZsY2Z2b0JBNnlsYjFLdG40dXJXYk5tU0VoSVFGQlFFRTZmUG8xYXRXcGh5SkFoQlI1REh4ak9uRGtUdFd2WHhzNmRPK0h1N283S2xTdGJuUTRBYU4yNnRXd045NzE3OTdCKy9YcWJqa2NsdzVvMWEzRG56aDNENTRjUEgyTFJva1UySHljK1B0NndYNDBhTmRDOWUvZGl6N2VWSzFmRzZOR2paWSt4Y3VWS3d4dEIvWFY2eUpBaGVQSEZGNkZTcWFEVDZYRGl4QWtBMWdkMURSbzB3Smd4WTdCMDZWTDg5ZGRmc3R0VnJsd1pYMy85ZFpHYXViS3NQVnNtVEppQXhNUkVEQjA2RkgzNjlFR1RKazN3M1hmZlllREFnZkQxOVVXZE9uWGc3ZTJOWDM3NXhWQ1JiVnlocmRQcG9OVnFUZjVWcUZBQmd3WU53Z2NmZkdCU3Z0M2QzZEdoUXdlOCt1cXJlUG5sbDAwcVBXclVxSUdwVTZkaTlPalIrT3V2di9EMzMzL2o3Tm16T0hUb2tPSGU1dXpzakhYcjFwbWtQekF3MEt6N3pkS2xTODIrWjcxNjlkQ3hZMGVUWlZ1MmJNSDkrL2VMK0pzakJvM1BxRmF0V3VIVlYxK0ZvNk1qUm80Y0tWdWJKQWdDWnM2Y0tUdDRTMkJnSURadTNJajE2OWVqZS9mdU5nZU5nd1lOa2gzVUpTNHVydENnOGM2ZE85aTVjeWVVU2lXYU5HbUNUei85MUxEdS9mZmZ4OFdMRjNIczJERkVSa1lhbGlzVUNsU3FWQW1qUjQrMmFVTDBwazJiWXQyNmRkQnF0ZEJvTkdickZRcUZ4U0hkUTBKQ2NQandZWXNCYXBVcVZiQm8wU0tJb2xqZzFCY3FsY3Jxa1dmNzl1Mkx2bjM3V3JVdGxWNkNJR0RObWpYWXNtV0wyUU5mMTY1ZDBhbFRweUlkRXdEdTNyMExJSzlmMk8rLy80N1RwMCtqUllzV21EbHpwbXdsajE2N2R1MndmLzkrSER0MkRLZE9uWUtIaHdlKytlWWJtd2VBYXQyNmRZRnp4L0ZCdG5UYXVIR2piS1ZiVWVuelZuSG5XeGNYRjdNUnJZMzkrZWVmaHFDeFJZc1dHREJnQVA3NDR3K1RhWnE4dmIzeDFWZGYyZFJVdGx1M2J1aldyUnMwR28zRktRN1VhdlZqTlVObFdYdTJkT3pZRWRXclYwZWZQbjBNbjF1MGFJSE5temNqTkRRVUZ5OWVSRVpHQnJSYUxVUlJ0S3E4RGg4K0hLNnVyaGcwYUJBT0hEaUF3TUJBQkFZR29rR0RCb1VPT3VQcTZvck9uVHVqYytmTzBPbDB1SExsQ3E1Y3VZS1ltQmc4OTl4elppM0NhdFdxWmRZSGQ4dVdMU2JuVVNxVjhQZjNOOXZ1ekprekRCb2ZnL1U5VDhtdS9HczFiZ1cxc05uZHphM2luT0NaZUtYTjQ0ODJaNm12eFpPZzArbVFtSmlJTW1YS1dPem5xRCszS0lwbUE5UlE2UmQ2OGpTK0hqRWFTU2twcVpEUU9lNlNYU2RsTGhIODZ3WDhENEwwbTd1Ylc4V0ZjMzlFcTViV1QxZGpMNG1KaWFoUW9RSzBXaTBPSGp5SWR1M2EyVFJZZ1RVeU1qS2dVcWtlZS82OEp5RXNQQUlEQncvUHk3ZWkrR0hjNVlqZDlrNVRjU3FOZWRJYXhaVnZ0Vm90SkVrcXRYMEVTMUpac3didkkzbUs0OWxQSHd6YU1nV2EvcGxORkVVSWdnQkJFS0JRS0lybEdiSzBlWmJ5S3AvWW4ySEZWZGlWU21XQjgwbnB6ODJMRFZISnBaODdUNlZTRmR0Y25zWWpEQk05Q2NXVmIwdDdCU2ZMR3VrVkpTL3ptWTBBZ0RtQWlJaUlpSWlJWkRGb0pDSWlJaUlpSWxrTUdvbUlpSWlJaUVnV2cwWWlJaUlpSWlLU1ZicDdkaE1SbFNJNnJRNlJVWmZ0blF5eUlEb21Gcm01dWZaT0JoR1JHWjFXaDZqTDBTYnpIRkxKRUJsMStabTVkekJvSkNKNlNyS3lzekYzL3FKU08yei9mNWxXcThXRDlIUjdKK09wMDJxMU9IVW1EQThlUEh2Zm5VcXV5OUV4RnVkRGZsWmxaV2Rqd1pKbGNGQmJQMDBHUFIyNXViblB6TDJEUVNNUlVUSFRTT0p0QjBHNExVcVNVK3FEQi9aT0RoVkVraEoxV2lUWU94bFBTMVpXTm42ZXZ3Z0NoOU9uRWtRU1JlUnF0ZlpPaHQySmduUlhnYng3UjlwL3BHSkhFaVhESlBFU0FFSHhINWt5WHBJU05aSjAyOTdKS0U0TUdrc1pVU2NpL2tZQ203aFJpUlVYZngxYUhXLzJ4bTVkam9pdVdxdGhiNFZLN1dQdnRGREJkSUtVZkNNMkl0TGU2U2h1b2s1M1hhRlVSRXBBdGlhWDVaVktyRnVpVG5mZDNvbXdsK3ZSNStQK2EvY09CNlZZM2RsQjFST1ExRmthM2ErNW92S2F2ZFAwSk9nRUtmbldwWWhvZTZlak9QMUh3dnYvUHY5YWpWdEJMV3hXQ0lxS1hwNmVjSEppdTNZcW1YSnlOTGgzL3o1MG9wZ0tDWjNqTG9VZnNuZWFpTWlNVUwxNi9hcVN5dEhUM2draGtpTXB4TFQ0eXhGeHlIc3BSZjhCZ1lHQnJ3aUNzRTZTSkNjQW5jTEN3ZzdiTzAxa0hiNXBMQ1cwa2k1WkphbFNSVW4wU0U1SnNYZHlpQW9sQ01JRG5UYjNycjNUUVVRV1NkZXVSY1VEaUxkM1FvaUlxT1JqMEZoS0pNUmV2RnE5VHNNZWtxRDB0WGRhaUt3aGFwRjRQZWJpSlh1bmc0aUlpSWdlRDRQRzBrTzhkdVhpT1FEbjdKMFFJaUlpSWlKNmRuQzROQ0lpSWlJaUlwTEZvSkdJaUlpSWlJaGtNV2drSWlJaUlpSWlXUXdhaVlpSWlJaUlTQmFEUmlJaUlpSWlJcExGb0pHSWlJaUlpSWhrTVdna0lpSWlJaUlpV1F3YWlZaUlpSWlJU0JhRFJpSWlJaUlpSXBMRm9KR0lpSWlJaUloa01XZ2tJaUlpSWlJaVdRd2FpWWlJaUlpSVNCYURSaUlpSWlJaUlwTEZvSkdJaUlpSWlJaGtNV2drSWlJaUlpSWlXUXdhaVlpSWlJaUlTQmFEUmlJaUlpSWlJcExGb0pHSWlJaUlpSWhrTVdna0lpSWlJaUlpV1F3YWlZaUlpSWlJU0JhRFJpSWlJaUlpSXBMRm9KR0lpSWlJaUloa01XZ2tJaUlpSWlJaVdRd2FpWWlJaUlpSVNCYURSaUlpSWlJaUlwTEZvSkdJaUlpSWlJaGtNV2drSWlJaUlpSWlXUXdhaVlpSWlJaUlTQmFEUmlJaUlpSWlJcExGb0pHSWlJaUlpSWhrTVdna0lpSWlJaUlpV1F3YWlZaUlpSWlJU0JhRFJpSWlJaUlpSXBMRm9KR0lpSWlJaUloa01XZ2tJaUlpSWlJaVdRd2FpWWlJaUlpSVNCYURSaUlpSWlJaUlwTEZvSkdJaUlpSWlJaGtNV2drSWlJaUlpSWlXUXdhaVlpSWlJaUlTQmFEUmlJaUlpSWlJcExGb0pHSWlJaUlpSWhrTVdna0lpSWlJaUlpV1F3YWlZaUlpSWlJU0JhRFJpSWlJaUlpSXBMRm9KR0lpSWlJaUloa01XZ2tJaUlpSWlJaVdRd2FpWWlJaUlpSVNCYURSaUlpSWlJaUlwTEZvSkdJaUlpSWlJaGtNV2drSWlJaUlpSWlXUXdhaVlpSWlJaUlTSmJLM2drZ0lpSWlJcUwvbHNhTkcvc29sY3I2eHNza1NRb0E0QUJBSlVsU1FHQmdvTWsrT1RrNWx5TWpJKzg4eFdTU2xSZzBFaEVSRVJIUkV5VUlncjhnQ0lmeUxUUCsrYWY4K3pnNE9Md0lnRUZqQ1NRVXZna1JFUkVSRVpGTmxJR0JnWmNFUWFobHpjYWlLRjRORHcrdkEwQlh6T21pSW1DZlJpSWlJaUlpZXRKMGdpRE1Bd0JKa2lCSmt0a0d4c3NWQ3NWU01HQXNzUmcwRWhFUkVSSFJFNWVibTdzYndBUGpacW41UFZyM1FLZlQ3WHRhNlNMYk1XZ2tJaUlpSXFJbnpzSEI0VGFBMDFac2VscW4wOFVYZDNxbzZCZzBFaEVSRVJIUkUzZm16SmtNU1pKT1NwSWtBakJwb3FyLytkRzYwQXNYTHFUWUpaRmtGUWFOUkVSRVJFUlVISFFBSWdSQlNDOWdteXlkVG5jT2dQWXBwWW1LZ0VFakVSRVJFUkVWaTV5Y25HT1NKTjJWV3k4SXdvUGMzTnpRcDVrbXNoMkRSaUlpSWlJaUtoYVJrWkhYSlVrSzB3K0dZenhpcWlBSWtDUXBQREl5OHJvOTAwaUZZOUJJUkVSRVJFVEZSaENFRlFXc1h2RFVFa0pGSmovK0xSRVJFUkVSMGVOVEJRWUczZ0JRVWIvZzBWdkd4TEN3c0NvQWN1MlhOTElHM3pRU0VSRVJFVkZ4MGtxUzlKdUYrUm8zZ1FGanFjQ2drWWlJaUlpSWl0dEtBRmxHbjdOME90MXY5a29NMllaQkl4RVJFUkVSRlN0QkVHNENpQlVFUWQ4ME5STEFOWHVuaTZ6RG9KR0lpSWlJaUlyVi9mdjMwMFZSUEMzOTY3eFdxMDIxZDdySU9nd2FpWWlJaUlpb1dNWEZ4V1VEK0VjUWhDd0FHZ0QvUkVaR1p0ZzVXV1FsbGIwVFFFUkVSRVJFLzMwNm5TNVVFSVFrQUM0Nm5TN1UzdWtoSWlJaUlpS2lFaVl3TVBEUHdNREFvL1pPQjltbVJNN1RXTFYyb3hvS3BhcUt0ZHVydE9taE1URXhPZnJQTldvMEt5czZpQUhXN2g5M0tleXc4ZWZxZFJ2WGxRUmxSYm50allsYU1mbDZ6TG1MeHN2ODZ3VytZdTI1YzVGMTRlYWxTeWxHaTVUKzlRSmZzbmIvL0duM3E5T2tza3FocUdYVnpqcGRkbHgweEFualJWWHJOV3FtZ01yVm10MEZBWEhYb3NMaWpaZlo4dDFMODk5Tm9WR0VYNzE2SnMxb2tjVy9teGJhZXdtWHprY0IwRnA3N1A4Q3Z6cDFLcXNVTHJYdG5RNGlQVTJ1TnZaVzdJVWI5azdIMDFhcDVuTlZITlNxbXZaT0IvMzM1T1RrWEx0OUxTcSs4QzJmTGI3VjYxZHpkSFNzYnU5MGxHU09TdWtOaFVKd3lNckZObnVucGFTU0pERSsvbkpFaVJva3FNUTFUNjFVdDNGZGhTQ3NnU0JXdG5hZkxMaTBBSkNnLzZ4ejBEUVFCTVU2RzA3cmEveEJVaWcrQjhRUHJObFJvY0l1QUorWUxCUkVxOCt0RmgwK0JyQmIvOW1yVnEweXR1eVBmR2xYSzRTM0pFR2NZczJPZ2xKeEEwQkw0MlZLUVRsVGd2aWNOZnVMRW9JQi9HQjZVT3ZUWHByL2Jqb0hiUmNBeC9XZjVmNXVLa21SV3JsR2svZHVYajEzeGRwamwzYVZhelgyVXdtS2hSQ2twdlpPQzVHZWcxcDV5ZDgvNE9PNHVQQTRlNmZsYWZIM0QvQ0hXbG9PUWFwbjc3VFFmNCtqazhOMWYvK0FENTZsTWxVWWYvOEFmemhKNndHcHFyM1RVcExsaUFCRUNSRHdvYjNUVWxJcElDVDUxV3pZSlNIMllveTkwNkpYNG9KR0IwSGhDd0UxRllMZzRlemtCS1ZLV2VnK2YyNysvVWJsU3YvR0Q2Zk9oS0gvRjE5YmZVNUpraVRqeitPblRNZTJuYnVzMnZmVmw5dDgvRk5VK01mR3k1bzgzOGJxYy84NGEvcXV0cS84dS8yRDlIUzBhZmVXMWZ2blQvdnFkWC9nK3gvbldMVnZKVi9maWxlandrejI3OTc3RTF5T2pyWnEvMEg5UHc3Ky9MTlBnbzJYMmZMZFMvUGZiY2t2Yy81cDBTelE4RG4vMzAybkU1R1ZsUVZSRWozVWFxa0dnR2NtYUZRRGZoRFFRSUJRMGRuWkdTb3J5akJSY2RGcGRYaVlsUVZKa0FBbitBTjRkaDV3bmVBUEFmVUVDQlZkbkoydHVwOFNGVWFuMVNFck94dWlKRGs5YzJXcU1FN3dCNFE2Q2tId2NIWjJobExKOFNiSk5xSk94TU5IejQ4cWxiSVdBQWFOaFhGM2M4UGd6d2VnUWYyNmhXNWJ6dHZMNUhQZDJyV3djTzZQUlQ1M3Y5NGY0dTAzWHJkcVcwOFBEN05sdHB5N1RtM1RWa011enM2UGxmYlgvdmN5YXRXd3JsV0VvNE9EMmJKeG8wZmc0Y01zQzF1Yjg2dGN5V3laTFdrdnpYKzN1clZOV3dEbi83dEZ4OFJpN3Z6RlNFcE90dnFZL3pWcWxRcURQeCtBZ01aV3ZiZ21LaGFSVVpjeGU4NDhaR1k5dEhkUzdNYkYyUm5Edi83U3F2c3BVV0Vpb3k1ajd2eEZTSDN3d041SktiSGMzZHd3L09zdlVMc1dXNGFUYmVMaXIyUDJuRjlLNVBOamlRMGExV28xR3RTdmkxWXRtOXU4cjd1N1c1SDIwNnRab3pwcVdobDRXZkk0NTFhcFZJKzF2Mi9GQ3ZDdFdLSEkremQrcm1HUjl3VWU3N3YvbC81dWpnNE9jSFEwRDhxZkpZSkNnZnAxYXovVzc1WG9TWGpXMzdBcFZjb2kzMCtKTEZHcjFmWk9Rb21tVnF2eFhJUDZDQXhvYk8ra1VDbmo3dVpXWXA4ZitkNmNpSWlJaUlpSVpERm9KQ0lpSWlJaUlsa01Hb21JaUlpSWlFaFdpZTNUU0ZTYUJRWTB4cEY5ZjBJUUJHZDdwNFdJaUlpSTZISHdUU01SRVJFUkVSSEpZdEJJUkVSRVJFUkVza3BlMEtnVnN3VUoxMzE5SzFpY1I1Q2V2Q3RYcnVEa3laUEZmcDdRMEZCRVJVV1pMTXZKeWNHOGVmTnc0TUFCbTQrWG5aMk41Y3VYWS9ueTVZVnVtNWlZaUhIanhtSEhqaDAybjRmb2FkcTBhUk95c3F5Yks3V29OQnFOeGZOY3VIQUJreVpOUWs1T2pzM0h2SERoQXI3NTVodmN1M2V2MEcxLysrMDNqQnMzRGc4ZlBydHpKLzRYQkFjSFk5cTBhUUFBU1pKa3R4c3paZ3htekpoaDlYR3pzckxRcjE4L0xGaXdRSGFia0pBUS9QREREOVluMWtoOGZEd09IandJVVJSTmx2LzU1NStZUDM5K2tZNXBiTWlRSVdqYnRxM3Mrbm56NXVIRkYxKzBxcXdBd1BYcjF6Rmx5aFJzM2JxMXdPMVdyMTZOb0tBZzNMOS8zNmIwVXNsbnp6d3dhTkFndEcvZjNuQzkzclJwRXk1ZXZGaWtZMG1TaEowN2R5SW9LT2lKcFkrZW5oTFhwekV1SmlJVVFKT3JVV0h5ZDZESG9OUHBzR2ZQSHV6YXRRdFJVVkY0OE9BQlhGMWQwYmh4WS9UdDJ4ZUJnWUVXOXp0NzlpdzJiZHFFOFBCd0pDVWxRYTFXbzFhdFd1alNwUXM2ZHV3b2U3Nzc5KzlqeVpJbE9IejRNSktUaytIaDRZRVhYM3dSZ3dZTlF2bnk1YzIyNzkyN042S2lvakJ1M0RoMDd0elpiUDJCQXdmd3pUZmZBQUFtVDU0TVVSUXhlZkprS0pWSy9QWFhYeWhidG15QjMvL01tVE1ZTUdBQUJFSEE3dDI3NGVucGlURmp4aUErUGg2ZmZQSUpCZzRjQ0tVeWIwNnpMVnUyRk9uQzhQYmJieU1nSU1Ca1dXcHFLcjc5OWxzNE96dGowNlpOY0hSMEJKQjNBZG03ZHkvV3JsMkxHalZxd04vZjMrcnpxRlFxYk5pd0FmZnYzOGU3Nzc2TGN1WEt5VzZibnA2T1hidDJ3YzNORGUrODg0N04zOGxXdCs4a1l0ZmVmYWhXTjJDc1RwdTdQaUgyWWt5eG4vUVprWkNRZ1BYcjF5TTBOQlEzYjk2RUtJcW9YTGt5MnJWcmgzNzkrc0haMmJ3YnFTaUthTkdpaGV3eEZRb0ZUcDA2WmJMc3lKRWpHRHAwS01xWEw0L2R1M2ViN2FQUmFQRHBwNThpTWpJU3RXclZ3dkxseTlHOWUzZmN2bjBidlhyMXd2RGh3d3Y5TGdNR0RNQ1pNMmZRdFd0WGZQdnR0OWkxYXhlbVRadUdOV3ZXWU9iTW1haGR1ellBSUNVbHBjQUhhRG51N3U0WVBIaXcyZkxseTVkajBhSkYwR3ExNk42OXUySDVsU3RYc0gzN2RnaUNnSWtUSjlwMHJpdFhydURBZ1FPb1dMRWlSb3dZVWVDMlo4K2V4WUVEQnpCeTVFaTR1TGpZZEI0cU9mNzY2eTgwYXRRSVY2NWN3ZWpSb3pGbXpCaUw1ZXp5NWN2dzl2WTJXeTZLSWhRSzg3cnJoUXNYNHZ6NTgyamZ2cjNzdVE4ZlBveWNuQnl6dkphU2tvSmZmLzBWdlh2M2hvK1BqOFY5cDAyYmhyQ3dNS3hkdTlaUXhnRGcyTEZqMkwxN042cFdyWXEzMzM1Yjl0ekdEaDA2aEYyN2RtSHk1TWx3Y25LeWFoK05Sb1BzN0d5em9GWE8zTGx6Y2VEQUFiei8vdnV5Mjl5NWN3ZHo1ancyZVNFQUFDQUFTVVJCVk14Qmt5Wk40T25wYWRWeHFmU3daeDdJek16RXZYdjNvTlZxa1pxYWlybHo1K0xodzRjWU5Xb1V1bmJ0YXRPeEJFSEFYMy85aFNOSGpxQnAwNlpXbHpNOW5VNVhwRXBOUzFRcUZSd2V2Wnk2ZVBHaTJVc05ZMjNidG9XWGx4ZXVYcjJLczJmUHltN1hzbVZMVksxYTlZbWtyeVFxY1VGamNUdHo1Z3pHang4UEFIQjFkVVdaTW1XUWxwYUdJMGVPNE9qUm94Zy9manplZSs4OWszMTBPaDArKyt3ekFJQ2pveVBjM2QxeDc5NDluRDkvSHVmUG44ZlpzMmN4YWRJa3MzTWxKQ1RnMDA4L1JYSnlNaFFLQmNxV0xZdWtwQ1JzMmJJRmh3OGZ4cSsvL29yS2xTdGJuZlpyMTY0Wkh1USsrdWdqdlBQT08waFBUOGUwYWRPZzFXcHgrUERoQWdOWUFOaTNieDhBb0ZtelpvWWdhK2JNbVJnNWNpU1dMbDJLczJmUFl2cjA2ZkR4OGNHSkV5ZXdkKzllcTlPbjE2QkJBN09nY2Rhc1dVaExTOFBVcVZNTkFTTUFPRGs1WWNxVUtSZ3dZQUJPbno1dGM5RFlxMWN2L1BEREQxaTFhaFdHRFJ0bWMxcUx5NTA3aVZpK2NnMEVRUnFuVWluUEFHRFErSVJNbkRnUjRlSGhVQ3FWOFBEd1FHcHFLdUxpNGd5Vk0wdVdMSUdycTZ2SlBnOGVQREQ4YkdsU2FuMUZpUzIrKys0N1JFWkd3c1BEQXovOTlCTmNYRnpRdm4xN3JGeTVFdnYzN3k4MGFFeEpTVEhjZk41NDR3MEF3T3V2djQ0clY2NWc1Y3FWNk51M0wwYU9ISWt1WGJvZ1BUMGRtelp0c2ptTjVjdVhOd3NhbzZPanNYejVjalJxMUFqZHVuVXpXZGVsU3hjY09IQUE1OCtmUjBaR2h0bnZzU0R2dlBNT0ZpeFlnSTBiTitLVFR6N2hnK3QvM00yYk41R2NuSXlXTFZ1aVFvVUtTRXBLd3V6WnM3Rm16UnFMZ1dCK21abVo2Tk9uRDdwMTY0YWVQWHNhbG9lSGgyUE5talZvMmJJbGV2YnNDWjFPaC9YcjE2TjI3ZG9GVnZ5a3BhVmg5ZXJWV0x0MkxiS3pzNUdSa1lFSkV5YVliYmR4NDBhY09YTUdmZnYyTlFrWUFXRFVxRkU0ZmZvMFFrTkRyWDZZRFEwTnhiNTkrM0R6NWsyRWhJUllESTRmeC9IangzSGd3QUZVcVZJRkZ5OWV0RmlSMjdselp5eGR1aFE2blE2K3ZyN1lzR0dEeFdPOStlYWJLRk9tekJOTkh4VS9lK2NCL1RPYktJcnc4UERBNHNXTDhlV1hYMkw2OU9tSWo0KzNxb0xVMklnUkkzRDgrSEZzM3J6WjVxRHg3Ny8veHNpUkkyM2FSODU3NzcxbnVFWWNPblFJeTVZdE02djRFVVVSR28wR2RldldoWmVYRjg2ZVBZc1pNMmFZYlNkSkVuSnljaEFVRk1TZzhiL21yYmZlUXI5Ky9WQ3paazBBd08zYnR6RnQyalFjUDM0Y3MyYk53c3N2djJ6eXdDTkpFaG8xYW9RdnZ2Z0N6Wm8xZzFLcHhNT0hEN0Y0OFdLc1hMa1MyN2R2Ujd0MjdmRFNTeStaN0RONjlHZ2tKeWVqZGV2V21EeDVNcnk5dlhIOStuVU1HellNY1hGeG1EeDVNaFl0V21SVm1qTXlNakJpeEFnOGZQZ1FMNzMwa3VGQjBNM05EYTFidDhhUkkwZHc0TUNCQW9OR1VSUU56VUE3ZE9oZ1dGNjdkbTJzV3JVS28wYU53cWxUcHpCcjFpd0VCd2NiMWdjSEI2TnUzYnBXcFJNQVBEdzhURDV2MnJRSmUvYnNBUURaaTRzb2lnZ09Ealk1YjM0Yk5teUFuNStmeWJMT25UdGo4ZUxGMkxKbEN6Ny8vSE9yYTNwTElXV1RKazJhQ1lKd0pUdzhQTlhlaWJFbkh4OGZUSjQ4R2ErOTlocWNuWjBOclFlQ2dvSVFIUjJOcFV1WFlzaVFJU2I3NklQR3VuWHJZdTNhdFkrZGhvMGJOMkxMbGkxUXFWUUlEZzZHcjY4dmdMeWdiK1hLbGJoejV3NmlvcUpRdjM1OTJXTWNPSEFBa2lUOWYzdDNIbGRUL3Y4Qi9IWHV2ZFdWRmltRVNpaVVTbUZNbHV3aVl4am1heXY3TW55SFFYWm14cDRoYTJnSVF3ekN6QzhteGxaWmgwZ0wybEJJa3ExTmk2N3VjbjUvTk9kOHU5MmxtMkdFOS9QeDhIam8zbk5PcHpxZmU4N244M2wvM20vVXJWdVhqM0FRQ29XWVBuMDZIQndjc0hqeFlxeGN1UktPam83OGRlM201b1pseTVicGZKNFZPOFBjNkxCVUtrVnljakk2ZE9pZ3NnOFhadGl6WjArTngvWHk4bEtaaWRUWDE4Znc0Y094WmNzV0hEbHlCT1BHamRQNVBEOHdRaWNucDg5RklsSHlwOXdXcjF5NUFnQndkM2VIcWFrcGhnMGJobDI3ZHVIVXFWUG8yN2N2dW5UcEFwbE1CcUJzS1VGR1JnWTZkdXdJQUxDMnRrYTdkdTN3OE9GRHBkbkFseTlmNHNjZmYwU3RXcld3ZlBseU1BeUQzTnhjQkFVRlFTd1dJeVFrQkxWcjExWTZqL1QwZElTRWhPRDQ4ZU9RU0NSbzBLQUJ4b3daZ3krLy9GTGxuRk5UVS9sN3pQNzkrOVYrRnNqbGNvU0hoeU04UEZ6ano3NXc0VUwrWGp0Ly9ud1lHQmhnMzc1OW1EQmhBa0pDUXZqdDh2UHoxYzZXY2pPTVhsNWVLdSs1dXJwaXg0NGRBSURjM0Z3K2t1akZpeGZZc0dFRFdKWUZ3ekJLK3pnNk91S1BQLzZBU0NSQ1pHUWtJaU1qMVo1M3AwNmRxbVduMGRIUlVWOG9GTHJyNit0SHhjYkdTdC8zK1ZRbjFlRWE0QVphdWZiTVJkWk1tVElGalJzM1Z0cDI1TWlSdUgvL2ZxWEhsTXZsU0U1TzVqOFR0RGx3NEFBYU5XcWs5RnFUSmszZzZPaW82NCtnVnNYSkRhQXNlcUo4OUV0RVJBVG16WnVuc2wxb2FDanExYXZIZjMzbnpoMmx3YStQMVNmWGFXelRwZzNhdFd1bjlGcjkrdlhoNStjSEx5OHZTQ1FTWEx0MmpSLzVCOHBtdEg3NTVSZWxCekJEUTBOTW56NGRjWEZ4U0V4TXhJVUxGNVE2amVmUG4wZEtTZ3JNek15d2F0VXFmc1RleHNZR0sxZXVoTGUzTjJKall5dDlzQVRLSHVJV0wxNk1odzhmb25Ianh2RHo4MU1heWZYMDlNU2xTNWR3OWVwVnJiTUROMjdjUUhaMk5rUWlFWHIwNktIMG5vbUpDYlpzMllMQXdFQ01HREZDNlQwTEN3czBhTkJBNnpscUVoTVRBMzkvZndEQXVISGpsQm9aNStEQmd5Z3VMc2I0OGVPMUhxdGlaeFFBYXRTb2dXWExscUZ4NDhZNmRSaGxNcG5hZFZSQ29WQnBCclFhRURacDBzU29aczJhOVlWQ1lUK0dZYjVoR01hZVpWbFhBSi9zZ3lvQXJGaXhRcWt0Q29WQzlPM2JGMmxwYWRpelp3L09ueit2c2ROWVdmaTJMaElTRXZocmVzR0NCVW9oN1E0T0RyQ3lza0ptWmlZaUl5TzF0bTF1MXQvVDAxUGxBY0RUMHhQMTY5ZEhVbElTV3JSb2dmVDBkQUJsTS9OdjJoWmxNaG5tejUrUGpJd00yTnZicTh3eUFtV3pSM3YzN3NYWFgzK05aczJhYVR4V3hSczRaL0Rnd2FoWHJ4NDhQVDExT3FlU2toSStQS2c4c1ZpczAyelZ2MFRZcEVrVEkxTlQwNFlzeS9hbHRsam0zTGx6c0xTMDVFZlZ2YjI5c1cvZlBnUUZCY0hMeXdzVEowN2tPMGQ3OXV4QnpabzErV3Z1K2ZQbk9IandJTnEzYjg4UFRyeDY5UW96WnN6QXMyZlBzSFhyVmo0U3BrNmRPdkQxOWNYeTVjdXhhTkVpYk42OG1XOHZ6NTgvNThQakhCd2M0TzN0RFU5UFQwZ2tFcFVCayt6c2JQajYrcUswdEJROWUvWlVPMnNaRlJXRjgrZlBZOGFNR1ZydkJ5NHVMa3BmKy9yNlFxRlFvR25UcGhDTHhaREw1UURLcnVPUkkwZXE3QjhURTRPa3BDVDg1ei8vVVFtbjU5cTNSQ0tCcjY4dmNuTnpzWFhyVnJScDB3YXpaOCtHUXFIQW1qVnIrSjlQSnBOaHpKZ3hBTXJXc3hrYkcyUGF0R21ZTm0yYTBqTkpOU04wZFhVMWxzdmwxZ0tCWUlCQUlCalBNSXd0Z0ZvQVhyN3ZrNnN1M3RVMUVCQVFnS0tpSXAzUEl5TWpnOSt2L0hOV3ExYXRrSnljak9Ua1pEZzRPR0RRb0VIbzJMR2p5Z3crSnlJaUFnS0JRR205YjJ4c0xESXpNOUczYjErMVVVQUExSFp5TzNUb29EVzZMQ29xQ2dVRkJlalZxMWQxdXBkODhLcGRwOUc2dVZOYmtVQzRmc1M0U1pnN2N4cGNuRnErMWVOckNrTXpOVFdGalkwTlVsTlROWFlxMUhGeWNrSmlZaUtLaTR1Vlh1ZkNPdnYxNjZmU2lXdmV2RG0vMzZWTGx5cnROUDd5eXk4NGYvNDhURXhNc0hIalJwWGpkZW5TQmZyNitpZ3RMY1dsUzVmVWpsNEM0RWRPMjdkdnIvYmhXU1FTcVR4cy94UEp5Y21ZT1hNbXBOS3lnVU1QRHcvWTJkbXBiQmNaR2NrLytHdFMvaUZ5NWNxVi9BTzNKcjYrdm1wSG1rTkRROVdHK1hYcDBnWHIxNi9YZXN4L2c1T1RrN1dlbmw0bmxtVmRHWVpweXpCTVd3QW03L3U4cWhOTmJkSFoyUmtBMUxiZnQ5VnB6TW5Kd1p3NWN5Q1R5ZUR0N1kydnZ2cEtaUnRQVDAvczJyVUxFUkVSbURwMXF0cmo1T2JtcW9TbVZ1VHM3TXovVFArVVhDN0gwcVZMY2ZueVpRQ0FwYVdsMnZhV2xKU0V2WHYzb2syYk52RHc4RkI3clBJRExJOGZQMWI3VUZ3K1lxQjI3ZG9hUTZVMHJTOCtjT0JBbGFJYjNnVW5KeWRya1VqVUdZREwzKzJ3blVBZzBEMWU5eU5XVUZDQTJOaFl1THU3ODYrWm1abkIxOWNYTGk0dVlCaEdhZkR4Nk5Hak1EYzN4NmhSby9na056VnExTUNDQlFzQWxNMjhqUjQ5R3ZmdjMwZmJ0bTJSbXBxSzJOaFk1T2ZuSXk4dmowL3FFUlVWaGREUVVLVjFWSjZlbmhnMmJCaGF0V3JGdjNiNjlHbHMzNzRkYTlldWhiT3pNL0x6OHpGMTZsUThlZklFUU5tc2pMcnJQemMzRitmUG4wZXZYcjAwRHI3cTYrdERKRko5ZEpvMWF4WXlNakl3ZS9ac1JFVkZ3ZFRVRkdLeEdOT21UVlBaZHNPR0RVaEtTc0w0OGVQVnJzVXZMQ3pFOU9uVGtaaVlpSG56NXFGTm16WUF5dTVUUzVZc3dhcFZxL0Q5OTk4REFEWnQyb1NVbEJTTUd6Y085dmIya0VnazBOUFR3OXk1Y3hFVUZQVFdQa1BlQmljbnA2WjZlbm9kR1laeFZpZ1U3aUtSeUkxaG1PbzM5VmtOdk10cjRQang0em9uWVNydnhJa1RHdC9yM3IwN0JnMGFoTW1USnl1OVhscGF5ZzhNeHNiR1FsOWZYeWxzL0ljZmZrQm1aaWJtenAwTFkyTmp5T1h5TjFvdVVsRkFRQUJTVTFQUnRXdlhLazBJdkhqeFFxbGpYSDVwUzNrNU9UbEtYNy9KNy9ORFZPMDZqVUpHWk1RQ3puZFQ3K0hWcTNlYlFiQWlibkZ0VlVieVMwdExBVUJsYldKc2JDd0FxTXhxY2xxM2JvM0V4RVFrSmlacVBmNlZLMWV3YmRzMkNJVkMrUHY3cTRSbkFtV2pNQjA3ZHNTNWMrY1FHUm1wdHRPb0tUVDE1TW1UeU1qSXdMaHg0elNPOHJ5SjY5ZXZZK2JNbVpETDVSZzBhQkJDUTBNeGR1eFlyZnRvZWtnRmdFT0hEdkVkemhZdFdsUzZFTnJTMGxMdDY3YTJ0bkJ5Y2xKNXZVV0xGbHFQOTQ2SldyZHUzVk9oVUl4bEdNYU5ZWmk2QUl3WmhoRUFVQnVLUWxScGE3OHZYNVlOWHB1WXZIbi9XeWFUWWQ2OGVYang0Z1hhdDIrUEdUTm1xTjJPNnpRK2V2UUlxYW1wYWtkZHo1NDlDNFZDQVd0cmEzN1E2UFhyMTFpMmJCbEdqaHo1VnEvSDB0SlNMRnk0RU9mT25VUG56cDF4Nzk0OVhMcDBTV3Q3Vzdod29jYjN1bmZ2ampWcjFnQW9tK25YZGh3QVd0ZEZlbnA2cXAxcGZCc3p3bTlJMUxwMWF5K0ZRakhpNzdaWWoyVlpJMnFMeW80ZE84YUhxcFZYUHFtU0prdVdMRUZhV2hyV3JWdkgzemNGQWdIcTFhdUgrL2Z2SXlZbUJqRXhNUURLcmk4ek16UFVxbFVMN2R1M1IxeGNIRFp1M01pSHROV3RXMWR0VnRhOHZEeGtaMmRESnBQaDZkT25tREpsQ3RMVDArSHQ3WTBEQnc1ZzA2Wk4yTFJwazhaejFEVHdDcFN0ZXh3NmRLalNhems1T2RpNWN5ZENRME1oazhuKzhUS0owdEpTdkhqeEF0T25UOGVRSVVNUUV4T0RvMGVQd3RmWEY2TkdqVks2dncwWk1nUUZCUVdZTkdrU2dMSUIxblhyMW1IOCtQRjQ5T2pSZSs4MDJ0blpHZFNzV2ZNTGdVRGd3ekJNS3dCMVdaWTFFZ2dFREVCdFNwTjNlUTBjTzNaTTV5Uk1BTEIrL1hvY09YSUVPM2Z1MURpWXA2NmpkK3pZTWZ6eXl5L1l2SGt6cksydEsvMCtDUWtKbUQ5L1B1YlBuMS9wZmVWZEdUUm9rRTdicVJzcy9SUlV1MDdqKzVLUWtJQ01qQXpVclZzWHJWdTMxbW1mb3FJaVhMaHdBUUNVd3JHS2lvcjRVWWdtVFpxbzNaY0w3M3IwNkpIRzQyZG1abUxod29WZ1dSWno1ODdWbWdUQTA5TVQ1ODZkUTFSVUZDUVNpY3BOaXd0TkZZdkY2TktsQzRDeWgrQnQyN1loTXpNVDRlSGhXTFpzMlQrT0VlZVVsSlJBSnBOaHc0WU5lUG55SlVKRFE3RjQ4V0sxSHh3Yk4yNUVmbjYrMm1SQ25QS2Q1VUdEQnFsdDJES1pERVZGUldyRFdEbnQyclZURzUvK2I3SzF0UldibTVzYnllVnlLNFpoUmdJWURxQytRQ0FBeTdMOG1qSnRLZXlKS200VVZOMERYMkZoSVlCLzFoblpzR0VENHVQajBhaFJJL3owMDA4YVIwUHQ3ZTFoYTJ1TDlQUjBuRDE3Vm0ybmtadjFMei9MZU9iTUdadzZkUXJoNGVFWU9YSWtKaytlL0ZZR2NoaUc0ZGRXKy92N1kralFvWEJ6YzhPVUtWTlV0bjN3NEFIOC9Qd3daY29Valpta3k2LzNybDI3TnBZdVhhcDJ1L3o4ZkJnYkcyc2ROWjQzYjU3Vzl2cXVjVzFSS3BYYUNJVkNIMUJickJUTHNrb3p4K2ZPbmNQejU4OEJsSFh5K3Zmdmo2U2tKUDQxb0d6Mlh5Z1VZdjM2OVlpSWlJQ3JxeXRZbHNXNWMrY0FsTFVaWDE5ZkRCNDhHQllXRmpBM040ZVptWm5LREVGUVVCQWlJaUpRV0ZnSW9WQUlpVVNpOWh5NWNMb0dEUnBBb1ZBZ0x5OFBreWRQeHNDQkEzSGd3QUVNR3paTTdacmRreWRQNHYvKzcvK3dlZk5tdFZtWUFTamR3d29MQzdGbnp4NkVoSVJBSXBIQXdjRUJzMmZQeHU3ZHU1R1FrQUFBdUhmdkhzTEN3cFNPd1EwcTc5aXhRK1ZlUFgzNmRKaWJteU1rSklRZmNIbjA2QkZPbmp5SlNaTW1LVVVEblQ1OUd1bnA2YWhmdno1KytlVVhwZVAwNmRNSGp4NDlRbEJRRVBUMTlTc2R0SDFiYkcxdHhXWm1ac1lzeTlyK2ZYOGJ3akJNUFVDNUhWR2IwdTVkWGdOVkhkVGc3cHR5dVZ6bmJOZlhybDNEaWhVclVMdDJiWjFuRHMzTXpNQ3lMR2JObW9VbFM1Wm9qVDU3VnpadDJxVDB1Uk1mSDQvdDI3Zmp5Wk1uWUJnR2Nya2NBb0VBUC8zMEUwNmZQZzAzTnpjMGE5WU1qeDQ5d29vVksvNzE4LzIzZmRLZFJwbE1oaGN2WHVEU3BVdll0bTBiYXRTb2dhVkxsNm9kK2VZb0ZBb1VGQlFnUGo0ZTI3WnRRMDVPRHFaT25hcjBZUGowNlZQKy81cktRSEFaMXJnWmtJcGV2MzZOMmJObm83Q3dFSU1IRDFhNy9xaTh6cDA3UXl3V1F5S1I0UExseXlwckZybUgxTTZkTy9PTm5sdXIrY01QUCtENjllc1lPM1lzSmsyYWhERmp4dnpqR1BET25UdmowS0ZEc0xHeDRaUGc2T25wcVEwVFlCZ0dBb0ZBYXdoQnhaSElnSUFBWkdkbks5WDZTVXRMZzQrUEQwYU1HRkd0TXFseW5KeWNYRVFpVVNjQW43RXMyMVlnRURRRlVBTlFmd1BWTVByYTF0WFZ0VnFucFh3bFVUUXEvWmUrVjNGeE1lN2V2WXQ5Ky9iaDh1WEw2TktsaTlwU05WdzcyN1ZyRjNidDJnVjlmWDNVclZzWGJkcTBnWStQRDU4VVM1TVRKMDdnNE1HRE1ESXl3b1lORzJCc2JLeDErOTY5ZXlNb0tBaVJrWkg4NkMrbmZHaHErVm4vTDcvOEVpekxZdlhxMVFnT0RrWlVWQlJXcmx4WnBZekM2dWpwNldIMTZ0V29WYXNXM3dsbEdFWnRlK1BDN2pTMTFmTGJjRzdmdm8yMWE5Zml1KysrVXdvUlhMcDBLV0ppWW5Ea3lCR3Q1WERlQnljbkp4ZWhVTmlaWVpnMkxNdTJGWWxFZGdERXdFZldGcVVLdTFMZEp4UjBFaFVWeFhmS2dMSlFZdTU2cmxPbkR2cjM3NC9nNEdDVjJyc3ZYcnpnRTJUY3VIRUROMjdjNE4rYk5Xc1d2TDI5a1plWGg5emNYSTJoWHM3T3poZy9manhFSWhGc2JHeHcvLzU5QkFRRUtNM01QMzc4R09IaDRiQ3dzRURkdW5YQk1BeUNnNE5oWTJPRDdPeHNBSnJYc0hNUHQvcjYraHF2Ly9JUHdMZHUzY0x1M2J0aFptYUcyYk5uWThDQUFTcjN6c2VQSCtQUW9VTXF4OUhUMDFOYmM0OExaOVVsYy9IcDA2ZHg0Y0lGcloyQTB0SlNHQm9hdnZOT280dUxTMnVoVU5nSlFGc0FiUmlHYWNvd2pBR2dlNXVTeStXZFhGMWRpMVhlK0lDOGtzcnRTMlZ2WncxZGRia0d1UHNkTi9oYW1WdTNibUhPbkRrd01qTEMxcTFiZFk3ZXM3S3l3dmJ0MnpGeDRrVDgrT09Qa0Vna09zLzgvVk5EaGd4QnQyN2QwS0pGQzZVMjNMWnRXMHljT0JHQmdZRllzR0FCSWlNak1YVG9VQlFWRldIMzd0MjRjT0VDeG80ZGkzSGp4cUZidDI0ZmZRbXBUN0xUbUpDUXdDOGE1dlRwMHdlVEowL1dPb1h1N3U3T3I4OERnSll0VzJMNzl1MThyRG1ISzVndEVvblVybjBBL2pmU282bUk5KzdkdTVHZG5ZMUdqUnJwbEY1WUxCYWpjK2ZPT0hQbURDSWlJcFE2alpwQ1U0R3lUdTNQUC8rTUhUdDJZTWVPSFlpTGkzdHJONWVLYVlkLytPRUhyZHRybSs0dkg1NEtsQ1ZBaUl5TXhQZmZmOC8vTHUvZXZRdEE4K3p1ZThHeXFLR0g3bTV1YnRNQU9QNGQ3bVlBZ0EvTkthK3lNQjJHWVZZeERLTWFGMWFOR0lweFQvb2E3M1RsK2RTcFV4RVZGY1YvYldGaGdjV0xGK09MTDc1UU82cFpVRkFBQXdNREdCZ1lRS0ZRb0tpb0NKbVptY2pNek1TZmYvNkpSWXNXYVV6OVhWUlV4SWZBelpzM1QyTVNtUEk4UFQwUkZCU0VlL2Z1SVQwOVhhbmp4NFdtTm12V1RDWHpYUC8rL2VIazVJUzVjK2NpTFMwTmVYbDUvN2pUQ0VBbEFWVmNYSnpXOXJaeDQwYU43NVVQVHdYS2tvTEZ4OGZqeXBVclNwM0d1M2Z2d3RqWXVGcDFHQTJFYkI4M043ZTUrRVRhb2xnUGQ2VVM5cTIyeFczYnRxRldyVnI4NSs3YXRXc2hsVXF4WXNVSzNMNTlHd0N3YU5FaVBxSkRMcGNqSUNBQXAwK2Z4cUJCZzFRR1VZRC9QUnh6S2Z3MXNiS3k0anRha3laTnd1M2J0N0YzNzE2VjdXclhybzN2di8rZS94dFd2QmZ0Mzc4ZisvZnYxL2g5MUowanAzeDRhc2VPSGJGdzRVTDA3dDFiNHdPK3M3TXpQRDA5NGVYbGhmYnQyMnM4YmtVYk4yN0VzMmZQQUpSRkhRRmx2MnZ1b1pSYnoyWnFhcXJTUVM5dnpwdzVpSTZPMXZuN1ZwV0JrTzNqNnVxNlVDQVFOR2RadGg0QWZlYnZYL3didEtsZkdJYjVvS2NnYTRpWWRLbGM4VmJpYmQvbE5hQXV2Rndkb1ZESVp5eldaZDFlZEhRMGZIMTlJUmFMc1hYcjFpcmZ2OHAzSFAzOC9NQXdqTnFCWUs1anQzWHJWclhueFVVNitQdjdxNTBFcVZ1M0xsOUs3L3o1OC94QUdCY2FYMUZFUkFTTWpJeVVvZ1o2OXV5Si9QeDhCQWNIUXlnVThwK0pSa1pHLzFwbjk5LzJTWFlhOWZYMVlXVmxCYmxjanBjdlgrTFZxMWNJRHcvSDA2ZFBNV2ZPSEkzcmlheXNyRkJhV29yaTRtTGs1K2NqS1NrSmZuNSttRFJwa2xKbmpHdU0ycWJrdVl0WTA0eWVnNE1ETGwyNmhJY1BIeUl5TWxLbHM2ZU9wNmNuenB3NWc3Lysra3RwOGZITm16ZVJuWjBOSXlNanRTbjJCUUlCSmsyYWhEWnQyc0RPenU2ZHJTL1l1WE9uMmtRNGMrYk1RVzV1cmtwb1JYa1ZzMmU1dWJuaDFLbFRpSXVMNDMrbTVPUmtBSnJYa2I0dkFnWjZLRXRtWThpeS8zdUFlOFB3SEFPV1phdDF1MlVCZmJ6ajIzNmRPblZnWldVRmlVU0NuSndjWkdkblkvUG16WGo4K0RFbVRweW9NbGd6WThZTXBTTGdSVVZGdUhyMUtuNysrV2M4ZlBnUVM1Y3VSY3VXTGRYZTRHclVxSUY2OWVvaEpTVUYrL2Z2Ui9mdTNTc043N0cxdFlXOXZUMVNVMU54OXV4WnBmSVRYQkluVFcyNlNaTW0yTGR2SDJKaVlqU0dpUDVUSFR0MmhKK2ZuOHJyeWNuSitQYmJiN0Y4K1hLTmEwb3Foc3phMk5qQTNOd2NWNjlleFgvLysxOEFaV3ZLbmo1OXFqWVoxZnNrRURENitMc3RBdUEvb0QvV3RpaGdHRDI4eGNaNDZkSWxKQ1VsWWU3Y3VYeUlLaGU2VnY2Nk1EWTJockd4TWZMeThyQnc0VUxFeHNiaXUrKytVeG1zVmFkdTNib0lEZzVXZWIxaWR1MW16Wm9oTEN3TXo1NDlVMHArWldob2lMcDE2Mm9jc0FXQUtWT21xQzJTZnVEQUFXemZ2aDNIangvWDJBbXMyUGJWRlRkZnZIZ3huKytBcTZGOC9mcDFIRDU4dU5Jb0JZNkppUW0vVHB1YmxUVXhNZUhQcTdxc0F4UUlHSDJHWVV3QkdESU1JL2duSWQwTXc0alpEejl1OWEwbGgzaVgxOERubjMrdTAzWnIxNjVGblRwMUFKUkZDMmdqazhtd1pzMGFHQm9hWXR1MmJTb1JQRTVPVGlyM2oyYk5taUUvUDErcHZWcGJXL01keHdNSERzREx5NHR2ZDF4bVl1NzUrdFNwVTN5SFdwMmpSNCtxZmIxSmt5WjhwL0g0OGVQOFVqTjF5cS8vREFnSUFNTXdLcjk3cmt3T1VCWVdUNTNHajBqejVzMlZ3a0llUG55SWd3Y1A0dkRod3hnOWVqUzJidDJxZGwxaitYVWNlWGw1T0hueUpBSURBN0Z3NFVKa1pXV3B4SXR6TncxMXVBOENUZXNtdW5UcGdnWU5HdURRb1VOWXVuUXBiR3hzS3MyeTJyRmpSOVNzV1JQRnhjVzRldlVxT25mdURPQi9vYW5kdTNmWEducmJ0bTFicmNmL3B4SVNFbFF5VGdIZ08rN1hybDNUdW4rN2R1MzRSQ2Jjdy9UVnExZjVUbU5DUWdJYU5teUkrdlhySXljbkI5dTJiZVAzNWNJcVltSmlWQjZXUC92c001MUxCRlFadzZDNGxEMmRsQkR2KzNkNHFnZUF0bjluUm0wS29JYW1kUjdxYmdnc3kvcXlMSHZ2M1p6czIxRWlVVFJpSWRDOFFQVXRLRjhqa0F2SkRnZ0l3TTZkTzVHVWxJUXRXN1lvYlY5eEFNZkl5QWc5ZS9hRXU3czdoZzRkaXFkUG4rTDMzMzlYTzZzdkZBcXhhdFVxK1BqNDRQYnQyMWk2ZEtuYTVCc1ZlWHA2SWpVMUZaR1JrWHluTVM4dmoxL1BwRzBnU0N3V3Y5TjArWGw1ZVdyYkd6ZmFtcHFhcXZXendzTENRcW5HbGF1cks4NmRPNGZDd2tJWUd4dno2N200ZGRoSGp4NVZLa2g5NTg0ZEFHWHJSQ3QrbjVreloycjhYUHluU3FRSVMwbUluK25rNU9TaXA2ZlhoV1haMW4rM1JUc0E0byt0TGI2U0t1eFlCc3NyMzFJM01wa01WbFpXK1BycnJ6Vm14T1dFaDRkajdkcTFmRWdvRjgxU25wT1RFNEtDZ3BSZTQ1TGlWRlN4RFNjbEpVRW9GR29jNU5XV2hURWpJMFB0OWMvbEdJaU5qZFU2TUdSdmI0OUdqUm9oTWpJU0R4NDgwTGdkeDg3T0Rzbkp5ZGl4WTBlbHliak16YzB4Y09CQS9qT2p1TGlZbjkzNDVwdHZWS0toWHI1OHFWVENvS0xpNHVKM1dyK1lhMVBsdzFOWmxtMERvQ25ETUFaVmFWTUtoY0lId0FjZG5sb2lrOXV6ck1EL2JSenJYVjRERlROWFg3MTZGZG5aMlNySnlTd3RMZm5QWXk3N3NDWWlrUWc3ZCs1RVFVRUI3dHk1ZzRzWEx5cTl6MDBhN042OVcrbjFObTNhNE9EQmcvelhYbDVlc0xHeHdlN2R1NVdpR29EL2RScTVUdWFoUTRmVUp2VVpPM1lzMHRMU0VCa1pxZlplVm43Q1JsTjljSmxNaHQ5Ly94MGJOMjZFcmEwdC9QMzlNWHIwYUJnYUdzTFB6MDl0bmNlUDNTZlphYXlvVWFOR2ZDak40Y09Ic1duVEpyVWpuZVdabVpuQjI5c2JkZXZXeGJ4NTg3QjkrM1lNSGp3WVJrWkcvRWdpeTdMSXo4OVhtK2lCNnp5VkwyeGMwY3laTTNINzltM2N2SGtUczJiTndxKy8vc3F2aFZSSFgxOGZYYnAwd1lrVEp4QVpHWW5PblR1RFpWbSt5R3RsczVVNU9UbGFqLzlQQlFRRWFIMi9zZ1Exdi83Nks1K29wMG1USmpBMU5lWFgwcFNVbENBMU5aV2YyU2dzTEVSb2FLaFNpTEJZTEVaV1ZoYXlzckw0WTBva0VvaEVvcmZlYWRUWDE0ZGx2WHJJZkp6MVVDWm5Td0FnTVRIeEZvQmJqbzZPUmdZR0J1Wnl1ZHhHS0JRT0J6Q29za1FCNVc2d01UZHUzTGo1VmsvMkxiTzFjM0gvTno5WnhHSXhldlRvZ1pZdFcyTFFvRUdJaW9wQ1ZGU1VUcUZnUmtaR0dEQmdBSUtDZ3BDU2txSnhPeXNySzZ4WXNRSXpac3pBbVRObllHOXZYMm54ZWs5UFR3UUdCdUwyN2R0NC9QZ3hHalpzeUllbXVyaTRvSDc5K2hyM0xTb3EwcnF1OEo5S1RrN1cydDdVaGZ5VjE2bFRKNlgyN09ibWhzaklTTnk0Y1FNZUhoNjRkZXNXZ1A5MUdxOWR1NFl6Wjg0bzNmekZZckZTNlJ5cFZBcTVYSTRwVTZhOHMwNGpwMkpiWkZtMk1jTXdRL0N4dGNVV3JzQmJqUGJ6OFBDQW9hR2gxbG04ckt3c3JGeTVFbEZSVWZ6ZjI5ZlhWeVZhWk4rK2ZXb1QyVHg5K2xSdHdXK0pSS0tVRUczV3JGa3dOamJHYjcvOXByUmRYRndjOXU3ZGl5ZFBubURuenAxcUlXb1V1UUFBSHE1SlJFRlVaL2FPSFR1R1k4ZU9hZndaeWc5S3FUTjkrblNNR2pVS3AwNmQwaG9XV0pHMmtGaU92YjI5VWpqZXNXUEgrTi9UNmRPbjRlN3VycFFCWEN3V1k4S0VDUnFQRnhZV1Z1bkQvdHR3NjlhdE9BQnh6WnMzTjY1Um80YTVRcUZvS2hRS2h3RVl3REJNSGFEeU5pVVVDditLalkzOW9PczAyclp3eGR0ZW5QRXVyb0dLQ2N5bVRwMks3T3hzdGNuSlpESVpCQUlCWHk5WUcxTlRVNWlhbW1MdDJyWDQ2NisvS3QxZUhXZG5aMWhhV3FwZEM4bEZGWENmSjVvR1JMaHJxa2FOR2pBd01FQmVYaDRLQ3d0VlF0VXJLaW9xd3ExYnQzRDU4bVdFaDRjakp5Y0g3dTd1V0w1OE9XclhybzN0Mjdkajl1elptREJoQWpwMDZJQisvZnFoWGJ0Mjd6V2gyNytKT28zbGVIcDY0dkRodzBoS1NvSkNvZEFwR1V5M2J0MmdwNmVIMHRKUzNMMTdGNjFidDBiOSt2V2hwNmNIcVZTS2pJd010UmNUTjZKZmNVMVRlU0tSQ1A3Ky92RDI5c2F6Wjg4d2UvWnNiTisrWFd0R1JVOVBUNXc0Y1FJWExseUFUQ1pEUWtJQ3NyT3pZV1ptcGpYN3FrS2h3TkNoUStIazVBUi9mMyt0c3d4VnBhK3ZEMU5UVXdRR0JxcXNON3gxNnhZU0V4TXhmUGp3U2tNdHlwOFR3ekJvMWFvVi92cnJMN3g2OVFvM2I5NkVYQzVYK1JtblQ1OE9iMjl2dGNmTHpzN1dLZXozVGJSMGJJSGY5dThHd3pBcXcrREp5Y2xGQUlvQVBBUndDY0IwTnpjM0x3Q1RHWVp4QldES3Ntd05UZXRDaUhxV2xwWndjWEhCOWV2WGtaQ1FvUFA2SVc1V1ExTW1SbzZIaHdjbVRweUlIVHQySURBd0VIWjJkdnhzdmpwV1ZsWndjSEJBU2tvS0lpTWpNV3JVS0xWWlU5VTVmdnc0ZHUvZWpmbno1Nk5idDI0Ni9SeTZNakV4Z1plWEYzNzg4VWVsMTFtV1JVaElDSnljbkZTS2wxZFVjUWFIbS9tUGo0K0hoNGNIWW1KaVlHTmpvelFvWm1Sa3BEVUV5TS9QVDIwTjFYZXBRbHM4ajdLMk9BREF1TC9iWWkyV1pjWFVGc3VJUktKS3c5cWtVaW5pNCtNeGJ0dzRtSnViWTgyYU5lalRwNC9LMnRiVHAwK3JYZE52YW1xcXRweU50aElaSlNVbGlJaUl3RysvL1lha3BDU1ltNXRqN05peEtvTXVBb0VBcHFhbW1EeDVNZ1lNR0tEMDNyTm56eEFaR1lrZVBYcW9uZWtzaitzMHIxaXhncC81VU9mOCtmTllzV0lGWHI5K0RUMDlQZXpkdTFkdDJhem56NS9EeU1nSWhvYUdTczhkcjErL1JuQndNS3lzckpDWm1ZbERodzVoOSs3ZFdMdDJMZi81Wm1CZ29QRWVCNVMxeVgrajA4aTVjK2RPSVlCQ0FPa0FJdTNzN0tZYUd4c1BZbGwySE1Nd3pnekRtRkNiMGwxMXVBYTR4RlAzN3QzVHVZNml2NzgvNUhJNXBGSXB4bzRkaTZ5c0xPellzVU5qMHJsang0N0IzOThmam82T2FObFNjMzEyTG1wTTF6QnZvS3pUTzJIQ0JKU1VsR0RYcmwxSzVVcnUzcjJMOFBCd3BLZW40OTY5ZS95YWF1NnpidGl3WVVyTHV1enQ3WEhvMENFY1Bud1lodzhmNW12Tm1wbVpvVkdqUm53bjlidnZ2bnNyK1FpcW0zZWFyT0pEdzMxWUM0VkNuYk9IbG85dDVqcHpRcUdRbnhIalF0RXFpbytQQndDdEhUbWdMQXhzOWVyVkVBcUZ1SFhyVnFWaGNlM2J0NGV4c1RFS0N3dHgvZnAxL2lHMVY2OWVXaHQ2Y25JeTh2THk4T2pSbzdmV1laVEw1WkRKWlBEdzhPQm5aNFJDb2RLLzZPaG9iTm15QlFLQlFPVzlpdjhxY25OemcwS2h3TTJiTi9rWng4cCtuOVdVTkQ0K1BpdytQcjZ2UkNKeFoxbDJBc3V5YXdDY0JWQlFYZGF1ZkFpNGRsdVZVaFdQSHo4R0FIN2RoamJmZlBNTmY2UCsvdnZ2K1d5UW1uQXoyR2ZQbnVWRFV3VUNnZHAwLytWZHZud1oyZG5aU29tMy9nbVdaU0dUeVNDVHliQno1MDRzV2JKRXBYMEpCQUpzMmJJRjBkSFJsYmJGaXRka3MyYk5VTE5tVGNURnhhR2twQVFwS1NrZmNsdjhuV3VMY3JuOEc2NHRzaXhiUkcyeGNvMGFOVUpZV0JpbVRKbkNkNjRrRWdsZXZYcWw5RTlUblRpdWJFZkZmeFZuS29HeUJGZUxGeTlHejU0OXNXVEpFang1OGdRelpzeEFXRmdZaGc4Znp0L0xGQW9GWkRJWlRFeE1jT2JNR1F3YU5Famxtbjc4K0RHMmJObUN4NDhmNjN6OUd4Z1l3TkRRVU9XZnZyNCs5dXpaZ3g5Ly9CSFcxdGJZc1dNSEdJYkIrdlhySVJhTCtlMGtFZ20yYnQyS1ljT0dJU1FrQklhR2hrb3pKN3QyN2NLclY2LzRkWlArL3Y2b1U2Y09mSDE5bFJLQlZXZHBhV212NCtQalEyN2N1TkdydExTMEU4dXlreG1HV1FmZ0w1WmxpNmxOYVZkZHJnRW5KeWVVbEpRZ0xTMU5wKzI1dG1GcWFzcVhvbGkwYUJHZnliWDh2OU9uVDhQZjN4ODJOalpheTkwQTRCTURhWXZTcTBna0VtSHk1TWw0OXV3WnBreVpndno4ZlA2OVdyVnE0Y0NCQXpoNzlpeHljbkxRcmwwN1RKNDhHVHQyN01ETW1UUFJvRUVEcEtlbjg0UEtSVVZGZVByMEtUcDM3b3d0VzdaZytmTGw2TisvUHl3c0xKQ1VsSVRvNkdpOGVQSGlvK3d3QXAvZ1RLTlVLdFg0UU1sMXNDcU9jbWpiNThLRkMzelNtZkpKWHJwMTY0YWJOMi9pNk5HakdERmloTkwrYVdscGlJK1BoMWdzUnRldVhTczlaemMzTjB5ZlBoM3IxNi9ISDMvOEFYdDdld3dmUGx6dHRpS1JDTjI2ZFVOWVdCaXVYTG1DeTVjdkE2aDhadVBLbFNzQW9OUDU2TXJkM1YzbkFySzZ6QXBOblRwVktiTnJ0MjdkWUdGaGdaWXRXL0t6bU84eXZQYmZrSnljbkFFZ0E4QnZUazVPNWtLaHNKRkFJT2pEc3V4b2dVQlFqZExDdmgvYTJ1THo1ODl4ODJaWnRLQzJrY3J5WHI1OHlhOXYxdVVhRkFnRThQUHp3NGdSSTVDVmxRVmZYMS9zM2J0WFkvMUhUMDlQQkFRRUlDRWhBV2ZPbklGQ29jRG5uMyt1OVRwOS9mbzFZbU5qSVJLSjFDYXVlaE8vL1BJTHRtN2RxdE8yWEZrU2JmVDA5SEQxNmxYK2E0RkFnQVVMRnNEYTJob3hNVEdReVdUVkxpRlZWZjNkRnZjQkVEazVPWmtMQklMR1FxSFFrOXBpNWN6TnpaVm00Q3JPNm5IS2g5aHhKQktKVXRneXA2U2tST1ZoTWpzN0c4ZVBINGVEZ3dPR0RoMkszcjE3UTE5Zlh5V2Z3TGZmZm92cjE2L3JkTzVUcDA2dGRKdjI3ZHVyckp2bXhNZkh3OC9QRHc4ZVBFQzNidDJ3Wk1rU0dCa1pZY3FVS2Rpd1lRUDgvUHd3YmRvMDdOdTNEd2NPSE9ERGJpdk9idDY3ZHcvQndjSHc4ZkhoWjFVc0xDeXdiZHMyL1BEREQzeVkzY3VYTDlXRzgzSzRoL1RxSUNrcEtRMUFHZ0E5QndjSEN3TURnOFlBK2dFWXdUQk01ZFhmUHpIVjZScG8zYm8xamg4L2pxdFhyNko1OCtaSzd6MTkrbFJwOXE0aVIwZEhMRjY4R0QvODhBTW1UNTZNTFZ1MndNTENBcVdscGRpeVpRdjI3OStQaGcwYklqQXdzTkl3ejN2M3lwYVJxNXV4MTZaWHIxNjRmLzgrdG0vZmptblRwaUVvS0FnMWF0UkEzYnAxOGNjZmZ5QTBOQlJCUVVHSWpvNUdkSFMwVWs0TW9DeVJvNXViRzhMRHc3WFdZK1N5dUgrc3FtT25NUjFnVjAwY08ycVZWVVBkYXJ0VXhiaHg0ekI0OEdCMDc5NmR6MENWazVPRDRPQmdoSVNFQUlCS2hqYy9QejgwYk5nUVgzNzVKZDh3SkJJSndzTEMrQnZIc0dIRGxHNW9nd1lOUW5Cd01ESXpNN0ZreVJJc1dMQUFSa1pHeU16TTVLZXpodzhmcm5NY3RJK1BEeElURTNIbXpCbHMyTEFCVFpzMjFmaFE1dW5waWJDd01GeThlQkdabVpsODJKNDI3NkxUK01NUFA2anROQ29VQ29TRWhPREJnd2N3TUREZ1EzZFlsb1czdDdmR21QT0tEeGpXMXRhd3RyWkdmbjQrYnQrK2phNWR1K0xFaVJOSVNVblJHamI0Z1pBbEppWStBL0FNUURRQVAxZFgxOCtsVXVtajkzeGU3OVdSSTBlUWtwS0NZY09Hb1ZtelpueXgzYXRYcjJMZHVuV1FTQ1JvMmJLbHlpelhnZ1VMMEtOSEQzVHExQWxpc1Jnc3krTEdqUnRZdFdvVnNyT3pVYjkrZlkwUHRoV1ptcHBpelpvMUdEdDJMREl6TXpGdjNqeHMyYkpGN1RvdlMwdExPRHM3SXlFaEFRY09IQUJRK1FCT1hGd2NYcjkramZidDIrdFVwMHNYSGg0ZUdqdXFEeDQ4UUVoSUNQVDA5UGkyS0pWSzBheFpNd3dlUEZodDJMaTZtWDh2THk4QTRNdHhLQlFLN04yN1YrME0wUWVtZkZ1OENzRFB6YzJ0VTJscDZTZmRGalY1L2ZvMTFxOWZyMVQyYWMyYU5Tb0pZRFpzMktCMi8vejhmUDRlV1o1Q29WQjVVRFF6TThQYXRXdFZFbEpjdUhBQm16ZHZ4dEtsUytIbTVvYVJJMGRxWElwdzhlSkZYTHg0VWVsZUpKVkswYU5IRDQwRFNlb2VrT1BpNHJCcjF5NSs5cWQxNjlaS0NUWkdqQmlCdTNmdjR1alJvL2p6eno4aGs4blFxVk1uREJreUJPM2J0MWRxWnhLSkJQUG56NGVob1NGR2poeUo4K2ZQSzMzdm5UdDM4bCtMeFdLdGRZbERRMFA1YUlwcVJKcVNrdklFd0JNQVYrenM3SllhR3h0M2trZ2s2bXVRZllLcXl6WEFaVGJsT3FYaDRlRVlQWHEwMGphREJ3K0dvNk9qU2xLcjhyeTh2Q0NSU0xCeTVVcjQrUGhnMHFSSk9IVG9FTkxTMHVEaDRZSGx5NWRYR25KYVdscUtoSVFFR0JrWmFTMlBwOGszMzN5RE8zZnU0UDc5KzhqSnllRS9UeXdzTFBnb3BhQ2dJS1VPZG14c3JOb1NWR3ZYcmxVYTZIbnk1QW5tenAwTFFIdmxoQTlkdGVzMHB0KytrUTVnOWNSeG8xYTlpK00vZnZ3WVM1Y3V4YkpseTJCdWJnNnBWTW9YL2hZS2haZ3hZNFpLcXZuaTRtSnMyN2FOcjA4bEVvbjRqSEJBV1NkdHlwUXBTdnZVckZrVGZuNSttREZqQms2ZE9vWEl5RWpVcWxVTDJkblpZRmtXbjMvK09TWlBubHlsYzErMGFCRlNVMVB4NE1FRHpKczNENy8rK3F2YTBaYlBQdnNNdFdyVjR0TVE5KzdkVyt0NndhZFBueUloSVFIbTV1WnFSMzdmbExxSDhIdjM3bUg1OHVWNDhPQUJ4bzBiQjRWQ2dlRGdZT3pjdVJQejU4L0h3WU1ITVdIQ0JQajQrR2hjNEp5Zm40L1UxRlNrcGFVaExTME5TVWxKWUZrVzU4NmR3N2x6NXdCQVkwYTlmOHZ0TzZsWXZUNEF0ZzZ0cnJLc2ZPYkQyNGxYL3VFaDVUZHUzUGlueC9qZ3NTeUxzTEF3aElXRndkRFFFTWJHeHNqSnllSEwzTmpaMldIZHVuVXExL3VkTzNkdzVzd1ppRVFpMUtwVkM4WEZ4Zng2S2t0TFMyemF0S2xLR1FaYnRHaUJCUXNXWU9uU3BiaCsvVG8yYk5pQU9YUG1xTjNXMDlNVENRa0p5TXpNaEo2ZVhxVnJGTG1JaHk1ZHV1aDhQcFZwM3J5NXl1aXdUQ2JEZ1FNSGNQandZVmhiVytPbm4zNkN0N2MzdkwyOUlaVktjZURBQVJ3OWVoUUxGaXpRbUxsWkpwTWhJeU1EYVdscGZKdms2bHh4RC82ZE9uV3FOak1kYjRrOFBqNWU4K0xNVDVSRUlrRkpTUWxHalJxRnRMUTBwZXZYeGNWRlpVMmpzYkd4MmpXTmxwYVcrUFBQUDFWZVYzYy9NVE16VTV2QnNMQ3dFSThmUCtidjdlcG1ZZkx6ODdGeDQwWmN2SGdSSGg0ZStPS0xMekIvL253c1diSUVSNDhlUldSa0pBd01EREJ0MmpTTm9ldDVlWGs0ZGVvVS92enpUNlNrcEVBb0ZHTGd3SUU0ZmZxMDJtdCswYUpGRUFxRkNBc0xnNFdGQmZyMDZRTjNkM2VWejZ1VWxCVGN2MzhmeTVjdmg1bVptZHJ2elRFd01NQi8vdk1mamU5ZnUzYXRPbllhbGFTbHBiMEdFUG0rejZNNitUZXZnWUtDQWo3ODh0ZGZmOFh6NTgrUmtaR0Jodzhmb3JDd0VCczNib1NIaHdmYXRXdUg2T2hveE1mSDgrdllzN096OGVyVks1MldOUTBjT0JDRmhZVUlDQWpnczlqMzdkc1h5NVl0MDZsOHlQbno1eUdSU05DclY2ODNLamZDTUF5V0wxOE91Vnl1TVl0eDgrYk5sVHF2WERoc1JYWjJka29kMTQvc0hxZFJ0ZXMwdm12cjE2L0g3Ny8vanVUa1pEeC8vaHh5dVJ4V1ZsWm8yN1l0aGcwYkJudDdlNVY5cGsrZmpnWU5HdURhdFd0NC92dzU4dlB6WVdGaEFTY25KM3oxMVZjYTY1bTV1N3RqejU0OTJMNTlPK0xpNGxCUVVBQTdPenQ4K2VXWEdEWnNXSlZISTJyVXFJRjE2OVpoNU1pUktDZ293SXdaTTdCbnp4NlZrWHlSU0lUdTNidnpTU1VxUy9aeTRzUUpBR1VQcWU5cWZjR1RKMC80K2xmMTY5ZEhZR0FnM04zZEVSZ1lDS0RzSVh6Ly92MVl2WG8xZnY3NVp4dzhlQkNqUm8zQ2dBRURWQnIzaEFrVGxOS2NOMmpRQUQxNzlvU0Rnd1AvVDVjaXRPOVNTVWtKMHU3ZEIxaTBZbGlCOWh6clJHZDkrL2FGVENaRGVIZzRuang1Z3V6c2JOU3NXUlAyOXZibzJiTW52dnJxSzdVM3J6Rmp4dUNQUC83QXZYdjNrSnViQzdGWURFZEhSM1RyMWcxRGhneDVveG05L3YzN0l5RWhBYUdob1RoNDhDRHM3ZTN4MVZkZnFXelhxMWN2ckYrL0hpekxva09IRGxwSFUxKy9mczFuTzM2YnMvN2x5ZVZ5aEllSDQrZWZmMFpXVmhZR0Rod0lYMTlmL3ZjbUZBb3hiZG8wdUxtNVlmWHExUmd4WWdROFBEd3dac3dZbFFmMGMrZk9ZZjc4K2Z6WFlyRVl6WnMzaDRPREF4d2RIZUhnNEFCYlcxdStDRFg1T09YbjV5TWhJUUZGUlVWNDl1d1ovUDM5MGFGREI3NHNoMVFxNWN0TWNkNWxBcFM4dkR3QTZ0Y3BGeGNYNCtEQmc5aXpadzlZbHNXc1diTXdmUGh3dnZpNW1aa1pBZ01EK1REdGlJZ0lEQnc0RU43ZTNpcUR0RXVYTHNXbFM1ZWdwNmVIZnYzNlljS0VDYkMydGxiS3FQcnk1VXRjdm53WkZ5OWV4S3RYcjdCcDB5WTRPenNqSUNBQTMzLy9QVFp2M294Ky9mckJ3OE1Eam82T0VBZ0VjSE56dzVneFk5QzNiOTkzOWpzaTFkdTd2QVlPSGp5SW1KZ1lQSDc4R0ZsWldTZ3FLdUxmNHlvSENJVkMxSzlmSDg3T3pueW1iMjl2YjBSSFI4UGYzeDk3OSs2Rm5wNGVidCsrRFVEN1FQMnpaODl3L3Z4NW5EeDVraS9INU9qb2lKU1VGSnc0Y1FLUEhqMUMzNzU5MGFGREI2MWhwMXhXNzM3OStvRmxXYTFKcURqY2VtWU9seHlMeXdpcmEvNFNVdWFUNnpTNnVycFd1YmFLbFpXVjFxbC9iWm8zYjQ1MTY5YnB2UDIrZmZ1MHZ0K29VU09WMmpmcWZQLzk5em8vcUhHanVwcG1RRFpzMkZDbFRGVXVMaTRZUDM0OFhyOStqZWpvYUlTR2h1S3Z2LzZDdnI0K3hvNGRpM0hqeHFtZDFURTFOY1hLbFN2eDFWZGZZYzJhTmRpNGNTTUNBd1BScFVzWGRPdldEWjk5OWhuTXpjMHhaTWdRNU9ibW9tWExsbkIyZGxZYjRzdDFHZ01DQXZpT0tmbndHUnNidzhmSEJ6NCtQbFhhajB1bVVSVWVIaDRhRTFseGRHbG5kZXJVNFdmZktuUGh3Z1VVRlJYQnljbEo3UU52U2tvS3BrK2ZydE94T0hQbnprWERoZzJSbVptSmt5ZFBJalEwRk0rZlAwZkxsaTNoNStjSFoyZG5BRkM2c1FKbGRWM2J0V3VIYmR1MjRiZmZmc09sUzVkZ1kyT0R2bjM3d3QzZEhRNE9EbWpUcGcwR0RCZ0FKeWNudEd6WkVuWjJkaG9IdzRxS2lyU3V1M2xiU1gvSXY0KzdkbHhkWGVIbjU2Y1N2bG14Smh5bktwRXRFb2xFYVFCUlQwOFBlWGw1WUZsV1piQ1RTOWJSc0dGREFHVWQxTVRFUkJ3N2Rnd25UcHhBU1VrSlBEMDk0ZXZycXphaGhsQW94TVNKRTlHblR4K3NXN2NPaHc0ZHdxRkRoK0RtNWdaUFQwKzBhOWNPdHJhMm1EdDNMbHhjWERCdzRFQitOa2dtazZHNHVCajM3OS9IaEFrVGNQUG1UVDRiTzFjU2F0Q2dRZWpjdVRPQ2c0Tng1TWdSN055NUV6dDM3b1JZTE1iZ3dZTXhZOFlNZlBmZGR6cjlYajZrTlkya2F0N1ZOZkR3NFVNK0tzdmMzQnoyOXZhd3RiVkZvMGFOWUdOamcwYU5Hc0hLeWtwbHlZV0hod2ZhdDIrUHFLZ296Sm8xQzh1V0xlT2ZIOHZYTnMvS3lrSnljakxpNHVJUUd4dkx0MGNqSXlNTUdqUUlQajQrc0xXMXhmMzc5N0ZyMXk1RVJrYnluVWxMUzB1MGFORUN6Wm8xUThPR0RWRzNibDAwYmRvVTE2NWRRMHBLQ2hvM2Jvd09IVHJnMTE5L3JiU01Hd0N0OVk3VnJVMnV1SHhFVTE2T1ljT0dWZnE5UDBhZlhLZVJLRXRQVDBkNmVqcHExcXlwTWRzaGwxeEVWMEtoRUNFaElkaXlaUXNrRWdtTWpJd3dac3dZK1BqNDZMU0dzMTI3ZGpoOCtEQXVYTGlBNE9CZ1JFUkVJQ0lpQWtaR1JnZ0xDOE9RSVVOMFBoY25KeWMwYTlaTTdYdmN1bFJDcWd2dVJxNXBBQ2MvUDcvS3RhOUdqeDZObVRObjhqZHVOemMzL1Bqamp6b2wyVEV5TXNMczJiTXhldlJvN051M0QwZVBIdVZEOVNkT25JakpreWRqMGFKRk9wMkhTQ1RTMm5HUGlZbXBOQnN0cVo0c0xDeXdZOGNPTkduU1JPMmd3YXBWcTFRaVJuUjU0TnUzYng4TURRMzVxSUsyYmR2eTd6VnQyaFNYTGwzQzNMbHpsVElWNXVYbElTSWlBdmIyOXFoVnF4WnUzcnlKMmJObkl6YzNGeUtSQ0wxNjljSzRjZU5VeWorcFkyMXRqWTBiTnlJbEpRVjc5dXpCMmJObitjem4yN1p0dzJlZmZhWlNyelU2T2hveW1ReFpXVm5JemMxRjkrN2QwYlZyVjNUczJGSHBkMkJoWVlIWnMyZmp2Ly85THk1Y3VJQy8vdm9MOSsvZjExbzZRUjJ4V0t5VUlLNmkwNmRQNC9uejUxVTZKdm13VlBVYUdERmlCTDc0NGd2WTJ0cFdPY3BtK2ZMbG1EaHhJaTVmdnN5dld6WTBOSVNycXl1S2lvb3dkT2hRUEgzNmxOL2V4TVFFdlh2M1JyZHUzZEM1YzJlbE1qaE5talRCaWhVck1ILytmSVNIaCtQaXhZdUlpNHZEK2ZQbitUV2NOV3JVd01HREIvbjczclJwMHlBUUNHQnZiNjl6SGdKTnlpZXY1SHo3N2JkSzUzajM3bDM4My8vOW44cDJZOGFNVVFvYnpzM04xYnFtODJOUjdUcU50aTFjdTRMQmtYWWVQYkZwM1NxNHQydGIrVTdramRuYTJ1TEFnUU5JU2twU3lVcnA1K2VINWN1WFYvbVlBb0VBQlFVRlNFaElRTmV1WGRHbFM1Y3FGeWxuR0FaZHUzWkYxNjVka1pHUmdWT25Uc0hhMmxwamxrcE5ldlRvb2JWT0kzVWFTWFd5ZVBGaXVMbTVxWFRvYkcxdGNlM2F0VGM2cGtna3d0ZGZmNDNuejUralg3OStiNVFLbkV2eC91MjMzK0x5NWN1NGN1V0tTc0t3eW9qRllzeWJOMC9qKzM1K2Z0UnAvSUNwVzlyQmNYTnpVMW5UYUdKaW9uWk5ZM21KaVlsNDhPQUI5UFQwMExkdlg2V1pseGt6WmlBL1B4K1hMbDFTQ2dmVjA5TkR5NVl0c1hEaFFnQmxrUzg5ZS9hRWpZME52THk4M3FnSXQ0T0RBMWF0V29YOC9IeEVSRVRneFlzWEdnZFoyN2R2ai83OSs2TlZxMWJvM2J1MzF2SUJRRm4rZzc1OSs3NXhHS0tCZ1lIV3d1NTM3dHloVHVOSHJxclhRTU9HRGZsWitLb3lNek5EY0hBd0FnTURjZXJVS1FnRUFzeWFOWXUvemlkUG5veXpaOC9DemMwTmJtNXVjSFIwckhRcGxwR1JFUVlPSElpQkF3ZENMcGZqN3QyN3VIdjNMdExTMHVEazVBUXJLeXNzV3JRSVRaczI1Wk1jdG0vZlh1ZGF6RlhSdjM5L3BjaTZDeGN1NE1pUkkzdzBBeGZTNnVYbHBSUkttNTZlL2tsMEdxdGRnUnl1MDFqSDNMd1dkUnJKaHlyK3hpMU1tejBmbVkrekpHRFpnZWwzYnAxNjMrZjBiN0cxYzNHSFNCQmlZS0J2RzdSNVBicDRhQTZiSWVSZHV4b2RnMG5mK2FLZ3NQQXBXR1o0K3UwYjV5dmY2K05RZGo5bFEweU1qUzJETm05NHEvZlQvUHg4Q0lWQ3JVc1h1SFZINmpJTEU5MUpwVkpJSkJMVXJGbXpXcXpCdWhvZGcybXo1dU5GVGs0K1dBejhsTnBVWmNvL3d3WnRYZzgzVisyWjYzVlYzYTRCOHU0a3A5ekJwTzk4cStYekkzMlNFMElJSWFSS2RKbXhZeGlHT294dmdaNmVuc2I2dE9UVFFOY0FxUTVvdUlJUVFnZ2hoQkJDaUViVWFTU0VFRUlJSVlRUW9oRjFHZ2toaEJCQ0NDR0VhRVNkUmtJSUlZUVFRZ2doR2xYYkZlcFNxUlRKdCsvQXJaV3pVcm1HNHVKWFNFaEsxdms0RmJQRnBUOThoS2ZQbnVtMHI1bFpMVFMzVjY3amNqVmF0eUxkQU5ETXZpbHFsNnZqVXRYOUs1NzdpeGZadVBjZ1hhZDlEUXowNGRaS09XdlhyY1JrdkhyMVNxZjlyUm8yZ0ZYREJrcXZWZVhjSy83ZENnb0trWHo3anM3N1Yvelo3OTEvZ0JmWk9UcnQrN2IvYmpLWkRERnhOM1RlMzcxZFcxaGExc1BZVVQ1WXRuTHRDcmxNbHFienpoOFJWcUZBeXAzVUtwZGJJZVJ0U2s2NUE3bE0vcjVQNDcyU3krUklUdEg5ODVjUWJaSlQ3a0FxbGI3djA2aldwRklwRXBOVDhMcTA5SDJmQ3ZuQXBEL013T3ZYMWZPNnFiWWxOd1FNVTh2RXhCaC9oaDVDZy9xVy9QdDNVOU13WXZ4a25ZOFhmVEZDNmV2MW0zN0d3ZDlEZGRxM1M2ZU9XTE55cWRKcjdUcjMxUGw3ci9GYnFsSnVvQ3I3Vnp6MzR5ZFBZOWxQYTNUYXQ3NWxQZnh4ZUwvU2F5UEdUY0xkdEhzNjdUOXg3Q2hNSER0SzZiV3FuUHZSUS91VS9tNng4VGZ4MyttemRONi80cysrYktVL2pwODZvOU8rYi92dlZsaFloQjVmZktYei91WFBuZUdLKzN4Q3VKSWJEQU5iRXhOajZPdnB2KzlUSXA4d3FWU0tnc0pDS0ZqRkoxdHlROEFJTEUyTWpTbjdJbmtyL3RlbVdDcTVVVUg1WjFoVEV4UEtIa3lxVENhWG9hQ2dFSEs1dk5xVjNLaDJEN1EyZHExYUN2U1kzd0RVQjREU1VwbEwxcjNFUjl6NzFnNHVUa0lJTHVsNnZQU1VHMHBUZmJZdFhGZUN3WDkxMlpkaDJUOGYzTDQ1UW1sL0I5YzhYYjgzSzRmUHc3czNUcnpwL3FybjdqSWNqT0JuWGZabFdHUTh1SDJqVmZuWEdqdTB1c2lDY2RidHU3T3IwbE51cmxiNi9sVTQ5NHAvTjV2bXJoMEZBaHpYZGYrS1Azdmo1cTZCckFEZXV1ejd0djl1dGUzc1RFejBqQjdxdW4vRmMvL1UyTmc3TnhFS0JYdFpobW41dnMrRmtQOWhINVFxMk9GWmQyNTlNbE51RFpxN05OY1hNQ0VBMC9oOW53djVDTEhzczFLV0hmQXB0YW5LTkdqdTBseWZZZjRBdzlSNzMrZENQbXdNVUNBclZYeng2TjZ0eFBkOUxweHFOd1NTa1hiempsWFRsdjFGZW5wV0FLQXZMM3BSL24xSnRpeTlwcm4rd0RjOXZrd3EzU1hTMDlOcHlrb21aYk5WWG1TaDgvZVc0cFhxSDdvSys2dVF5TTVCck52UHpzb1Vrb3F2eVJUeW1VSkdaS1RiTjJOVTQyQ3JjTzRWLzI2QzEwaUMrTTEvZHBhVmJ3WXIvRTJYYmQvMjN5MDNMZTJWU1F2WE4vKzdmV0l5VWhQU0d6ZDNHUTh3OWQvM3VSRENZZVh5WjFtcGlhbnYrenorVFZsM2JxWGEyTFVjSVJEcDFYM2Y1MEkrUG5LR3pjNjZmZXVUYWxPVnlicHpLOVdxaGZOZ0VTczBmOS9uUWo1d0NtbmVvM3RWV0k5SE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lUmo4ZjhHQzBJU2pTY3lHUUFBQUFCSlJVNUVya0pnZ2c9PSIsCgkiVGhlbWUiIDogIiIsCgkiVHlwZSIgOiAiZmxvdyIsCgkiVmVyc2lvbiIgOiAiMTE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22878</Words>
  <Characters>25039</Characters>
  <Lines>98</Lines>
  <Paragraphs>27</Paragraphs>
  <TotalTime>0</TotalTime>
  <ScaleCrop>false</ScaleCrop>
  <LinksUpToDate>false</LinksUpToDate>
  <CharactersWithSpaces>25184</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2020-08-21T02:04:00Z</dcterms:created>
  <dc:creator>ManLi</dc:creator>
  <cp:lastModifiedBy>温柔只给意中人</cp:lastModifiedBy>
  <dcterms:modified xsi:type="dcterms:W3CDTF">2024-09-11T01:29:49Z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7598E310F4674CD8A90A2F64442BC953_13</vt:lpwstr>
  </property>
</Properties>
</file>