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AFAFA"/>
  <w:body>
    <w:p w14:paraId="65A8E6C1">
      <w:pPr>
        <w:ind w:firstLine="600"/>
        <w:jc w:val="center"/>
        <w:rPr>
          <w:rFonts w:hint="default" w:ascii="Times New Roman" w:hAnsi="Times New Roman" w:eastAsia="楷体" w:cs="Times New Roman"/>
          <w:color w:val="FF0000"/>
          <w:sz w:val="30"/>
          <w:szCs w:val="30"/>
        </w:rPr>
      </w:pPr>
    </w:p>
    <w:p w14:paraId="62E811D6">
      <w:pPr>
        <w:ind w:left="0" w:leftChars="0" w:firstLine="0" w:firstLineChars="0"/>
        <w:jc w:val="both"/>
        <w:rPr>
          <w:rFonts w:hint="default" w:ascii="Times New Roman" w:hAnsi="Times New Roman" w:eastAsia="楷体" w:cs="Times New Roman"/>
          <w:color w:val="FF0000"/>
          <w:sz w:val="30"/>
          <w:szCs w:val="30"/>
        </w:rPr>
      </w:pPr>
    </w:p>
    <w:p w14:paraId="5C2E5156">
      <w:pPr>
        <w:spacing w:line="720" w:lineRule="auto"/>
        <w:ind w:firstLine="0" w:firstLineChars="0"/>
        <w:jc w:val="center"/>
        <w:rPr>
          <w:rFonts w:hint="default" w:ascii="Times New Roman" w:hAnsi="Times New Roman" w:cs="Times New Roman"/>
          <w:b/>
          <w:w w:val="95"/>
          <w:sz w:val="44"/>
          <w:szCs w:val="44"/>
          <w:lang w:val="en" w:eastAsia="zh-CN"/>
        </w:rPr>
      </w:pPr>
      <w:r>
        <w:rPr>
          <w:rFonts w:hint="default" w:ascii="Times New Roman" w:hAnsi="Times New Roman" w:cs="Times New Roman"/>
          <w:b/>
          <w:w w:val="95"/>
          <w:sz w:val="44"/>
          <w:szCs w:val="44"/>
          <w:lang w:val="en" w:eastAsia="zh-CN"/>
        </w:rPr>
        <w:t>邵阳市鑫腾阻燃新材料科技有限公司</w:t>
      </w:r>
    </w:p>
    <w:p w14:paraId="299187B8">
      <w:pPr>
        <w:spacing w:line="720" w:lineRule="auto"/>
        <w:ind w:firstLine="0" w:firstLineChars="0"/>
        <w:jc w:val="center"/>
        <w:rPr>
          <w:rFonts w:hint="default" w:ascii="Times New Roman" w:hAnsi="Times New Roman" w:cs="Times New Roman"/>
          <w:b/>
          <w:sz w:val="44"/>
          <w:szCs w:val="44"/>
          <w:lang w:val="en" w:eastAsia="zh-CN"/>
        </w:rPr>
      </w:pPr>
      <w:r>
        <w:rPr>
          <w:rFonts w:hint="default" w:ascii="Times New Roman" w:hAnsi="Times New Roman" w:cs="Times New Roman"/>
          <w:b/>
          <w:w w:val="95"/>
          <w:sz w:val="44"/>
          <w:szCs w:val="44"/>
          <w:lang w:val="en" w:eastAsia="zh-CN"/>
        </w:rPr>
        <w:t>红磷阻燃剂建设项目</w:t>
      </w:r>
    </w:p>
    <w:p w14:paraId="79DA1BE9">
      <w:pPr>
        <w:spacing w:line="720" w:lineRule="auto"/>
        <w:ind w:firstLine="0" w:firstLineChars="0"/>
        <w:jc w:val="center"/>
        <w:rPr>
          <w:rFonts w:hint="default" w:ascii="Times New Roman" w:hAnsi="Times New Roman" w:cs="Times New Roman"/>
          <w:b/>
          <w:sz w:val="44"/>
          <w:szCs w:val="44"/>
        </w:rPr>
      </w:pPr>
      <w:r>
        <w:rPr>
          <w:rFonts w:hint="default" w:ascii="Times New Roman" w:hAnsi="Times New Roman" w:cs="Times New Roman"/>
          <w:b/>
          <w:sz w:val="44"/>
          <w:szCs w:val="44"/>
        </w:rPr>
        <w:t>竣工环境保护验收监测报告表</w:t>
      </w:r>
    </w:p>
    <w:p w14:paraId="7227DCA0">
      <w:pPr>
        <w:ind w:firstLine="602"/>
        <w:jc w:val="center"/>
        <w:rPr>
          <w:rFonts w:hint="default" w:ascii="Times New Roman" w:hAnsi="Times New Roman" w:eastAsia="楷体" w:cs="Times New Roman"/>
          <w:b/>
          <w:sz w:val="30"/>
          <w:szCs w:val="30"/>
        </w:rPr>
      </w:pPr>
    </w:p>
    <w:p w14:paraId="513DBBA8">
      <w:pPr>
        <w:ind w:firstLine="480"/>
        <w:jc w:val="center"/>
        <w:rPr>
          <w:rFonts w:hint="default" w:ascii="Times New Roman" w:hAnsi="Times New Roman" w:cs="Times New Roman"/>
          <w:color w:val="FF0000"/>
        </w:rPr>
      </w:pPr>
    </w:p>
    <w:p w14:paraId="07516767">
      <w:pPr>
        <w:ind w:firstLine="480"/>
        <w:jc w:val="center"/>
        <w:rPr>
          <w:rFonts w:hint="default" w:ascii="Times New Roman" w:hAnsi="Times New Roman" w:cs="Times New Roman"/>
          <w:color w:val="FF0000"/>
        </w:rPr>
      </w:pPr>
    </w:p>
    <w:p w14:paraId="64CD4F91">
      <w:pPr>
        <w:ind w:firstLine="480"/>
        <w:jc w:val="center"/>
        <w:rPr>
          <w:rFonts w:hint="default" w:ascii="Times New Roman" w:hAnsi="Times New Roman" w:cs="Times New Roman"/>
          <w:color w:val="FF0000"/>
        </w:rPr>
      </w:pPr>
    </w:p>
    <w:p w14:paraId="41405228">
      <w:pPr>
        <w:ind w:firstLine="480"/>
        <w:jc w:val="center"/>
        <w:rPr>
          <w:rFonts w:hint="default" w:ascii="Times New Roman" w:hAnsi="Times New Roman" w:cs="Times New Roman"/>
          <w:color w:val="FF0000"/>
        </w:rPr>
      </w:pPr>
    </w:p>
    <w:p w14:paraId="73102671">
      <w:pPr>
        <w:ind w:firstLine="480"/>
        <w:jc w:val="center"/>
        <w:rPr>
          <w:rFonts w:hint="default" w:ascii="Times New Roman" w:hAnsi="Times New Roman" w:cs="Times New Roman"/>
          <w:color w:val="FF0000"/>
        </w:rPr>
      </w:pPr>
    </w:p>
    <w:p w14:paraId="0869303F">
      <w:pPr>
        <w:ind w:firstLine="480"/>
        <w:jc w:val="center"/>
        <w:rPr>
          <w:rFonts w:hint="default" w:ascii="Times New Roman" w:hAnsi="Times New Roman" w:cs="Times New Roman"/>
        </w:rPr>
      </w:pPr>
    </w:p>
    <w:p w14:paraId="1382E23F">
      <w:pPr>
        <w:bidi w:val="0"/>
        <w:rPr>
          <w:rFonts w:hint="default" w:ascii="Times New Roman" w:hAnsi="Times New Roman" w:cs="Times New Roman"/>
        </w:rPr>
      </w:pPr>
    </w:p>
    <w:p w14:paraId="310FB4C7">
      <w:pPr>
        <w:pStyle w:val="9"/>
        <w:rPr>
          <w:rFonts w:hint="default" w:ascii="Times New Roman" w:hAnsi="Times New Roman" w:cs="Times New Roman"/>
        </w:rPr>
      </w:pPr>
    </w:p>
    <w:p w14:paraId="12CF190E">
      <w:pPr>
        <w:bidi w:val="0"/>
        <w:rPr>
          <w:rFonts w:hint="default" w:ascii="Times New Roman" w:hAnsi="Times New Roman" w:cs="Times New Roman"/>
        </w:rPr>
      </w:pPr>
    </w:p>
    <w:p w14:paraId="4AF6F359">
      <w:pPr>
        <w:bidi w:val="0"/>
        <w:rPr>
          <w:rFonts w:hint="default" w:ascii="Times New Roman" w:hAnsi="Times New Roman" w:cs="Times New Roman"/>
        </w:rPr>
      </w:pPr>
    </w:p>
    <w:p w14:paraId="04FCD153">
      <w:pPr>
        <w:bidi w:val="0"/>
        <w:rPr>
          <w:rFonts w:hint="default" w:ascii="Times New Roman" w:hAnsi="Times New Roman" w:cs="Times New Roman"/>
        </w:rPr>
      </w:pPr>
    </w:p>
    <w:p w14:paraId="7BC49E45">
      <w:pPr>
        <w:bidi w:val="0"/>
        <w:rPr>
          <w:rFonts w:hint="default" w:ascii="Times New Roman" w:hAnsi="Times New Roman" w:cs="Times New Roman"/>
        </w:rPr>
      </w:pPr>
    </w:p>
    <w:p w14:paraId="31FF290D">
      <w:pPr>
        <w:pStyle w:val="30"/>
        <w:rPr>
          <w:rFonts w:hint="default" w:ascii="Times New Roman" w:hAnsi="Times New Roman" w:cs="Times New Roman"/>
        </w:rPr>
      </w:pPr>
    </w:p>
    <w:p w14:paraId="2862B182">
      <w:pPr>
        <w:bidi w:val="0"/>
        <w:ind w:left="0" w:leftChars="0" w:firstLine="0" w:firstLineChars="0"/>
        <w:rPr>
          <w:rFonts w:hint="default" w:ascii="Times New Roman" w:hAnsi="Times New Roman" w:cs="Times New Roman"/>
        </w:rPr>
      </w:pPr>
    </w:p>
    <w:p w14:paraId="4B5A7820">
      <w:pPr>
        <w:spacing w:line="360" w:lineRule="auto"/>
        <w:ind w:firstLine="0" w:firstLineChars="0"/>
        <w:jc w:val="center"/>
        <w:rPr>
          <w:rFonts w:hint="default" w:ascii="Times New Roman" w:hAnsi="Times New Roman" w:eastAsia="楷体" w:cs="Times New Roman"/>
          <w:b/>
          <w:sz w:val="30"/>
          <w:szCs w:val="30"/>
          <w:lang w:val="en" w:eastAsia="zh-CN"/>
        </w:rPr>
      </w:pPr>
      <w:r>
        <w:rPr>
          <w:rFonts w:hint="default" w:ascii="Times New Roman" w:hAnsi="Times New Roman" w:eastAsia="楷体" w:cs="Times New Roman"/>
          <w:b/>
          <w:sz w:val="30"/>
          <w:szCs w:val="30"/>
        </w:rPr>
        <w:t>建设</w:t>
      </w:r>
      <w:r>
        <w:rPr>
          <w:rFonts w:hint="default" w:ascii="Times New Roman" w:hAnsi="Times New Roman" w:eastAsia="楷体" w:cs="Times New Roman"/>
          <w:b/>
          <w:sz w:val="30"/>
          <w:szCs w:val="30"/>
          <w:lang w:eastAsia="zh-CN"/>
        </w:rPr>
        <w:t>单位：</w:t>
      </w:r>
      <w:r>
        <w:rPr>
          <w:rFonts w:hint="eastAsia" w:eastAsia="楷体" w:cs="Times New Roman"/>
          <w:b/>
          <w:sz w:val="30"/>
          <w:szCs w:val="30"/>
          <w:lang w:val="en" w:eastAsia="zh-CN"/>
        </w:rPr>
        <w:t>邵阳市鑫腾阻燃新材料科技有限公司</w:t>
      </w:r>
    </w:p>
    <w:p w14:paraId="5DB68FB4">
      <w:pPr>
        <w:spacing w:line="360" w:lineRule="auto"/>
        <w:ind w:firstLine="0" w:firstLineChars="0"/>
        <w:jc w:val="center"/>
        <w:rPr>
          <w:rFonts w:hint="default" w:ascii="Times New Roman" w:hAnsi="Times New Roman" w:eastAsia="楷体" w:cs="Times New Roman"/>
          <w:b w:val="0"/>
          <w:bCs/>
          <w:sz w:val="30"/>
          <w:szCs w:val="30"/>
          <w:lang w:val="en"/>
        </w:rPr>
      </w:pPr>
      <w:r>
        <w:rPr>
          <w:rFonts w:hint="default" w:ascii="Times New Roman" w:hAnsi="Times New Roman" w:eastAsia="楷体" w:cs="Times New Roman"/>
          <w:b/>
          <w:sz w:val="30"/>
          <w:szCs w:val="30"/>
          <w:lang w:val="en-US" w:eastAsia="zh-CN"/>
        </w:rPr>
        <w:t>编制</w:t>
      </w:r>
      <w:r>
        <w:rPr>
          <w:rFonts w:hint="default" w:ascii="Times New Roman" w:hAnsi="Times New Roman" w:eastAsia="楷体" w:cs="Times New Roman"/>
          <w:b/>
          <w:sz w:val="30"/>
          <w:szCs w:val="30"/>
          <w:lang w:eastAsia="zh-CN"/>
        </w:rPr>
        <w:t>单位：</w:t>
      </w:r>
      <w:r>
        <w:rPr>
          <w:rFonts w:hint="default" w:ascii="Times New Roman" w:hAnsi="Times New Roman" w:eastAsia="楷体" w:cs="Times New Roman"/>
          <w:b/>
          <w:sz w:val="30"/>
          <w:szCs w:val="30"/>
          <w:lang w:val="en" w:eastAsia="zh-CN"/>
        </w:rPr>
        <w:t>湖南科谱环保科技有限公司</w:t>
      </w:r>
    </w:p>
    <w:p w14:paraId="290171EC">
      <w:pPr>
        <w:ind w:firstLine="0" w:firstLineChars="0"/>
        <w:jc w:val="center"/>
        <w:rPr>
          <w:rFonts w:hint="default" w:ascii="Times New Roman" w:hAnsi="Times New Roman" w:cs="Times New Roman"/>
          <w:b/>
          <w:color w:val="FF0000"/>
          <w:sz w:val="30"/>
          <w:szCs w:val="30"/>
        </w:rPr>
      </w:pPr>
      <w:r>
        <w:rPr>
          <w:rFonts w:hint="default" w:ascii="Times New Roman" w:hAnsi="Times New Roman" w:eastAsia="楷体" w:cs="Times New Roman"/>
          <w:b/>
          <w:sz w:val="30"/>
          <w:szCs w:val="30"/>
          <w:lang w:val="en-US" w:eastAsia="zh-CN"/>
        </w:rPr>
        <w:t>2025</w:t>
      </w:r>
      <w:r>
        <w:rPr>
          <w:rFonts w:hint="default" w:ascii="Times New Roman" w:hAnsi="Times New Roman" w:eastAsia="楷体" w:cs="Times New Roman"/>
          <w:b/>
          <w:bCs/>
          <w:sz w:val="30"/>
          <w:szCs w:val="30"/>
        </w:rPr>
        <w:t>年</w:t>
      </w:r>
      <w:r>
        <w:rPr>
          <w:rFonts w:hint="eastAsia" w:eastAsia="楷体" w:cs="Times New Roman"/>
          <w:b/>
          <w:bCs/>
          <w:sz w:val="30"/>
          <w:szCs w:val="30"/>
          <w:lang w:val="en-US" w:eastAsia="zh-CN"/>
        </w:rPr>
        <w:t>7</w:t>
      </w:r>
      <w:r>
        <w:rPr>
          <w:rFonts w:hint="default" w:ascii="Times New Roman" w:hAnsi="Times New Roman" w:eastAsia="楷体" w:cs="Times New Roman"/>
          <w:b/>
          <w:bCs/>
          <w:sz w:val="30"/>
          <w:szCs w:val="30"/>
        </w:rPr>
        <w:t>月</w:t>
      </w:r>
      <w:r>
        <w:rPr>
          <w:rFonts w:hint="default" w:ascii="Times New Roman" w:hAnsi="Times New Roman" w:eastAsia="楷体_GB2312" w:cs="Times New Roman"/>
          <w:b/>
          <w:bCs/>
          <w:color w:val="FF0000"/>
          <w:sz w:val="28"/>
          <w:szCs w:val="28"/>
        </w:rPr>
        <w:br w:type="page"/>
      </w:r>
    </w:p>
    <w:p w14:paraId="0E55053C">
      <w:pPr>
        <w:spacing w:beforeLines="50" w:afterLines="50" w:line="480" w:lineRule="auto"/>
        <w:ind w:firstLine="602"/>
        <w:jc w:val="left"/>
        <w:rPr>
          <w:rFonts w:hint="default" w:ascii="Times New Roman" w:hAnsi="Times New Roman" w:cs="Times New Roman"/>
          <w:b/>
          <w:sz w:val="30"/>
          <w:szCs w:val="30"/>
          <w:lang w:val="en-US" w:eastAsia="zh-CN"/>
        </w:rPr>
      </w:pPr>
      <w:r>
        <w:rPr>
          <w:rFonts w:hint="default" w:ascii="Times New Roman" w:hAnsi="Times New Roman" w:cs="Times New Roman"/>
          <w:b/>
          <w:sz w:val="30"/>
          <w:szCs w:val="30"/>
        </w:rPr>
        <w:t>建设单位法人代表：</w:t>
      </w:r>
      <w:r>
        <w:rPr>
          <w:rFonts w:hint="default" w:ascii="Times New Roman" w:hAnsi="Times New Roman" w:cs="Times New Roman"/>
          <w:b/>
          <w:sz w:val="30"/>
          <w:szCs w:val="30"/>
          <w:lang w:val="en-US" w:eastAsia="zh-CN"/>
        </w:rPr>
        <w:t xml:space="preserve"> 李海燕      </w:t>
      </w:r>
    </w:p>
    <w:p w14:paraId="5C2DF861">
      <w:pPr>
        <w:spacing w:beforeLines="50" w:afterLines="50" w:line="480" w:lineRule="auto"/>
        <w:ind w:firstLine="602"/>
        <w:jc w:val="left"/>
        <w:rPr>
          <w:rFonts w:hint="default" w:ascii="Times New Roman" w:hAnsi="Times New Roman" w:cs="Times New Roman"/>
          <w:b/>
          <w:sz w:val="30"/>
          <w:szCs w:val="30"/>
        </w:rPr>
      </w:pPr>
      <w:r>
        <w:rPr>
          <w:rFonts w:hint="default" w:ascii="Times New Roman" w:hAnsi="Times New Roman" w:cs="Times New Roman"/>
          <w:b/>
          <w:sz w:val="30"/>
          <w:szCs w:val="30"/>
          <w:lang w:val="en-US" w:eastAsia="zh-CN"/>
        </w:rPr>
        <w:t xml:space="preserve">编制单位法人代表： 陆燕萍        </w:t>
      </w:r>
      <w:r>
        <w:rPr>
          <w:rFonts w:hint="default" w:ascii="Times New Roman" w:hAnsi="Times New Roman" w:cs="Times New Roman"/>
          <w:b/>
          <w:sz w:val="30"/>
          <w:szCs w:val="30"/>
        </w:rPr>
        <w:t xml:space="preserve">  </w:t>
      </w:r>
    </w:p>
    <w:p w14:paraId="426C91DE">
      <w:pPr>
        <w:spacing w:beforeLines="50" w:afterLines="50" w:line="480" w:lineRule="auto"/>
        <w:ind w:firstLine="602"/>
        <w:jc w:val="left"/>
        <w:rPr>
          <w:rFonts w:hint="default" w:ascii="Times New Roman" w:hAnsi="Times New Roman" w:cs="Times New Roman"/>
          <w:b/>
          <w:sz w:val="30"/>
          <w:szCs w:val="30"/>
        </w:rPr>
      </w:pPr>
      <w:r>
        <w:rPr>
          <w:rFonts w:hint="default" w:ascii="Times New Roman" w:hAnsi="Times New Roman" w:cs="Times New Roman"/>
          <w:b/>
          <w:sz w:val="30"/>
          <w:szCs w:val="30"/>
        </w:rPr>
        <w:t>项目负责人：</w:t>
      </w:r>
    </w:p>
    <w:p w14:paraId="18964D02">
      <w:pPr>
        <w:spacing w:beforeLines="50" w:afterLines="50" w:line="480" w:lineRule="auto"/>
        <w:ind w:firstLine="602"/>
        <w:jc w:val="left"/>
        <w:rPr>
          <w:rFonts w:hint="default" w:ascii="Times New Roman" w:hAnsi="Times New Roman" w:cs="Times New Roman"/>
          <w:b/>
          <w:sz w:val="30"/>
          <w:szCs w:val="30"/>
        </w:rPr>
      </w:pPr>
      <w:r>
        <w:rPr>
          <w:rFonts w:hint="default" w:ascii="Times New Roman" w:hAnsi="Times New Roman" w:cs="Times New Roman"/>
          <w:b/>
          <w:sz w:val="30"/>
          <w:szCs w:val="30"/>
        </w:rPr>
        <w:t>填表人：</w:t>
      </w:r>
    </w:p>
    <w:p w14:paraId="74C910A8">
      <w:pPr>
        <w:spacing w:beforeLines="50" w:afterLines="50" w:line="480" w:lineRule="auto"/>
        <w:ind w:firstLine="602"/>
        <w:jc w:val="left"/>
        <w:rPr>
          <w:rFonts w:hint="default" w:ascii="Times New Roman" w:hAnsi="Times New Roman" w:cs="Times New Roman"/>
          <w:b/>
          <w:color w:val="FF0000"/>
          <w:sz w:val="30"/>
          <w:szCs w:val="30"/>
        </w:rPr>
      </w:pPr>
    </w:p>
    <w:p w14:paraId="06625F3F">
      <w:pPr>
        <w:spacing w:beforeLines="50" w:afterLines="50" w:line="480" w:lineRule="auto"/>
        <w:ind w:firstLine="602"/>
        <w:jc w:val="left"/>
        <w:rPr>
          <w:rFonts w:hint="default" w:ascii="Times New Roman" w:hAnsi="Times New Roman" w:cs="Times New Roman"/>
          <w:b/>
          <w:color w:val="FF0000"/>
          <w:sz w:val="30"/>
          <w:szCs w:val="30"/>
        </w:rPr>
      </w:pPr>
    </w:p>
    <w:p w14:paraId="1033926F">
      <w:pPr>
        <w:pStyle w:val="30"/>
        <w:rPr>
          <w:rFonts w:hint="default" w:ascii="Times New Roman" w:hAnsi="Times New Roman" w:cs="Times New Roman"/>
          <w:b/>
          <w:color w:val="FF0000"/>
          <w:sz w:val="30"/>
          <w:szCs w:val="30"/>
        </w:rPr>
      </w:pPr>
    </w:p>
    <w:p w14:paraId="7992A5E3">
      <w:pPr>
        <w:pStyle w:val="30"/>
        <w:rPr>
          <w:rFonts w:hint="default" w:ascii="Times New Roman" w:hAnsi="Times New Roman" w:cs="Times New Roman"/>
          <w:b/>
          <w:color w:val="FF0000"/>
          <w:sz w:val="30"/>
          <w:szCs w:val="30"/>
        </w:rPr>
      </w:pPr>
    </w:p>
    <w:p w14:paraId="02B80CCC">
      <w:pPr>
        <w:spacing w:beforeLines="50" w:afterLines="50"/>
        <w:ind w:firstLine="480"/>
        <w:jc w:val="left"/>
        <w:rPr>
          <w:rFonts w:hint="default" w:ascii="Times New Roman" w:hAnsi="Times New Roman" w:cs="Times New Roman"/>
          <w:color w:val="FF0000"/>
          <w:szCs w:val="24"/>
        </w:rPr>
      </w:pPr>
    </w:p>
    <w:p w14:paraId="2A776BAF">
      <w:pPr>
        <w:pStyle w:val="30"/>
        <w:rPr>
          <w:rFonts w:hint="default" w:ascii="Times New Roman" w:hAnsi="Times New Roman" w:cs="Times New Roman"/>
          <w:color w:val="FF0000"/>
          <w:szCs w:val="24"/>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326" w:charSpace="0"/>
        </w:sectPr>
      </w:pPr>
    </w:p>
    <w:p w14:paraId="642C7A25">
      <w:pPr>
        <w:keepNext w:val="0"/>
        <w:keepLines w:val="0"/>
        <w:pageBreakBefore w:val="0"/>
        <w:widowControl w:val="0"/>
        <w:kinsoku/>
        <w:wordWrap/>
        <w:overflowPunct/>
        <w:topLinePunct w:val="0"/>
        <w:autoSpaceDE/>
        <w:autoSpaceDN/>
        <w:bidi w:val="0"/>
        <w:adjustRightInd/>
        <w:snapToGrid/>
        <w:ind w:left="1200" w:hanging="1200" w:hangingChars="500"/>
        <w:jc w:val="left"/>
        <w:textAlignment w:val="auto"/>
        <w:outlineLvl w:val="9"/>
        <w:rPr>
          <w:rFonts w:hint="default" w:ascii="Times New Roman" w:hAnsi="Times New Roman" w:cs="Times New Roman"/>
          <w:szCs w:val="24"/>
          <w:lang w:val="en" w:eastAsia="zh-CN"/>
        </w:rPr>
      </w:pPr>
      <w:r>
        <w:rPr>
          <w:rFonts w:hint="default" w:ascii="Times New Roman" w:hAnsi="Times New Roman" w:cs="Times New Roman"/>
          <w:szCs w:val="24"/>
          <w:lang w:eastAsia="zh-CN"/>
        </w:rPr>
        <w:t>建设单位：</w:t>
      </w:r>
      <w:r>
        <w:rPr>
          <w:rFonts w:hint="eastAsia" w:cs="Times New Roman"/>
          <w:szCs w:val="24"/>
          <w:lang w:val="en" w:eastAsia="zh-CN"/>
        </w:rPr>
        <w:t>邵阳市鑫腾阻燃新材料科技有限公司</w:t>
      </w:r>
    </w:p>
    <w:p w14:paraId="2EA6C839">
      <w:pPr>
        <w:keepNext w:val="0"/>
        <w:keepLines w:val="0"/>
        <w:pageBreakBefore w:val="0"/>
        <w:widowControl w:val="0"/>
        <w:kinsoku/>
        <w:wordWrap/>
        <w:overflowPunct/>
        <w:topLinePunct w:val="0"/>
        <w:autoSpaceDE/>
        <w:autoSpaceDN/>
        <w:bidi w:val="0"/>
        <w:adjustRightInd/>
        <w:snapToGrid/>
        <w:ind w:firstLine="0" w:firstLineChars="0"/>
        <w:jc w:val="left"/>
        <w:textAlignment w:val="auto"/>
        <w:outlineLvl w:val="9"/>
        <w:rPr>
          <w:rFonts w:hint="default" w:ascii="Times New Roman" w:hAnsi="Times New Roman" w:cs="Times New Roman"/>
          <w:szCs w:val="24"/>
          <w:lang w:val="en-US" w:eastAsia="zh-CN"/>
        </w:rPr>
      </w:pPr>
      <w:r>
        <w:rPr>
          <w:rFonts w:hint="default" w:ascii="Times New Roman" w:hAnsi="Times New Roman" w:cs="Times New Roman"/>
          <w:szCs w:val="24"/>
          <w:lang w:eastAsia="zh-CN"/>
        </w:rPr>
        <w:t>电话：</w:t>
      </w:r>
      <w:r>
        <w:rPr>
          <w:rFonts w:hint="default" w:ascii="Times New Roman" w:hAnsi="Times New Roman" w:cs="Times New Roman"/>
          <w:szCs w:val="24"/>
          <w:lang w:val="en-US" w:eastAsia="zh-CN"/>
        </w:rPr>
        <w:t>1</w:t>
      </w:r>
      <w:r>
        <w:rPr>
          <w:rFonts w:hint="eastAsia" w:cs="Times New Roman"/>
          <w:szCs w:val="24"/>
          <w:lang w:val="en-US" w:eastAsia="zh-CN"/>
        </w:rPr>
        <w:t>5973238271</w:t>
      </w:r>
    </w:p>
    <w:p w14:paraId="12F96F4D">
      <w:pPr>
        <w:keepNext w:val="0"/>
        <w:keepLines w:val="0"/>
        <w:pageBreakBefore w:val="0"/>
        <w:widowControl w:val="0"/>
        <w:kinsoku/>
        <w:wordWrap/>
        <w:overflowPunct/>
        <w:topLinePunct w:val="0"/>
        <w:autoSpaceDE/>
        <w:autoSpaceDN/>
        <w:bidi w:val="0"/>
        <w:adjustRightInd/>
        <w:snapToGrid/>
        <w:ind w:firstLine="0" w:firstLineChars="0"/>
        <w:jc w:val="left"/>
        <w:textAlignment w:val="auto"/>
        <w:outlineLvl w:val="9"/>
        <w:rPr>
          <w:rFonts w:hint="default" w:ascii="Times New Roman" w:hAnsi="Times New Roman" w:cs="Times New Roman"/>
          <w:szCs w:val="24"/>
          <w:lang w:val="en-US" w:eastAsia="zh-CN"/>
        </w:rPr>
      </w:pPr>
      <w:r>
        <w:rPr>
          <w:rFonts w:hint="default" w:ascii="Times New Roman" w:hAnsi="Times New Roman" w:cs="Times New Roman"/>
          <w:szCs w:val="24"/>
          <w:lang w:eastAsia="zh-CN"/>
        </w:rPr>
        <w:t>传真：</w:t>
      </w:r>
      <w:r>
        <w:rPr>
          <w:rFonts w:hint="default" w:ascii="Times New Roman" w:hAnsi="Times New Roman" w:cs="Times New Roman"/>
          <w:szCs w:val="24"/>
          <w:lang w:val="en-US" w:eastAsia="zh-CN"/>
        </w:rPr>
        <w:t>/</w:t>
      </w:r>
    </w:p>
    <w:p w14:paraId="26AFEB40">
      <w:pPr>
        <w:keepNext w:val="0"/>
        <w:keepLines w:val="0"/>
        <w:pageBreakBefore w:val="0"/>
        <w:widowControl w:val="0"/>
        <w:kinsoku/>
        <w:wordWrap/>
        <w:overflowPunct/>
        <w:topLinePunct w:val="0"/>
        <w:autoSpaceDE/>
        <w:autoSpaceDN/>
        <w:bidi w:val="0"/>
        <w:adjustRightInd/>
        <w:snapToGrid/>
        <w:ind w:firstLine="0" w:firstLineChars="0"/>
        <w:jc w:val="left"/>
        <w:textAlignment w:val="auto"/>
        <w:outlineLvl w:val="9"/>
        <w:rPr>
          <w:rFonts w:hint="default" w:ascii="Times New Roman" w:hAnsi="Times New Roman" w:cs="Times New Roman"/>
          <w:szCs w:val="24"/>
          <w:lang w:val="en-US" w:eastAsia="zh-CN"/>
        </w:rPr>
      </w:pPr>
      <w:r>
        <w:rPr>
          <w:rFonts w:hint="default" w:ascii="Times New Roman" w:hAnsi="Times New Roman" w:cs="Times New Roman"/>
          <w:szCs w:val="24"/>
          <w:lang w:eastAsia="zh-CN"/>
        </w:rPr>
        <w:t>邮编：422105</w:t>
      </w:r>
    </w:p>
    <w:p w14:paraId="583754AD">
      <w:pPr>
        <w:keepNext w:val="0"/>
        <w:keepLines w:val="0"/>
        <w:pageBreakBefore w:val="0"/>
        <w:widowControl w:val="0"/>
        <w:kinsoku/>
        <w:wordWrap/>
        <w:overflowPunct/>
        <w:topLinePunct w:val="0"/>
        <w:autoSpaceDE/>
        <w:autoSpaceDN/>
        <w:bidi w:val="0"/>
        <w:adjustRightInd/>
        <w:snapToGrid/>
        <w:ind w:left="720" w:hanging="720" w:hangingChars="300"/>
        <w:jc w:val="left"/>
        <w:textAlignment w:val="auto"/>
        <w:outlineLvl w:val="9"/>
        <w:rPr>
          <w:rFonts w:hint="default" w:ascii="Times New Roman" w:hAnsi="Times New Roman" w:cs="Times New Roman"/>
          <w:szCs w:val="24"/>
          <w:lang w:val="en-US" w:eastAsia="zh-CN"/>
        </w:rPr>
      </w:pPr>
      <w:r>
        <w:rPr>
          <w:rFonts w:hint="default" w:ascii="Times New Roman" w:hAnsi="Times New Roman" w:cs="Times New Roman"/>
          <w:szCs w:val="24"/>
          <w:lang w:eastAsia="zh-CN"/>
        </w:rPr>
        <w:t>地址：</w:t>
      </w:r>
      <w:r>
        <w:rPr>
          <w:rFonts w:hint="default" w:ascii="Times New Roman" w:hAnsi="Times New Roman" w:cs="Times New Roman"/>
          <w:szCs w:val="21"/>
        </w:rPr>
        <w:t>湖南省邵阳县长阳铺镇长阳铺村工业集中区5栋厂房</w:t>
      </w:r>
    </w:p>
    <w:p w14:paraId="4A067A23">
      <w:pPr>
        <w:pStyle w:val="30"/>
        <w:ind w:left="0" w:leftChars="0" w:firstLine="0" w:firstLineChars="0"/>
        <w:rPr>
          <w:rFonts w:hint="default" w:ascii="Times New Roman" w:hAnsi="Times New Roman" w:cs="Times New Roman"/>
          <w:lang w:eastAsia="zh-CN"/>
        </w:rPr>
      </w:pPr>
    </w:p>
    <w:p w14:paraId="301E4A88">
      <w:pPr>
        <w:keepNext w:val="0"/>
        <w:keepLines w:val="0"/>
        <w:pageBreakBefore w:val="0"/>
        <w:widowControl w:val="0"/>
        <w:kinsoku/>
        <w:wordWrap/>
        <w:overflowPunct/>
        <w:topLinePunct w:val="0"/>
        <w:autoSpaceDE/>
        <w:autoSpaceDN/>
        <w:bidi w:val="0"/>
        <w:adjustRightInd/>
        <w:snapToGrid/>
        <w:ind w:left="1440" w:leftChars="100" w:hanging="1200" w:hangingChars="500"/>
        <w:jc w:val="left"/>
        <w:textAlignment w:val="auto"/>
        <w:outlineLvl w:val="9"/>
        <w:rPr>
          <w:rFonts w:hint="default" w:ascii="Times New Roman" w:hAnsi="Times New Roman" w:cs="Times New Roman"/>
          <w:szCs w:val="24"/>
          <w:lang w:val="en" w:eastAsia="zh-CN"/>
        </w:rPr>
      </w:pPr>
      <w:r>
        <w:rPr>
          <w:rFonts w:hint="default" w:ascii="Times New Roman" w:hAnsi="Times New Roman" w:cs="Times New Roman"/>
          <w:szCs w:val="24"/>
          <w:lang w:val="en-US" w:eastAsia="zh-CN"/>
        </w:rPr>
        <w:t>编制</w:t>
      </w:r>
      <w:r>
        <w:rPr>
          <w:rFonts w:hint="default" w:ascii="Times New Roman" w:hAnsi="Times New Roman" w:cs="Times New Roman"/>
          <w:szCs w:val="24"/>
          <w:lang w:eastAsia="zh-CN"/>
        </w:rPr>
        <w:t>单位：</w:t>
      </w:r>
      <w:r>
        <w:rPr>
          <w:rFonts w:hint="default" w:ascii="Times New Roman" w:hAnsi="Times New Roman" w:cs="Times New Roman"/>
          <w:szCs w:val="24"/>
          <w:lang w:val="en" w:eastAsia="zh-CN"/>
        </w:rPr>
        <w:t>湖南科谱环保科技有限公司</w:t>
      </w:r>
    </w:p>
    <w:p w14:paraId="7AE949FB">
      <w:pPr>
        <w:pStyle w:val="24"/>
        <w:rPr>
          <w:rFonts w:hint="default" w:ascii="Times New Roman" w:hAnsi="Times New Roman" w:cs="Times New Roman"/>
          <w:lang w:val="en" w:eastAsia="zh-CN"/>
        </w:rPr>
      </w:pPr>
    </w:p>
    <w:p w14:paraId="31285750">
      <w:pPr>
        <w:keepNext w:val="0"/>
        <w:keepLines w:val="0"/>
        <w:pageBreakBefore w:val="0"/>
        <w:widowControl w:val="0"/>
        <w:kinsoku/>
        <w:wordWrap/>
        <w:overflowPunct/>
        <w:topLinePunct w:val="0"/>
        <w:autoSpaceDE/>
        <w:autoSpaceDN/>
        <w:bidi w:val="0"/>
        <w:adjustRightInd/>
        <w:snapToGrid/>
        <w:ind w:firstLine="240" w:firstLineChars="100"/>
        <w:jc w:val="left"/>
        <w:textAlignment w:val="auto"/>
        <w:outlineLvl w:val="9"/>
        <w:rPr>
          <w:rFonts w:hint="default" w:ascii="Times New Roman" w:hAnsi="Times New Roman" w:cs="Times New Roman"/>
          <w:szCs w:val="24"/>
          <w:lang w:eastAsia="zh-CN"/>
        </w:rPr>
      </w:pPr>
      <w:r>
        <w:rPr>
          <w:rFonts w:hint="default" w:ascii="Times New Roman" w:hAnsi="Times New Roman" w:cs="Times New Roman"/>
          <w:szCs w:val="24"/>
          <w:lang w:eastAsia="zh-CN"/>
        </w:rPr>
        <w:t>电话：</w:t>
      </w:r>
      <w:r>
        <w:rPr>
          <w:rFonts w:hint="default" w:ascii="Times New Roman" w:hAnsi="Times New Roman" w:eastAsia="宋体" w:cs="Times New Roman"/>
          <w:bCs/>
          <w:color w:val="auto"/>
          <w:spacing w:val="11"/>
          <w:kern w:val="2"/>
          <w:sz w:val="24"/>
          <w:szCs w:val="24"/>
          <w:highlight w:val="none"/>
          <w:lang w:val="en-US" w:eastAsia="zh-CN" w:bidi="ar-SA"/>
        </w:rPr>
        <w:t>13973147709</w:t>
      </w:r>
    </w:p>
    <w:p w14:paraId="55A461F4">
      <w:pPr>
        <w:keepNext w:val="0"/>
        <w:keepLines w:val="0"/>
        <w:pageBreakBefore w:val="0"/>
        <w:widowControl w:val="0"/>
        <w:kinsoku/>
        <w:wordWrap/>
        <w:overflowPunct/>
        <w:topLinePunct w:val="0"/>
        <w:autoSpaceDE/>
        <w:autoSpaceDN/>
        <w:bidi w:val="0"/>
        <w:adjustRightInd/>
        <w:snapToGrid/>
        <w:ind w:firstLine="240" w:firstLineChars="100"/>
        <w:jc w:val="left"/>
        <w:textAlignment w:val="auto"/>
        <w:outlineLvl w:val="9"/>
        <w:rPr>
          <w:rFonts w:hint="default" w:ascii="Times New Roman" w:hAnsi="Times New Roman" w:cs="Times New Roman"/>
          <w:szCs w:val="24"/>
          <w:lang w:eastAsia="zh-CN"/>
        </w:rPr>
      </w:pPr>
      <w:r>
        <w:rPr>
          <w:rFonts w:hint="default" w:ascii="Times New Roman" w:hAnsi="Times New Roman" w:cs="Times New Roman"/>
          <w:szCs w:val="24"/>
          <w:lang w:eastAsia="zh-CN"/>
        </w:rPr>
        <w:t>传真：</w:t>
      </w:r>
      <w:r>
        <w:rPr>
          <w:rFonts w:hint="default" w:ascii="Times New Roman" w:hAnsi="Times New Roman" w:cs="Times New Roman"/>
          <w:szCs w:val="24"/>
          <w:lang w:val="en-US" w:eastAsia="zh-CN"/>
        </w:rPr>
        <w:t>/</w:t>
      </w:r>
    </w:p>
    <w:p w14:paraId="094BEC3C">
      <w:pPr>
        <w:keepNext w:val="0"/>
        <w:keepLines w:val="0"/>
        <w:pageBreakBefore w:val="0"/>
        <w:widowControl w:val="0"/>
        <w:kinsoku/>
        <w:wordWrap/>
        <w:overflowPunct/>
        <w:topLinePunct w:val="0"/>
        <w:autoSpaceDE/>
        <w:autoSpaceDN/>
        <w:bidi w:val="0"/>
        <w:adjustRightInd/>
        <w:snapToGrid/>
        <w:ind w:firstLine="240" w:firstLineChars="100"/>
        <w:jc w:val="left"/>
        <w:textAlignment w:val="auto"/>
        <w:outlineLvl w:val="9"/>
        <w:rPr>
          <w:rFonts w:hint="default" w:ascii="Times New Roman" w:hAnsi="Times New Roman" w:cs="Times New Roman"/>
          <w:szCs w:val="24"/>
          <w:lang w:eastAsia="zh-CN"/>
        </w:rPr>
      </w:pPr>
      <w:r>
        <w:rPr>
          <w:rFonts w:hint="default" w:ascii="Times New Roman" w:hAnsi="Times New Roman" w:cs="Times New Roman"/>
          <w:szCs w:val="24"/>
          <w:lang w:eastAsia="zh-CN"/>
        </w:rPr>
        <w:t>邮编：4</w:t>
      </w:r>
      <w:r>
        <w:rPr>
          <w:rFonts w:hint="default" w:ascii="Times New Roman" w:hAnsi="Times New Roman" w:cs="Times New Roman"/>
          <w:szCs w:val="24"/>
          <w:lang w:val="en-US" w:eastAsia="zh-CN"/>
        </w:rPr>
        <w:t>100</w:t>
      </w:r>
      <w:r>
        <w:rPr>
          <w:rFonts w:hint="default" w:ascii="Times New Roman" w:hAnsi="Times New Roman" w:cs="Times New Roman"/>
          <w:szCs w:val="24"/>
          <w:lang w:eastAsia="zh-CN"/>
        </w:rPr>
        <w:t>00</w:t>
      </w:r>
    </w:p>
    <w:p w14:paraId="486036F6">
      <w:pPr>
        <w:keepNext w:val="0"/>
        <w:keepLines w:val="0"/>
        <w:pageBreakBefore w:val="0"/>
        <w:widowControl w:val="0"/>
        <w:kinsoku/>
        <w:wordWrap/>
        <w:overflowPunct/>
        <w:topLinePunct w:val="0"/>
        <w:autoSpaceDE/>
        <w:autoSpaceDN/>
        <w:bidi w:val="0"/>
        <w:adjustRightInd/>
        <w:snapToGrid/>
        <w:ind w:left="960" w:leftChars="100" w:hanging="720" w:hangingChars="300"/>
        <w:jc w:val="left"/>
        <w:textAlignment w:val="auto"/>
        <w:outlineLvl w:val="9"/>
        <w:rPr>
          <w:rFonts w:hint="default" w:ascii="Times New Roman" w:hAnsi="Times New Roman" w:cs="Times New Roman"/>
          <w:szCs w:val="24"/>
          <w:lang w:eastAsia="zh-CN"/>
        </w:rPr>
        <w:sectPr>
          <w:type w:val="continuous"/>
          <w:pgSz w:w="11906" w:h="16838"/>
          <w:pgMar w:top="1418" w:right="1418" w:bottom="1418" w:left="1418" w:header="851" w:footer="992" w:gutter="0"/>
          <w:pgBorders>
            <w:top w:val="none" w:sz="0" w:space="0"/>
            <w:left w:val="none" w:sz="0" w:space="0"/>
            <w:bottom w:val="none" w:sz="0" w:space="0"/>
            <w:right w:val="none" w:sz="0" w:space="0"/>
          </w:pgBorders>
          <w:cols w:space="425" w:num="2"/>
          <w:docGrid w:type="linesAndChars" w:linePitch="326" w:charSpace="0"/>
        </w:sectPr>
      </w:pPr>
      <w:r>
        <w:rPr>
          <w:rFonts w:hint="default" w:ascii="Times New Roman" w:hAnsi="Times New Roman" w:cs="Times New Roman"/>
          <w:szCs w:val="24"/>
          <w:lang w:eastAsia="zh-CN"/>
        </w:rPr>
        <w:t>地址：</w:t>
      </w:r>
      <w:r>
        <w:rPr>
          <w:rFonts w:hint="default" w:ascii="Times New Roman" w:hAnsi="Times New Roman" w:cs="Times New Roman"/>
          <w:szCs w:val="24"/>
          <w:lang w:val="en-US" w:eastAsia="zh-CN"/>
        </w:rPr>
        <w:t>长沙市望城经济技术开发区金荣企业公园C区4栋402号</w:t>
      </w:r>
    </w:p>
    <w:p w14:paraId="401595E1">
      <w:pPr>
        <w:spacing w:beforeLines="50" w:afterLines="50"/>
        <w:ind w:firstLine="0" w:firstLineChars="0"/>
        <w:jc w:val="left"/>
        <w:rPr>
          <w:rFonts w:hint="default" w:ascii="Times New Roman" w:hAnsi="Times New Roman" w:cs="Times New Roman"/>
          <w:szCs w:val="24"/>
        </w:rPr>
      </w:pPr>
    </w:p>
    <w:p w14:paraId="269F912F">
      <w:pPr>
        <w:spacing w:beforeLines="50" w:afterLines="50"/>
        <w:ind w:firstLine="0" w:firstLineChars="0"/>
        <w:jc w:val="left"/>
        <w:rPr>
          <w:rFonts w:hint="default" w:ascii="Times New Roman" w:hAnsi="Times New Roman" w:cs="Times New Roman"/>
          <w:szCs w:val="24"/>
        </w:rPr>
      </w:pPr>
    </w:p>
    <w:p w14:paraId="5DE83736">
      <w:pPr>
        <w:spacing w:before="163" w:beforeLines="50" w:after="163" w:afterLines="50" w:line="480" w:lineRule="auto"/>
        <w:ind w:left="0" w:leftChars="0" w:firstLine="0" w:firstLineChars="0"/>
        <w:jc w:val="left"/>
        <w:rPr>
          <w:rFonts w:hint="default" w:ascii="Times New Roman" w:hAnsi="Times New Roman" w:cs="Times New Roman"/>
          <w:b/>
          <w:sz w:val="28"/>
          <w:szCs w:val="28"/>
          <w:highlight w:val="lightGray"/>
        </w:rPr>
        <w:sectPr>
          <w:type w:val="continuous"/>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326" w:charSpace="0"/>
        </w:sectPr>
      </w:pPr>
      <w:r>
        <w:rPr>
          <w:rFonts w:hint="default" w:ascii="Times New Roman" w:hAnsi="Times New Roman" w:cs="Times New Roman"/>
          <w:b/>
          <w:sz w:val="28"/>
          <w:szCs w:val="28"/>
          <w:highlight w:val="lightGray"/>
        </w:rPr>
        <w:t>声明：复制本报告中的部分内容无效。</w:t>
      </w:r>
    </w:p>
    <w:p w14:paraId="53733190">
      <w:pPr>
        <w:spacing w:beforeLines="50" w:afterLines="50"/>
        <w:ind w:firstLine="0" w:firstLineChars="0"/>
        <w:jc w:val="left"/>
        <w:rPr>
          <w:rFonts w:hint="default" w:ascii="Times New Roman" w:hAnsi="Times New Roman" w:cs="Times New Roman"/>
        </w:rPr>
      </w:pPr>
      <w:r>
        <w:rPr>
          <w:rFonts w:hint="default" w:ascii="Times New Roman" w:hAnsi="Times New Roman" w:cs="Times New Roman"/>
          <w:szCs w:val="24"/>
        </w:rPr>
        <w:br w:type="page"/>
      </w:r>
    </w:p>
    <w:p w14:paraId="70241C3A">
      <w:pPr>
        <w:ind w:left="0" w:leftChars="0" w:firstLine="0" w:firstLineChars="0"/>
        <w:jc w:val="center"/>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lang w:val="en" w:eastAsia="zh-CN"/>
        </w:rPr>
        <w:t>湖南</w:t>
      </w:r>
      <w:r>
        <w:rPr>
          <w:rFonts w:hint="eastAsia" w:ascii="Times New Roman" w:hAnsi="Times New Roman" w:cs="Times New Roman"/>
          <w:color w:val="auto"/>
          <w:lang w:val="en-US" w:eastAsia="zh-CN"/>
        </w:rPr>
        <w:t>谱实检测技术</w:t>
      </w:r>
      <w:r>
        <w:rPr>
          <w:rFonts w:hint="default" w:ascii="Times New Roman" w:hAnsi="Times New Roman" w:cs="Times New Roman"/>
          <w:color w:val="auto"/>
          <w:lang w:val="en" w:eastAsia="zh-CN"/>
        </w:rPr>
        <w:t>有限公司</w:t>
      </w:r>
      <w:r>
        <w:rPr>
          <w:rFonts w:hint="default" w:ascii="Times New Roman" w:hAnsi="Times New Roman" w:cs="Times New Roman"/>
          <w:color w:val="auto"/>
          <w:lang w:val="en-US" w:eastAsia="zh-CN"/>
        </w:rPr>
        <w:t>资质认定证书</w:t>
      </w:r>
    </w:p>
    <w:p w14:paraId="25B110AD">
      <w:pPr>
        <w:ind w:left="0" w:leftChars="0" w:firstLine="0" w:firstLineChars="0"/>
        <w:jc w:val="center"/>
        <w:rPr>
          <w:rFonts w:hint="default" w:ascii="Times New Roman" w:hAnsi="Times New Roman" w:cs="Times New Roman" w:eastAsiaTheme="minorEastAsia"/>
          <w:kern w:val="2"/>
          <w:sz w:val="21"/>
          <w:szCs w:val="22"/>
          <w:lang w:val="en-US" w:eastAsia="zh-CN" w:bidi="ar-SA"/>
        </w:rPr>
      </w:pPr>
      <w:r>
        <w:rPr>
          <w:rFonts w:hint="default" w:ascii="Times New Roman" w:hAnsi="Times New Roman" w:cs="Times New Roman"/>
          <w:sz w:val="30"/>
        </w:rPr>
        <mc:AlternateContent>
          <mc:Choice Requires="wps">
            <w:drawing>
              <wp:anchor distT="0" distB="0" distL="114300" distR="114300" simplePos="0" relativeHeight="251662336" behindDoc="0" locked="0" layoutInCell="1" allowOverlap="1">
                <wp:simplePos x="0" y="0"/>
                <wp:positionH relativeFrom="column">
                  <wp:posOffset>-407670</wp:posOffset>
                </wp:positionH>
                <wp:positionV relativeFrom="paragraph">
                  <wp:posOffset>3152140</wp:posOffset>
                </wp:positionV>
                <wp:extent cx="6308090" cy="1953260"/>
                <wp:effectExtent l="0" t="0" r="0" b="0"/>
                <wp:wrapNone/>
                <wp:docPr id="3" name="文本框 3"/>
                <wp:cNvGraphicFramePr/>
                <a:graphic xmlns:a="http://schemas.openxmlformats.org/drawingml/2006/main">
                  <a:graphicData uri="http://schemas.microsoft.com/office/word/2010/wordprocessingShape">
                    <wps:wsp>
                      <wps:cNvSpPr txBox="1"/>
                      <wps:spPr>
                        <a:xfrm rot="19800000">
                          <a:off x="0" y="0"/>
                          <a:ext cx="6308090" cy="1953260"/>
                        </a:xfrm>
                        <a:prstGeom prst="rect">
                          <a:avLst/>
                        </a:prstGeom>
                        <a:noFill/>
                        <a:ln w="3175">
                          <a:noFill/>
                        </a:ln>
                        <a:effectLst/>
                      </wps:spPr>
                      <wps:txbx>
                        <w:txbxContent>
                          <w:p w14:paraId="50C74993">
                            <w:pPr>
                              <w:spacing w:line="720" w:lineRule="auto"/>
                              <w:ind w:firstLine="480"/>
                              <w:jc w:val="center"/>
                              <w:rPr>
                                <w:rFonts w:hint="default" w:ascii="Times New Roman" w:hAnsi="Times New Roman" w:eastAsiaTheme="minorEastAsia"/>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pPr>
                            <w:r>
                              <w:rPr>
                                <w:rFonts w:ascii="Times New Roman" w:hAnsi="Times New Roman" w:eastAsiaTheme="minorEastAsia"/>
                                <w:b/>
                                <w:bCs/>
                                <w:color w:val="FF0000"/>
                                <w:sz w:val="32"/>
                                <w:szCs w:val="32"/>
                                <w:highlight w:val="none"/>
                                <w14:shadow w14:blurRad="50800" w14:dist="38100" w14:dir="2700000" w14:sx="100000" w14:sy="100000" w14:kx="0" w14:ky="0" w14:algn="tl">
                                  <w14:srgbClr w14:val="000000">
                                    <w14:alpha w14:val="60000"/>
                                  </w14:srgbClr>
                                </w14:shadow>
                              </w:rPr>
                              <w:t>仅</w:t>
                            </w:r>
                            <w:r>
                              <w:rPr>
                                <w:rFonts w:ascii="Times New Roman" w:hAnsi="Times New Roman"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限</w:t>
                            </w:r>
                            <w:r>
                              <w:rPr>
                                <w:rFonts w:hint="eastAsia"/>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t>邵阳市鑫腾阻燃新材料科技有限公司</w:t>
                            </w:r>
                          </w:p>
                          <w:p w14:paraId="76850D9F">
                            <w:pPr>
                              <w:spacing w:line="720" w:lineRule="auto"/>
                              <w:ind w:firstLine="480"/>
                              <w:jc w:val="center"/>
                              <w:rPr>
                                <w:rFonts w:hint="default" w:ascii="Times New Roman" w:hAnsi="Times New Roman" w:eastAsiaTheme="minorEastAsia"/>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pPr>
                            <w:r>
                              <w:rPr>
                                <w:rFonts w:hint="default"/>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t>红磷阻燃剂建设项目</w:t>
                            </w:r>
                          </w:p>
                          <w:p w14:paraId="187DA682">
                            <w:pPr>
                              <w:spacing w:line="720" w:lineRule="auto"/>
                              <w:ind w:firstLine="480"/>
                              <w:jc w:val="center"/>
                              <w:rPr>
                                <w:rFonts w:ascii="Times New Roman" w:hAnsi="Times New Roman" w:eastAsiaTheme="minorEastAsia"/>
                                <w:b/>
                                <w:bCs/>
                                <w:color w:val="FF0000"/>
                                <w:sz w:val="32"/>
                                <w:szCs w:val="32"/>
                                <w:highlight w:val="none"/>
                                <w14:shadow w14:blurRad="50800" w14:dist="38100" w14:dir="2700000" w14:sx="100000" w14:sy="100000" w14:kx="0" w14:ky="0" w14:algn="tl">
                                  <w14:srgbClr w14:val="000000">
                                    <w14:alpha w14:val="60000"/>
                                  </w14:srgbClr>
                                </w14:shadow>
                              </w:rPr>
                            </w:pPr>
                            <w:r>
                              <w:rPr>
                                <w:rFonts w:ascii="Times New Roman" w:hAnsi="Times New Roman"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竣工环境保护验收监测</w:t>
                            </w:r>
                            <w:r>
                              <w:rPr>
                                <w:rFonts w:hint="eastAsia"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报告</w:t>
                            </w:r>
                            <w:r>
                              <w:rPr>
                                <w:rFonts w:ascii="Times New Roman" w:hAnsi="Times New Roman"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表使用</w:t>
                            </w:r>
                          </w:p>
                        </w:txbxContent>
                      </wps:txbx>
                      <wps:bodyPr upright="0"/>
                    </wps:wsp>
                  </a:graphicData>
                </a:graphic>
              </wp:anchor>
            </w:drawing>
          </mc:Choice>
          <mc:Fallback>
            <w:pict>
              <v:shape id="_x0000_s1026" o:spid="_x0000_s1026" o:spt="202" type="#_x0000_t202" style="position:absolute;left:0pt;margin-left:-32.1pt;margin-top:248.2pt;height:153.8pt;width:496.7pt;rotation:-1966080f;z-index:251662336;mso-width-relative:page;mso-height-relative:page;" filled="f" stroked="f" coordsize="21600,21600" o:gfxdata="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fM1Jc2gAAAAsBAAAPAAAAAAAAAAEAIAAAACIAAABkcnMvZG93&#10;bnJldi54bWxQSwECFAAUAAAACACHTuJAxV+umsUBAAB1AwAADgAAAAAAAAABACAAAAApAQAAZHJz&#10;L2Uyb0RvYy54bWxQSwUGAAAAAAYABgBZAQAAYAUAAAAA&#10;">
                <v:fill on="f" focussize="0,0"/>
                <v:stroke on="f" weight="0.25pt"/>
                <v:imagedata o:title=""/>
                <o:lock v:ext="edit" aspectratio="f"/>
                <v:textbox>
                  <w:txbxContent>
                    <w:p w14:paraId="50C74993">
                      <w:pPr>
                        <w:spacing w:line="720" w:lineRule="auto"/>
                        <w:ind w:firstLine="480"/>
                        <w:jc w:val="center"/>
                        <w:rPr>
                          <w:rFonts w:hint="default" w:ascii="Times New Roman" w:hAnsi="Times New Roman" w:eastAsiaTheme="minorEastAsia"/>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pPr>
                      <w:r>
                        <w:rPr>
                          <w:rFonts w:ascii="Times New Roman" w:hAnsi="Times New Roman" w:eastAsiaTheme="minorEastAsia"/>
                          <w:b/>
                          <w:bCs/>
                          <w:color w:val="FF0000"/>
                          <w:sz w:val="32"/>
                          <w:szCs w:val="32"/>
                          <w:highlight w:val="none"/>
                          <w14:shadow w14:blurRad="50800" w14:dist="38100" w14:dir="2700000" w14:sx="100000" w14:sy="100000" w14:kx="0" w14:ky="0" w14:algn="tl">
                            <w14:srgbClr w14:val="000000">
                              <w14:alpha w14:val="60000"/>
                            </w14:srgbClr>
                          </w14:shadow>
                        </w:rPr>
                        <w:t>仅</w:t>
                      </w:r>
                      <w:r>
                        <w:rPr>
                          <w:rFonts w:ascii="Times New Roman" w:hAnsi="Times New Roman"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限</w:t>
                      </w:r>
                      <w:r>
                        <w:rPr>
                          <w:rFonts w:hint="eastAsia"/>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t>邵阳市鑫腾阻燃新材料科技有限公司</w:t>
                      </w:r>
                    </w:p>
                    <w:p w14:paraId="76850D9F">
                      <w:pPr>
                        <w:spacing w:line="720" w:lineRule="auto"/>
                        <w:ind w:firstLine="480"/>
                        <w:jc w:val="center"/>
                        <w:rPr>
                          <w:rFonts w:hint="default" w:ascii="Times New Roman" w:hAnsi="Times New Roman" w:eastAsiaTheme="minorEastAsia"/>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pPr>
                      <w:r>
                        <w:rPr>
                          <w:rFonts w:hint="default"/>
                          <w:b/>
                          <w:bCs/>
                          <w:color w:val="FF0000"/>
                          <w:spacing w:val="25"/>
                          <w:sz w:val="32"/>
                          <w:szCs w:val="32"/>
                          <w:highlight w:val="none"/>
                          <w:lang w:val="en" w:eastAsia="zh-CN"/>
                          <w14:shadow w14:blurRad="50800" w14:dist="38100" w14:dir="2700000" w14:sx="100000" w14:sy="100000" w14:kx="0" w14:ky="0" w14:algn="tl">
                            <w14:srgbClr w14:val="000000">
                              <w14:alpha w14:val="60000"/>
                            </w14:srgbClr>
                          </w14:shadow>
                        </w:rPr>
                        <w:t>红磷阻燃剂建设项目</w:t>
                      </w:r>
                    </w:p>
                    <w:p w14:paraId="187DA682">
                      <w:pPr>
                        <w:spacing w:line="720" w:lineRule="auto"/>
                        <w:ind w:firstLine="480"/>
                        <w:jc w:val="center"/>
                        <w:rPr>
                          <w:rFonts w:ascii="Times New Roman" w:hAnsi="Times New Roman" w:eastAsiaTheme="minorEastAsia"/>
                          <w:b/>
                          <w:bCs/>
                          <w:color w:val="FF0000"/>
                          <w:sz w:val="32"/>
                          <w:szCs w:val="32"/>
                          <w:highlight w:val="none"/>
                          <w14:shadow w14:blurRad="50800" w14:dist="38100" w14:dir="2700000" w14:sx="100000" w14:sy="100000" w14:kx="0" w14:ky="0" w14:algn="tl">
                            <w14:srgbClr w14:val="000000">
                              <w14:alpha w14:val="60000"/>
                            </w14:srgbClr>
                          </w14:shadow>
                        </w:rPr>
                      </w:pPr>
                      <w:r>
                        <w:rPr>
                          <w:rFonts w:ascii="Times New Roman" w:hAnsi="Times New Roman"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竣工环境保护验收监测</w:t>
                      </w:r>
                      <w:r>
                        <w:rPr>
                          <w:rFonts w:hint="eastAsia"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报告</w:t>
                      </w:r>
                      <w:r>
                        <w:rPr>
                          <w:rFonts w:ascii="Times New Roman" w:hAnsi="Times New Roman" w:eastAsiaTheme="minorEastAsia"/>
                          <w:b/>
                          <w:bCs/>
                          <w:color w:val="FF0000"/>
                          <w:spacing w:val="25"/>
                          <w:sz w:val="32"/>
                          <w:szCs w:val="32"/>
                          <w:highlight w:val="none"/>
                          <w14:shadow w14:blurRad="50800" w14:dist="38100" w14:dir="2700000" w14:sx="100000" w14:sy="100000" w14:kx="0" w14:ky="0" w14:algn="tl">
                            <w14:srgbClr w14:val="000000">
                              <w14:alpha w14:val="60000"/>
                            </w14:srgbClr>
                          </w14:shadow>
                        </w:rPr>
                        <w:t>表使用</w:t>
                      </w:r>
                    </w:p>
                  </w:txbxContent>
                </v:textbox>
              </v:shape>
            </w:pict>
          </mc:Fallback>
        </mc:AlternateContent>
      </w:r>
      <w:r>
        <w:rPr>
          <w:rFonts w:hint="default" w:ascii="Times New Roman" w:hAnsi="Times New Roman" w:cs="Times New Roman" w:eastAsiaTheme="minorEastAsia"/>
          <w:kern w:val="2"/>
          <w:sz w:val="21"/>
          <w:szCs w:val="22"/>
          <w:lang w:val="en-US" w:eastAsia="zh-CN" w:bidi="ar-SA"/>
        </w:rPr>
        <w:drawing>
          <wp:inline distT="0" distB="0" distL="114300" distR="114300">
            <wp:extent cx="5644515" cy="8458200"/>
            <wp:effectExtent l="0" t="0" r="13335" b="0"/>
            <wp:docPr id="39" name="图片 39" descr="041009055087_0检验检测机构资质认定证书(1)_1"/>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39" name="图片 39" descr="041009055087_0检验检测机构资质认定证书(1)_1"/>
                    <pic:cNvPicPr>
                      <a:picLocks noChangeAspect="1"/>
                    </pic:cNvPicPr>
                  </pic:nvPicPr>
                  <pic:blipFill>
                    <a:blip r:embed="rId16"/>
                    <a:srcRect l="3674" t="3304" r="3686" b="5590"/>
                    <a:stretch>
                      <a:fillRect/>
                    </a:stretch>
                  </pic:blipFill>
                  <pic:spPr>
                    <a:xfrm>
                      <a:off x="0" y="0"/>
                      <a:ext cx="5644515" cy="8458200"/>
                    </a:xfrm>
                    <a:prstGeom prst="rect">
                      <a:avLst/>
                    </a:prstGeom>
                  </pic:spPr>
                </pic:pic>
              </a:graphicData>
            </a:graphic>
          </wp:inline>
        </w:drawing>
      </w:r>
    </w:p>
    <w:sdt>
      <w:sdtPr>
        <w:rPr>
          <w:rFonts w:hint="default" w:ascii="Times New Roman" w:hAnsi="Times New Roman" w:eastAsia="宋体" w:cs="Times New Roman"/>
          <w:b w:val="0"/>
          <w:bCs w:val="0"/>
          <w:kern w:val="2"/>
          <w:sz w:val="28"/>
          <w:szCs w:val="28"/>
          <w:lang w:val="en-US" w:eastAsia="zh-CN" w:bidi="ar-SA"/>
        </w:rPr>
        <w:id w:val="147467260"/>
        <w15:color w:val="DBDBDB"/>
        <w:docPartObj>
          <w:docPartGallery w:val="Table of Contents"/>
          <w:docPartUnique/>
        </w:docPartObj>
      </w:sdtPr>
      <w:sdtEndPr>
        <w:rPr>
          <w:rFonts w:hint="default" w:ascii="Times New Roman" w:hAnsi="Times New Roman" w:cs="Times New Roman" w:eastAsiaTheme="minorEastAsia"/>
          <w:b w:val="0"/>
          <w:bCs w:val="0"/>
          <w:kern w:val="2"/>
          <w:sz w:val="28"/>
          <w:szCs w:val="28"/>
          <w:lang w:val="en-US" w:eastAsia="zh-CN" w:bidi="ar-SA"/>
        </w:rPr>
      </w:sdtEndPr>
      <w:sdtContent>
        <w:p w14:paraId="03E908DE">
          <w:pPr>
            <w:spacing w:before="0" w:beforeLines="0" w:after="0" w:afterLines="0" w:line="240" w:lineRule="auto"/>
            <w:ind w:left="0" w:leftChars="0" w:right="0" w:rightChars="0" w:firstLine="0" w:firstLineChars="0"/>
            <w:jc w:val="center"/>
            <w:rPr>
              <w:rFonts w:hint="default" w:ascii="Times New Roman" w:hAnsi="Times New Roman" w:cs="Times New Roman"/>
              <w:b w:val="0"/>
              <w:bCs w:val="0"/>
              <w:sz w:val="28"/>
              <w:szCs w:val="28"/>
            </w:rPr>
          </w:pPr>
          <w:r>
            <w:rPr>
              <w:rFonts w:hint="default" w:ascii="Times New Roman" w:hAnsi="Times New Roman" w:eastAsia="宋体" w:cs="Times New Roman"/>
              <w:b/>
              <w:bCs/>
              <w:sz w:val="44"/>
              <w:szCs w:val="44"/>
            </w:rPr>
            <w:t>目</w:t>
          </w:r>
          <w:r>
            <w:rPr>
              <w:rFonts w:hint="default" w:ascii="Times New Roman" w:hAnsi="Times New Roman" w:eastAsia="宋体" w:cs="Times New Roman"/>
              <w:b/>
              <w:bCs/>
              <w:sz w:val="44"/>
              <w:szCs w:val="44"/>
              <w:lang w:val="en-US" w:eastAsia="zh-CN"/>
            </w:rPr>
            <w:t xml:space="preserve">  </w:t>
          </w:r>
          <w:r>
            <w:rPr>
              <w:rFonts w:hint="default" w:ascii="Times New Roman" w:hAnsi="Times New Roman" w:eastAsia="宋体" w:cs="Times New Roman"/>
              <w:b/>
              <w:bCs/>
              <w:sz w:val="44"/>
              <w:szCs w:val="44"/>
            </w:rPr>
            <w:t>录</w:t>
          </w:r>
        </w:p>
        <w:p w14:paraId="65114929">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val="0"/>
              <w:sz w:val="24"/>
              <w:szCs w:val="24"/>
              <w:lang w:eastAsia="zh-CN"/>
            </w:rPr>
            <w:fldChar w:fldCharType="begin"/>
          </w:r>
          <w:r>
            <w:rPr>
              <w:rFonts w:hint="default" w:ascii="Times New Roman" w:hAnsi="Times New Roman" w:eastAsia="仿宋" w:cs="Times New Roman"/>
              <w:b w:val="0"/>
              <w:bCs w:val="0"/>
              <w:sz w:val="24"/>
              <w:szCs w:val="24"/>
              <w:lang w:eastAsia="zh-CN"/>
            </w:rPr>
            <w:instrText xml:space="preserve">TOC \o "1-1" \h \u </w:instrText>
          </w:r>
          <w:r>
            <w:rPr>
              <w:rFonts w:hint="default" w:ascii="Times New Roman" w:hAnsi="Times New Roman" w:eastAsia="仿宋" w:cs="Times New Roman"/>
              <w:b w:val="0"/>
              <w:bCs w:val="0"/>
              <w:sz w:val="24"/>
              <w:szCs w:val="24"/>
              <w:lang w:eastAsia="zh-CN"/>
            </w:rPr>
            <w:fldChar w:fldCharType="separate"/>
          </w: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_Toc8208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表一</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rPr>
            <w:t>验收项目概况</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_Toc8208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1</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19C37319">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_Toc19332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表二</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rPr>
            <w:t>工程建设情况</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_Toc19332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47F2AFFB">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_Toc28397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表三</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主要污染源、污染物处理和排放</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_Toc28397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12</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6850AC49">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_Toc26454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表四</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建设项目环境影响报告表主要结论及审批部门决定</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_Toc26454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18</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68550C45">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_Toc6753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表五</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验收监测质量保证及质量控制</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_Toc6753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20</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40FEC08F">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_Toc8156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表六</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验收监测内容</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_Toc8156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24</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48AA40C5">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_Toc6468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表七</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验收监测结果</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_Toc6468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26</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41D97578">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_Toc7798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表八</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验收检测总结论</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_Toc7798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29</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69C0268C">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_Toc19919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附件1：建设项目工程竣工环境保护“三同时”验收登记表</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_Toc19919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31</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2F460DEB">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_Toc2407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附件2：委托函</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_Toc2407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32</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7436B4ED">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_Toc9830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附件4：排污许可证</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_Toc9830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37</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24233CC7">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_Toc6662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附件5：应急预案备案表</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_Toc6662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38</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2288261D">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_Toc29050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附件6：检测单位资质能力表</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_Toc29050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40</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30D0FAD9">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_Toc23956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附件7：监测、分析人员资质</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_Toc23956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43</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4F75D8AB">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_Toc26008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附件</w:t>
          </w:r>
          <w:r>
            <w:rPr>
              <w:rFonts w:hint="default" w:ascii="Times New Roman" w:hAnsi="Times New Roman" w:eastAsia="仿宋" w:cs="Times New Roman"/>
              <w:b w:val="0"/>
              <w:bCs/>
              <w:sz w:val="32"/>
              <w:szCs w:val="32"/>
              <w:lang w:val="en-US" w:eastAsia="zh-CN"/>
            </w:rPr>
            <w:t>8</w:t>
          </w:r>
          <w:r>
            <w:rPr>
              <w:rFonts w:hint="default" w:ascii="Times New Roman" w:hAnsi="Times New Roman" w:eastAsia="仿宋" w:cs="Times New Roman"/>
              <w:b w:val="0"/>
              <w:bCs/>
              <w:sz w:val="32"/>
              <w:szCs w:val="32"/>
            </w:rPr>
            <w:t>：现场照片</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_Toc26008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44</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5E0F97B2">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_Toc15754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rPr>
            <w:t>附件</w:t>
          </w:r>
          <w:r>
            <w:rPr>
              <w:rFonts w:hint="default" w:ascii="Times New Roman" w:hAnsi="Times New Roman" w:eastAsia="仿宋" w:cs="Times New Roman"/>
              <w:b w:val="0"/>
              <w:bCs/>
              <w:sz w:val="32"/>
              <w:szCs w:val="32"/>
              <w:lang w:val="en-US" w:eastAsia="zh-CN"/>
            </w:rPr>
            <w:t>9</w:t>
          </w:r>
          <w:r>
            <w:rPr>
              <w:rFonts w:hint="default" w:ascii="Times New Roman" w:hAnsi="Times New Roman" w:eastAsia="仿宋" w:cs="Times New Roman"/>
              <w:b w:val="0"/>
              <w:bCs/>
              <w:sz w:val="32"/>
              <w:szCs w:val="32"/>
            </w:rPr>
            <w:t>：项目地理位置图</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_Toc15754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45</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2D217148">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_Toc9959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附件9：平面布置图</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_Toc9959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46</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7D062BD1">
          <w:pPr>
            <w:pStyle w:val="20"/>
            <w:tabs>
              <w:tab w:val="right" w:leader="dot" w:pos="9070"/>
            </w:tabs>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_Toc5028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附件10：监测点位图</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_Toc5028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47</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7DF9B915">
          <w:pPr>
            <w:pStyle w:val="20"/>
            <w:tabs>
              <w:tab w:val="right" w:leader="dot" w:pos="9070"/>
            </w:tabs>
          </w:pPr>
          <w:r>
            <w:rPr>
              <w:rFonts w:hint="default" w:ascii="Times New Roman" w:hAnsi="Times New Roman" w:eastAsia="仿宋" w:cs="Times New Roman"/>
              <w:b w:val="0"/>
              <w:bCs/>
              <w:sz w:val="32"/>
              <w:szCs w:val="32"/>
              <w:lang w:eastAsia="zh-CN"/>
            </w:rPr>
            <w:fldChar w:fldCharType="begin"/>
          </w:r>
          <w:r>
            <w:rPr>
              <w:rFonts w:hint="default" w:ascii="Times New Roman" w:hAnsi="Times New Roman" w:eastAsia="仿宋" w:cs="Times New Roman"/>
              <w:b w:val="0"/>
              <w:bCs/>
              <w:sz w:val="32"/>
              <w:szCs w:val="32"/>
              <w:lang w:eastAsia="zh-CN"/>
            </w:rPr>
            <w:instrText xml:space="preserve"> HYPERLINK \l _Toc7586 </w:instrText>
          </w:r>
          <w:r>
            <w:rPr>
              <w:rFonts w:hint="default" w:ascii="Times New Roman" w:hAnsi="Times New Roman" w:eastAsia="仿宋" w:cs="Times New Roman"/>
              <w:b w:val="0"/>
              <w:bCs/>
              <w:sz w:val="32"/>
              <w:szCs w:val="32"/>
              <w:lang w:eastAsia="zh-CN"/>
            </w:rPr>
            <w:fldChar w:fldCharType="separate"/>
          </w:r>
          <w:r>
            <w:rPr>
              <w:rFonts w:hint="default" w:ascii="Times New Roman" w:hAnsi="Times New Roman" w:eastAsia="仿宋" w:cs="Times New Roman"/>
              <w:b w:val="0"/>
              <w:bCs/>
              <w:sz w:val="32"/>
              <w:szCs w:val="32"/>
              <w:lang w:val="en-US" w:eastAsia="zh-CN"/>
            </w:rPr>
            <w:t>附件11：检测报告</w:t>
          </w:r>
          <w:r>
            <w:rPr>
              <w:rFonts w:hint="default" w:ascii="Times New Roman" w:hAnsi="Times New Roman" w:eastAsia="仿宋" w:cs="Times New Roman"/>
              <w:b w:val="0"/>
              <w:bCs/>
              <w:sz w:val="32"/>
              <w:szCs w:val="32"/>
            </w:rPr>
            <w:tab/>
          </w:r>
          <w:r>
            <w:rPr>
              <w:rFonts w:hint="default" w:ascii="Times New Roman" w:hAnsi="Times New Roman" w:eastAsia="仿宋" w:cs="Times New Roman"/>
              <w:b w:val="0"/>
              <w:bCs/>
              <w:sz w:val="32"/>
              <w:szCs w:val="32"/>
            </w:rPr>
            <w:fldChar w:fldCharType="begin"/>
          </w:r>
          <w:r>
            <w:rPr>
              <w:rFonts w:hint="default" w:ascii="Times New Roman" w:hAnsi="Times New Roman" w:eastAsia="仿宋" w:cs="Times New Roman"/>
              <w:b w:val="0"/>
              <w:bCs/>
              <w:sz w:val="32"/>
              <w:szCs w:val="32"/>
            </w:rPr>
            <w:instrText xml:space="preserve"> PAGEREF _Toc7586 \h </w:instrText>
          </w:r>
          <w:r>
            <w:rPr>
              <w:rFonts w:hint="default" w:ascii="Times New Roman" w:hAnsi="Times New Roman" w:eastAsia="仿宋" w:cs="Times New Roman"/>
              <w:b w:val="0"/>
              <w:bCs/>
              <w:sz w:val="32"/>
              <w:szCs w:val="32"/>
            </w:rPr>
            <w:fldChar w:fldCharType="separate"/>
          </w:r>
          <w:r>
            <w:rPr>
              <w:rFonts w:hint="default" w:ascii="Times New Roman" w:hAnsi="Times New Roman" w:eastAsia="仿宋" w:cs="Times New Roman"/>
              <w:b w:val="0"/>
              <w:bCs/>
              <w:sz w:val="32"/>
              <w:szCs w:val="32"/>
            </w:rPr>
            <w:t>48</w:t>
          </w:r>
          <w:r>
            <w:rPr>
              <w:rFonts w:hint="default" w:ascii="Times New Roman" w:hAnsi="Times New Roman" w:eastAsia="仿宋" w:cs="Times New Roman"/>
              <w:b w:val="0"/>
              <w:bCs/>
              <w:sz w:val="32"/>
              <w:szCs w:val="32"/>
            </w:rPr>
            <w:fldChar w:fldCharType="end"/>
          </w:r>
          <w:r>
            <w:rPr>
              <w:rFonts w:hint="default" w:ascii="Times New Roman" w:hAnsi="Times New Roman" w:eastAsia="仿宋" w:cs="Times New Roman"/>
              <w:b w:val="0"/>
              <w:bCs/>
              <w:sz w:val="32"/>
              <w:szCs w:val="32"/>
              <w:lang w:eastAsia="zh-CN"/>
            </w:rPr>
            <w:fldChar w:fldCharType="end"/>
          </w:r>
        </w:p>
        <w:p w14:paraId="5DA41C30">
          <w:pPr>
            <w:pStyle w:val="9"/>
            <w:rPr>
              <w:rFonts w:hint="default" w:ascii="Times New Roman" w:hAnsi="Times New Roman" w:cs="Times New Roman"/>
              <w:b w:val="0"/>
              <w:bCs w:val="0"/>
              <w:sz w:val="28"/>
              <w:szCs w:val="28"/>
              <w:lang w:eastAsia="zh-CN"/>
            </w:rPr>
            <w:sectPr>
              <w:type w:val="continuous"/>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326" w:charSpace="0"/>
            </w:sectPr>
          </w:pPr>
          <w:r>
            <w:rPr>
              <w:rFonts w:hint="default" w:ascii="Times New Roman" w:hAnsi="Times New Roman" w:eastAsia="仿宋" w:cs="Times New Roman"/>
              <w:bCs w:val="0"/>
              <w:szCs w:val="24"/>
              <w:lang w:eastAsia="zh-CN"/>
            </w:rPr>
            <w:fldChar w:fldCharType="end"/>
          </w:r>
        </w:p>
      </w:sdtContent>
    </w:sdt>
    <w:p w14:paraId="2AD105CD">
      <w:pPr>
        <w:pStyle w:val="2"/>
        <w:rPr>
          <w:rFonts w:hint="default" w:ascii="Times New Roman" w:hAnsi="Times New Roman" w:eastAsia="黑体" w:cs="Times New Roman"/>
          <w:lang w:eastAsia="zh-CN"/>
        </w:rPr>
      </w:pPr>
      <w:bookmarkStart w:id="0" w:name="_Toc8208"/>
      <w:bookmarkStart w:id="1" w:name="_Toc514764524"/>
      <w:bookmarkStart w:id="2" w:name="_Toc493019583"/>
      <w:r>
        <w:rPr>
          <w:rFonts w:hint="default" w:ascii="Times New Roman" w:hAnsi="Times New Roman" w:cs="Times New Roman"/>
        </w:rPr>
        <w:t>表一</w:t>
      </w:r>
      <w:r>
        <w:rPr>
          <w:rFonts w:hint="default" w:ascii="Times New Roman" w:hAnsi="Times New Roman" w:cs="Times New Roman"/>
          <w:lang w:eastAsia="zh-CN"/>
        </w:rPr>
        <w:t>：</w:t>
      </w:r>
      <w:r>
        <w:rPr>
          <w:rFonts w:hint="default" w:ascii="Times New Roman" w:hAnsi="Times New Roman" w:cs="Times New Roman" w:eastAsiaTheme="minorEastAsia"/>
          <w:b/>
          <w:color w:val="auto"/>
          <w:sz w:val="32"/>
          <w:szCs w:val="32"/>
        </w:rPr>
        <w:t>验收项目概况</w:t>
      </w:r>
      <w:bookmarkEnd w:id="0"/>
    </w:p>
    <w:tbl>
      <w:tblPr>
        <w:tblStyle w:val="32"/>
        <w:tblW w:w="9403"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242"/>
        <w:gridCol w:w="993"/>
        <w:gridCol w:w="2172"/>
        <w:gridCol w:w="2145"/>
        <w:gridCol w:w="879"/>
        <w:gridCol w:w="720"/>
        <w:gridCol w:w="1252"/>
      </w:tblGrid>
      <w:tr w14:paraId="4C19A62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89" w:hRule="atLeast"/>
        </w:trPr>
        <w:tc>
          <w:tcPr>
            <w:tcW w:w="2235" w:type="dxa"/>
            <w:gridSpan w:val="2"/>
            <w:vAlign w:val="center"/>
          </w:tcPr>
          <w:p w14:paraId="3630D823">
            <w:pPr>
              <w:ind w:firstLine="0" w:firstLineChars="0"/>
              <w:jc w:val="center"/>
              <w:rPr>
                <w:rFonts w:hint="default" w:ascii="Times New Roman" w:hAnsi="Times New Roman" w:cs="Times New Roman"/>
                <w:b/>
              </w:rPr>
            </w:pPr>
            <w:r>
              <w:rPr>
                <w:rFonts w:hint="default" w:ascii="Times New Roman" w:hAnsi="Times New Roman" w:cs="Times New Roman"/>
                <w:b/>
              </w:rPr>
              <w:t>建设项目名称</w:t>
            </w:r>
          </w:p>
        </w:tc>
        <w:tc>
          <w:tcPr>
            <w:tcW w:w="7168" w:type="dxa"/>
            <w:gridSpan w:val="5"/>
            <w:vAlign w:val="center"/>
          </w:tcPr>
          <w:p w14:paraId="763AB47A">
            <w:pPr>
              <w:ind w:firstLine="0" w:firstLineChars="0"/>
              <w:jc w:val="center"/>
              <w:rPr>
                <w:rFonts w:hint="default" w:ascii="Times New Roman" w:hAnsi="Times New Roman" w:cs="Times New Roman"/>
                <w:lang w:val="en" w:eastAsia="zh-CN"/>
              </w:rPr>
            </w:pPr>
            <w:r>
              <w:rPr>
                <w:rFonts w:hint="eastAsia" w:cs="Times New Roman"/>
                <w:lang w:val="en" w:eastAsia="zh-CN"/>
              </w:rPr>
              <w:t>邵阳市鑫腾阻燃新材料科技有限公司</w:t>
            </w:r>
          </w:p>
          <w:p w14:paraId="740A8D46">
            <w:pPr>
              <w:ind w:firstLine="0" w:firstLineChars="0"/>
              <w:jc w:val="center"/>
              <w:rPr>
                <w:rFonts w:hint="default" w:ascii="Times New Roman" w:hAnsi="Times New Roman" w:cs="Times New Roman" w:eastAsiaTheme="minorEastAsia"/>
                <w:lang w:val="en" w:eastAsia="zh-CN"/>
              </w:rPr>
            </w:pPr>
            <w:r>
              <w:rPr>
                <w:rFonts w:hint="eastAsia" w:cs="Times New Roman"/>
                <w:lang w:val="en" w:eastAsia="zh-CN"/>
              </w:rPr>
              <w:t>红磷阻燃剂建设项目</w:t>
            </w:r>
          </w:p>
        </w:tc>
      </w:tr>
      <w:tr w14:paraId="3C8F7E4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96" w:hRule="atLeast"/>
        </w:trPr>
        <w:tc>
          <w:tcPr>
            <w:tcW w:w="2235" w:type="dxa"/>
            <w:gridSpan w:val="2"/>
            <w:vAlign w:val="center"/>
          </w:tcPr>
          <w:p w14:paraId="74614CAC">
            <w:pPr>
              <w:ind w:firstLine="0" w:firstLineChars="0"/>
              <w:jc w:val="center"/>
              <w:rPr>
                <w:rFonts w:hint="default" w:ascii="Times New Roman" w:hAnsi="Times New Roman" w:cs="Times New Roman"/>
                <w:b/>
              </w:rPr>
            </w:pPr>
            <w:r>
              <w:rPr>
                <w:rFonts w:hint="default" w:ascii="Times New Roman" w:hAnsi="Times New Roman" w:cs="Times New Roman"/>
                <w:b/>
              </w:rPr>
              <w:t>建设单位名称</w:t>
            </w:r>
          </w:p>
        </w:tc>
        <w:tc>
          <w:tcPr>
            <w:tcW w:w="7168" w:type="dxa"/>
            <w:gridSpan w:val="5"/>
            <w:vAlign w:val="center"/>
          </w:tcPr>
          <w:p w14:paraId="0289709B">
            <w:pPr>
              <w:ind w:firstLine="0" w:firstLineChars="0"/>
              <w:jc w:val="center"/>
              <w:rPr>
                <w:rFonts w:hint="default" w:ascii="Times New Roman" w:hAnsi="Times New Roman" w:cs="Times New Roman" w:eastAsiaTheme="minorEastAsia"/>
                <w:lang w:val="en" w:eastAsia="zh-CN"/>
              </w:rPr>
            </w:pPr>
            <w:r>
              <w:rPr>
                <w:rFonts w:hint="eastAsia" w:cs="Times New Roman"/>
                <w:lang w:val="en" w:eastAsia="zh-CN"/>
              </w:rPr>
              <w:t>邵阳市鑫腾阻燃新材料科技有限公司</w:t>
            </w:r>
          </w:p>
        </w:tc>
      </w:tr>
      <w:tr w14:paraId="02375CE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96" w:hRule="atLeast"/>
        </w:trPr>
        <w:tc>
          <w:tcPr>
            <w:tcW w:w="2235" w:type="dxa"/>
            <w:gridSpan w:val="2"/>
            <w:vAlign w:val="center"/>
          </w:tcPr>
          <w:p w14:paraId="30D15ED6">
            <w:pPr>
              <w:ind w:firstLine="0" w:firstLineChars="0"/>
              <w:jc w:val="center"/>
              <w:rPr>
                <w:rFonts w:hint="default" w:ascii="Times New Roman" w:hAnsi="Times New Roman" w:cs="Times New Roman"/>
                <w:b/>
              </w:rPr>
            </w:pPr>
            <w:r>
              <w:rPr>
                <w:rFonts w:hint="default" w:ascii="Times New Roman" w:hAnsi="Times New Roman" w:cs="Times New Roman"/>
                <w:b/>
              </w:rPr>
              <w:t>建设项目性质</w:t>
            </w:r>
          </w:p>
        </w:tc>
        <w:tc>
          <w:tcPr>
            <w:tcW w:w="7168" w:type="dxa"/>
            <w:gridSpan w:val="5"/>
            <w:vAlign w:val="center"/>
          </w:tcPr>
          <w:p w14:paraId="2FE655AF">
            <w:pPr>
              <w:ind w:firstLine="0" w:firstLineChars="0"/>
              <w:jc w:val="center"/>
              <w:rPr>
                <w:rFonts w:hint="default" w:ascii="Times New Roman" w:hAnsi="Times New Roman" w:cs="Times New Roman"/>
                <w:b/>
                <w:lang w:val="en-US" w:eastAsia="zh-CN"/>
              </w:rPr>
            </w:pPr>
            <w:r>
              <w:rPr>
                <w:rFonts w:hint="default" w:ascii="Times New Roman" w:hAnsi="Times New Roman" w:cs="Times New Roman"/>
                <w:lang w:val="en-US" w:eastAsia="zh-CN"/>
              </w:rPr>
              <w:sym w:font="Wingdings" w:char="00FE"/>
            </w:r>
            <w:r>
              <w:rPr>
                <w:rFonts w:hint="default" w:ascii="Times New Roman" w:hAnsi="Times New Roman" w:cs="Times New Roman"/>
                <w:lang w:val="en-US" w:eastAsia="zh-CN"/>
              </w:rPr>
              <w:t xml:space="preserve">新建  </w:t>
            </w:r>
            <w:r>
              <w:rPr>
                <w:rFonts w:hint="default" w:ascii="Times New Roman" w:hAnsi="Times New Roman" w:cs="Times New Roman"/>
                <w:lang w:val="en-US" w:eastAsia="zh-CN"/>
              </w:rPr>
              <w:sym w:font="Wingdings" w:char="00A8"/>
            </w:r>
            <w:r>
              <w:rPr>
                <w:rFonts w:hint="default" w:ascii="Times New Roman" w:hAnsi="Times New Roman" w:cs="Times New Roman"/>
                <w:lang w:val="en-US" w:eastAsia="zh-CN"/>
              </w:rPr>
              <w:t xml:space="preserve">改扩建  </w:t>
            </w:r>
            <w:r>
              <w:rPr>
                <w:rFonts w:hint="default" w:ascii="Times New Roman" w:hAnsi="Times New Roman" w:cs="Times New Roman"/>
                <w:lang w:val="en-US" w:eastAsia="zh-CN"/>
              </w:rPr>
              <w:sym w:font="Wingdings" w:char="00A8"/>
            </w:r>
            <w:r>
              <w:rPr>
                <w:rFonts w:hint="default" w:ascii="Times New Roman" w:hAnsi="Times New Roman" w:cs="Times New Roman"/>
                <w:lang w:val="en-US" w:eastAsia="zh-CN"/>
              </w:rPr>
              <w:t xml:space="preserve">技改  </w:t>
            </w:r>
            <w:r>
              <w:rPr>
                <w:rFonts w:hint="default" w:ascii="Times New Roman" w:hAnsi="Times New Roman" w:cs="Times New Roman"/>
                <w:lang w:val="en-US" w:eastAsia="zh-CN"/>
              </w:rPr>
              <w:sym w:font="Wingdings" w:char="00A8"/>
            </w:r>
            <w:r>
              <w:rPr>
                <w:rFonts w:hint="default" w:ascii="Times New Roman" w:hAnsi="Times New Roman" w:cs="Times New Roman"/>
                <w:lang w:val="en-US" w:eastAsia="zh-CN"/>
              </w:rPr>
              <w:t>迁建</w:t>
            </w:r>
          </w:p>
        </w:tc>
      </w:tr>
      <w:tr w14:paraId="3AA4F63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50" w:hRule="atLeast"/>
        </w:trPr>
        <w:tc>
          <w:tcPr>
            <w:tcW w:w="2235" w:type="dxa"/>
            <w:gridSpan w:val="2"/>
            <w:vAlign w:val="center"/>
          </w:tcPr>
          <w:p w14:paraId="610EC204">
            <w:pPr>
              <w:ind w:firstLine="0" w:firstLineChars="0"/>
              <w:jc w:val="center"/>
              <w:rPr>
                <w:rFonts w:hint="default" w:ascii="Times New Roman" w:hAnsi="Times New Roman" w:cs="Times New Roman"/>
                <w:b/>
              </w:rPr>
            </w:pPr>
            <w:r>
              <w:rPr>
                <w:rFonts w:hint="default" w:ascii="Times New Roman" w:hAnsi="Times New Roman" w:cs="Times New Roman"/>
                <w:b/>
              </w:rPr>
              <w:t>建设地点</w:t>
            </w:r>
          </w:p>
        </w:tc>
        <w:tc>
          <w:tcPr>
            <w:tcW w:w="7168" w:type="dxa"/>
            <w:gridSpan w:val="5"/>
            <w:vAlign w:val="center"/>
          </w:tcPr>
          <w:p w14:paraId="2DE81272">
            <w:pPr>
              <w:ind w:firstLine="0" w:firstLineChars="0"/>
              <w:jc w:val="center"/>
              <w:rPr>
                <w:rFonts w:hint="default" w:ascii="Times New Roman" w:hAnsi="Times New Roman" w:cs="Times New Roman" w:eastAsiaTheme="minorEastAsia"/>
                <w:sz w:val="24"/>
                <w:szCs w:val="24"/>
                <w:lang w:eastAsia="zh-CN"/>
              </w:rPr>
            </w:pPr>
            <w:r>
              <w:rPr>
                <w:rFonts w:hint="default" w:ascii="Times New Roman" w:hAnsi="Times New Roman" w:cs="Times New Roman"/>
                <w:szCs w:val="21"/>
                <w:lang w:eastAsia="zh-CN"/>
              </w:rPr>
              <w:t>湖南省邵阳县长阳铺镇长阳铺村工业集中区5栋厂房</w:t>
            </w:r>
          </w:p>
          <w:p w14:paraId="613509D9">
            <w:pPr>
              <w:ind w:firstLine="0" w:firstLineChars="0"/>
              <w:jc w:val="center"/>
              <w:rPr>
                <w:rFonts w:hint="default" w:ascii="Times New Roman" w:hAnsi="Times New Roman" w:cs="Times New Roman" w:eastAsiaTheme="minorEastAsia"/>
                <w:lang w:val="en-US" w:eastAsia="zh-CN"/>
              </w:rPr>
            </w:pPr>
            <w:r>
              <w:rPr>
                <w:rFonts w:hint="default" w:ascii="Times New Roman" w:hAnsi="Times New Roman" w:cs="Times New Roman"/>
                <w:sz w:val="24"/>
                <w:szCs w:val="24"/>
              </w:rPr>
              <w:t>（东经111.32177131°，北纬27.23752267°）</w:t>
            </w:r>
          </w:p>
        </w:tc>
      </w:tr>
      <w:tr w14:paraId="3722D9A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1064A202">
            <w:pPr>
              <w:ind w:firstLine="0" w:firstLineChars="0"/>
              <w:jc w:val="center"/>
              <w:rPr>
                <w:rFonts w:hint="default" w:ascii="Times New Roman" w:hAnsi="Times New Roman" w:cs="Times New Roman"/>
                <w:b/>
              </w:rPr>
            </w:pPr>
            <w:r>
              <w:rPr>
                <w:rFonts w:hint="default" w:ascii="Times New Roman" w:hAnsi="Times New Roman" w:cs="Times New Roman"/>
                <w:b/>
              </w:rPr>
              <w:t>主要产品名称</w:t>
            </w:r>
          </w:p>
        </w:tc>
        <w:tc>
          <w:tcPr>
            <w:tcW w:w="7168" w:type="dxa"/>
            <w:gridSpan w:val="5"/>
            <w:vAlign w:val="center"/>
          </w:tcPr>
          <w:p w14:paraId="19232F5F">
            <w:pPr>
              <w:ind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Cs w:val="21"/>
                <w:lang w:val="en" w:eastAsia="zh-CN"/>
              </w:rPr>
              <w:t>红磷阻燃剂</w:t>
            </w:r>
          </w:p>
        </w:tc>
      </w:tr>
      <w:tr w14:paraId="324663C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02AA8F34">
            <w:pPr>
              <w:ind w:firstLine="0" w:firstLineChars="0"/>
              <w:jc w:val="center"/>
              <w:rPr>
                <w:rFonts w:hint="default" w:ascii="Times New Roman" w:hAnsi="Times New Roman" w:cs="Times New Roman"/>
                <w:b/>
              </w:rPr>
            </w:pPr>
            <w:r>
              <w:rPr>
                <w:rFonts w:hint="default" w:ascii="Times New Roman" w:hAnsi="Times New Roman" w:cs="Times New Roman"/>
                <w:b/>
              </w:rPr>
              <w:t>设计生产能力</w:t>
            </w:r>
          </w:p>
        </w:tc>
        <w:tc>
          <w:tcPr>
            <w:tcW w:w="7168" w:type="dxa"/>
            <w:gridSpan w:val="5"/>
            <w:vAlign w:val="center"/>
          </w:tcPr>
          <w:p w14:paraId="2A1DA793">
            <w:pPr>
              <w:ind w:firstLine="0" w:firstLineChars="0"/>
              <w:jc w:val="center"/>
              <w:rPr>
                <w:rFonts w:hint="default" w:ascii="Times New Roman" w:hAnsi="Times New Roman" w:cs="Times New Roman"/>
                <w:vertAlign w:val="baseline"/>
              </w:rPr>
            </w:pPr>
            <w:r>
              <w:rPr>
                <w:rFonts w:hint="default" w:ascii="Times New Roman" w:hAnsi="Times New Roman" w:cs="Times New Roman"/>
                <w:vertAlign w:val="baseline"/>
                <w:lang w:val="en-US" w:eastAsia="zh-CN"/>
              </w:rPr>
              <w:t>年产油相超细红磷阻燃剂4000吨（其中2000吨直接外售、2000吨用于生产红磷阻燃母粒）、红磷阻燃母粒4000吨</w:t>
            </w:r>
          </w:p>
        </w:tc>
      </w:tr>
      <w:tr w14:paraId="31A396E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3CFA5889">
            <w:pPr>
              <w:ind w:firstLine="0" w:firstLineChars="0"/>
              <w:jc w:val="center"/>
              <w:rPr>
                <w:rFonts w:hint="default" w:ascii="Times New Roman" w:hAnsi="Times New Roman" w:cs="Times New Roman"/>
                <w:b/>
              </w:rPr>
            </w:pPr>
            <w:r>
              <w:rPr>
                <w:rFonts w:hint="default" w:ascii="Times New Roman" w:hAnsi="Times New Roman" w:cs="Times New Roman"/>
                <w:b/>
              </w:rPr>
              <w:t>实际生产能力</w:t>
            </w:r>
          </w:p>
        </w:tc>
        <w:tc>
          <w:tcPr>
            <w:tcW w:w="7168" w:type="dxa"/>
            <w:gridSpan w:val="5"/>
            <w:vAlign w:val="center"/>
          </w:tcPr>
          <w:p w14:paraId="19474412">
            <w:pPr>
              <w:ind w:firstLine="0" w:firstLineChars="0"/>
              <w:jc w:val="center"/>
              <w:rPr>
                <w:rFonts w:hint="default" w:ascii="Times New Roman" w:hAnsi="Times New Roman" w:cs="Times New Roman"/>
                <w:vertAlign w:val="baseline"/>
              </w:rPr>
            </w:pPr>
            <w:r>
              <w:rPr>
                <w:rFonts w:hint="default" w:ascii="Times New Roman" w:hAnsi="Times New Roman" w:cs="Times New Roman"/>
                <w:vertAlign w:val="baseline"/>
                <w:lang w:val="en-US" w:eastAsia="zh-CN"/>
              </w:rPr>
              <w:t>年产油相超细红磷阻燃剂4000吨（其中2000吨直接外售、2000吨用于生产红磷阻燃母粒）、红磷阻燃母粒4000吨</w:t>
            </w:r>
          </w:p>
        </w:tc>
      </w:tr>
      <w:tr w14:paraId="043B2A2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3871C5C3">
            <w:pPr>
              <w:ind w:firstLine="0" w:firstLineChars="0"/>
              <w:jc w:val="center"/>
              <w:rPr>
                <w:rFonts w:hint="default" w:ascii="Times New Roman" w:hAnsi="Times New Roman" w:cs="Times New Roman"/>
                <w:b/>
              </w:rPr>
            </w:pPr>
            <w:r>
              <w:rPr>
                <w:rFonts w:hint="default" w:ascii="Times New Roman" w:hAnsi="Times New Roman" w:cs="Times New Roman"/>
                <w:b/>
              </w:rPr>
              <w:t>建设项目环评时间</w:t>
            </w:r>
          </w:p>
        </w:tc>
        <w:tc>
          <w:tcPr>
            <w:tcW w:w="2172" w:type="dxa"/>
            <w:vAlign w:val="center"/>
          </w:tcPr>
          <w:p w14:paraId="29C1D1F0">
            <w:pPr>
              <w:ind w:firstLine="0" w:firstLineChars="0"/>
              <w:jc w:val="center"/>
              <w:rPr>
                <w:rFonts w:hint="default" w:ascii="Times New Roman" w:hAnsi="Times New Roman" w:cs="Times New Roman"/>
              </w:rPr>
            </w:pPr>
            <w:r>
              <w:rPr>
                <w:rFonts w:hint="default" w:ascii="Times New Roman" w:hAnsi="Times New Roman" w:cs="Times New Roman"/>
                <w:lang w:val="en-US" w:eastAsia="zh-CN"/>
              </w:rPr>
              <w:t>2024年</w:t>
            </w:r>
            <w:r>
              <w:rPr>
                <w:rFonts w:hint="eastAsia" w:cs="Times New Roman"/>
                <w:lang w:val="en-US" w:eastAsia="zh-CN"/>
              </w:rPr>
              <w:t>7</w:t>
            </w:r>
            <w:r>
              <w:rPr>
                <w:rFonts w:hint="default" w:ascii="Times New Roman" w:hAnsi="Times New Roman" w:cs="Times New Roman"/>
                <w:lang w:val="en-US" w:eastAsia="zh-CN"/>
              </w:rPr>
              <w:t>月</w:t>
            </w:r>
          </w:p>
        </w:tc>
        <w:tc>
          <w:tcPr>
            <w:tcW w:w="2145" w:type="dxa"/>
            <w:vAlign w:val="center"/>
          </w:tcPr>
          <w:p w14:paraId="71D21256">
            <w:pPr>
              <w:ind w:firstLine="0" w:firstLineChars="0"/>
              <w:jc w:val="center"/>
              <w:rPr>
                <w:rFonts w:hint="default" w:ascii="Times New Roman" w:hAnsi="Times New Roman" w:cs="Times New Roman"/>
                <w:b/>
              </w:rPr>
            </w:pPr>
            <w:r>
              <w:rPr>
                <w:rFonts w:hint="default" w:ascii="Times New Roman" w:hAnsi="Times New Roman" w:cs="Times New Roman"/>
                <w:b/>
              </w:rPr>
              <w:t>开工建设时间</w:t>
            </w:r>
          </w:p>
        </w:tc>
        <w:tc>
          <w:tcPr>
            <w:tcW w:w="2851" w:type="dxa"/>
            <w:gridSpan w:val="3"/>
            <w:vAlign w:val="center"/>
          </w:tcPr>
          <w:p w14:paraId="170E5315">
            <w:pPr>
              <w:ind w:firstLine="0" w:firstLineChars="0"/>
              <w:jc w:val="center"/>
              <w:rPr>
                <w:rFonts w:hint="default" w:ascii="Times New Roman" w:hAnsi="Times New Roman" w:cs="Times New Roman" w:eastAsiaTheme="minorEastAsia"/>
                <w:lang w:val="en-US" w:eastAsia="zh-CN"/>
              </w:rPr>
            </w:pPr>
            <w:r>
              <w:rPr>
                <w:rFonts w:hint="default" w:ascii="Times New Roman" w:hAnsi="Times New Roman" w:cs="Times New Roman"/>
              </w:rPr>
              <w:t>20</w:t>
            </w:r>
            <w:r>
              <w:rPr>
                <w:rFonts w:hint="default" w:ascii="Times New Roman" w:hAnsi="Times New Roman" w:cs="Times New Roman"/>
                <w:lang w:val="en-US" w:eastAsia="zh-CN"/>
              </w:rPr>
              <w:t>24</w:t>
            </w:r>
            <w:r>
              <w:rPr>
                <w:rFonts w:hint="default" w:ascii="Times New Roman" w:hAnsi="Times New Roman" w:cs="Times New Roman"/>
              </w:rPr>
              <w:t>年</w:t>
            </w:r>
            <w:r>
              <w:rPr>
                <w:rFonts w:hint="eastAsia" w:cs="Times New Roman"/>
                <w:lang w:val="en-US" w:eastAsia="zh-CN"/>
              </w:rPr>
              <w:t>7</w:t>
            </w:r>
            <w:r>
              <w:rPr>
                <w:rFonts w:hint="default" w:ascii="Times New Roman" w:hAnsi="Times New Roman" w:cs="Times New Roman"/>
                <w:lang w:val="en-US" w:eastAsia="zh-CN"/>
              </w:rPr>
              <w:t>月</w:t>
            </w:r>
          </w:p>
        </w:tc>
      </w:tr>
      <w:tr w14:paraId="4B0C21E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60C46293">
            <w:pPr>
              <w:ind w:firstLine="0" w:firstLineChars="0"/>
              <w:jc w:val="center"/>
              <w:rPr>
                <w:rFonts w:hint="default" w:ascii="Times New Roman" w:hAnsi="Times New Roman" w:cs="Times New Roman"/>
                <w:b/>
              </w:rPr>
            </w:pPr>
            <w:r>
              <w:rPr>
                <w:rFonts w:hint="default" w:ascii="Times New Roman" w:hAnsi="Times New Roman" w:cs="Times New Roman"/>
                <w:b/>
              </w:rPr>
              <w:t>调试时间</w:t>
            </w:r>
          </w:p>
        </w:tc>
        <w:tc>
          <w:tcPr>
            <w:tcW w:w="2172" w:type="dxa"/>
            <w:vAlign w:val="center"/>
          </w:tcPr>
          <w:p w14:paraId="2E267DF5">
            <w:pPr>
              <w:ind w:firstLine="0" w:firstLineChars="0"/>
              <w:jc w:val="center"/>
              <w:rPr>
                <w:rFonts w:hint="default" w:ascii="Times New Roman" w:hAnsi="Times New Roman" w:cs="Times New Roman"/>
              </w:rPr>
            </w:pPr>
            <w:r>
              <w:rPr>
                <w:rFonts w:hint="default" w:ascii="Times New Roman" w:hAnsi="Times New Roman" w:cs="Times New Roman"/>
              </w:rPr>
              <w:t>20</w:t>
            </w:r>
            <w:r>
              <w:rPr>
                <w:rFonts w:hint="default" w:ascii="Times New Roman" w:hAnsi="Times New Roman" w:cs="Times New Roman"/>
                <w:lang w:val="en-US" w:eastAsia="zh-CN"/>
              </w:rPr>
              <w:t>24</w:t>
            </w:r>
            <w:r>
              <w:rPr>
                <w:rFonts w:hint="default" w:ascii="Times New Roman" w:hAnsi="Times New Roman" w:cs="Times New Roman"/>
              </w:rPr>
              <w:t>年</w:t>
            </w:r>
            <w:r>
              <w:rPr>
                <w:rFonts w:hint="eastAsia" w:cs="Times New Roman"/>
                <w:lang w:val="en-US" w:eastAsia="zh-CN"/>
              </w:rPr>
              <w:t>10</w:t>
            </w:r>
            <w:r>
              <w:rPr>
                <w:rFonts w:hint="default" w:ascii="Times New Roman" w:hAnsi="Times New Roman" w:cs="Times New Roman"/>
              </w:rPr>
              <w:t>月</w:t>
            </w:r>
          </w:p>
        </w:tc>
        <w:tc>
          <w:tcPr>
            <w:tcW w:w="2145" w:type="dxa"/>
            <w:vAlign w:val="center"/>
          </w:tcPr>
          <w:p w14:paraId="7E7D4FB5">
            <w:pPr>
              <w:ind w:firstLine="0" w:firstLineChars="0"/>
              <w:jc w:val="center"/>
              <w:rPr>
                <w:rFonts w:hint="default" w:ascii="Times New Roman" w:hAnsi="Times New Roman" w:cs="Times New Roman"/>
                <w:b/>
              </w:rPr>
            </w:pPr>
            <w:r>
              <w:rPr>
                <w:rFonts w:hint="default" w:ascii="Times New Roman" w:hAnsi="Times New Roman" w:cs="Times New Roman"/>
                <w:b/>
              </w:rPr>
              <w:t>验收现场检测时间</w:t>
            </w:r>
          </w:p>
        </w:tc>
        <w:tc>
          <w:tcPr>
            <w:tcW w:w="2851" w:type="dxa"/>
            <w:gridSpan w:val="3"/>
            <w:vAlign w:val="center"/>
          </w:tcPr>
          <w:p w14:paraId="6346E17D">
            <w:pPr>
              <w:ind w:firstLine="0" w:firstLineChars="0"/>
              <w:jc w:val="cente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2025年5年2</w:t>
            </w:r>
            <w:r>
              <w:rPr>
                <w:rFonts w:hint="eastAsia" w:cs="Times New Roman"/>
                <w:lang w:val="en-US" w:eastAsia="zh-CN"/>
              </w:rPr>
              <w:t>3</w:t>
            </w:r>
            <w:r>
              <w:rPr>
                <w:rFonts w:hint="default" w:ascii="Times New Roman" w:hAnsi="Times New Roman" w:cs="Times New Roman"/>
                <w:lang w:val="en-US" w:eastAsia="zh-CN"/>
              </w:rPr>
              <w:t>日-</w:t>
            </w:r>
            <w:r>
              <w:rPr>
                <w:rFonts w:hint="eastAsia" w:cs="Times New Roman"/>
                <w:lang w:val="en-US" w:eastAsia="zh-CN"/>
              </w:rPr>
              <w:t>24</w:t>
            </w:r>
            <w:r>
              <w:rPr>
                <w:rFonts w:hint="default" w:ascii="Times New Roman" w:hAnsi="Times New Roman" w:cs="Times New Roman"/>
                <w:lang w:val="en-US" w:eastAsia="zh-CN"/>
              </w:rPr>
              <w:t>日</w:t>
            </w:r>
          </w:p>
        </w:tc>
      </w:tr>
      <w:tr w14:paraId="70C7C9D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7F0F2A86">
            <w:pPr>
              <w:ind w:firstLine="0" w:firstLineChars="0"/>
              <w:jc w:val="center"/>
              <w:rPr>
                <w:rFonts w:hint="default" w:ascii="Times New Roman" w:hAnsi="Times New Roman" w:cs="Times New Roman"/>
                <w:b/>
              </w:rPr>
            </w:pPr>
            <w:r>
              <w:rPr>
                <w:rFonts w:hint="default" w:ascii="Times New Roman" w:hAnsi="Times New Roman" w:cs="Times New Roman"/>
                <w:b/>
              </w:rPr>
              <w:t>环评报告表</w:t>
            </w:r>
          </w:p>
          <w:p w14:paraId="3BBC6D31">
            <w:pPr>
              <w:ind w:firstLine="0" w:firstLineChars="0"/>
              <w:jc w:val="center"/>
              <w:rPr>
                <w:rFonts w:hint="default" w:ascii="Times New Roman" w:hAnsi="Times New Roman" w:cs="Times New Roman"/>
                <w:b/>
              </w:rPr>
            </w:pPr>
            <w:r>
              <w:rPr>
                <w:rFonts w:hint="default" w:ascii="Times New Roman" w:hAnsi="Times New Roman" w:cs="Times New Roman"/>
                <w:b/>
              </w:rPr>
              <w:t>审批部门</w:t>
            </w:r>
          </w:p>
        </w:tc>
        <w:tc>
          <w:tcPr>
            <w:tcW w:w="2172" w:type="dxa"/>
            <w:vAlign w:val="center"/>
          </w:tcPr>
          <w:p w14:paraId="04D066D2">
            <w:pPr>
              <w:ind w:firstLine="0" w:firstLineChars="0"/>
              <w:jc w:val="center"/>
              <w:rPr>
                <w:rFonts w:hint="default" w:ascii="Times New Roman" w:hAnsi="Times New Roman" w:cs="Times New Roman"/>
              </w:rPr>
            </w:pPr>
            <w:r>
              <w:rPr>
                <w:rFonts w:hint="default" w:ascii="Times New Roman" w:hAnsi="Times New Roman" w:cs="Times New Roman"/>
                <w:lang w:val="en-US" w:eastAsia="zh-CN"/>
              </w:rPr>
              <w:t>邵阳市生态环境局邵阳县分局</w:t>
            </w:r>
          </w:p>
        </w:tc>
        <w:tc>
          <w:tcPr>
            <w:tcW w:w="2145" w:type="dxa"/>
            <w:vAlign w:val="center"/>
          </w:tcPr>
          <w:p w14:paraId="2431A90A">
            <w:pPr>
              <w:ind w:firstLine="0" w:firstLineChars="0"/>
              <w:jc w:val="center"/>
              <w:rPr>
                <w:rFonts w:hint="default" w:ascii="Times New Roman" w:hAnsi="Times New Roman" w:cs="Times New Roman"/>
                <w:b/>
              </w:rPr>
            </w:pPr>
            <w:r>
              <w:rPr>
                <w:rFonts w:hint="default" w:ascii="Times New Roman" w:hAnsi="Times New Roman" w:cs="Times New Roman"/>
                <w:b/>
              </w:rPr>
              <w:t>环评报告表</w:t>
            </w:r>
          </w:p>
          <w:p w14:paraId="63967F15">
            <w:pPr>
              <w:ind w:firstLine="0" w:firstLineChars="0"/>
              <w:jc w:val="center"/>
              <w:rPr>
                <w:rFonts w:hint="default" w:ascii="Times New Roman" w:hAnsi="Times New Roman" w:cs="Times New Roman"/>
                <w:b/>
              </w:rPr>
            </w:pPr>
            <w:r>
              <w:rPr>
                <w:rFonts w:hint="default" w:ascii="Times New Roman" w:hAnsi="Times New Roman" w:cs="Times New Roman"/>
                <w:b/>
              </w:rPr>
              <w:t>编制单位</w:t>
            </w:r>
          </w:p>
        </w:tc>
        <w:tc>
          <w:tcPr>
            <w:tcW w:w="2851" w:type="dxa"/>
            <w:gridSpan w:val="3"/>
            <w:vAlign w:val="center"/>
          </w:tcPr>
          <w:p w14:paraId="6B79271C">
            <w:pPr>
              <w:ind w:firstLine="0" w:firstLineChars="0"/>
              <w:jc w:val="center"/>
              <w:rPr>
                <w:rFonts w:hint="default" w:ascii="Times New Roman" w:hAnsi="Times New Roman" w:cs="Times New Roman"/>
                <w:lang w:val="en-US" w:eastAsia="zh-CN"/>
              </w:rPr>
            </w:pPr>
            <w:r>
              <w:rPr>
                <w:rFonts w:hint="default" w:ascii="Times New Roman" w:hAnsi="Times New Roman" w:cs="Times New Roman"/>
                <w:szCs w:val="21"/>
                <w:lang w:val="en-US" w:eastAsia="zh-CN"/>
              </w:rPr>
              <w:t>湖南朗誉环保科技有限公司</w:t>
            </w:r>
          </w:p>
        </w:tc>
      </w:tr>
      <w:tr w14:paraId="4AADEB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2235" w:type="dxa"/>
            <w:gridSpan w:val="2"/>
            <w:vAlign w:val="center"/>
          </w:tcPr>
          <w:p w14:paraId="7E4D0EC1">
            <w:pPr>
              <w:ind w:firstLine="0" w:firstLineChars="0"/>
              <w:jc w:val="center"/>
              <w:rPr>
                <w:rFonts w:hint="default" w:ascii="Times New Roman" w:hAnsi="Times New Roman" w:cs="Times New Roman"/>
                <w:b/>
              </w:rPr>
            </w:pPr>
            <w:r>
              <w:rPr>
                <w:rFonts w:hint="default" w:ascii="Times New Roman" w:hAnsi="Times New Roman" w:cs="Times New Roman"/>
                <w:b/>
              </w:rPr>
              <w:t>环保设施设计单位</w:t>
            </w:r>
          </w:p>
        </w:tc>
        <w:tc>
          <w:tcPr>
            <w:tcW w:w="2172" w:type="dxa"/>
            <w:vAlign w:val="center"/>
          </w:tcPr>
          <w:p w14:paraId="0265C767">
            <w:pPr>
              <w:ind w:firstLine="0" w:firstLineChars="0"/>
              <w:jc w:val="center"/>
              <w:rPr>
                <w:rFonts w:hint="default" w:ascii="Times New Roman" w:hAnsi="Times New Roman" w:cs="Times New Roman"/>
              </w:rPr>
            </w:pPr>
            <w:r>
              <w:rPr>
                <w:rFonts w:hint="default" w:ascii="Times New Roman" w:hAnsi="Times New Roman" w:cs="Times New Roman"/>
              </w:rPr>
              <w:t>/</w:t>
            </w:r>
          </w:p>
        </w:tc>
        <w:tc>
          <w:tcPr>
            <w:tcW w:w="2145" w:type="dxa"/>
            <w:vAlign w:val="center"/>
          </w:tcPr>
          <w:p w14:paraId="7AACE35E">
            <w:pPr>
              <w:ind w:firstLine="0" w:firstLineChars="0"/>
              <w:jc w:val="center"/>
              <w:rPr>
                <w:rFonts w:hint="default" w:ascii="Times New Roman" w:hAnsi="Times New Roman" w:cs="Times New Roman"/>
                <w:b/>
              </w:rPr>
            </w:pPr>
            <w:r>
              <w:rPr>
                <w:rFonts w:hint="default" w:ascii="Times New Roman" w:hAnsi="Times New Roman" w:cs="Times New Roman"/>
                <w:b/>
              </w:rPr>
              <w:t>环保设施施工单位</w:t>
            </w:r>
          </w:p>
        </w:tc>
        <w:tc>
          <w:tcPr>
            <w:tcW w:w="2851" w:type="dxa"/>
            <w:gridSpan w:val="3"/>
            <w:vAlign w:val="center"/>
          </w:tcPr>
          <w:p w14:paraId="3C1EE75B">
            <w:pPr>
              <w:ind w:firstLine="0" w:firstLineChars="0"/>
              <w:jc w:val="center"/>
              <w:rPr>
                <w:rFonts w:hint="default" w:ascii="Times New Roman" w:hAnsi="Times New Roman" w:cs="Times New Roman"/>
              </w:rPr>
            </w:pPr>
            <w:r>
              <w:rPr>
                <w:rFonts w:hint="default" w:ascii="Times New Roman" w:hAnsi="Times New Roman" w:cs="Times New Roman"/>
              </w:rPr>
              <w:t>/</w:t>
            </w:r>
          </w:p>
        </w:tc>
      </w:tr>
      <w:tr w14:paraId="07A374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6D48A352">
            <w:pPr>
              <w:ind w:firstLine="0" w:firstLineChars="0"/>
              <w:jc w:val="center"/>
              <w:rPr>
                <w:rFonts w:hint="default" w:ascii="Times New Roman" w:hAnsi="Times New Roman" w:cs="Times New Roman"/>
                <w:b/>
              </w:rPr>
            </w:pPr>
            <w:r>
              <w:rPr>
                <w:rFonts w:hint="default" w:ascii="Times New Roman" w:hAnsi="Times New Roman" w:cs="Times New Roman"/>
                <w:b/>
              </w:rPr>
              <w:t>投资总概算</w:t>
            </w:r>
          </w:p>
        </w:tc>
        <w:tc>
          <w:tcPr>
            <w:tcW w:w="2172" w:type="dxa"/>
            <w:vAlign w:val="center"/>
          </w:tcPr>
          <w:p w14:paraId="69C8592A">
            <w:pPr>
              <w:ind w:firstLine="0" w:firstLineChars="0"/>
              <w:jc w:val="center"/>
              <w:rPr>
                <w:rFonts w:hint="default" w:ascii="Times New Roman" w:hAnsi="Times New Roman" w:cs="Times New Roman" w:eastAsiaTheme="minorEastAsia"/>
                <w:lang w:val="en-US" w:eastAsia="zh-CN"/>
              </w:rPr>
            </w:pPr>
            <w:r>
              <w:rPr>
                <w:rFonts w:hint="eastAsia" w:cs="Times New Roman"/>
                <w:lang w:val="en-US" w:eastAsia="zh-CN"/>
              </w:rPr>
              <w:t>12</w:t>
            </w:r>
            <w:r>
              <w:rPr>
                <w:rFonts w:hint="default" w:ascii="Times New Roman" w:hAnsi="Times New Roman" w:cs="Times New Roman"/>
                <w:lang w:val="en-US" w:eastAsia="zh-CN"/>
              </w:rPr>
              <w:t>00</w:t>
            </w:r>
          </w:p>
        </w:tc>
        <w:tc>
          <w:tcPr>
            <w:tcW w:w="2145" w:type="dxa"/>
            <w:vAlign w:val="center"/>
          </w:tcPr>
          <w:p w14:paraId="7331C9AC">
            <w:pPr>
              <w:ind w:firstLine="0" w:firstLineChars="0"/>
              <w:jc w:val="center"/>
              <w:rPr>
                <w:rFonts w:hint="default" w:ascii="Times New Roman" w:hAnsi="Times New Roman" w:cs="Times New Roman"/>
                <w:b/>
              </w:rPr>
            </w:pPr>
            <w:r>
              <w:rPr>
                <w:rFonts w:hint="default" w:ascii="Times New Roman" w:hAnsi="Times New Roman" w:cs="Times New Roman"/>
                <w:b/>
              </w:rPr>
              <w:t>环保投资总概算</w:t>
            </w:r>
          </w:p>
        </w:tc>
        <w:tc>
          <w:tcPr>
            <w:tcW w:w="879" w:type="dxa"/>
            <w:vAlign w:val="center"/>
          </w:tcPr>
          <w:p w14:paraId="21434732">
            <w:pPr>
              <w:ind w:firstLine="0" w:firstLineChars="0"/>
              <w:jc w:val="center"/>
              <w:rPr>
                <w:rFonts w:hint="default" w:ascii="Times New Roman" w:hAnsi="Times New Roman" w:cs="Times New Roman" w:eastAsiaTheme="minorEastAsia"/>
                <w:lang w:val="en-US" w:eastAsia="zh-CN"/>
              </w:rPr>
            </w:pPr>
            <w:r>
              <w:rPr>
                <w:rFonts w:hint="eastAsia" w:cs="Times New Roman"/>
                <w:lang w:val="en-US" w:eastAsia="zh-CN"/>
              </w:rPr>
              <w:t>100</w:t>
            </w:r>
          </w:p>
        </w:tc>
        <w:tc>
          <w:tcPr>
            <w:tcW w:w="720" w:type="dxa"/>
            <w:tcBorders>
              <w:top w:val="single" w:color="auto" w:sz="8" w:space="0"/>
              <w:bottom w:val="single" w:color="auto" w:sz="8" w:space="0"/>
              <w:right w:val="single" w:color="auto" w:sz="4" w:space="0"/>
            </w:tcBorders>
            <w:vAlign w:val="center"/>
          </w:tcPr>
          <w:p w14:paraId="58D0D26C">
            <w:pPr>
              <w:ind w:firstLine="0" w:firstLineChars="0"/>
              <w:jc w:val="center"/>
              <w:rPr>
                <w:rFonts w:hint="default" w:ascii="Times New Roman" w:hAnsi="Times New Roman" w:cs="Times New Roman"/>
                <w:b/>
              </w:rPr>
            </w:pPr>
            <w:r>
              <w:rPr>
                <w:rFonts w:hint="default" w:ascii="Times New Roman" w:hAnsi="Times New Roman" w:cs="Times New Roman"/>
                <w:b/>
              </w:rPr>
              <w:t>比例</w:t>
            </w:r>
          </w:p>
        </w:tc>
        <w:tc>
          <w:tcPr>
            <w:tcW w:w="1252" w:type="dxa"/>
            <w:tcBorders>
              <w:left w:val="single" w:color="auto" w:sz="4" w:space="0"/>
            </w:tcBorders>
            <w:vAlign w:val="center"/>
          </w:tcPr>
          <w:p w14:paraId="0A505A76">
            <w:pPr>
              <w:ind w:firstLine="0" w:firstLineChars="0"/>
              <w:jc w:val="center"/>
              <w:rPr>
                <w:rFonts w:hint="default" w:ascii="Times New Roman" w:hAnsi="Times New Roman" w:cs="Times New Roman"/>
              </w:rPr>
            </w:pPr>
            <w:r>
              <w:rPr>
                <w:rFonts w:hint="eastAsia" w:cs="Times New Roman"/>
                <w:lang w:val="en-US" w:eastAsia="zh-CN"/>
              </w:rPr>
              <w:t>8.30</w:t>
            </w:r>
            <w:r>
              <w:rPr>
                <w:rFonts w:hint="default" w:ascii="Times New Roman" w:hAnsi="Times New Roman" w:cs="Times New Roman"/>
              </w:rPr>
              <w:t>%</w:t>
            </w:r>
          </w:p>
        </w:tc>
      </w:tr>
      <w:tr w14:paraId="01FBDCE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2235" w:type="dxa"/>
            <w:gridSpan w:val="2"/>
            <w:vAlign w:val="center"/>
          </w:tcPr>
          <w:p w14:paraId="4B78F0FC">
            <w:pPr>
              <w:ind w:firstLine="0" w:firstLineChars="0"/>
              <w:jc w:val="center"/>
              <w:rPr>
                <w:rFonts w:hint="default" w:ascii="Times New Roman" w:hAnsi="Times New Roman" w:cs="Times New Roman"/>
                <w:b/>
              </w:rPr>
            </w:pPr>
            <w:r>
              <w:rPr>
                <w:rFonts w:hint="default" w:ascii="Times New Roman" w:hAnsi="Times New Roman" w:cs="Times New Roman"/>
                <w:b/>
              </w:rPr>
              <w:t>实际总概算</w:t>
            </w:r>
          </w:p>
        </w:tc>
        <w:tc>
          <w:tcPr>
            <w:tcW w:w="2172" w:type="dxa"/>
            <w:vAlign w:val="center"/>
          </w:tcPr>
          <w:p w14:paraId="37480A08">
            <w:pPr>
              <w:ind w:firstLine="0" w:firstLineChars="0"/>
              <w:jc w:val="center"/>
              <w:rPr>
                <w:rFonts w:hint="default" w:ascii="Times New Roman" w:hAnsi="Times New Roman" w:cs="Times New Roman" w:eastAsiaTheme="minorEastAsia"/>
                <w:color w:val="FF0000"/>
                <w:lang w:val="en-US" w:eastAsia="zh-CN"/>
              </w:rPr>
            </w:pPr>
            <w:r>
              <w:rPr>
                <w:rFonts w:hint="eastAsia" w:cs="Times New Roman"/>
                <w:lang w:val="en-US" w:eastAsia="zh-CN"/>
              </w:rPr>
              <w:t>12</w:t>
            </w:r>
            <w:r>
              <w:rPr>
                <w:rFonts w:hint="default" w:ascii="Times New Roman" w:hAnsi="Times New Roman" w:cs="Times New Roman"/>
                <w:lang w:val="en-US" w:eastAsia="zh-CN"/>
              </w:rPr>
              <w:t>00</w:t>
            </w:r>
          </w:p>
        </w:tc>
        <w:tc>
          <w:tcPr>
            <w:tcW w:w="2145" w:type="dxa"/>
            <w:vAlign w:val="center"/>
          </w:tcPr>
          <w:p w14:paraId="76810FAF">
            <w:pPr>
              <w:ind w:firstLine="0" w:firstLineChars="0"/>
              <w:jc w:val="center"/>
              <w:rPr>
                <w:rFonts w:hint="default" w:ascii="Times New Roman" w:hAnsi="Times New Roman" w:cs="Times New Roman"/>
                <w:b/>
              </w:rPr>
            </w:pPr>
            <w:r>
              <w:rPr>
                <w:rFonts w:hint="default" w:ascii="Times New Roman" w:hAnsi="Times New Roman" w:cs="Times New Roman"/>
                <w:b/>
              </w:rPr>
              <w:t>环保投资</w:t>
            </w:r>
          </w:p>
        </w:tc>
        <w:tc>
          <w:tcPr>
            <w:tcW w:w="879" w:type="dxa"/>
            <w:vAlign w:val="center"/>
          </w:tcPr>
          <w:p w14:paraId="15536AE4">
            <w:pPr>
              <w:ind w:firstLine="0" w:firstLineChars="0"/>
              <w:jc w:val="center"/>
              <w:rPr>
                <w:rFonts w:hint="default" w:ascii="Times New Roman" w:hAnsi="Times New Roman" w:cs="Times New Roman" w:eastAsiaTheme="minorEastAsia"/>
                <w:lang w:val="en-US" w:eastAsia="zh-CN"/>
              </w:rPr>
            </w:pPr>
            <w:r>
              <w:rPr>
                <w:rFonts w:hint="eastAsia" w:cs="Times New Roman"/>
                <w:lang w:val="en-US" w:eastAsia="zh-CN"/>
              </w:rPr>
              <w:t>105</w:t>
            </w:r>
          </w:p>
        </w:tc>
        <w:tc>
          <w:tcPr>
            <w:tcW w:w="720" w:type="dxa"/>
            <w:tcBorders>
              <w:top w:val="single" w:color="auto" w:sz="8" w:space="0"/>
              <w:bottom w:val="single" w:color="auto" w:sz="8" w:space="0"/>
              <w:right w:val="single" w:color="auto" w:sz="4" w:space="0"/>
            </w:tcBorders>
            <w:vAlign w:val="center"/>
          </w:tcPr>
          <w:p w14:paraId="50DC5C31">
            <w:pPr>
              <w:ind w:firstLine="0" w:firstLineChars="0"/>
              <w:jc w:val="center"/>
              <w:rPr>
                <w:rFonts w:hint="default" w:ascii="Times New Roman" w:hAnsi="Times New Roman" w:cs="Times New Roman"/>
                <w:b/>
              </w:rPr>
            </w:pPr>
            <w:r>
              <w:rPr>
                <w:rFonts w:hint="default" w:ascii="Times New Roman" w:hAnsi="Times New Roman" w:cs="Times New Roman"/>
                <w:b/>
              </w:rPr>
              <w:t>比例</w:t>
            </w:r>
          </w:p>
        </w:tc>
        <w:tc>
          <w:tcPr>
            <w:tcW w:w="1252" w:type="dxa"/>
            <w:tcBorders>
              <w:left w:val="single" w:color="auto" w:sz="4" w:space="0"/>
            </w:tcBorders>
            <w:vAlign w:val="center"/>
          </w:tcPr>
          <w:p w14:paraId="1C6B50A8">
            <w:pPr>
              <w:ind w:firstLine="0" w:firstLineChars="0"/>
              <w:jc w:val="center"/>
              <w:rPr>
                <w:rFonts w:hint="default" w:ascii="Times New Roman" w:hAnsi="Times New Roman" w:cs="Times New Roman"/>
              </w:rPr>
            </w:pPr>
            <w:r>
              <w:rPr>
                <w:rFonts w:hint="eastAsia" w:cs="Times New Roman"/>
                <w:lang w:val="en-US" w:eastAsia="zh-CN"/>
              </w:rPr>
              <w:t>8.75</w:t>
            </w:r>
            <w:r>
              <w:rPr>
                <w:rFonts w:hint="default" w:ascii="Times New Roman" w:hAnsi="Times New Roman" w:cs="Times New Roman"/>
              </w:rPr>
              <w:t>%</w:t>
            </w:r>
          </w:p>
        </w:tc>
      </w:tr>
      <w:tr w14:paraId="3D81165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63" w:hRule="atLeast"/>
        </w:trPr>
        <w:tc>
          <w:tcPr>
            <w:tcW w:w="1242" w:type="dxa"/>
            <w:vAlign w:val="center"/>
          </w:tcPr>
          <w:p w14:paraId="325C4498">
            <w:pPr>
              <w:ind w:firstLine="0" w:firstLineChars="0"/>
              <w:jc w:val="center"/>
              <w:rPr>
                <w:rFonts w:hint="default" w:ascii="Times New Roman" w:hAnsi="Times New Roman" w:cs="Times New Roman"/>
                <w:b/>
              </w:rPr>
            </w:pPr>
            <w:r>
              <w:rPr>
                <w:rFonts w:hint="default" w:ascii="Times New Roman" w:hAnsi="Times New Roman" w:cs="Times New Roman"/>
                <w:b/>
              </w:rPr>
              <w:t>验收检测依据</w:t>
            </w:r>
          </w:p>
        </w:tc>
        <w:tc>
          <w:tcPr>
            <w:tcW w:w="8161" w:type="dxa"/>
            <w:gridSpan w:val="6"/>
            <w:vAlign w:val="center"/>
          </w:tcPr>
          <w:p w14:paraId="2693A394">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《中华人民共和国环境保护法》，2014年4月24日修正，2015年1月1日起施行；</w:t>
            </w:r>
          </w:p>
          <w:p w14:paraId="3A5EE325">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《建设项目环境保护管理条例》中华人民共和国国务院令第682号，2017年</w:t>
            </w:r>
            <w:r>
              <w:rPr>
                <w:rFonts w:hint="default" w:ascii="Times New Roman" w:hAnsi="Times New Roman" w:cs="Times New Roman"/>
                <w:lang w:val="en-US" w:eastAsia="zh-CN"/>
              </w:rPr>
              <w:t>7</w:t>
            </w:r>
            <w:r>
              <w:rPr>
                <w:rFonts w:hint="default" w:ascii="Times New Roman" w:hAnsi="Times New Roman" w:cs="Times New Roman"/>
              </w:rPr>
              <w:t>月</w:t>
            </w:r>
            <w:r>
              <w:rPr>
                <w:rFonts w:hint="default" w:ascii="Times New Roman" w:hAnsi="Times New Roman" w:cs="Times New Roman"/>
                <w:lang w:val="en-US" w:eastAsia="zh-CN"/>
              </w:rPr>
              <w:t>16</w:t>
            </w:r>
            <w:r>
              <w:rPr>
                <w:rFonts w:hint="default" w:ascii="Times New Roman" w:hAnsi="Times New Roman" w:cs="Times New Roman"/>
              </w:rPr>
              <w:t>日修订，2017年10月1日起施行；</w:t>
            </w:r>
          </w:p>
          <w:p w14:paraId="5312C271">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《中华人民共和国噪声污染防治法》，2022年6月5日起施行；</w:t>
            </w:r>
          </w:p>
          <w:p w14:paraId="3CD7CFF3">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《中华人民共和国大气污染防治法》201</w:t>
            </w:r>
            <w:r>
              <w:rPr>
                <w:rFonts w:hint="default" w:ascii="Times New Roman" w:hAnsi="Times New Roman" w:cs="Times New Roman"/>
                <w:lang w:val="en-US" w:eastAsia="zh-CN"/>
              </w:rPr>
              <w:t>8</w:t>
            </w:r>
            <w:r>
              <w:rPr>
                <w:rFonts w:hint="default" w:ascii="Times New Roman" w:hAnsi="Times New Roman" w:cs="Times New Roman"/>
              </w:rPr>
              <w:t>年</w:t>
            </w:r>
            <w:r>
              <w:rPr>
                <w:rFonts w:hint="default" w:ascii="Times New Roman" w:hAnsi="Times New Roman" w:cs="Times New Roman"/>
                <w:lang w:val="en-US" w:eastAsia="zh-CN"/>
              </w:rPr>
              <w:t>10</w:t>
            </w:r>
            <w:r>
              <w:rPr>
                <w:rFonts w:hint="default" w:ascii="Times New Roman" w:hAnsi="Times New Roman" w:cs="Times New Roman"/>
              </w:rPr>
              <w:t>月2</w:t>
            </w:r>
            <w:r>
              <w:rPr>
                <w:rFonts w:hint="default" w:ascii="Times New Roman" w:hAnsi="Times New Roman" w:cs="Times New Roman"/>
                <w:lang w:val="en-US" w:eastAsia="zh-CN"/>
              </w:rPr>
              <w:t>6</w:t>
            </w:r>
            <w:r>
              <w:rPr>
                <w:rFonts w:hint="default" w:ascii="Times New Roman" w:hAnsi="Times New Roman" w:cs="Times New Roman"/>
              </w:rPr>
              <w:t>日修订，201</w:t>
            </w:r>
            <w:r>
              <w:rPr>
                <w:rFonts w:hint="default" w:ascii="Times New Roman" w:hAnsi="Times New Roman" w:cs="Times New Roman"/>
                <w:lang w:val="en-US" w:eastAsia="zh-CN"/>
              </w:rPr>
              <w:t>8</w:t>
            </w:r>
            <w:r>
              <w:rPr>
                <w:rFonts w:hint="default" w:ascii="Times New Roman" w:hAnsi="Times New Roman" w:cs="Times New Roman"/>
              </w:rPr>
              <w:t>年</w:t>
            </w:r>
            <w:r>
              <w:rPr>
                <w:rFonts w:hint="default" w:ascii="Times New Roman" w:hAnsi="Times New Roman" w:cs="Times New Roman"/>
                <w:lang w:val="en-US" w:eastAsia="zh-CN"/>
              </w:rPr>
              <w:t>10</w:t>
            </w:r>
            <w:r>
              <w:rPr>
                <w:rFonts w:hint="default" w:ascii="Times New Roman" w:hAnsi="Times New Roman" w:cs="Times New Roman"/>
              </w:rPr>
              <w:t>月2</w:t>
            </w:r>
            <w:r>
              <w:rPr>
                <w:rFonts w:hint="default" w:ascii="Times New Roman" w:hAnsi="Times New Roman" w:cs="Times New Roman"/>
                <w:lang w:val="en-US" w:eastAsia="zh-CN"/>
              </w:rPr>
              <w:t>6</w:t>
            </w:r>
            <w:r>
              <w:rPr>
                <w:rFonts w:hint="default" w:ascii="Times New Roman" w:hAnsi="Times New Roman" w:cs="Times New Roman"/>
              </w:rPr>
              <w:t>日起施行；</w:t>
            </w:r>
          </w:p>
          <w:p w14:paraId="190378F2">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《中华人民共和国水污染防治法》，2017年6月27日修正，2018年1月1日起施行；</w:t>
            </w:r>
          </w:p>
          <w:p w14:paraId="3A24006E">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《中华人民共和国固体废物污染环境防治法》，20</w:t>
            </w:r>
            <w:r>
              <w:rPr>
                <w:rFonts w:hint="default" w:ascii="Times New Roman" w:hAnsi="Times New Roman" w:cs="Times New Roman"/>
                <w:lang w:val="en-US" w:eastAsia="zh-CN"/>
              </w:rPr>
              <w:t>20</w:t>
            </w:r>
            <w:r>
              <w:rPr>
                <w:rFonts w:hint="default" w:ascii="Times New Roman" w:hAnsi="Times New Roman" w:cs="Times New Roman"/>
              </w:rPr>
              <w:t>年</w:t>
            </w:r>
            <w:r>
              <w:rPr>
                <w:rFonts w:hint="default" w:ascii="Times New Roman" w:hAnsi="Times New Roman" w:cs="Times New Roman"/>
                <w:lang w:val="en-US" w:eastAsia="zh-CN"/>
              </w:rPr>
              <w:t>4</w:t>
            </w:r>
            <w:r>
              <w:rPr>
                <w:rFonts w:hint="default" w:ascii="Times New Roman" w:hAnsi="Times New Roman" w:cs="Times New Roman"/>
              </w:rPr>
              <w:t>月</w:t>
            </w:r>
            <w:r>
              <w:rPr>
                <w:rFonts w:hint="default" w:ascii="Times New Roman" w:hAnsi="Times New Roman" w:cs="Times New Roman"/>
                <w:lang w:val="en-US" w:eastAsia="zh-CN"/>
              </w:rPr>
              <w:t>29</w:t>
            </w:r>
            <w:r>
              <w:rPr>
                <w:rFonts w:hint="default" w:ascii="Times New Roman" w:hAnsi="Times New Roman" w:cs="Times New Roman"/>
              </w:rPr>
              <w:t>日修正，自20</w:t>
            </w:r>
            <w:r>
              <w:rPr>
                <w:rFonts w:hint="default" w:ascii="Times New Roman" w:hAnsi="Times New Roman" w:cs="Times New Roman"/>
                <w:lang w:val="en-US" w:eastAsia="zh-CN"/>
              </w:rPr>
              <w:t>20</w:t>
            </w:r>
            <w:r>
              <w:rPr>
                <w:rFonts w:hint="default" w:ascii="Times New Roman" w:hAnsi="Times New Roman" w:cs="Times New Roman"/>
              </w:rPr>
              <w:t>年</w:t>
            </w:r>
            <w:r>
              <w:rPr>
                <w:rFonts w:hint="default" w:ascii="Times New Roman" w:hAnsi="Times New Roman" w:cs="Times New Roman"/>
                <w:lang w:val="en-US" w:eastAsia="zh-CN"/>
              </w:rPr>
              <w:t>9</w:t>
            </w:r>
            <w:r>
              <w:rPr>
                <w:rFonts w:hint="default" w:ascii="Times New Roman" w:hAnsi="Times New Roman" w:cs="Times New Roman"/>
              </w:rPr>
              <w:t>月</w:t>
            </w:r>
            <w:r>
              <w:rPr>
                <w:rFonts w:hint="default" w:ascii="Times New Roman" w:hAnsi="Times New Roman" w:cs="Times New Roman"/>
                <w:lang w:val="en-US" w:eastAsia="zh-CN"/>
              </w:rPr>
              <w:t>1</w:t>
            </w:r>
            <w:r>
              <w:rPr>
                <w:rFonts w:hint="default" w:ascii="Times New Roman" w:hAnsi="Times New Roman" w:cs="Times New Roman"/>
              </w:rPr>
              <w:t>日起施行；</w:t>
            </w:r>
          </w:p>
          <w:p w14:paraId="55160C82">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《关于加强建设项目竣工环境保护验收检测工作中污染事故防范环境管理检查工作的通知》，中国环境检测总站验字〔2005〕188号，2005年12月；</w:t>
            </w:r>
          </w:p>
          <w:p w14:paraId="6CC0467C">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《关于印发建设项目竣工环境保护验收现场检查及审查要点的通知》（环境保护部办公厅，环办〔2015〕113 号）；</w:t>
            </w:r>
          </w:p>
          <w:p w14:paraId="56D69EFC">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《关于发布&lt;建设项目竣工环境保护验收暂行办法&gt;的公告》，国环规环评[2017]4号，2017年11月20日施行；</w:t>
            </w:r>
          </w:p>
          <w:p w14:paraId="6D3A0B0B">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《建设项目竣工环境保护验收技术指南 污染影响类》，生态环境部公告2018年第9号，2018年5月16日印发；</w:t>
            </w:r>
          </w:p>
          <w:p w14:paraId="4DF15EFF">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lang w:eastAsia="zh-CN"/>
              </w:rPr>
              <w:t>大气污染物综合排放标准GB 16297-1996；</w:t>
            </w:r>
          </w:p>
          <w:p w14:paraId="559B05CC">
            <w:pPr>
              <w:pStyle w:val="56"/>
              <w:numPr>
                <w:ilvl w:val="0"/>
                <w:numId w:val="2"/>
              </w:numPr>
              <w:ind w:left="0" w:firstLine="0" w:firstLineChars="0"/>
              <w:jc w:val="both"/>
              <w:rPr>
                <w:rFonts w:hint="default" w:ascii="Times New Roman" w:hAnsi="Times New Roman" w:cs="Times New Roman"/>
              </w:rPr>
            </w:pPr>
            <w:r>
              <w:rPr>
                <w:rFonts w:hint="eastAsia" w:cs="Times New Roman"/>
                <w:lang w:val="en-US" w:eastAsia="zh-CN"/>
              </w:rPr>
              <w:t>污水综合排放标准GB8978-1996；</w:t>
            </w:r>
          </w:p>
          <w:p w14:paraId="0AC5B38B">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《工业企业厂界环境噪声排放标准》（GB12348-2008）</w:t>
            </w:r>
            <w:r>
              <w:rPr>
                <w:rFonts w:hint="eastAsia" w:cs="Times New Roman"/>
                <w:lang w:eastAsia="zh-CN"/>
              </w:rPr>
              <w:t>；</w:t>
            </w:r>
          </w:p>
          <w:p w14:paraId="574AE452">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lang w:val="en-US" w:eastAsia="zh-CN"/>
              </w:rPr>
              <w:t>《一般工业固体废物贮存和填埋污染控制标准》（GB18599-2020）</w:t>
            </w:r>
            <w:r>
              <w:rPr>
                <w:rFonts w:hint="eastAsia" w:cs="Times New Roman"/>
                <w:lang w:val="en-US" w:eastAsia="zh-CN"/>
              </w:rPr>
              <w:t>；</w:t>
            </w:r>
          </w:p>
          <w:p w14:paraId="3F322092">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rPr>
              <w:t>《危险废物贮存污染控制标准》（GB18597-20</w:t>
            </w:r>
            <w:r>
              <w:rPr>
                <w:rFonts w:hint="default" w:ascii="Times New Roman" w:hAnsi="Times New Roman" w:cs="Times New Roman"/>
                <w:lang w:val="en-US" w:eastAsia="zh-CN"/>
              </w:rPr>
              <w:t>23</w:t>
            </w:r>
            <w:r>
              <w:rPr>
                <w:rFonts w:hint="default" w:ascii="Times New Roman" w:hAnsi="Times New Roman" w:cs="Times New Roman"/>
              </w:rPr>
              <w:t>）</w:t>
            </w:r>
            <w:r>
              <w:rPr>
                <w:rFonts w:hint="eastAsia" w:cs="Times New Roman"/>
                <w:lang w:eastAsia="zh-CN"/>
              </w:rPr>
              <w:t>；</w:t>
            </w:r>
          </w:p>
          <w:p w14:paraId="7169F9D8">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lang w:val="en" w:eastAsia="zh-CN"/>
              </w:rPr>
              <w:t>《</w:t>
            </w:r>
            <w:r>
              <w:rPr>
                <w:rFonts w:hint="eastAsia" w:cs="Times New Roman"/>
                <w:lang w:val="en" w:eastAsia="zh-CN"/>
              </w:rPr>
              <w:t>邵阳市鑫腾阻燃新材料科技有限公司红磷阻燃剂建设项目</w:t>
            </w:r>
            <w:r>
              <w:rPr>
                <w:rFonts w:hint="default" w:ascii="Times New Roman" w:hAnsi="Times New Roman" w:cs="Times New Roman"/>
                <w:lang w:val="en" w:eastAsia="zh-CN"/>
              </w:rPr>
              <w:t>环境影响报告表》</w:t>
            </w:r>
            <w:r>
              <w:rPr>
                <w:rFonts w:hint="default" w:ascii="Times New Roman" w:hAnsi="Times New Roman" w:cs="Times New Roman"/>
                <w:lang w:val="en-US" w:eastAsia="zh-CN"/>
              </w:rPr>
              <w:t>及其</w:t>
            </w:r>
            <w:r>
              <w:rPr>
                <w:rFonts w:hint="default" w:ascii="Times New Roman" w:hAnsi="Times New Roman" w:cs="Times New Roman"/>
                <w:lang w:val="en" w:eastAsia="zh-CN"/>
              </w:rPr>
              <w:t>批复（邵阳市生态环境局邵阳县分局</w:t>
            </w:r>
            <w:r>
              <w:rPr>
                <w:rFonts w:hint="default" w:ascii="Times New Roman" w:hAnsi="Times New Roman" w:cs="Times New Roman"/>
                <w:lang w:val="en-US" w:eastAsia="zh-CN"/>
              </w:rPr>
              <w:t>，邵市环评(3)(2024)</w:t>
            </w:r>
            <w:r>
              <w:rPr>
                <w:rFonts w:hint="eastAsia" w:cs="Times New Roman"/>
                <w:lang w:val="en-US" w:eastAsia="zh-CN"/>
              </w:rPr>
              <w:t>10</w:t>
            </w:r>
            <w:r>
              <w:rPr>
                <w:rFonts w:hint="default" w:ascii="Times New Roman" w:hAnsi="Times New Roman" w:cs="Times New Roman"/>
                <w:lang w:val="en-US" w:eastAsia="zh-CN"/>
              </w:rPr>
              <w:t>号 </w:t>
            </w:r>
            <w:r>
              <w:rPr>
                <w:rFonts w:hint="default" w:ascii="Times New Roman" w:hAnsi="Times New Roman" w:cs="Times New Roman"/>
                <w:lang w:val="en" w:eastAsia="zh-CN"/>
              </w:rPr>
              <w:t>），</w:t>
            </w:r>
            <w:r>
              <w:rPr>
                <w:rFonts w:hint="default" w:ascii="Times New Roman" w:hAnsi="Times New Roman" w:cs="Times New Roman"/>
                <w:lang w:val="en-US" w:eastAsia="zh-CN"/>
              </w:rPr>
              <w:t>2024年</w:t>
            </w:r>
            <w:r>
              <w:rPr>
                <w:rFonts w:hint="eastAsia" w:cs="Times New Roman"/>
                <w:lang w:val="en-US" w:eastAsia="zh-CN"/>
              </w:rPr>
              <w:t>7</w:t>
            </w:r>
            <w:r>
              <w:rPr>
                <w:rFonts w:hint="default" w:ascii="Times New Roman" w:hAnsi="Times New Roman" w:cs="Times New Roman"/>
                <w:lang w:val="en-US" w:eastAsia="zh-CN"/>
              </w:rPr>
              <w:t>月</w:t>
            </w:r>
            <w:r>
              <w:rPr>
                <w:rFonts w:hint="eastAsia" w:cs="Times New Roman"/>
                <w:lang w:val="en-US" w:eastAsia="zh-CN"/>
              </w:rPr>
              <w:t>18</w:t>
            </w:r>
            <w:r>
              <w:rPr>
                <w:rFonts w:hint="default" w:ascii="Times New Roman" w:hAnsi="Times New Roman" w:cs="Times New Roman"/>
                <w:lang w:val="en-US" w:eastAsia="zh-CN"/>
              </w:rPr>
              <w:t>日</w:t>
            </w:r>
            <w:r>
              <w:rPr>
                <w:rFonts w:hint="eastAsia" w:cs="Times New Roman"/>
                <w:lang w:val="en-US" w:eastAsia="zh-CN"/>
              </w:rPr>
              <w:t>；</w:t>
            </w:r>
          </w:p>
          <w:p w14:paraId="28F4192F">
            <w:pPr>
              <w:pStyle w:val="56"/>
              <w:numPr>
                <w:ilvl w:val="0"/>
                <w:numId w:val="2"/>
              </w:numPr>
              <w:ind w:left="0" w:firstLine="0" w:firstLineChars="0"/>
              <w:jc w:val="both"/>
              <w:rPr>
                <w:rFonts w:hint="default" w:ascii="Times New Roman" w:hAnsi="Times New Roman" w:cs="Times New Roman"/>
              </w:rPr>
            </w:pPr>
            <w:r>
              <w:rPr>
                <w:rFonts w:hint="default" w:ascii="Times New Roman" w:hAnsi="Times New Roman" w:cs="Times New Roman"/>
                <w:lang w:val="en-US" w:eastAsia="zh-CN"/>
              </w:rPr>
              <w:t>邵阳市鑫腾阻燃新材料科技有限公司</w:t>
            </w:r>
            <w:r>
              <w:rPr>
                <w:rFonts w:hint="eastAsia" w:cs="Times New Roman"/>
                <w:lang w:val="en-US" w:eastAsia="zh-CN"/>
              </w:rPr>
              <w:t>排污许可证，许可编号：91430523MADGF6KR14001V；</w:t>
            </w:r>
          </w:p>
          <w:p w14:paraId="4FF77344">
            <w:pPr>
              <w:pStyle w:val="56"/>
              <w:numPr>
                <w:ilvl w:val="0"/>
                <w:numId w:val="2"/>
              </w:numPr>
              <w:ind w:left="0" w:firstLine="0" w:firstLineChars="0"/>
              <w:jc w:val="both"/>
              <w:rPr>
                <w:rFonts w:hint="default" w:ascii="Times New Roman" w:hAnsi="Times New Roman" w:cs="Times New Roman"/>
              </w:rPr>
            </w:pPr>
            <w:r>
              <w:rPr>
                <w:rFonts w:hint="eastAsia" w:cs="Times New Roman"/>
                <w:lang w:val="en-US" w:eastAsia="zh-CN"/>
              </w:rPr>
              <w:t>《邵阳市鑫腾阻燃新材料科技有限公司突发环境事件应急预案》</w:t>
            </w:r>
            <w:r>
              <w:rPr>
                <w:rFonts w:hint="default" w:ascii="Times New Roman" w:hAnsi="Times New Roman" w:cs="Times New Roman"/>
                <w:lang w:val="en-US" w:eastAsia="zh-CN"/>
              </w:rPr>
              <w:t>。</w:t>
            </w:r>
          </w:p>
        </w:tc>
      </w:tr>
      <w:tr w14:paraId="347FE61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1242" w:type="dxa"/>
            <w:vAlign w:val="center"/>
          </w:tcPr>
          <w:p w14:paraId="6049537D">
            <w:pPr>
              <w:ind w:firstLine="0" w:firstLineChars="0"/>
              <w:jc w:val="center"/>
              <w:rPr>
                <w:rFonts w:hint="default" w:ascii="Times New Roman" w:hAnsi="Times New Roman" w:cs="Times New Roman"/>
                <w:b/>
              </w:rPr>
            </w:pPr>
            <w:r>
              <w:rPr>
                <w:rFonts w:hint="default" w:ascii="Times New Roman" w:hAnsi="Times New Roman" w:cs="Times New Roman"/>
                <w:b/>
              </w:rPr>
              <w:t>验收检测评价标准、标号、级别、限值</w:t>
            </w:r>
          </w:p>
        </w:tc>
        <w:tc>
          <w:tcPr>
            <w:tcW w:w="8161" w:type="dxa"/>
            <w:gridSpan w:val="6"/>
            <w:vAlign w:val="center"/>
          </w:tcPr>
          <w:p w14:paraId="17C28023">
            <w:pPr>
              <w:ind w:firstLine="0" w:firstLineChars="0"/>
              <w:jc w:val="left"/>
              <w:rPr>
                <w:rFonts w:hint="default" w:ascii="Times New Roman" w:hAnsi="Times New Roman" w:cs="Times New Roman"/>
                <w:b/>
                <w:bCs/>
                <w:lang w:eastAsia="zh-CN"/>
              </w:rPr>
            </w:pPr>
            <w:r>
              <w:rPr>
                <w:rFonts w:hint="default" w:ascii="Times New Roman" w:hAnsi="Times New Roman" w:cs="Times New Roman"/>
                <w:b/>
                <w:bCs/>
              </w:rPr>
              <w:t>污染物排放标准</w:t>
            </w:r>
            <w:r>
              <w:rPr>
                <w:rFonts w:hint="default" w:ascii="Times New Roman" w:hAnsi="Times New Roman" w:cs="Times New Roman"/>
                <w:b/>
                <w:bCs/>
                <w:lang w:eastAsia="zh-CN"/>
              </w:rPr>
              <w:t>：</w:t>
            </w:r>
          </w:p>
          <w:p w14:paraId="22F395FB">
            <w:pPr>
              <w:numPr>
                <w:ilvl w:val="0"/>
                <w:numId w:val="3"/>
              </w:numPr>
              <w:spacing w:line="360" w:lineRule="auto"/>
              <w:ind w:firstLine="480"/>
              <w:jc w:val="both"/>
              <w:rPr>
                <w:rFonts w:hint="default" w:ascii="Times New Roman" w:hAnsi="Times New Roman" w:cs="Times New Roman"/>
                <w:sz w:val="24"/>
                <w:szCs w:val="24"/>
                <w:lang w:val="en-US" w:eastAsia="zh-CN"/>
              </w:rPr>
            </w:pPr>
            <w:r>
              <w:rPr>
                <w:rFonts w:hint="default" w:ascii="Times New Roman" w:hAnsi="Times New Roman" w:cs="Times New Roman"/>
                <w:lang w:val="en-US" w:eastAsia="zh-CN"/>
              </w:rPr>
              <w:t>有组织</w:t>
            </w:r>
            <w:r>
              <w:rPr>
                <w:rFonts w:hint="default" w:ascii="Times New Roman" w:hAnsi="Times New Roman" w:cs="Times New Roman"/>
              </w:rPr>
              <w:t>废气：</w:t>
            </w:r>
            <w:r>
              <w:rPr>
                <w:rFonts w:hint="eastAsia" w:cs="Times New Roman"/>
                <w:lang w:val="en-US" w:eastAsia="zh-CN"/>
              </w:rPr>
              <w:t>有机</w:t>
            </w:r>
            <w:r>
              <w:rPr>
                <w:rFonts w:hint="default" w:ascii="Times New Roman" w:hAnsi="Times New Roman" w:cs="Times New Roman"/>
                <w:lang w:val="en-US" w:eastAsia="zh-CN"/>
              </w:rPr>
              <w:t>废气（</w:t>
            </w:r>
            <w:r>
              <w:rPr>
                <w:rFonts w:hint="eastAsia" w:cs="Times New Roman"/>
                <w:lang w:val="en-US" w:eastAsia="zh-CN"/>
              </w:rPr>
              <w:t>非甲烷总烃、颗粒物</w:t>
            </w:r>
            <w:r>
              <w:rPr>
                <w:rFonts w:hint="default" w:ascii="Times New Roman" w:hAnsi="Times New Roman" w:cs="Times New Roman"/>
                <w:lang w:val="en-US" w:eastAsia="zh-CN"/>
              </w:rPr>
              <w:t>）执行《大气污染物综合排放标准》（GB 16297-1996）标准限值</w:t>
            </w:r>
            <w:r>
              <w:rPr>
                <w:rFonts w:hint="default" w:ascii="Times New Roman" w:hAnsi="Times New Roman" w:eastAsia="宋体" w:cs="Times New Roman"/>
                <w:lang w:eastAsia="zh-CN"/>
              </w:rPr>
              <w:t>；</w:t>
            </w:r>
          </w:p>
          <w:p w14:paraId="2316F9BE">
            <w:pPr>
              <w:numPr>
                <w:ilvl w:val="0"/>
                <w:numId w:val="0"/>
              </w:numPr>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eastAsia="宋体" w:cs="Times New Roman"/>
                <w:lang w:val="en-US" w:eastAsia="zh-CN"/>
              </w:rPr>
              <w:t>无组织废气：</w:t>
            </w:r>
            <w:r>
              <w:rPr>
                <w:rFonts w:hint="default" w:ascii="Times New Roman" w:hAnsi="Times New Roman" w:cs="Times New Roman"/>
                <w:lang w:val="en-US" w:eastAsia="zh-CN"/>
              </w:rPr>
              <w:t>颗粒物、</w:t>
            </w:r>
            <w:r>
              <w:rPr>
                <w:rFonts w:hint="eastAsia" w:cs="Times New Roman"/>
                <w:lang w:val="en-US" w:eastAsia="zh-CN"/>
              </w:rPr>
              <w:t>非甲烷总烃</w:t>
            </w:r>
            <w:r>
              <w:rPr>
                <w:rFonts w:hint="default" w:ascii="Times New Roman" w:hAnsi="Times New Roman" w:cs="Times New Roman"/>
                <w:lang w:val="en-US" w:eastAsia="zh-CN"/>
              </w:rPr>
              <w:t>执行《大气污染物综合排放标准》（GB 16297-1996）标准限值</w:t>
            </w:r>
            <w:r>
              <w:rPr>
                <w:rFonts w:hint="default" w:ascii="Times New Roman" w:hAnsi="Times New Roman" w:cs="Times New Roman"/>
                <w:sz w:val="24"/>
                <w:szCs w:val="24"/>
                <w:lang w:val="en-US" w:eastAsia="zh-CN"/>
              </w:rPr>
              <w:t>；</w:t>
            </w:r>
          </w:p>
          <w:p w14:paraId="38B038F1">
            <w:pPr>
              <w:spacing w:line="360" w:lineRule="auto"/>
              <w:ind w:firstLine="480"/>
              <w:jc w:val="both"/>
              <w:rPr>
                <w:rFonts w:hint="default" w:ascii="Times New Roman" w:hAnsi="Times New Roman" w:cs="Times New Roman" w:eastAsiaTheme="minorEastAsia"/>
                <w:lang w:val="en-US" w:eastAsia="zh-CN"/>
              </w:rPr>
            </w:pPr>
            <w:r>
              <w:rPr>
                <w:rFonts w:hint="eastAsia" w:cs="Times New Roman"/>
                <w:lang w:eastAsia="zh-CN"/>
              </w:rPr>
              <w:t>（</w:t>
            </w:r>
            <w:r>
              <w:rPr>
                <w:rFonts w:hint="eastAsia" w:cs="Times New Roman"/>
                <w:lang w:val="en-US" w:eastAsia="zh-CN"/>
              </w:rPr>
              <w:t>2</w:t>
            </w:r>
            <w:r>
              <w:rPr>
                <w:rFonts w:hint="eastAsia" w:cs="Times New Roman"/>
                <w:lang w:eastAsia="zh-CN"/>
              </w:rPr>
              <w:t>）</w:t>
            </w:r>
            <w:r>
              <w:rPr>
                <w:rFonts w:hint="eastAsia" w:cs="Times New Roman"/>
                <w:lang w:val="en-US" w:eastAsia="zh-CN"/>
              </w:rPr>
              <w:t>生活污水：执行《污水综合排放标准》（GB8978-1996）中的三级标准；</w:t>
            </w:r>
          </w:p>
          <w:p w14:paraId="42F43FC2">
            <w:pPr>
              <w:spacing w:line="360" w:lineRule="auto"/>
              <w:ind w:firstLine="480"/>
              <w:jc w:val="both"/>
              <w:rPr>
                <w:rFonts w:hint="default" w:ascii="Times New Roman" w:hAnsi="Times New Roman" w:cs="Times New Roman" w:eastAsiaTheme="minorEastAsia"/>
                <w:lang w:val="en-US" w:eastAsia="zh-CN"/>
              </w:rPr>
            </w:pP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）噪声：</w:t>
            </w:r>
            <w:r>
              <w:rPr>
                <w:rFonts w:hint="default" w:ascii="Times New Roman" w:hAnsi="Times New Roman" w:cs="Times New Roman"/>
                <w:lang w:val="en-US" w:eastAsia="zh-CN"/>
              </w:rPr>
              <w:t>厂界</w:t>
            </w:r>
            <w:r>
              <w:rPr>
                <w:rFonts w:hint="default" w:ascii="Times New Roman" w:hAnsi="Times New Roman" w:eastAsia="宋体" w:cs="Times New Roman"/>
                <w:sz w:val="24"/>
                <w:szCs w:val="24"/>
              </w:rPr>
              <w:t>《工业企业厂界环境噪声排放标准</w:t>
            </w:r>
            <w:r>
              <w:rPr>
                <w:rFonts w:hint="default" w:ascii="Times New Roman" w:hAnsi="Times New Roman" w:eastAsia="宋体" w:cs="Times New Roman"/>
                <w:sz w:val="24"/>
                <w:szCs w:val="24"/>
                <w:lang w:val="en-US" w:eastAsia="zh-CN"/>
              </w:rPr>
              <w:t>》（GB</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12348-2008）中的</w:t>
            </w:r>
            <w:r>
              <w:rPr>
                <w:rFonts w:hint="eastAsia" w:eastAsia="宋体" w:cs="Times New Roman"/>
                <w:sz w:val="24"/>
                <w:szCs w:val="24"/>
                <w:lang w:val="en-US" w:eastAsia="zh-CN"/>
              </w:rPr>
              <w:t>3</w:t>
            </w:r>
            <w:r>
              <w:rPr>
                <w:rFonts w:hint="default" w:ascii="Times New Roman" w:hAnsi="Times New Roman" w:eastAsia="宋体" w:cs="Times New Roman"/>
                <w:sz w:val="24"/>
                <w:szCs w:val="24"/>
                <w:lang w:val="en-US" w:eastAsia="zh-CN"/>
              </w:rPr>
              <w:t>类标准</w:t>
            </w:r>
            <w:r>
              <w:rPr>
                <w:rFonts w:hint="default" w:ascii="Times New Roman" w:hAnsi="Times New Roman" w:cs="Times New Roman"/>
                <w:lang w:val="en-US" w:eastAsia="zh-CN"/>
              </w:rPr>
              <w:t>；</w:t>
            </w:r>
          </w:p>
          <w:p w14:paraId="5A3CEB54">
            <w:pPr>
              <w:spacing w:line="360" w:lineRule="auto"/>
              <w:ind w:firstLine="480"/>
              <w:jc w:val="left"/>
              <w:rPr>
                <w:rFonts w:hint="default" w:ascii="Times New Roman" w:hAnsi="Times New Roman" w:cs="Times New Roman"/>
                <w:lang w:eastAsia="zh-CN"/>
              </w:rPr>
            </w:pPr>
            <w:r>
              <w:rPr>
                <w:rFonts w:hint="default" w:ascii="Times New Roman" w:hAnsi="Times New Roman" w:cs="Times New Roman"/>
                <w:lang w:val="en-US" w:eastAsia="zh-CN"/>
              </w:rPr>
              <w:t>（3）固体废物：</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"https://www.mee.gov.cn/ywgz/fgbz/bz/bzwb/gthw/gtfwwrkzbz/201405/W020140530531389708182.pdf"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生活垃圾焚烧污染控制标准(GB 18485-2014</w:t>
            </w:r>
            <w:r>
              <w:rPr>
                <w:rFonts w:hint="default" w:ascii="Times New Roman" w:hAnsi="Times New Roman" w:cs="Times New Roman"/>
                <w:lang w:val="en-US" w:eastAsia="zh-CN"/>
              </w:rPr>
              <w:fldChar w:fldCharType="end"/>
            </w:r>
            <w:r>
              <w:rPr>
                <w:rFonts w:hint="eastAsia" w:cs="Times New Roman"/>
                <w:lang w:val="en-US" w:eastAsia="zh-CN"/>
              </w:rPr>
              <w:t>）及其修改单</w:t>
            </w:r>
            <w:r>
              <w:rPr>
                <w:rFonts w:hint="default" w:ascii="Times New Roman" w:hAnsi="Times New Roman" w:cs="Times New Roman"/>
                <w:lang w:val="en-US" w:eastAsia="zh-CN"/>
              </w:rPr>
              <w:t>，《一般工业固体废物贮存、处置场污染控制标准》（GB18599-2001）（2013年修改清单；《危险废物贮存污染控制标准》(GB18597-2001) 及其修改单</w:t>
            </w:r>
            <w:r>
              <w:rPr>
                <w:rFonts w:hint="default" w:ascii="Times New Roman" w:hAnsi="Times New Roman" w:cs="Times New Roman"/>
                <w:lang w:eastAsia="zh-CN"/>
              </w:rPr>
              <w:t>。</w:t>
            </w:r>
          </w:p>
          <w:p w14:paraId="14BCE0DA">
            <w:pPr>
              <w:spacing w:line="360" w:lineRule="auto"/>
              <w:ind w:firstLine="0" w:firstLineChars="0"/>
              <w:jc w:val="center"/>
              <w:rPr>
                <w:rFonts w:hint="default" w:ascii="Times New Roman" w:hAnsi="Times New Roman" w:cs="Times New Roman"/>
              </w:rPr>
            </w:pPr>
            <w:r>
              <w:rPr>
                <w:rFonts w:hint="default" w:ascii="Times New Roman" w:hAnsi="Times New Roman" w:eastAsia="宋体" w:cs="Times New Roman"/>
                <w:b/>
                <w:sz w:val="21"/>
                <w:szCs w:val="21"/>
              </w:rPr>
              <w:t>表1-</w:t>
            </w:r>
            <w:r>
              <w:rPr>
                <w:rFonts w:hint="default" w:ascii="Times New Roman" w:hAnsi="Times New Roman" w:eastAsia="宋体" w:cs="Times New Roman"/>
                <w:b/>
                <w:sz w:val="21"/>
                <w:szCs w:val="21"/>
                <w:lang w:val="en-US" w:eastAsia="zh-CN"/>
              </w:rPr>
              <w:t>1</w:t>
            </w:r>
            <w:r>
              <w:rPr>
                <w:rFonts w:hint="default" w:ascii="Times New Roman" w:hAnsi="Times New Roman" w:eastAsia="宋体" w:cs="Times New Roman"/>
                <w:b/>
                <w:sz w:val="21"/>
                <w:szCs w:val="21"/>
              </w:rPr>
              <w:t xml:space="preserve">  本项目验收污染物排放执行标准</w:t>
            </w:r>
          </w:p>
          <w:tbl>
            <w:tblPr>
              <w:tblStyle w:val="32"/>
              <w:tblW w:w="8034"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211"/>
              <w:gridCol w:w="2042"/>
              <w:gridCol w:w="3473"/>
            </w:tblGrid>
            <w:tr w14:paraId="3DAE672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Align w:val="center"/>
                </w:tcPr>
                <w:p w14:paraId="4BBC2207">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环境要素</w:t>
                  </w:r>
                </w:p>
              </w:tc>
              <w:tc>
                <w:tcPr>
                  <w:tcW w:w="1211" w:type="dxa"/>
                  <w:vAlign w:val="center"/>
                </w:tcPr>
                <w:p w14:paraId="69CBB5C0">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w:t>
                  </w:r>
                </w:p>
              </w:tc>
              <w:tc>
                <w:tcPr>
                  <w:tcW w:w="2042" w:type="dxa"/>
                  <w:vAlign w:val="center"/>
                </w:tcPr>
                <w:p w14:paraId="22C57840">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标准限值</w:t>
                  </w:r>
                </w:p>
              </w:tc>
              <w:tc>
                <w:tcPr>
                  <w:tcW w:w="3473" w:type="dxa"/>
                  <w:vAlign w:val="center"/>
                </w:tcPr>
                <w:p w14:paraId="3408D913">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执行标准</w:t>
                  </w:r>
                </w:p>
              </w:tc>
            </w:tr>
            <w:tr w14:paraId="4643E5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restart"/>
                  <w:vAlign w:val="center"/>
                </w:tcPr>
                <w:p w14:paraId="7B803EB6">
                  <w:pPr>
                    <w:tabs>
                      <w:tab w:val="left" w:pos="357"/>
                    </w:tabs>
                    <w:spacing w:line="240" w:lineRule="auto"/>
                    <w:ind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color w:val="auto"/>
                      <w:sz w:val="21"/>
                      <w:szCs w:val="21"/>
                      <w:lang w:val="en-US" w:eastAsia="zh-CN"/>
                    </w:rPr>
                    <w:t>有组织废气</w:t>
                  </w:r>
                </w:p>
              </w:tc>
              <w:tc>
                <w:tcPr>
                  <w:tcW w:w="1211" w:type="dxa"/>
                  <w:vAlign w:val="center"/>
                </w:tcPr>
                <w:p w14:paraId="794B6E6C">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颗粒物</w:t>
                  </w:r>
                </w:p>
              </w:tc>
              <w:tc>
                <w:tcPr>
                  <w:tcW w:w="2042" w:type="dxa"/>
                  <w:vAlign w:val="center"/>
                </w:tcPr>
                <w:p w14:paraId="53B6800C">
                  <w:pPr>
                    <w:tabs>
                      <w:tab w:val="left" w:pos="357"/>
                    </w:tabs>
                    <w:spacing w:line="240" w:lineRule="auto"/>
                    <w:ind w:firstLine="0" w:firstLineChars="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lang w:val="en-US" w:eastAsia="zh-CN"/>
                    </w:rPr>
                    <w:t>30 mg/m</w:t>
                  </w:r>
                  <w:r>
                    <w:rPr>
                      <w:rFonts w:hint="default" w:ascii="Times New Roman" w:hAnsi="Times New Roman" w:cs="Times New Roman"/>
                      <w:color w:val="auto"/>
                      <w:sz w:val="21"/>
                      <w:szCs w:val="21"/>
                      <w:vertAlign w:val="superscript"/>
                      <w:lang w:val="en-US" w:eastAsia="zh-CN"/>
                    </w:rPr>
                    <w:t>3</w:t>
                  </w:r>
                </w:p>
              </w:tc>
              <w:tc>
                <w:tcPr>
                  <w:tcW w:w="3473" w:type="dxa"/>
                  <w:vMerge w:val="restart"/>
                  <w:vAlign w:val="center"/>
                </w:tcPr>
                <w:p w14:paraId="564CB7A2">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《大气污染物综合排放标准》（GB 16297-1996）标准限值</w:t>
                  </w:r>
                </w:p>
              </w:tc>
            </w:tr>
            <w:tr w14:paraId="4ED74B0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4F0870BB">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p>
              </w:tc>
              <w:tc>
                <w:tcPr>
                  <w:tcW w:w="1211" w:type="dxa"/>
                  <w:vAlign w:val="center"/>
                </w:tcPr>
                <w:p w14:paraId="189A471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二氧化硫</w:t>
                  </w:r>
                </w:p>
              </w:tc>
              <w:tc>
                <w:tcPr>
                  <w:tcW w:w="2042" w:type="dxa"/>
                  <w:vAlign w:val="center"/>
                </w:tcPr>
                <w:p w14:paraId="0113648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150 mg/m</w:t>
                  </w:r>
                  <w:r>
                    <w:rPr>
                      <w:rFonts w:hint="default" w:ascii="Times New Roman" w:hAnsi="Times New Roman" w:cs="Times New Roman"/>
                      <w:color w:val="auto"/>
                      <w:sz w:val="21"/>
                      <w:szCs w:val="21"/>
                      <w:vertAlign w:val="superscript"/>
                      <w:lang w:val="en-US" w:eastAsia="zh-CN"/>
                    </w:rPr>
                    <w:t>3</w:t>
                  </w:r>
                </w:p>
              </w:tc>
              <w:tc>
                <w:tcPr>
                  <w:tcW w:w="3473" w:type="dxa"/>
                  <w:vMerge w:val="continue"/>
                  <w:vAlign w:val="center"/>
                </w:tcPr>
                <w:p w14:paraId="4E3AD07C">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636DE0E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1A3103D6">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p>
              </w:tc>
              <w:tc>
                <w:tcPr>
                  <w:tcW w:w="1211" w:type="dxa"/>
                  <w:vAlign w:val="center"/>
                </w:tcPr>
                <w:p w14:paraId="41BE1BD6">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氮氧化物</w:t>
                  </w:r>
                </w:p>
              </w:tc>
              <w:tc>
                <w:tcPr>
                  <w:tcW w:w="2042" w:type="dxa"/>
                  <w:vAlign w:val="center"/>
                </w:tcPr>
                <w:p w14:paraId="33F74C9B">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200 mg/m</w:t>
                  </w:r>
                  <w:r>
                    <w:rPr>
                      <w:rFonts w:hint="default" w:ascii="Times New Roman" w:hAnsi="Times New Roman" w:cs="Times New Roman"/>
                      <w:color w:val="auto"/>
                      <w:sz w:val="21"/>
                      <w:szCs w:val="21"/>
                      <w:vertAlign w:val="superscript"/>
                      <w:lang w:val="en-US" w:eastAsia="zh-CN"/>
                    </w:rPr>
                    <w:t>3</w:t>
                  </w:r>
                </w:p>
              </w:tc>
              <w:tc>
                <w:tcPr>
                  <w:tcW w:w="3473" w:type="dxa"/>
                  <w:vMerge w:val="continue"/>
                  <w:vAlign w:val="center"/>
                </w:tcPr>
                <w:p w14:paraId="5A58BBAF">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13F5E2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1F808444">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p>
              </w:tc>
              <w:tc>
                <w:tcPr>
                  <w:tcW w:w="1211" w:type="dxa"/>
                  <w:vAlign w:val="center"/>
                </w:tcPr>
                <w:p w14:paraId="60EECB9B">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氟化物</w:t>
                  </w:r>
                </w:p>
              </w:tc>
              <w:tc>
                <w:tcPr>
                  <w:tcW w:w="2042" w:type="dxa"/>
                  <w:vAlign w:val="center"/>
                </w:tcPr>
                <w:p w14:paraId="109377D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3 mg/m</w:t>
                  </w:r>
                  <w:r>
                    <w:rPr>
                      <w:rFonts w:hint="default" w:ascii="Times New Roman" w:hAnsi="Times New Roman" w:cs="Times New Roman"/>
                      <w:color w:val="auto"/>
                      <w:sz w:val="21"/>
                      <w:szCs w:val="21"/>
                      <w:vertAlign w:val="superscript"/>
                      <w:lang w:val="en-US" w:eastAsia="zh-CN"/>
                    </w:rPr>
                    <w:t>3</w:t>
                  </w:r>
                </w:p>
              </w:tc>
              <w:tc>
                <w:tcPr>
                  <w:tcW w:w="3473" w:type="dxa"/>
                  <w:vMerge w:val="continue"/>
                  <w:vAlign w:val="center"/>
                </w:tcPr>
                <w:p w14:paraId="0DCA699A">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16E42EA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restart"/>
                  <w:vAlign w:val="center"/>
                </w:tcPr>
                <w:p w14:paraId="33AED76B">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无组织废气</w:t>
                  </w:r>
                </w:p>
              </w:tc>
              <w:tc>
                <w:tcPr>
                  <w:tcW w:w="1211" w:type="dxa"/>
                  <w:vAlign w:val="center"/>
                </w:tcPr>
                <w:p w14:paraId="680A3097">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颗粒物</w:t>
                  </w:r>
                </w:p>
              </w:tc>
              <w:tc>
                <w:tcPr>
                  <w:tcW w:w="2042" w:type="dxa"/>
                  <w:vAlign w:val="center"/>
                </w:tcPr>
                <w:p w14:paraId="793815B0">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 mg/m</w:t>
                  </w:r>
                  <w:r>
                    <w:rPr>
                      <w:rFonts w:hint="default" w:ascii="Times New Roman" w:hAnsi="Times New Roman" w:cs="Times New Roman"/>
                      <w:color w:val="auto"/>
                      <w:sz w:val="21"/>
                      <w:szCs w:val="21"/>
                      <w:vertAlign w:val="superscript"/>
                      <w:lang w:val="en-US" w:eastAsia="zh-CN"/>
                    </w:rPr>
                    <w:t>3</w:t>
                  </w:r>
                </w:p>
              </w:tc>
              <w:tc>
                <w:tcPr>
                  <w:tcW w:w="3473" w:type="dxa"/>
                  <w:vMerge w:val="restart"/>
                  <w:vAlign w:val="center"/>
                </w:tcPr>
                <w:p w14:paraId="06235B37">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《大气污染物综合排放标准》（GB 16297-1996）标准限值</w:t>
                  </w:r>
                </w:p>
              </w:tc>
            </w:tr>
            <w:tr w14:paraId="0BDCDB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6B0850E9">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p>
              </w:tc>
              <w:tc>
                <w:tcPr>
                  <w:tcW w:w="1211" w:type="dxa"/>
                  <w:vAlign w:val="center"/>
                </w:tcPr>
                <w:p w14:paraId="1AA34C55">
                  <w:pPr>
                    <w:tabs>
                      <w:tab w:val="left" w:pos="357"/>
                    </w:tabs>
                    <w:spacing w:line="240" w:lineRule="auto"/>
                    <w:ind w:firstLine="0" w:firstLineChars="0"/>
                    <w:jc w:val="center"/>
                    <w:rPr>
                      <w:rFonts w:hint="default" w:ascii="Times New Roman" w:hAnsi="Times New Roman" w:cs="Times New Roman" w:eastAsiaTheme="minorEastAsia"/>
                      <w:color w:val="auto"/>
                      <w:kern w:val="2"/>
                      <w:sz w:val="21"/>
                      <w:szCs w:val="21"/>
                      <w:lang w:val="en-US" w:eastAsia="zh-CN" w:bidi="ar-SA"/>
                    </w:rPr>
                  </w:pPr>
                  <w:r>
                    <w:rPr>
                      <w:rFonts w:hint="eastAsia" w:cs="Times New Roman"/>
                      <w:color w:val="auto"/>
                      <w:sz w:val="21"/>
                      <w:szCs w:val="21"/>
                      <w:lang w:val="en-US" w:eastAsia="zh-CN"/>
                    </w:rPr>
                    <w:t>非甲烷总烃</w:t>
                  </w:r>
                </w:p>
              </w:tc>
              <w:tc>
                <w:tcPr>
                  <w:tcW w:w="2042" w:type="dxa"/>
                  <w:vAlign w:val="center"/>
                </w:tcPr>
                <w:p w14:paraId="1AD9A7C6">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0.5 mg/m</w:t>
                  </w:r>
                  <w:r>
                    <w:rPr>
                      <w:rFonts w:hint="default" w:ascii="Times New Roman" w:hAnsi="Times New Roman" w:cs="Times New Roman"/>
                      <w:color w:val="auto"/>
                      <w:sz w:val="21"/>
                      <w:szCs w:val="21"/>
                      <w:vertAlign w:val="superscript"/>
                      <w:lang w:val="en-US" w:eastAsia="zh-CN"/>
                    </w:rPr>
                    <w:t>3</w:t>
                  </w:r>
                </w:p>
              </w:tc>
              <w:tc>
                <w:tcPr>
                  <w:tcW w:w="3473" w:type="dxa"/>
                  <w:vMerge w:val="continue"/>
                  <w:vAlign w:val="center"/>
                </w:tcPr>
                <w:p w14:paraId="4B0AB999">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57E322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restart"/>
                  <w:vAlign w:val="center"/>
                </w:tcPr>
                <w:p w14:paraId="579DD66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生活污水</w:t>
                  </w:r>
                </w:p>
              </w:tc>
              <w:tc>
                <w:tcPr>
                  <w:tcW w:w="1211" w:type="dxa"/>
                  <w:vAlign w:val="center"/>
                </w:tcPr>
                <w:p w14:paraId="209B000C">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pH</w:t>
                  </w:r>
                </w:p>
              </w:tc>
              <w:tc>
                <w:tcPr>
                  <w:tcW w:w="2042" w:type="dxa"/>
                  <w:vAlign w:val="center"/>
                </w:tcPr>
                <w:p w14:paraId="11B1D586">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6-9</w:t>
                  </w:r>
                </w:p>
              </w:tc>
              <w:tc>
                <w:tcPr>
                  <w:tcW w:w="3473" w:type="dxa"/>
                  <w:vMerge w:val="restart"/>
                  <w:vAlign w:val="center"/>
                </w:tcPr>
                <w:p w14:paraId="5531C50D">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《污水综合排放标准》（GB 8978-1996 ）表4中三级标准限值；氨氮参考《污水排入城镇下水道水质标准》（GB/T31962-2015）表1中B级标准限值</w:t>
                  </w:r>
                </w:p>
              </w:tc>
            </w:tr>
            <w:tr w14:paraId="7CA49A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49A58801">
                  <w:pPr>
                    <w:tabs>
                      <w:tab w:val="left" w:pos="357"/>
                    </w:tabs>
                    <w:spacing w:line="240" w:lineRule="auto"/>
                    <w:ind w:firstLine="0" w:firstLineChars="0"/>
                    <w:jc w:val="center"/>
                    <w:rPr>
                      <w:rFonts w:hint="eastAsia" w:cs="Times New Roman"/>
                      <w:color w:val="auto"/>
                      <w:sz w:val="21"/>
                      <w:szCs w:val="21"/>
                      <w:lang w:val="en-US" w:eastAsia="zh-CN"/>
                    </w:rPr>
                  </w:pPr>
                </w:p>
              </w:tc>
              <w:tc>
                <w:tcPr>
                  <w:tcW w:w="1211" w:type="dxa"/>
                  <w:vAlign w:val="center"/>
                </w:tcPr>
                <w:p w14:paraId="15E32CE8">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悬浮物</w:t>
                  </w:r>
                </w:p>
              </w:tc>
              <w:tc>
                <w:tcPr>
                  <w:tcW w:w="2042" w:type="dxa"/>
                  <w:vAlign w:val="center"/>
                </w:tcPr>
                <w:p w14:paraId="38EC8B0F">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400 mg/L</w:t>
                  </w:r>
                </w:p>
              </w:tc>
              <w:tc>
                <w:tcPr>
                  <w:tcW w:w="3473" w:type="dxa"/>
                  <w:vMerge w:val="continue"/>
                  <w:vAlign w:val="center"/>
                </w:tcPr>
                <w:p w14:paraId="65FCAD55">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5F9526D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13979385">
                  <w:pPr>
                    <w:tabs>
                      <w:tab w:val="left" w:pos="357"/>
                    </w:tabs>
                    <w:spacing w:line="240" w:lineRule="auto"/>
                    <w:ind w:firstLine="0" w:firstLineChars="0"/>
                    <w:jc w:val="center"/>
                    <w:rPr>
                      <w:rFonts w:hint="eastAsia" w:cs="Times New Roman"/>
                      <w:color w:val="auto"/>
                      <w:sz w:val="21"/>
                      <w:szCs w:val="21"/>
                      <w:lang w:val="en-US" w:eastAsia="zh-CN"/>
                    </w:rPr>
                  </w:pPr>
                </w:p>
              </w:tc>
              <w:tc>
                <w:tcPr>
                  <w:tcW w:w="1211" w:type="dxa"/>
                  <w:vAlign w:val="center"/>
                </w:tcPr>
                <w:p w14:paraId="07449F6C">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COD</w:t>
                  </w:r>
                </w:p>
              </w:tc>
              <w:tc>
                <w:tcPr>
                  <w:tcW w:w="2042" w:type="dxa"/>
                  <w:vAlign w:val="center"/>
                </w:tcPr>
                <w:p w14:paraId="066DC981">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w:t>
                  </w:r>
                  <w:r>
                    <w:rPr>
                      <w:rFonts w:hint="default" w:ascii="Times New Roman" w:hAnsi="Times New Roman" w:cs="Times New Roman"/>
                      <w:color w:val="auto"/>
                      <w:sz w:val="21"/>
                      <w:szCs w:val="21"/>
                      <w:lang w:val="en-US" w:eastAsia="zh-CN"/>
                    </w:rPr>
                    <w:t>00 mg/L</w:t>
                  </w:r>
                </w:p>
              </w:tc>
              <w:tc>
                <w:tcPr>
                  <w:tcW w:w="3473" w:type="dxa"/>
                  <w:vMerge w:val="continue"/>
                  <w:vAlign w:val="center"/>
                </w:tcPr>
                <w:p w14:paraId="6E47BE0D">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2E6B2AB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0EED2C85">
                  <w:pPr>
                    <w:tabs>
                      <w:tab w:val="left" w:pos="357"/>
                    </w:tabs>
                    <w:spacing w:line="240" w:lineRule="auto"/>
                    <w:ind w:firstLine="0" w:firstLineChars="0"/>
                    <w:jc w:val="center"/>
                    <w:rPr>
                      <w:rFonts w:hint="eastAsia" w:cs="Times New Roman"/>
                      <w:color w:val="auto"/>
                      <w:sz w:val="21"/>
                      <w:szCs w:val="21"/>
                      <w:lang w:val="en-US" w:eastAsia="zh-CN"/>
                    </w:rPr>
                  </w:pPr>
                </w:p>
              </w:tc>
              <w:tc>
                <w:tcPr>
                  <w:tcW w:w="1211" w:type="dxa"/>
                  <w:vAlign w:val="center"/>
                </w:tcPr>
                <w:p w14:paraId="0EC1AEE2">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BOD</w:t>
                  </w:r>
                  <w:r>
                    <w:rPr>
                      <w:rFonts w:hint="eastAsia" w:cs="Times New Roman"/>
                      <w:color w:val="auto"/>
                      <w:sz w:val="21"/>
                      <w:szCs w:val="21"/>
                      <w:vertAlign w:val="subscript"/>
                      <w:lang w:val="en-US" w:eastAsia="zh-CN"/>
                    </w:rPr>
                    <w:t>5</w:t>
                  </w:r>
                </w:p>
              </w:tc>
              <w:tc>
                <w:tcPr>
                  <w:tcW w:w="2042" w:type="dxa"/>
                  <w:vAlign w:val="center"/>
                </w:tcPr>
                <w:p w14:paraId="24862041">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w:t>
                  </w:r>
                  <w:r>
                    <w:rPr>
                      <w:rFonts w:hint="default" w:ascii="Times New Roman" w:hAnsi="Times New Roman" w:cs="Times New Roman"/>
                      <w:color w:val="auto"/>
                      <w:sz w:val="21"/>
                      <w:szCs w:val="21"/>
                      <w:lang w:val="en-US" w:eastAsia="zh-CN"/>
                    </w:rPr>
                    <w:t>00 mg/L</w:t>
                  </w:r>
                </w:p>
              </w:tc>
              <w:tc>
                <w:tcPr>
                  <w:tcW w:w="3473" w:type="dxa"/>
                  <w:vMerge w:val="continue"/>
                  <w:vAlign w:val="center"/>
                </w:tcPr>
                <w:p w14:paraId="527EC56D">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77E5961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21B5F46B">
                  <w:pPr>
                    <w:tabs>
                      <w:tab w:val="left" w:pos="357"/>
                    </w:tabs>
                    <w:spacing w:line="240" w:lineRule="auto"/>
                    <w:ind w:firstLine="0" w:firstLineChars="0"/>
                    <w:jc w:val="center"/>
                    <w:rPr>
                      <w:rFonts w:hint="eastAsia" w:cs="Times New Roman"/>
                      <w:color w:val="auto"/>
                      <w:sz w:val="21"/>
                      <w:szCs w:val="21"/>
                      <w:lang w:val="en-US" w:eastAsia="zh-CN"/>
                    </w:rPr>
                  </w:pPr>
                </w:p>
              </w:tc>
              <w:tc>
                <w:tcPr>
                  <w:tcW w:w="1211" w:type="dxa"/>
                  <w:vAlign w:val="center"/>
                </w:tcPr>
                <w:p w14:paraId="2FEA657D">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氨氮</w:t>
                  </w:r>
                </w:p>
              </w:tc>
              <w:tc>
                <w:tcPr>
                  <w:tcW w:w="2042" w:type="dxa"/>
                  <w:vAlign w:val="center"/>
                </w:tcPr>
                <w:p w14:paraId="12092B4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4</w:t>
                  </w:r>
                  <w:r>
                    <w:rPr>
                      <w:rFonts w:hint="eastAsia" w:cs="Times New Roman"/>
                      <w:color w:val="auto"/>
                      <w:sz w:val="21"/>
                      <w:szCs w:val="21"/>
                      <w:lang w:val="en-US" w:eastAsia="zh-CN"/>
                    </w:rPr>
                    <w:t>5</w:t>
                  </w:r>
                  <w:r>
                    <w:rPr>
                      <w:rFonts w:hint="default" w:ascii="Times New Roman" w:hAnsi="Times New Roman" w:cs="Times New Roman"/>
                      <w:color w:val="auto"/>
                      <w:sz w:val="21"/>
                      <w:szCs w:val="21"/>
                      <w:lang w:val="en-US" w:eastAsia="zh-CN"/>
                    </w:rPr>
                    <w:t xml:space="preserve"> mg/L</w:t>
                  </w:r>
                </w:p>
              </w:tc>
              <w:tc>
                <w:tcPr>
                  <w:tcW w:w="3473" w:type="dxa"/>
                  <w:vMerge w:val="continue"/>
                  <w:vAlign w:val="center"/>
                </w:tcPr>
                <w:p w14:paraId="46650BCF">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24C9933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429DB9D6">
                  <w:pPr>
                    <w:tabs>
                      <w:tab w:val="left" w:pos="357"/>
                    </w:tabs>
                    <w:spacing w:line="240" w:lineRule="auto"/>
                    <w:ind w:firstLine="0" w:firstLineChars="0"/>
                    <w:jc w:val="center"/>
                    <w:rPr>
                      <w:rFonts w:hint="eastAsia" w:cs="Times New Roman"/>
                      <w:color w:val="auto"/>
                      <w:sz w:val="21"/>
                      <w:szCs w:val="21"/>
                      <w:lang w:val="en-US" w:eastAsia="zh-CN"/>
                    </w:rPr>
                  </w:pPr>
                </w:p>
              </w:tc>
              <w:tc>
                <w:tcPr>
                  <w:tcW w:w="1211" w:type="dxa"/>
                  <w:vAlign w:val="center"/>
                </w:tcPr>
                <w:p w14:paraId="59E926D4">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TP</w:t>
                  </w:r>
                </w:p>
              </w:tc>
              <w:tc>
                <w:tcPr>
                  <w:tcW w:w="2042" w:type="dxa"/>
                  <w:vAlign w:val="center"/>
                </w:tcPr>
                <w:p w14:paraId="6421C1B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3473" w:type="dxa"/>
                  <w:vMerge w:val="continue"/>
                  <w:vAlign w:val="center"/>
                </w:tcPr>
                <w:p w14:paraId="141887F0">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5148F5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42E83C2F">
                  <w:pPr>
                    <w:tabs>
                      <w:tab w:val="left" w:pos="357"/>
                    </w:tabs>
                    <w:spacing w:line="240" w:lineRule="auto"/>
                    <w:ind w:firstLine="0" w:firstLineChars="0"/>
                    <w:jc w:val="center"/>
                    <w:rPr>
                      <w:rFonts w:hint="eastAsia" w:cs="Times New Roman"/>
                      <w:color w:val="auto"/>
                      <w:sz w:val="21"/>
                      <w:szCs w:val="21"/>
                      <w:lang w:val="en-US" w:eastAsia="zh-CN"/>
                    </w:rPr>
                  </w:pPr>
                </w:p>
              </w:tc>
              <w:tc>
                <w:tcPr>
                  <w:tcW w:w="1211" w:type="dxa"/>
                  <w:vAlign w:val="center"/>
                </w:tcPr>
                <w:p w14:paraId="56D67007">
                  <w:pPr>
                    <w:tabs>
                      <w:tab w:val="left" w:pos="357"/>
                    </w:tabs>
                    <w:spacing w:line="240"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动植物油</w:t>
                  </w:r>
                </w:p>
              </w:tc>
              <w:tc>
                <w:tcPr>
                  <w:tcW w:w="2042" w:type="dxa"/>
                  <w:vAlign w:val="center"/>
                </w:tcPr>
                <w:p w14:paraId="37806A3A">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w:t>
                  </w:r>
                  <w:r>
                    <w:rPr>
                      <w:rFonts w:hint="default" w:ascii="Times New Roman" w:hAnsi="Times New Roman" w:cs="Times New Roman"/>
                      <w:color w:val="auto"/>
                      <w:sz w:val="21"/>
                      <w:szCs w:val="21"/>
                      <w:lang w:val="en-US" w:eastAsia="zh-CN"/>
                    </w:rPr>
                    <w:t>00 mg/L</w:t>
                  </w:r>
                </w:p>
              </w:tc>
              <w:tc>
                <w:tcPr>
                  <w:tcW w:w="3473" w:type="dxa"/>
                  <w:vMerge w:val="continue"/>
                  <w:vAlign w:val="center"/>
                </w:tcPr>
                <w:p w14:paraId="080C9A5F">
                  <w:pPr>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3440353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restart"/>
                  <w:vAlign w:val="center"/>
                </w:tcPr>
                <w:p w14:paraId="2586CE3F">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1211" w:type="dxa"/>
                  <w:vAlign w:val="center"/>
                </w:tcPr>
                <w:p w14:paraId="6BD41C77">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昼间</w:t>
                  </w:r>
                </w:p>
              </w:tc>
              <w:tc>
                <w:tcPr>
                  <w:tcW w:w="2042" w:type="dxa"/>
                  <w:vAlign w:val="center"/>
                </w:tcPr>
                <w:p w14:paraId="72E62827">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w:t>
                  </w:r>
                  <w:r>
                    <w:rPr>
                      <w:rFonts w:hint="eastAsia" w:cs="Times New Roman"/>
                      <w:color w:val="auto"/>
                      <w:sz w:val="21"/>
                      <w:szCs w:val="21"/>
                      <w:lang w:val="en-US" w:eastAsia="zh-CN"/>
                    </w:rPr>
                    <w:t>5</w:t>
                  </w:r>
                  <w:r>
                    <w:rPr>
                      <w:rFonts w:hint="default" w:ascii="Times New Roman" w:hAnsi="Times New Roman" w:cs="Times New Roman"/>
                      <w:color w:val="auto"/>
                      <w:sz w:val="21"/>
                      <w:szCs w:val="21"/>
                      <w:lang w:val="en-US" w:eastAsia="zh-CN"/>
                    </w:rPr>
                    <w:t xml:space="preserve"> </w:t>
                  </w:r>
                  <w:r>
                    <w:rPr>
                      <w:rFonts w:hint="default" w:ascii="Times New Roman" w:hAnsi="Times New Roman" w:cs="Times New Roman"/>
                      <w:color w:val="auto"/>
                      <w:sz w:val="21"/>
                      <w:szCs w:val="21"/>
                    </w:rPr>
                    <w:t>dB（A）</w:t>
                  </w:r>
                </w:p>
              </w:tc>
              <w:tc>
                <w:tcPr>
                  <w:tcW w:w="3473" w:type="dxa"/>
                  <w:vMerge w:val="restart"/>
                  <w:vAlign w:val="center"/>
                </w:tcPr>
                <w:p w14:paraId="3AB9320F">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厂界执行</w:t>
                  </w:r>
                  <w:r>
                    <w:rPr>
                      <w:rFonts w:hint="default" w:ascii="Times New Roman" w:hAnsi="Times New Roman" w:cs="Times New Roman"/>
                      <w:color w:val="auto"/>
                      <w:sz w:val="21"/>
                      <w:szCs w:val="21"/>
                    </w:rPr>
                    <w:t>《工业企业厂界环境噪声排放标准》（GB12348-2008）中</w:t>
                  </w:r>
                  <w:r>
                    <w:rPr>
                      <w:rFonts w:hint="eastAsia" w:cs="Times New Roman"/>
                      <w:color w:val="auto"/>
                      <w:sz w:val="21"/>
                      <w:szCs w:val="21"/>
                      <w:lang w:val="en-US" w:eastAsia="zh-CN"/>
                    </w:rPr>
                    <w:t>3</w:t>
                  </w:r>
                  <w:r>
                    <w:rPr>
                      <w:rFonts w:hint="default" w:ascii="Times New Roman" w:hAnsi="Times New Roman" w:cs="Times New Roman"/>
                      <w:color w:val="auto"/>
                      <w:sz w:val="21"/>
                      <w:szCs w:val="21"/>
                    </w:rPr>
                    <w:t>类标准</w:t>
                  </w:r>
                </w:p>
              </w:tc>
            </w:tr>
            <w:tr w14:paraId="12212FF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08" w:type="dxa"/>
                  <w:vMerge w:val="continue"/>
                  <w:vAlign w:val="center"/>
                </w:tcPr>
                <w:p w14:paraId="26207854">
                  <w:pPr>
                    <w:spacing w:line="240" w:lineRule="auto"/>
                    <w:ind w:firstLine="0" w:firstLineChars="0"/>
                    <w:jc w:val="center"/>
                    <w:rPr>
                      <w:rFonts w:hint="default" w:ascii="Times New Roman" w:hAnsi="Times New Roman" w:cs="Times New Roman"/>
                      <w:color w:val="auto"/>
                      <w:sz w:val="21"/>
                      <w:szCs w:val="21"/>
                    </w:rPr>
                  </w:pPr>
                </w:p>
              </w:tc>
              <w:tc>
                <w:tcPr>
                  <w:tcW w:w="1211" w:type="dxa"/>
                  <w:vAlign w:val="center"/>
                </w:tcPr>
                <w:p w14:paraId="50C3BEBC">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夜间</w:t>
                  </w:r>
                </w:p>
              </w:tc>
              <w:tc>
                <w:tcPr>
                  <w:tcW w:w="2042" w:type="dxa"/>
                  <w:vAlign w:val="center"/>
                </w:tcPr>
                <w:p w14:paraId="3D602F47">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w:t>
                  </w:r>
                  <w:r>
                    <w:rPr>
                      <w:rFonts w:hint="eastAsia" w:cs="Times New Roman"/>
                      <w:color w:val="auto"/>
                      <w:sz w:val="21"/>
                      <w:szCs w:val="21"/>
                      <w:lang w:val="en-US" w:eastAsia="zh-CN"/>
                    </w:rPr>
                    <w:t>5</w:t>
                  </w:r>
                  <w:r>
                    <w:rPr>
                      <w:rFonts w:hint="default" w:ascii="Times New Roman" w:hAnsi="Times New Roman" w:cs="Times New Roman"/>
                      <w:color w:val="auto"/>
                      <w:sz w:val="21"/>
                      <w:szCs w:val="21"/>
                    </w:rPr>
                    <w:t xml:space="preserve"> dB（A）</w:t>
                  </w:r>
                </w:p>
              </w:tc>
              <w:tc>
                <w:tcPr>
                  <w:tcW w:w="3473" w:type="dxa"/>
                  <w:vMerge w:val="continue"/>
                  <w:vAlign w:val="center"/>
                </w:tcPr>
                <w:p w14:paraId="78206E89">
                  <w:pPr>
                    <w:spacing w:line="240" w:lineRule="auto"/>
                    <w:ind w:firstLine="0" w:firstLineChars="0"/>
                    <w:jc w:val="center"/>
                    <w:rPr>
                      <w:rFonts w:hint="default" w:ascii="Times New Roman" w:hAnsi="Times New Roman" w:cs="Times New Roman"/>
                      <w:color w:val="auto"/>
                      <w:sz w:val="21"/>
                      <w:szCs w:val="21"/>
                    </w:rPr>
                  </w:pPr>
                </w:p>
              </w:tc>
            </w:tr>
          </w:tbl>
          <w:p w14:paraId="40CB8F1F">
            <w:pPr>
              <w:ind w:firstLine="0" w:firstLineChars="0"/>
              <w:jc w:val="left"/>
              <w:rPr>
                <w:rFonts w:hint="default" w:ascii="Times New Roman" w:hAnsi="Times New Roman" w:cs="Times New Roman"/>
              </w:rPr>
            </w:pPr>
          </w:p>
        </w:tc>
      </w:tr>
    </w:tbl>
    <w:p w14:paraId="35FEE376">
      <w:pPr>
        <w:widowControl/>
        <w:spacing w:line="240" w:lineRule="auto"/>
        <w:ind w:firstLine="0" w:firstLineChars="0"/>
        <w:jc w:val="left"/>
        <w:rPr>
          <w:rFonts w:hint="default" w:ascii="Times New Roman" w:hAnsi="Times New Roman" w:eastAsia="黑体" w:cs="Times New Roman"/>
          <w:b/>
          <w:bCs/>
          <w:kern w:val="44"/>
          <w:sz w:val="32"/>
          <w:szCs w:val="44"/>
        </w:rPr>
      </w:pPr>
      <w:r>
        <w:rPr>
          <w:rFonts w:hint="default" w:ascii="Times New Roman" w:hAnsi="Times New Roman" w:cs="Times New Roman"/>
        </w:rPr>
        <w:br w:type="page"/>
      </w:r>
    </w:p>
    <w:p w14:paraId="602063B1">
      <w:pPr>
        <w:pStyle w:val="2"/>
        <w:keepNext/>
        <w:keepLines/>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lang w:eastAsia="zh-CN"/>
        </w:rPr>
      </w:pPr>
      <w:bookmarkStart w:id="3" w:name="_Toc19332"/>
      <w:r>
        <w:rPr>
          <w:rFonts w:hint="default" w:ascii="Times New Roman" w:hAnsi="Times New Roman" w:cs="Times New Roman"/>
        </w:rPr>
        <w:t>表二</w:t>
      </w:r>
      <w:r>
        <w:rPr>
          <w:rFonts w:hint="default" w:ascii="Times New Roman" w:hAnsi="Times New Roman" w:cs="Times New Roman"/>
          <w:lang w:eastAsia="zh-CN"/>
        </w:rPr>
        <w:t>：</w:t>
      </w:r>
      <w:r>
        <w:rPr>
          <w:rFonts w:hint="default" w:ascii="Times New Roman" w:hAnsi="Times New Roman" w:cs="Times New Roman"/>
        </w:rPr>
        <w:t>工程建设情况</w:t>
      </w:r>
      <w:bookmarkEnd w:id="3"/>
    </w:p>
    <w:tbl>
      <w:tblPr>
        <w:tblStyle w:val="32"/>
        <w:tblW w:w="9287"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287"/>
      </w:tblGrid>
      <w:tr w14:paraId="006EA5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899" w:hRule="atLeast"/>
        </w:trPr>
        <w:tc>
          <w:tcPr>
            <w:tcW w:w="9287" w:type="dxa"/>
            <w:vAlign w:val="center"/>
          </w:tcPr>
          <w:p w14:paraId="686A0ADA">
            <w:pPr>
              <w:ind w:firstLine="0" w:firstLineChars="0"/>
              <w:rPr>
                <w:rFonts w:hint="default" w:ascii="Times New Roman" w:hAnsi="Times New Roman" w:cs="Times New Roman"/>
                <w:b/>
              </w:rPr>
            </w:pPr>
            <w:r>
              <w:rPr>
                <w:rFonts w:hint="default" w:ascii="Times New Roman" w:hAnsi="Times New Roman" w:cs="Times New Roman"/>
                <w:b/>
              </w:rPr>
              <w:t>工程建设内容：</w:t>
            </w:r>
          </w:p>
          <w:p w14:paraId="190E46B2">
            <w:pPr>
              <w:keepNext w:val="0"/>
              <w:keepLines w:val="0"/>
              <w:pageBreakBefore w:val="0"/>
              <w:widowControl/>
              <w:kinsoku/>
              <w:wordWrap/>
              <w:overflowPunct/>
              <w:topLinePunct w:val="0"/>
              <w:autoSpaceDE/>
              <w:autoSpaceDN/>
              <w:bidi w:val="0"/>
              <w:adjustRightInd/>
              <w:snapToGrid/>
              <w:spacing w:line="460" w:lineRule="exact"/>
              <w:ind w:firstLine="482"/>
              <w:jc w:val="both"/>
              <w:textAlignment w:val="auto"/>
              <w:rPr>
                <w:rFonts w:hint="eastAsia" w:cs="Times New Roman"/>
                <w:lang w:val="en-US" w:eastAsia="zh-CN"/>
              </w:rPr>
            </w:pPr>
            <w:r>
              <w:rPr>
                <w:rFonts w:hint="eastAsia" w:cs="Times New Roman"/>
                <w:lang w:val="en" w:eastAsia="zh-CN"/>
              </w:rPr>
              <w:t>邵阳市鑫腾阻燃新材料科技有限公司</w:t>
            </w:r>
            <w:r>
              <w:rPr>
                <w:rFonts w:hint="default" w:ascii="Times New Roman" w:hAnsi="Times New Roman" w:cs="Times New Roman"/>
                <w:lang w:val="en" w:eastAsia="zh-CN"/>
              </w:rPr>
              <w:t>位于</w:t>
            </w:r>
            <w:r>
              <w:rPr>
                <w:rFonts w:hint="eastAsia" w:cs="Times New Roman"/>
                <w:lang w:val="en" w:eastAsia="zh-CN"/>
              </w:rPr>
              <w:t>湖南省邵阳县长阳铺镇长阳铺村工业集中区5栋厂房</w:t>
            </w:r>
            <w:r>
              <w:rPr>
                <w:rFonts w:hint="default" w:ascii="Times New Roman" w:hAnsi="Times New Roman" w:cs="Times New Roman"/>
                <w:lang w:val="en" w:eastAsia="zh-CN"/>
              </w:rPr>
              <w:t>，</w:t>
            </w:r>
            <w:r>
              <w:rPr>
                <w:rFonts w:hint="eastAsia" w:cs="Times New Roman"/>
                <w:lang w:val="en-US" w:eastAsia="zh-CN"/>
              </w:rPr>
              <w:t>主要从事红磷阻燃剂的生产</w:t>
            </w:r>
            <w:r>
              <w:rPr>
                <w:rFonts w:hint="default" w:ascii="Times New Roman" w:hAnsi="Times New Roman" w:cs="Times New Roman"/>
                <w:lang w:val="en" w:eastAsia="zh-CN"/>
              </w:rPr>
              <w:t>，</w:t>
            </w:r>
            <w:r>
              <w:rPr>
                <w:rFonts w:hint="eastAsia" w:cs="Times New Roman"/>
                <w:lang w:val="en-US" w:eastAsia="zh-CN"/>
              </w:rPr>
              <w:t>公司统一社会信用代码为91430523MADGF6KR14，法人李海燕，注册资金为200万元。</w:t>
            </w:r>
          </w:p>
          <w:p w14:paraId="11B51B1B">
            <w:pPr>
              <w:keepNext w:val="0"/>
              <w:keepLines w:val="0"/>
              <w:pageBreakBefore w:val="0"/>
              <w:widowControl/>
              <w:kinsoku/>
              <w:wordWrap/>
              <w:overflowPunct/>
              <w:topLinePunct w:val="0"/>
              <w:autoSpaceDE/>
              <w:autoSpaceDN/>
              <w:bidi w:val="0"/>
              <w:adjustRightInd/>
              <w:snapToGrid/>
              <w:spacing w:line="460" w:lineRule="exact"/>
              <w:ind w:firstLine="482"/>
              <w:jc w:val="both"/>
              <w:textAlignment w:val="auto"/>
              <w:rPr>
                <w:rFonts w:hint="default" w:ascii="Times New Roman" w:hAnsi="Times New Roman" w:cs="Times New Roman"/>
                <w:sz w:val="24"/>
                <w:szCs w:val="24"/>
                <w:lang w:val="en-US" w:eastAsia="zh-CN"/>
              </w:rPr>
            </w:pPr>
            <w:r>
              <w:rPr>
                <w:rFonts w:hint="eastAsia" w:cs="Times New Roman"/>
                <w:lang w:val="en-US" w:eastAsia="zh-CN"/>
              </w:rPr>
              <w:t>公司</w:t>
            </w:r>
            <w:r>
              <w:rPr>
                <w:rFonts w:hint="default" w:ascii="Times New Roman" w:hAnsi="Times New Roman" w:cs="Times New Roman"/>
                <w:lang w:val="en" w:eastAsia="zh-CN"/>
              </w:rPr>
              <w:t>“红磷阻燃剂建设项目”环境影响报告表，通过了</w:t>
            </w:r>
            <w:r>
              <w:rPr>
                <w:rFonts w:hint="eastAsia" w:cs="Times New Roman"/>
                <w:lang w:val="en-US" w:eastAsia="zh-CN"/>
              </w:rPr>
              <w:t>邵阳市生态环境局邵阳县分局</w:t>
            </w:r>
            <w:r>
              <w:rPr>
                <w:rFonts w:hint="default" w:ascii="Times New Roman" w:hAnsi="Times New Roman" w:cs="Times New Roman"/>
                <w:lang w:val="en" w:eastAsia="zh-CN"/>
              </w:rPr>
              <w:t>的审批，并</w:t>
            </w:r>
            <w:r>
              <w:rPr>
                <w:rFonts w:hint="eastAsia" w:cs="Times New Roman"/>
                <w:lang w:val="en-US" w:eastAsia="zh-CN"/>
              </w:rPr>
              <w:t>于2024年7月18日</w:t>
            </w:r>
            <w:r>
              <w:rPr>
                <w:rFonts w:hint="default" w:ascii="Times New Roman" w:hAnsi="Times New Roman" w:cs="Times New Roman"/>
                <w:lang w:val="en" w:eastAsia="zh-CN"/>
              </w:rPr>
              <w:t>以</w:t>
            </w:r>
            <w:r>
              <w:rPr>
                <w:rFonts w:hint="eastAsia" w:cs="Times New Roman"/>
                <w:lang w:val="en-US" w:eastAsia="zh-CN"/>
              </w:rPr>
              <w:t>邵市环评（3）</w:t>
            </w:r>
            <w:r>
              <w:rPr>
                <w:rFonts w:hint="default" w:ascii="Times New Roman" w:hAnsi="Times New Roman" w:cs="Times New Roman"/>
                <w:lang w:val="en" w:eastAsia="zh-CN"/>
              </w:rPr>
              <w:t>【20</w:t>
            </w:r>
            <w:r>
              <w:rPr>
                <w:rFonts w:hint="eastAsia" w:cs="Times New Roman"/>
                <w:lang w:val="en-US" w:eastAsia="zh-CN"/>
              </w:rPr>
              <w:t>24</w:t>
            </w:r>
            <w:r>
              <w:rPr>
                <w:rFonts w:hint="default" w:ascii="Times New Roman" w:hAnsi="Times New Roman" w:cs="Times New Roman"/>
                <w:lang w:val="en" w:eastAsia="zh-CN"/>
              </w:rPr>
              <w:t>】</w:t>
            </w:r>
            <w:r>
              <w:rPr>
                <w:rFonts w:hint="eastAsia" w:cs="Times New Roman"/>
                <w:lang w:val="en-US" w:eastAsia="zh-CN"/>
              </w:rPr>
              <w:t>10</w:t>
            </w:r>
            <w:r>
              <w:rPr>
                <w:rFonts w:hint="default" w:ascii="Times New Roman" w:hAnsi="Times New Roman" w:cs="Times New Roman"/>
                <w:lang w:val="en" w:eastAsia="zh-CN"/>
              </w:rPr>
              <w:t>号文件予以批复。</w:t>
            </w:r>
            <w:r>
              <w:rPr>
                <w:rFonts w:hint="eastAsia" w:cs="Times New Roman"/>
                <w:lang w:val="en-US" w:eastAsia="zh-CN"/>
              </w:rPr>
              <w:t>该项目于2024年7月开始建设，2024年10月建成投入生产</w:t>
            </w:r>
            <w:r>
              <w:rPr>
                <w:rFonts w:hint="default" w:ascii="Times New Roman" w:hAnsi="Times New Roman" w:cs="Times New Roman"/>
                <w:lang w:val="en" w:eastAsia="zh-CN"/>
              </w:rPr>
              <w:t>。</w:t>
            </w:r>
          </w:p>
          <w:p w14:paraId="30ADE5A1">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lang w:val="en" w:eastAsia="zh-CN"/>
              </w:rPr>
              <w:t>2024</w:t>
            </w:r>
            <w:r>
              <w:rPr>
                <w:rFonts w:hint="default" w:ascii="Times New Roman" w:hAnsi="Times New Roman" w:cs="Times New Roman"/>
                <w:lang w:val="en-US" w:eastAsia="zh-CN"/>
              </w:rPr>
              <w:t>年</w:t>
            </w:r>
            <w:r>
              <w:rPr>
                <w:rFonts w:hint="default" w:ascii="Times New Roman" w:hAnsi="Times New Roman" w:cs="Times New Roman"/>
                <w:lang w:val="en" w:eastAsia="zh-CN"/>
              </w:rPr>
              <w:t>10</w:t>
            </w:r>
            <w:r>
              <w:rPr>
                <w:rFonts w:hint="default" w:ascii="Times New Roman" w:hAnsi="Times New Roman" w:cs="Times New Roman"/>
                <w:lang w:val="en-US" w:eastAsia="zh-CN"/>
              </w:rPr>
              <w:t>月</w:t>
            </w:r>
            <w:r>
              <w:rPr>
                <w:rFonts w:hint="eastAsia" w:cs="Times New Roman"/>
                <w:lang w:val="en-US" w:eastAsia="zh-CN"/>
              </w:rPr>
              <w:t>16</w:t>
            </w:r>
            <w:r>
              <w:rPr>
                <w:rFonts w:hint="default" w:ascii="Times New Roman" w:hAnsi="Times New Roman" w:cs="Times New Roman"/>
                <w:lang w:val="en-US" w:eastAsia="zh-CN"/>
              </w:rPr>
              <w:t>日</w:t>
            </w:r>
            <w:r>
              <w:rPr>
                <w:rFonts w:hint="eastAsia" w:cs="Times New Roman"/>
                <w:lang w:val="en-US" w:eastAsia="zh-CN"/>
              </w:rPr>
              <w:t>邵阳市鑫腾阻燃新材料科技有限公司</w:t>
            </w:r>
            <w:r>
              <w:rPr>
                <w:rFonts w:hint="default" w:ascii="Times New Roman" w:hAnsi="Times New Roman" w:cs="Times New Roman"/>
                <w:lang w:val="en-US" w:eastAsia="zh-CN"/>
              </w:rPr>
              <w:t>申领了排污许可证，排污许可编号为：91430523MADGF6KR14001V。</w:t>
            </w:r>
          </w:p>
          <w:p w14:paraId="71F37442">
            <w:pPr>
              <w:ind w:firstLine="0" w:firstLineChars="0"/>
              <w:rPr>
                <w:rFonts w:hint="default" w:ascii="Times New Roman" w:hAnsi="Times New Roman" w:cs="Times New Roman"/>
                <w:b/>
              </w:rPr>
            </w:pPr>
            <w:r>
              <w:rPr>
                <w:rFonts w:hint="default" w:ascii="Times New Roman" w:hAnsi="Times New Roman" w:cs="Times New Roman"/>
                <w:b/>
              </w:rPr>
              <w:t>1、工程概况</w:t>
            </w:r>
          </w:p>
          <w:p w14:paraId="1251C4F1">
            <w:pPr>
              <w:ind w:firstLine="480"/>
              <w:rPr>
                <w:rFonts w:hint="default" w:ascii="Times New Roman" w:hAnsi="Times New Roman" w:cs="Times New Roman" w:eastAsiaTheme="minorEastAsia"/>
                <w:bCs/>
                <w:color w:val="auto"/>
                <w:sz w:val="24"/>
                <w:szCs w:val="24"/>
                <w:lang w:val="en-US" w:eastAsia="zh-CN"/>
              </w:rPr>
            </w:pPr>
            <w:r>
              <w:rPr>
                <w:rFonts w:hint="default" w:ascii="Times New Roman" w:hAnsi="Times New Roman" w:cs="Times New Roman"/>
                <w:sz w:val="24"/>
                <w:lang w:val="en-US" w:eastAsia="zh-CN"/>
              </w:rPr>
              <w:t>项目总用地面积约3650m</w:t>
            </w:r>
            <w:r>
              <w:rPr>
                <w:rFonts w:hint="default" w:ascii="Times New Roman" w:hAnsi="Times New Roman" w:cs="Times New Roman"/>
                <w:sz w:val="24"/>
                <w:vertAlign w:val="superscript"/>
                <w:lang w:val="en-US" w:eastAsia="zh-CN"/>
              </w:rPr>
              <w:t>2</w:t>
            </w:r>
            <w:r>
              <w:rPr>
                <w:rFonts w:hint="default" w:ascii="Times New Roman" w:hAnsi="Times New Roman" w:cs="Times New Roman"/>
                <w:sz w:val="24"/>
                <w:lang w:val="en-US" w:eastAsia="zh-CN"/>
              </w:rPr>
              <w:t>，总建筑面积约1710m</w:t>
            </w:r>
            <w:r>
              <w:rPr>
                <w:rFonts w:hint="default" w:ascii="Times New Roman" w:hAnsi="Times New Roman" w:cs="Times New Roman"/>
                <w:sz w:val="24"/>
                <w:vertAlign w:val="superscript"/>
                <w:lang w:val="en-US" w:eastAsia="zh-CN"/>
              </w:rPr>
              <w:t>2</w:t>
            </w:r>
            <w:r>
              <w:rPr>
                <w:rFonts w:hint="default" w:ascii="Times New Roman" w:hAnsi="Times New Roman" w:cs="Times New Roman"/>
                <w:sz w:val="24"/>
                <w:lang w:val="en-US" w:eastAsia="zh-CN"/>
              </w:rPr>
              <w:t>，</w:t>
            </w:r>
            <w:r>
              <w:rPr>
                <w:rFonts w:hint="eastAsia" w:cs="Times New Roman"/>
                <w:sz w:val="24"/>
                <w:lang w:val="en-US" w:eastAsia="zh-CN"/>
              </w:rPr>
              <w:t>包括主体工程：生产厂房1F，占地面积1120m</w:t>
            </w:r>
            <w:r>
              <w:rPr>
                <w:rFonts w:hint="eastAsia" w:cs="Times New Roman"/>
                <w:sz w:val="24"/>
                <w:vertAlign w:val="superscript"/>
                <w:lang w:val="en-US" w:eastAsia="zh-CN"/>
              </w:rPr>
              <w:t>2</w:t>
            </w:r>
            <w:r>
              <w:rPr>
                <w:rFonts w:hint="eastAsia" w:cs="Times New Roman"/>
                <w:sz w:val="24"/>
                <w:lang w:val="en-US" w:eastAsia="zh-CN"/>
              </w:rPr>
              <w:t>，储运工程：原料仓和成品仓，</w:t>
            </w:r>
            <w:r>
              <w:rPr>
                <w:rFonts w:hint="default" w:ascii="Times New Roman" w:hAnsi="Times New Roman" w:cs="Times New Roman"/>
                <w:sz w:val="24"/>
                <w:lang w:val="en-US" w:eastAsia="zh-CN"/>
              </w:rPr>
              <w:t>并配套建设辅助公用工程、安全环保工程等。项目红磷阻燃剂的生产，生产规模为年产油相超细红磷阻燃剂4000吨（其中2000吨直接外售、2000吨用于生产红磷阻燃母粒）、红磷阻燃母粒4000吨。</w:t>
            </w:r>
          </w:p>
          <w:p w14:paraId="43366470">
            <w:pPr>
              <w:spacing w:line="440" w:lineRule="exact"/>
              <w:ind w:firstLine="480"/>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根据现场调查，本项目具体</w:t>
            </w:r>
            <w:r>
              <w:rPr>
                <w:rFonts w:hint="default" w:ascii="Times New Roman" w:hAnsi="Times New Roman" w:cs="Times New Roman"/>
                <w:color w:val="auto"/>
                <w:lang w:val="en-US" w:eastAsia="zh-CN"/>
              </w:rPr>
              <w:t>环境保护</w:t>
            </w:r>
            <w:r>
              <w:rPr>
                <w:rFonts w:hint="default" w:ascii="Times New Roman" w:hAnsi="Times New Roman" w:cs="Times New Roman"/>
                <w:color w:val="auto"/>
              </w:rPr>
              <w:t>目标情况见表2-1</w:t>
            </w: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项目验收阶段主要环境保护目标与环评阶段保护目标一致。</w:t>
            </w:r>
          </w:p>
          <w:p w14:paraId="0EC5A90D">
            <w:pPr>
              <w:bidi w:val="0"/>
              <w:ind w:left="0" w:leftChars="0" w:firstLine="0" w:firstLineChars="0"/>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表2-1  </w:t>
            </w:r>
            <w:r>
              <w:rPr>
                <w:rFonts w:hint="default" w:ascii="Times New Roman" w:hAnsi="Times New Roman" w:cs="Times New Roman"/>
                <w:b/>
                <w:bCs/>
                <w:color w:val="000000" w:themeColor="text1"/>
                <w:sz w:val="21"/>
                <w:szCs w:val="21"/>
                <w:lang w:eastAsia="zh-CN"/>
                <w14:textFill>
                  <w14:solidFill>
                    <w14:schemeClr w14:val="tx1"/>
                  </w14:solidFill>
                </w14:textFill>
              </w:rPr>
              <w:t>主要</w:t>
            </w:r>
            <w:r>
              <w:rPr>
                <w:rFonts w:hint="default" w:ascii="Times New Roman" w:hAnsi="Times New Roman" w:cs="Times New Roman"/>
                <w:b/>
                <w:bCs/>
                <w:color w:val="000000" w:themeColor="text1"/>
                <w:sz w:val="21"/>
                <w:szCs w:val="21"/>
                <w14:textFill>
                  <w14:solidFill>
                    <w14:schemeClr w14:val="tx1"/>
                  </w14:solidFill>
                </w14:textFill>
              </w:rPr>
              <w:t>环境保护目标</w:t>
            </w:r>
            <w:r>
              <w:rPr>
                <w:rFonts w:hint="default" w:ascii="Times New Roman" w:hAnsi="Times New Roman" w:cs="Times New Roman"/>
                <w:b/>
                <w:bCs/>
                <w:color w:val="000000" w:themeColor="text1"/>
                <w:sz w:val="21"/>
                <w:szCs w:val="21"/>
                <w:lang w:eastAsia="zh-CN"/>
                <w14:textFill>
                  <w14:solidFill>
                    <w14:schemeClr w14:val="tx1"/>
                  </w14:solidFill>
                </w14:textFill>
              </w:rPr>
              <w:t>一览表</w:t>
            </w:r>
          </w:p>
          <w:tbl>
            <w:tblPr>
              <w:tblStyle w:val="32"/>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65"/>
              <w:gridCol w:w="1133"/>
              <w:gridCol w:w="1058"/>
              <w:gridCol w:w="960"/>
              <w:gridCol w:w="862"/>
              <w:gridCol w:w="1126"/>
              <w:gridCol w:w="1259"/>
            </w:tblGrid>
            <w:tr w14:paraId="0327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541" w:type="pct"/>
                  <w:noWrap w:val="0"/>
                  <w:vAlign w:val="center"/>
                </w:tcPr>
                <w:p w14:paraId="1B6AF3B9">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名称</w:t>
                  </w:r>
                </w:p>
              </w:tc>
              <w:tc>
                <w:tcPr>
                  <w:tcW w:w="963" w:type="pct"/>
                  <w:noWrap w:val="0"/>
                  <w:vAlign w:val="center"/>
                </w:tcPr>
                <w:p w14:paraId="77CCD507">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坐标</w:t>
                  </w:r>
                </w:p>
              </w:tc>
              <w:tc>
                <w:tcPr>
                  <w:tcW w:w="618" w:type="pct"/>
                  <w:noWrap w:val="0"/>
                  <w:vAlign w:val="center"/>
                </w:tcPr>
                <w:p w14:paraId="4CEB6E64">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保护对象</w:t>
                  </w:r>
                </w:p>
              </w:tc>
              <w:tc>
                <w:tcPr>
                  <w:tcW w:w="577" w:type="pct"/>
                  <w:noWrap w:val="0"/>
                  <w:vAlign w:val="center"/>
                </w:tcPr>
                <w:p w14:paraId="58A3459B">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保护内容</w:t>
                  </w:r>
                </w:p>
              </w:tc>
              <w:tc>
                <w:tcPr>
                  <w:tcW w:w="524" w:type="pct"/>
                  <w:noWrap w:val="0"/>
                  <w:vAlign w:val="center"/>
                </w:tcPr>
                <w:p w14:paraId="75BCDEE2">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环境功能区</w:t>
                  </w:r>
                </w:p>
              </w:tc>
              <w:tc>
                <w:tcPr>
                  <w:tcW w:w="470" w:type="pct"/>
                  <w:noWrap w:val="0"/>
                  <w:vAlign w:val="center"/>
                </w:tcPr>
                <w:p w14:paraId="3D00D468">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相对厂址方位</w:t>
                  </w:r>
                </w:p>
              </w:tc>
              <w:tc>
                <w:tcPr>
                  <w:tcW w:w="614" w:type="pct"/>
                  <w:noWrap w:val="0"/>
                  <w:vAlign w:val="center"/>
                </w:tcPr>
                <w:p w14:paraId="6DE07183">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相对厂</w:t>
                  </w:r>
                  <w:r>
                    <w:rPr>
                      <w:rFonts w:hint="eastAsia" w:ascii="Times New Roman" w:hAnsi="Times New Roman" w:cs="Times New Roman"/>
                      <w:b/>
                      <w:bCs/>
                      <w:color w:val="auto"/>
                      <w:sz w:val="21"/>
                      <w:szCs w:val="21"/>
                      <w:lang w:val="en-US" w:eastAsia="zh-CN"/>
                    </w:rPr>
                    <w:t>界</w:t>
                  </w:r>
                  <w:r>
                    <w:rPr>
                      <w:rFonts w:hint="default" w:ascii="Times New Roman" w:hAnsi="Times New Roman" w:cs="Times New Roman"/>
                      <w:b/>
                      <w:bCs/>
                      <w:color w:val="auto"/>
                      <w:sz w:val="21"/>
                      <w:szCs w:val="21"/>
                      <w:lang w:val="en-US" w:eastAsia="zh-CN"/>
                    </w:rPr>
                    <w:t>距离</w:t>
                  </w:r>
                  <w:r>
                    <w:rPr>
                      <w:rFonts w:hint="eastAsia" w:ascii="Times New Roman" w:hAnsi="Times New Roman" w:cs="Times New Roman"/>
                      <w:b/>
                      <w:bCs/>
                      <w:color w:val="auto"/>
                      <w:sz w:val="21"/>
                      <w:szCs w:val="21"/>
                      <w:lang w:val="en-US" w:eastAsia="zh-CN"/>
                    </w:rPr>
                    <w:t>（米）</w:t>
                  </w:r>
                </w:p>
              </w:tc>
              <w:tc>
                <w:tcPr>
                  <w:tcW w:w="687" w:type="pct"/>
                  <w:noWrap w:val="0"/>
                  <w:vAlign w:val="center"/>
                </w:tcPr>
                <w:p w14:paraId="6F15B943">
                  <w:pPr>
                    <w:tabs>
                      <w:tab w:val="left" w:pos="357"/>
                    </w:tabs>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备注</w:t>
                  </w:r>
                </w:p>
              </w:tc>
            </w:tr>
            <w:tr w14:paraId="2CBD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541" w:type="pct"/>
                  <w:noWrap w:val="0"/>
                  <w:vAlign w:val="center"/>
                </w:tcPr>
                <w:p w14:paraId="2CAB0620">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邵阳县第七中学</w:t>
                  </w:r>
                </w:p>
              </w:tc>
              <w:tc>
                <w:tcPr>
                  <w:tcW w:w="963" w:type="pct"/>
                  <w:noWrap w:val="0"/>
                  <w:vAlign w:val="center"/>
                </w:tcPr>
                <w:p w14:paraId="662564C9">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19</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7.662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7783245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38.833</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05ECD4DA">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师生约</w:t>
                  </w:r>
                </w:p>
                <w:p w14:paraId="30FFD20C">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1000人</w:t>
                  </w:r>
                </w:p>
              </w:tc>
              <w:tc>
                <w:tcPr>
                  <w:tcW w:w="577" w:type="pct"/>
                  <w:noWrap w:val="0"/>
                  <w:vAlign w:val="center"/>
                </w:tcPr>
                <w:p w14:paraId="03C1F175">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6AB6B085">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32B4DB8E">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NE</w:t>
                  </w:r>
                </w:p>
              </w:tc>
              <w:tc>
                <w:tcPr>
                  <w:tcW w:w="614" w:type="pct"/>
                  <w:noWrap w:val="0"/>
                  <w:vAlign w:val="center"/>
                </w:tcPr>
                <w:p w14:paraId="0640686A">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285-500</w:t>
                  </w:r>
                </w:p>
              </w:tc>
              <w:tc>
                <w:tcPr>
                  <w:tcW w:w="687" w:type="pct"/>
                  <w:noWrap w:val="0"/>
                  <w:vAlign w:val="center"/>
                </w:tcPr>
                <w:p w14:paraId="1A6A539D">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有山体</w:t>
                  </w:r>
                </w:p>
                <w:p w14:paraId="32963BA6">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阻隔</w:t>
                  </w:r>
                </w:p>
              </w:tc>
            </w:tr>
            <w:tr w14:paraId="05F1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541" w:type="pct"/>
                  <w:noWrap w:val="0"/>
                  <w:vAlign w:val="center"/>
                </w:tcPr>
                <w:p w14:paraId="696531A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长阳铺社区居民1</w:t>
                  </w:r>
                </w:p>
              </w:tc>
              <w:tc>
                <w:tcPr>
                  <w:tcW w:w="963" w:type="pct"/>
                  <w:noWrap w:val="0"/>
                  <w:vAlign w:val="center"/>
                </w:tcPr>
                <w:p w14:paraId="7DC257A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19</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11.569</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7017445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27.601</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4D7476E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100户居民</w:t>
                  </w:r>
                </w:p>
              </w:tc>
              <w:tc>
                <w:tcPr>
                  <w:tcW w:w="577" w:type="pct"/>
                  <w:noWrap w:val="0"/>
                  <w:vAlign w:val="center"/>
                </w:tcPr>
                <w:p w14:paraId="0788F04F">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79A4DCAA">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0B1B877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E</w:t>
                  </w:r>
                </w:p>
              </w:tc>
              <w:tc>
                <w:tcPr>
                  <w:tcW w:w="614" w:type="pct"/>
                  <w:noWrap w:val="0"/>
                  <w:vAlign w:val="center"/>
                </w:tcPr>
                <w:p w14:paraId="38284EF7">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210-500</w:t>
                  </w:r>
                </w:p>
              </w:tc>
              <w:tc>
                <w:tcPr>
                  <w:tcW w:w="687" w:type="pct"/>
                  <w:noWrap w:val="0"/>
                  <w:vAlign w:val="center"/>
                </w:tcPr>
                <w:p w14:paraId="4D3B0550">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有山体</w:t>
                  </w:r>
                </w:p>
                <w:p w14:paraId="317DC480">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阻隔</w:t>
                  </w:r>
                </w:p>
              </w:tc>
            </w:tr>
            <w:tr w14:paraId="26CA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541" w:type="pct"/>
                  <w:noWrap w:val="0"/>
                  <w:vAlign w:val="center"/>
                </w:tcPr>
                <w:p w14:paraId="1E8C77D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长阳铺镇中心完小</w:t>
                  </w:r>
                </w:p>
              </w:tc>
              <w:tc>
                <w:tcPr>
                  <w:tcW w:w="963" w:type="pct"/>
                  <w:noWrap w:val="0"/>
                  <w:vAlign w:val="center"/>
                </w:tcPr>
                <w:p w14:paraId="1641B10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19</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7.7.538</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157814AA">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21.366</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66378A1F">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师生约</w:t>
                  </w:r>
                </w:p>
                <w:p w14:paraId="3E4A5679">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1000人</w:t>
                  </w:r>
                </w:p>
              </w:tc>
              <w:tc>
                <w:tcPr>
                  <w:tcW w:w="577" w:type="pct"/>
                  <w:noWrap w:val="0"/>
                  <w:vAlign w:val="center"/>
                </w:tcPr>
                <w:p w14:paraId="13C72DE6">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40A78A4F">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51EE7E85">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SE</w:t>
                  </w:r>
                </w:p>
              </w:tc>
              <w:tc>
                <w:tcPr>
                  <w:tcW w:w="614" w:type="pct"/>
                  <w:noWrap w:val="0"/>
                  <w:vAlign w:val="center"/>
                </w:tcPr>
                <w:p w14:paraId="55845F65">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220-320</w:t>
                  </w:r>
                </w:p>
              </w:tc>
              <w:tc>
                <w:tcPr>
                  <w:tcW w:w="687" w:type="pct"/>
                  <w:noWrap w:val="0"/>
                  <w:vAlign w:val="center"/>
                </w:tcPr>
                <w:p w14:paraId="2E1C1196">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有山体</w:t>
                  </w:r>
                </w:p>
                <w:p w14:paraId="3C835BD2">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阻隔</w:t>
                  </w:r>
                </w:p>
              </w:tc>
            </w:tr>
            <w:tr w14:paraId="0A11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541" w:type="pct"/>
                  <w:noWrap w:val="0"/>
                  <w:vAlign w:val="center"/>
                </w:tcPr>
                <w:p w14:paraId="1258613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长阳铺镇中心幼儿园</w:t>
                  </w:r>
                </w:p>
              </w:tc>
              <w:tc>
                <w:tcPr>
                  <w:tcW w:w="963" w:type="pct"/>
                  <w:noWrap w:val="0"/>
                  <w:vAlign w:val="center"/>
                </w:tcPr>
                <w:p w14:paraId="0737DD34">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19</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8.845</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5613B879">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19.393</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23FB8674">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师生约</w:t>
                  </w:r>
                </w:p>
                <w:p w14:paraId="4057557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300人</w:t>
                  </w:r>
                </w:p>
              </w:tc>
              <w:tc>
                <w:tcPr>
                  <w:tcW w:w="577" w:type="pct"/>
                  <w:noWrap w:val="0"/>
                  <w:vAlign w:val="center"/>
                </w:tcPr>
                <w:p w14:paraId="78200596">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6CEB2902">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64F5E4D2">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SE</w:t>
                  </w:r>
                </w:p>
              </w:tc>
              <w:tc>
                <w:tcPr>
                  <w:tcW w:w="614" w:type="pct"/>
                  <w:noWrap w:val="0"/>
                  <w:vAlign w:val="center"/>
                </w:tcPr>
                <w:p w14:paraId="1C616DC7">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320-380</w:t>
                  </w:r>
                </w:p>
              </w:tc>
              <w:tc>
                <w:tcPr>
                  <w:tcW w:w="687" w:type="pct"/>
                  <w:noWrap w:val="0"/>
                  <w:vAlign w:val="center"/>
                </w:tcPr>
                <w:p w14:paraId="6AA54F68">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有山体</w:t>
                  </w:r>
                </w:p>
                <w:p w14:paraId="2D05D684">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阻隔</w:t>
                  </w:r>
                </w:p>
              </w:tc>
            </w:tr>
            <w:tr w14:paraId="48BFD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41" w:type="pct"/>
                  <w:noWrap w:val="0"/>
                  <w:vAlign w:val="center"/>
                </w:tcPr>
                <w:p w14:paraId="7EF078E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长阳铺镇政府</w:t>
                  </w:r>
                </w:p>
              </w:tc>
              <w:tc>
                <w:tcPr>
                  <w:tcW w:w="963" w:type="pct"/>
                  <w:noWrap w:val="0"/>
                  <w:vAlign w:val="center"/>
                </w:tcPr>
                <w:p w14:paraId="5577DE64">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19</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1.533</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76E8CDB5">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10.792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3C16FD5C">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办公人员</w:t>
                  </w:r>
                </w:p>
                <w:p w14:paraId="73713A66">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约50人</w:t>
                  </w:r>
                </w:p>
              </w:tc>
              <w:tc>
                <w:tcPr>
                  <w:tcW w:w="577" w:type="pct"/>
                  <w:noWrap w:val="0"/>
                  <w:vAlign w:val="center"/>
                </w:tcPr>
                <w:p w14:paraId="76BBB0C8">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08EC0A8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2D4BFBF8">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S</w:t>
                  </w:r>
                </w:p>
              </w:tc>
              <w:tc>
                <w:tcPr>
                  <w:tcW w:w="614" w:type="pct"/>
                  <w:noWrap w:val="0"/>
                  <w:vAlign w:val="center"/>
                </w:tcPr>
                <w:p w14:paraId="6835D5F2">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420-480</w:t>
                  </w:r>
                </w:p>
              </w:tc>
              <w:tc>
                <w:tcPr>
                  <w:tcW w:w="687" w:type="pct"/>
                  <w:noWrap w:val="0"/>
                  <w:vAlign w:val="center"/>
                </w:tcPr>
                <w:p w14:paraId="701D4993">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57AB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541" w:type="pct"/>
                  <w:noWrap w:val="0"/>
                  <w:vAlign w:val="center"/>
                </w:tcPr>
                <w:p w14:paraId="3F0542D5">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长阳铺社区居民2</w:t>
                  </w:r>
                </w:p>
              </w:tc>
              <w:tc>
                <w:tcPr>
                  <w:tcW w:w="963" w:type="pct"/>
                  <w:noWrap w:val="0"/>
                  <w:vAlign w:val="center"/>
                </w:tcPr>
                <w:p w14:paraId="214278E7">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18</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54.852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2715090E">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11.026</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7535C43A">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30户居民</w:t>
                  </w:r>
                </w:p>
              </w:tc>
              <w:tc>
                <w:tcPr>
                  <w:tcW w:w="577" w:type="pct"/>
                  <w:noWrap w:val="0"/>
                  <w:vAlign w:val="center"/>
                </w:tcPr>
                <w:p w14:paraId="1D2FB5B2">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3FD57485">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29F0F348">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S</w:t>
                  </w:r>
                </w:p>
              </w:tc>
              <w:tc>
                <w:tcPr>
                  <w:tcW w:w="614" w:type="pct"/>
                  <w:noWrap w:val="0"/>
                  <w:vAlign w:val="center"/>
                </w:tcPr>
                <w:p w14:paraId="2D0058B4">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230-500</w:t>
                  </w:r>
                </w:p>
              </w:tc>
              <w:tc>
                <w:tcPr>
                  <w:tcW w:w="687" w:type="pct"/>
                  <w:noWrap w:val="0"/>
                  <w:vAlign w:val="center"/>
                </w:tcPr>
                <w:p w14:paraId="1B58D1D2">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0DD5E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541" w:type="pct"/>
                  <w:noWrap w:val="0"/>
                  <w:vAlign w:val="center"/>
                </w:tcPr>
                <w:p w14:paraId="3A926C5C">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长阳铺中心医院</w:t>
                  </w:r>
                </w:p>
              </w:tc>
              <w:tc>
                <w:tcPr>
                  <w:tcW w:w="963" w:type="pct"/>
                  <w:noWrap w:val="0"/>
                  <w:vAlign w:val="center"/>
                </w:tcPr>
                <w:p w14:paraId="060EB55B">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111°</w:t>
                  </w:r>
                  <w:r>
                    <w:rPr>
                      <w:rFonts w:hint="eastAsia" w:ascii="Times New Roman" w:hAnsi="Times New Roman" w:cs="Times New Roman"/>
                      <w:color w:val="auto"/>
                      <w:sz w:val="21"/>
                      <w:szCs w:val="21"/>
                      <w:lang w:val="en-US" w:eastAsia="zh-CN"/>
                    </w:rPr>
                    <w:t>18</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47.156</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E</w:t>
                  </w:r>
                </w:p>
                <w:p w14:paraId="25A9821F">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27°</w:t>
                  </w:r>
                  <w:r>
                    <w:rPr>
                      <w:rFonts w:hint="eastAsia" w:ascii="Times New Roman" w:hAnsi="Times New Roman" w:cs="Times New Roman"/>
                      <w:color w:val="auto"/>
                      <w:sz w:val="21"/>
                      <w:szCs w:val="21"/>
                      <w:lang w:val="en-US" w:eastAsia="zh-CN"/>
                    </w:rPr>
                    <w:t>14</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12.580</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N</w:t>
                  </w:r>
                </w:p>
              </w:tc>
              <w:tc>
                <w:tcPr>
                  <w:tcW w:w="618" w:type="pct"/>
                  <w:noWrap w:val="0"/>
                  <w:vAlign w:val="center"/>
                </w:tcPr>
                <w:p w14:paraId="15641CB7">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医患约50人</w:t>
                  </w:r>
                </w:p>
              </w:tc>
              <w:tc>
                <w:tcPr>
                  <w:tcW w:w="577" w:type="pct"/>
                  <w:noWrap w:val="0"/>
                  <w:vAlign w:val="center"/>
                </w:tcPr>
                <w:p w14:paraId="14EBC26D">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w:t>
                  </w:r>
                </w:p>
              </w:tc>
              <w:tc>
                <w:tcPr>
                  <w:tcW w:w="524" w:type="pct"/>
                  <w:noWrap w:val="0"/>
                  <w:vAlign w:val="center"/>
                </w:tcPr>
                <w:p w14:paraId="095DA96D">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二类</w:t>
                  </w:r>
                  <w:r>
                    <w:rPr>
                      <w:rFonts w:hint="eastAsia" w:ascii="Times New Roman" w:hAnsi="Times New Roman" w:cs="Times New Roman"/>
                      <w:color w:val="auto"/>
                      <w:sz w:val="21"/>
                      <w:szCs w:val="21"/>
                      <w:lang w:val="en-US" w:eastAsia="zh-CN"/>
                    </w:rPr>
                    <w:t>区</w:t>
                  </w:r>
                </w:p>
              </w:tc>
              <w:tc>
                <w:tcPr>
                  <w:tcW w:w="470" w:type="pct"/>
                  <w:noWrap w:val="0"/>
                  <w:vAlign w:val="center"/>
                </w:tcPr>
                <w:p w14:paraId="4343659E">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S</w:t>
                  </w:r>
                </w:p>
              </w:tc>
              <w:tc>
                <w:tcPr>
                  <w:tcW w:w="614" w:type="pct"/>
                  <w:noWrap w:val="0"/>
                  <w:vAlign w:val="center"/>
                </w:tcPr>
                <w:p w14:paraId="7C79F628">
                  <w:pPr>
                    <w:tabs>
                      <w:tab w:val="left" w:pos="357"/>
                    </w:tabs>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450-480</w:t>
                  </w:r>
                </w:p>
              </w:tc>
              <w:tc>
                <w:tcPr>
                  <w:tcW w:w="687" w:type="pct"/>
                  <w:noWrap w:val="0"/>
                  <w:vAlign w:val="center"/>
                </w:tcPr>
                <w:p w14:paraId="0724C8A7">
                  <w:pPr>
                    <w:tabs>
                      <w:tab w:val="left" w:pos="357"/>
                    </w:tabs>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14:paraId="6057F71F">
            <w:pPr>
              <w:ind w:left="0" w:leftChars="0" w:firstLine="480" w:firstLineChars="200"/>
              <w:rPr>
                <w:rFonts w:hint="default" w:ascii="Times New Roman" w:hAnsi="Times New Roman" w:eastAsia="宋体" w:cs="Times New Roman"/>
                <w:b/>
                <w:sz w:val="21"/>
                <w:szCs w:val="21"/>
              </w:rPr>
            </w:pPr>
            <w:r>
              <w:rPr>
                <w:rFonts w:hint="default" w:ascii="Times New Roman" w:hAnsi="Times New Roman" w:cs="Times New Roman"/>
                <w:lang w:val="en-US" w:eastAsia="zh-CN"/>
              </w:rPr>
              <w:t>公司</w:t>
            </w:r>
            <w:r>
              <w:rPr>
                <w:rFonts w:hint="default" w:ascii="Times New Roman" w:hAnsi="Times New Roman" w:cs="Times New Roman"/>
              </w:rPr>
              <w:t>工程组成情况详见表2</w:t>
            </w:r>
            <w:r>
              <w:rPr>
                <w:rFonts w:hint="default" w:ascii="Times New Roman" w:hAnsi="Times New Roman" w:cs="Times New Roman"/>
                <w:lang w:val="en-US" w:eastAsia="zh-CN"/>
              </w:rPr>
              <w:t>-2</w:t>
            </w:r>
            <w:r>
              <w:rPr>
                <w:rFonts w:hint="default" w:ascii="Times New Roman" w:hAnsi="Times New Roman" w:cs="Times New Roman"/>
              </w:rPr>
              <w:t>。</w:t>
            </w:r>
          </w:p>
          <w:p w14:paraId="7510C82B">
            <w:pPr>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表2-</w:t>
            </w:r>
            <w:r>
              <w:rPr>
                <w:rFonts w:hint="default" w:ascii="Times New Roman" w:hAnsi="Times New Roman" w:eastAsia="宋体" w:cs="Times New Roman"/>
                <w:b/>
                <w:sz w:val="21"/>
                <w:szCs w:val="21"/>
                <w:lang w:val="en-US" w:eastAsia="zh-CN"/>
              </w:rPr>
              <w:t>2</w:t>
            </w:r>
            <w:r>
              <w:rPr>
                <w:rFonts w:hint="default" w:ascii="Times New Roman" w:hAnsi="Times New Roman" w:eastAsia="宋体" w:cs="Times New Roman"/>
                <w:b/>
                <w:sz w:val="21"/>
                <w:szCs w:val="21"/>
              </w:rPr>
              <w:t xml:space="preserve">  工程组成情况一览表</w:t>
            </w:r>
          </w:p>
          <w:tbl>
            <w:tblPr>
              <w:tblStyle w:val="31"/>
              <w:tblW w:w="9224"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68"/>
              <w:gridCol w:w="1513"/>
              <w:gridCol w:w="7043"/>
            </w:tblGrid>
            <w:tr w14:paraId="769A6C5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1" w:hRule="atLeast"/>
                <w:tblHeader/>
                <w:jc w:val="center"/>
              </w:trPr>
              <w:tc>
                <w:tcPr>
                  <w:tcW w:w="668" w:type="dxa"/>
                  <w:vAlign w:val="center"/>
                </w:tcPr>
                <w:p w14:paraId="1A17C262">
                  <w:pPr>
                    <w:spacing w:beforeLines="10" w:afterLines="10" w:line="300" w:lineRule="exact"/>
                    <w:ind w:firstLine="0" w:firstLineChars="0"/>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序号</w:t>
                  </w:r>
                </w:p>
              </w:tc>
              <w:tc>
                <w:tcPr>
                  <w:tcW w:w="1513" w:type="dxa"/>
                  <w:vAlign w:val="center"/>
                </w:tcPr>
                <w:p w14:paraId="00A4C943">
                  <w:pPr>
                    <w:spacing w:beforeLines="10" w:afterLines="10" w:line="300" w:lineRule="exact"/>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
                      <w:sz w:val="21"/>
                      <w:szCs w:val="21"/>
                    </w:rPr>
                    <w:t>类别</w:t>
                  </w:r>
                </w:p>
              </w:tc>
              <w:tc>
                <w:tcPr>
                  <w:tcW w:w="7043" w:type="dxa"/>
                  <w:vAlign w:val="center"/>
                </w:tcPr>
                <w:p w14:paraId="7F9F6099">
                  <w:pPr>
                    <w:spacing w:beforeLines="10" w:afterLines="10" w:line="300" w:lineRule="exact"/>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
                      <w:sz w:val="21"/>
                      <w:szCs w:val="21"/>
                    </w:rPr>
                    <w:t>基 本 情 况</w:t>
                  </w:r>
                </w:p>
              </w:tc>
            </w:tr>
            <w:tr w14:paraId="21BF0F8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668" w:type="dxa"/>
                  <w:vAlign w:val="center"/>
                </w:tcPr>
                <w:p w14:paraId="329D51BF">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513" w:type="dxa"/>
                  <w:vAlign w:val="center"/>
                </w:tcPr>
                <w:p w14:paraId="7956AA3B">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项目名称</w:t>
                  </w:r>
                </w:p>
              </w:tc>
              <w:tc>
                <w:tcPr>
                  <w:tcW w:w="7043" w:type="dxa"/>
                  <w:vAlign w:val="center"/>
                </w:tcPr>
                <w:p w14:paraId="798D221A">
                  <w:pPr>
                    <w:spacing w:beforeLines="10" w:afterLines="10" w:line="300" w:lineRule="exact"/>
                    <w:ind w:firstLine="0" w:firstLineChars="0"/>
                    <w:jc w:val="center"/>
                    <w:rPr>
                      <w:rFonts w:hint="default" w:ascii="Times New Roman" w:hAnsi="Times New Roman" w:eastAsia="宋体" w:cs="Times New Roman"/>
                      <w:sz w:val="21"/>
                      <w:szCs w:val="21"/>
                      <w:lang w:val="en" w:eastAsia="zh-CN"/>
                    </w:rPr>
                  </w:pPr>
                  <w:r>
                    <w:rPr>
                      <w:rFonts w:hint="eastAsia" w:eastAsia="宋体" w:cs="Times New Roman"/>
                      <w:sz w:val="21"/>
                      <w:szCs w:val="21"/>
                      <w:lang w:val="en" w:eastAsia="zh-CN"/>
                    </w:rPr>
                    <w:t>邵阳市鑫腾阻燃新材料科技有限公司红磷阻燃剂建设项目</w:t>
                  </w:r>
                </w:p>
              </w:tc>
            </w:tr>
            <w:tr w14:paraId="484CFD1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668" w:type="dxa"/>
                  <w:vAlign w:val="center"/>
                </w:tcPr>
                <w:p w14:paraId="76EA5804">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513" w:type="dxa"/>
                  <w:vAlign w:val="center"/>
                </w:tcPr>
                <w:p w14:paraId="75CFD41B">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建设单位</w:t>
                  </w:r>
                </w:p>
              </w:tc>
              <w:tc>
                <w:tcPr>
                  <w:tcW w:w="7043" w:type="dxa"/>
                  <w:vAlign w:val="center"/>
                </w:tcPr>
                <w:p w14:paraId="2E4D7CE9">
                  <w:pPr>
                    <w:spacing w:beforeLines="10" w:afterLines="10" w:line="300" w:lineRule="exact"/>
                    <w:ind w:firstLine="0" w:firstLineChars="0"/>
                    <w:jc w:val="center"/>
                    <w:rPr>
                      <w:rFonts w:hint="default" w:ascii="Times New Roman" w:hAnsi="Times New Roman" w:eastAsia="宋体" w:cs="Times New Roman"/>
                      <w:sz w:val="21"/>
                      <w:szCs w:val="21"/>
                      <w:lang w:val="en" w:eastAsia="zh-CN"/>
                    </w:rPr>
                  </w:pPr>
                  <w:r>
                    <w:rPr>
                      <w:rFonts w:hint="eastAsia" w:eastAsia="宋体" w:cs="Times New Roman"/>
                      <w:sz w:val="21"/>
                      <w:szCs w:val="21"/>
                      <w:lang w:val="en" w:eastAsia="zh-CN"/>
                    </w:rPr>
                    <w:t>邵阳市鑫腾阻燃新材料科技有限公司</w:t>
                  </w:r>
                </w:p>
              </w:tc>
            </w:tr>
            <w:tr w14:paraId="7E05159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668" w:type="dxa"/>
                  <w:vAlign w:val="center"/>
                </w:tcPr>
                <w:p w14:paraId="323F4FCA">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1513" w:type="dxa"/>
                  <w:vAlign w:val="center"/>
                </w:tcPr>
                <w:p w14:paraId="6B35F284">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建设地点</w:t>
                  </w:r>
                </w:p>
              </w:tc>
              <w:tc>
                <w:tcPr>
                  <w:tcW w:w="7043" w:type="dxa"/>
                  <w:vAlign w:val="center"/>
                </w:tcPr>
                <w:p w14:paraId="0DA1DEFC">
                  <w:pPr>
                    <w:spacing w:beforeLines="10" w:afterLines="10" w:line="300" w:lineRule="exact"/>
                    <w:ind w:firstLine="0" w:firstLineChars="0"/>
                    <w:jc w:val="center"/>
                    <w:rPr>
                      <w:rFonts w:hint="default" w:ascii="Times New Roman" w:hAnsi="Times New Roman" w:eastAsia="宋体" w:cs="Times New Roman"/>
                      <w:sz w:val="21"/>
                      <w:szCs w:val="21"/>
                      <w:lang w:eastAsia="zh-CN"/>
                    </w:rPr>
                  </w:pPr>
                  <w:r>
                    <w:rPr>
                      <w:rFonts w:hint="eastAsia" w:eastAsia="宋体" w:cs="Times New Roman"/>
                      <w:sz w:val="21"/>
                      <w:szCs w:val="21"/>
                      <w:lang w:eastAsia="zh-CN"/>
                    </w:rPr>
                    <w:t>湖南省邵阳县长阳铺镇长阳铺村工业集中区5栋厂房</w:t>
                  </w:r>
                </w:p>
              </w:tc>
            </w:tr>
            <w:tr w14:paraId="13752AD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668" w:type="dxa"/>
                  <w:vAlign w:val="center"/>
                </w:tcPr>
                <w:p w14:paraId="6275DA67">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513" w:type="dxa"/>
                  <w:vAlign w:val="center"/>
                </w:tcPr>
                <w:p w14:paraId="1DE6BB16">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建设性质</w:t>
                  </w:r>
                </w:p>
              </w:tc>
              <w:tc>
                <w:tcPr>
                  <w:tcW w:w="7043" w:type="dxa"/>
                  <w:vAlign w:val="center"/>
                </w:tcPr>
                <w:p w14:paraId="622C5BAD">
                  <w:pPr>
                    <w:spacing w:beforeLines="10" w:afterLines="10" w:line="300" w:lineRule="exact"/>
                    <w:ind w:firstLine="0" w:firstLineChars="0"/>
                    <w:jc w:val="center"/>
                    <w:rPr>
                      <w:rFonts w:hint="default" w:ascii="Times New Roman" w:hAnsi="Times New Roman" w:eastAsia="宋体" w:cs="Times New Roman"/>
                      <w:sz w:val="21"/>
                      <w:szCs w:val="21"/>
                      <w:lang w:val="en-US" w:eastAsia="zh-CN"/>
                    </w:rPr>
                  </w:pPr>
                  <w:r>
                    <w:rPr>
                      <w:rFonts w:hint="eastAsia" w:eastAsia="宋体" w:cs="Times New Roman"/>
                      <w:sz w:val="21"/>
                      <w:szCs w:val="21"/>
                      <w:lang w:val="en-US" w:eastAsia="zh-CN"/>
                    </w:rPr>
                    <w:t>新</w:t>
                  </w:r>
                  <w:r>
                    <w:rPr>
                      <w:rFonts w:hint="default" w:ascii="Times New Roman" w:hAnsi="Times New Roman" w:eastAsia="宋体" w:cs="Times New Roman"/>
                      <w:sz w:val="21"/>
                      <w:szCs w:val="21"/>
                      <w:lang w:val="en-US" w:eastAsia="zh-CN"/>
                    </w:rPr>
                    <w:t>建</w:t>
                  </w:r>
                </w:p>
              </w:tc>
            </w:tr>
            <w:tr w14:paraId="3FE8282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70" w:hRule="atLeast"/>
                <w:jc w:val="center"/>
              </w:trPr>
              <w:tc>
                <w:tcPr>
                  <w:tcW w:w="668" w:type="dxa"/>
                  <w:vAlign w:val="center"/>
                </w:tcPr>
                <w:p w14:paraId="43681FC2">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1513" w:type="dxa"/>
                  <w:vAlign w:val="center"/>
                </w:tcPr>
                <w:p w14:paraId="370D7D28">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设计生产</w:t>
                  </w:r>
                  <w:r>
                    <w:rPr>
                      <w:rFonts w:hint="default" w:ascii="Times New Roman" w:hAnsi="Times New Roman" w:eastAsia="宋体" w:cs="Times New Roman"/>
                      <w:sz w:val="21"/>
                      <w:szCs w:val="21"/>
                    </w:rPr>
                    <w:t>规模</w:t>
                  </w:r>
                </w:p>
              </w:tc>
              <w:tc>
                <w:tcPr>
                  <w:tcW w:w="7043" w:type="dxa"/>
                  <w:vAlign w:val="center"/>
                </w:tcPr>
                <w:p w14:paraId="071BD957">
                  <w:pPr>
                    <w:spacing w:beforeLines="10" w:afterLines="10" w:line="300" w:lineRule="exact"/>
                    <w:ind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年产油相超细红磷阻燃剂4000吨（其中2000吨直接外售、2000吨用于生产红磷阻燃母粒）、红磷阻燃母粒4000吨</w:t>
                  </w:r>
                </w:p>
              </w:tc>
            </w:tr>
            <w:tr w14:paraId="5E72E9F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668" w:type="dxa"/>
                  <w:vAlign w:val="center"/>
                </w:tcPr>
                <w:p w14:paraId="73511D59">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1513" w:type="dxa"/>
                  <w:vAlign w:val="center"/>
                </w:tcPr>
                <w:p w14:paraId="30A21618">
                  <w:pPr>
                    <w:spacing w:beforeLines="10" w:afterLines="10" w:line="300" w:lineRule="exact"/>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工程组成</w:t>
                  </w:r>
                </w:p>
              </w:tc>
              <w:tc>
                <w:tcPr>
                  <w:tcW w:w="7043" w:type="dxa"/>
                  <w:vAlign w:val="center"/>
                </w:tcPr>
                <w:p w14:paraId="0A51EBEB">
                  <w:pPr>
                    <w:spacing w:beforeLines="10" w:afterLines="10" w:line="300" w:lineRule="exact"/>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主体工程：生产厂房1F，占地面积1120m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，储运工程：原料仓和成品仓，并配套建设辅助公用工程、安全环保工程等</w:t>
                  </w:r>
                </w:p>
              </w:tc>
            </w:tr>
            <w:tr w14:paraId="2DBBEED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68" w:type="dxa"/>
                  <w:vAlign w:val="center"/>
                </w:tcPr>
                <w:p w14:paraId="60D1EF4A">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1513" w:type="dxa"/>
                  <w:vAlign w:val="center"/>
                </w:tcPr>
                <w:p w14:paraId="15E3E0A5">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环评情况</w:t>
                  </w:r>
                </w:p>
              </w:tc>
              <w:tc>
                <w:tcPr>
                  <w:tcW w:w="7043" w:type="dxa"/>
                  <w:vAlign w:val="center"/>
                </w:tcPr>
                <w:p w14:paraId="0442082D">
                  <w:pPr>
                    <w:spacing w:beforeLines="10" w:afterLines="10" w:line="300" w:lineRule="exact"/>
                    <w:ind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w:t>
                  </w:r>
                  <w:r>
                    <w:rPr>
                      <w:rFonts w:hint="default" w:ascii="Times New Roman" w:hAnsi="Times New Roman" w:eastAsia="宋体" w:cs="Times New Roman"/>
                      <w:sz w:val="21"/>
                      <w:szCs w:val="21"/>
                      <w:lang w:eastAsia="zh-CN"/>
                    </w:rPr>
                    <w:t>项目</w:t>
                  </w:r>
                  <w:r>
                    <w:rPr>
                      <w:rFonts w:hint="default" w:ascii="Times New Roman" w:hAnsi="Times New Roman" w:eastAsia="宋体" w:cs="Times New Roman"/>
                      <w:sz w:val="21"/>
                      <w:szCs w:val="21"/>
                    </w:rPr>
                    <w:t>已于20</w:t>
                  </w:r>
                  <w:r>
                    <w:rPr>
                      <w:rFonts w:hint="default" w:ascii="Times New Roman" w:hAnsi="Times New Roman" w:eastAsia="宋体" w:cs="Times New Roman"/>
                      <w:sz w:val="21"/>
                      <w:szCs w:val="21"/>
                      <w:lang w:val="en-US" w:eastAsia="zh-CN"/>
                    </w:rPr>
                    <w:t>24</w:t>
                  </w:r>
                  <w:r>
                    <w:rPr>
                      <w:rFonts w:hint="default" w:ascii="Times New Roman" w:hAnsi="Times New Roman" w:eastAsia="宋体" w:cs="Times New Roman"/>
                      <w:sz w:val="21"/>
                      <w:szCs w:val="21"/>
                    </w:rPr>
                    <w:t>年</w:t>
                  </w:r>
                  <w:r>
                    <w:rPr>
                      <w:rFonts w:hint="eastAsia" w:eastAsia="宋体" w:cs="Times New Roman"/>
                      <w:sz w:val="21"/>
                      <w:szCs w:val="21"/>
                      <w:lang w:val="en-US" w:eastAsia="zh-CN"/>
                    </w:rPr>
                    <w:t>5</w:t>
                  </w:r>
                  <w:r>
                    <w:rPr>
                      <w:rFonts w:hint="default" w:ascii="Times New Roman" w:hAnsi="Times New Roman" w:eastAsia="宋体" w:cs="Times New Roman"/>
                      <w:sz w:val="21"/>
                      <w:szCs w:val="21"/>
                      <w:lang w:val="en-US" w:eastAsia="zh-CN"/>
                    </w:rPr>
                    <w:t>月委托</w:t>
                  </w:r>
                  <w:r>
                    <w:rPr>
                      <w:rFonts w:hint="eastAsia" w:eastAsia="宋体" w:cs="Times New Roman"/>
                      <w:sz w:val="21"/>
                      <w:szCs w:val="21"/>
                      <w:lang w:val="en-US" w:eastAsia="zh-CN"/>
                    </w:rPr>
                    <w:t>湖南朗誉环保科技有限公司</w:t>
                  </w:r>
                  <w:r>
                    <w:rPr>
                      <w:rFonts w:hint="default" w:ascii="Times New Roman" w:hAnsi="Times New Roman" w:eastAsia="宋体" w:cs="Times New Roman"/>
                      <w:sz w:val="21"/>
                      <w:szCs w:val="21"/>
                      <w:lang w:val="en-US" w:eastAsia="zh-CN"/>
                    </w:rPr>
                    <w:t>编制完成了《</w:t>
                  </w:r>
                  <w:r>
                    <w:rPr>
                      <w:rFonts w:hint="eastAsia" w:eastAsia="宋体" w:cs="Times New Roman"/>
                      <w:sz w:val="21"/>
                      <w:szCs w:val="21"/>
                      <w:lang w:val="en" w:eastAsia="zh-CN"/>
                    </w:rPr>
                    <w:t>邵阳市鑫腾阻燃新材料科技有限公司红磷阻燃剂建设项目</w:t>
                  </w:r>
                  <w:r>
                    <w:rPr>
                      <w:rFonts w:hint="default" w:ascii="Times New Roman" w:hAnsi="Times New Roman" w:eastAsia="宋体" w:cs="Times New Roman"/>
                      <w:sz w:val="21"/>
                      <w:szCs w:val="21"/>
                      <w:lang w:val="en-US" w:eastAsia="zh-CN"/>
                    </w:rPr>
                    <w:t>环境影响报告表》，并于2024年</w:t>
                  </w:r>
                  <w:r>
                    <w:rPr>
                      <w:rFonts w:hint="eastAsia" w:eastAsia="宋体" w:cs="Times New Roman"/>
                      <w:sz w:val="21"/>
                      <w:szCs w:val="21"/>
                      <w:lang w:val="en-US" w:eastAsia="zh-CN"/>
                    </w:rPr>
                    <w:t>7</w:t>
                  </w:r>
                  <w:r>
                    <w:rPr>
                      <w:rFonts w:hint="default" w:ascii="Times New Roman" w:hAnsi="Times New Roman" w:eastAsia="宋体" w:cs="Times New Roman"/>
                      <w:sz w:val="21"/>
                      <w:szCs w:val="21"/>
                      <w:lang w:val="en-US" w:eastAsia="zh-CN"/>
                    </w:rPr>
                    <w:t>月</w:t>
                  </w:r>
                  <w:r>
                    <w:rPr>
                      <w:rFonts w:hint="eastAsia" w:eastAsia="宋体" w:cs="Times New Roman"/>
                      <w:sz w:val="21"/>
                      <w:szCs w:val="21"/>
                      <w:lang w:val="en-US" w:eastAsia="zh-CN"/>
                    </w:rPr>
                    <w:t>18</w:t>
                  </w:r>
                  <w:r>
                    <w:rPr>
                      <w:rFonts w:hint="default" w:ascii="Times New Roman" w:hAnsi="Times New Roman" w:eastAsia="宋体" w:cs="Times New Roman"/>
                      <w:sz w:val="21"/>
                      <w:szCs w:val="21"/>
                      <w:lang w:val="en-US" w:eastAsia="zh-CN"/>
                    </w:rPr>
                    <w:t>日由邵阳市生态环境局邵阳县分局以《邵市环评（3）〔2024〕</w:t>
                  </w:r>
                  <w:r>
                    <w:rPr>
                      <w:rFonts w:hint="eastAsia" w:eastAsia="宋体" w:cs="Times New Roman"/>
                      <w:sz w:val="21"/>
                      <w:szCs w:val="21"/>
                      <w:lang w:val="en-US" w:eastAsia="zh-CN"/>
                    </w:rPr>
                    <w:t>10</w:t>
                  </w:r>
                  <w:r>
                    <w:rPr>
                      <w:rFonts w:hint="default" w:ascii="Times New Roman" w:hAnsi="Times New Roman" w:eastAsia="宋体" w:cs="Times New Roman"/>
                      <w:sz w:val="21"/>
                      <w:szCs w:val="21"/>
                      <w:lang w:val="en-US" w:eastAsia="zh-CN"/>
                    </w:rPr>
                    <w:t>号》文予以批复。</w:t>
                  </w:r>
                </w:p>
              </w:tc>
            </w:tr>
            <w:tr w14:paraId="7D7DDC5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68" w:type="dxa"/>
                  <w:vAlign w:val="center"/>
                </w:tcPr>
                <w:p w14:paraId="5BD19555">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1513" w:type="dxa"/>
                  <w:vAlign w:val="center"/>
                </w:tcPr>
                <w:p w14:paraId="6F021D60">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工程纳污水体</w:t>
                  </w:r>
                </w:p>
              </w:tc>
              <w:tc>
                <w:tcPr>
                  <w:tcW w:w="7043" w:type="dxa"/>
                  <w:vAlign w:val="center"/>
                </w:tcPr>
                <w:p w14:paraId="31D737EC">
                  <w:pPr>
                    <w:spacing w:beforeLines="10" w:afterLines="10" w:line="300" w:lineRule="exact"/>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无生产废水外排</w:t>
                  </w:r>
                  <w:r>
                    <w:rPr>
                      <w:rFonts w:hint="eastAsia" w:eastAsia="宋体" w:cs="Times New Roman"/>
                      <w:sz w:val="21"/>
                      <w:szCs w:val="21"/>
                      <w:lang w:val="en-US" w:eastAsia="zh-CN"/>
                    </w:rPr>
                    <w:t>；</w:t>
                  </w:r>
                  <w:r>
                    <w:rPr>
                      <w:rFonts w:hint="default" w:ascii="Times New Roman" w:hAnsi="Times New Roman" w:eastAsia="宋体" w:cs="Times New Roman"/>
                      <w:sz w:val="21"/>
                      <w:szCs w:val="21"/>
                      <w:lang w:val="en-US" w:eastAsia="zh-CN"/>
                    </w:rPr>
                    <w:t>生活污水经化粪池预处理后，通过市政污水管网进入长阳铺镇污水处理厂进一步处理</w:t>
                  </w:r>
                  <w:r>
                    <w:rPr>
                      <w:rFonts w:hint="eastAsia" w:ascii="Times New Roman" w:hAnsi="Times New Roman" w:eastAsia="宋体" w:cs="Times New Roman"/>
                      <w:sz w:val="21"/>
                      <w:szCs w:val="21"/>
                      <w:lang w:val="en-US" w:eastAsia="zh-CN"/>
                    </w:rPr>
                    <w:t>。</w:t>
                  </w:r>
                </w:p>
              </w:tc>
            </w:tr>
            <w:tr w14:paraId="1B2BD58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68" w:type="dxa"/>
                  <w:vAlign w:val="center"/>
                </w:tcPr>
                <w:p w14:paraId="0B880DBB">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1513" w:type="dxa"/>
                  <w:vAlign w:val="center"/>
                </w:tcPr>
                <w:p w14:paraId="46CE0731">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工程投资情况</w:t>
                  </w:r>
                </w:p>
              </w:tc>
              <w:tc>
                <w:tcPr>
                  <w:tcW w:w="7043" w:type="dxa"/>
                  <w:vAlign w:val="center"/>
                </w:tcPr>
                <w:p w14:paraId="00D3906A">
                  <w:pPr>
                    <w:spacing w:beforeLines="10" w:afterLines="10" w:line="300" w:lineRule="exact"/>
                    <w:ind w:firstLine="0" w:firstLineChars="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rPr>
                    <w:t>项目总投资</w:t>
                  </w:r>
                  <w:r>
                    <w:rPr>
                      <w:rFonts w:hint="eastAsia" w:eastAsia="宋体" w:cs="Times New Roman"/>
                      <w:sz w:val="21"/>
                      <w:szCs w:val="21"/>
                      <w:lang w:val="en-US" w:eastAsia="zh-CN"/>
                    </w:rPr>
                    <w:t>12</w:t>
                  </w:r>
                  <w:r>
                    <w:rPr>
                      <w:rFonts w:hint="default" w:ascii="Times New Roman" w:hAnsi="Times New Roman" w:eastAsia="宋体" w:cs="Times New Roman"/>
                      <w:sz w:val="21"/>
                      <w:szCs w:val="21"/>
                      <w:lang w:val="en-US" w:eastAsia="zh-CN"/>
                    </w:rPr>
                    <w:t>00</w:t>
                  </w:r>
                  <w:r>
                    <w:rPr>
                      <w:rFonts w:hint="default" w:ascii="Times New Roman" w:hAnsi="Times New Roman" w:eastAsia="宋体" w:cs="Times New Roman"/>
                      <w:sz w:val="21"/>
                      <w:szCs w:val="21"/>
                    </w:rPr>
                    <w:t>万元，其中环保投资</w:t>
                  </w:r>
                  <w:r>
                    <w:rPr>
                      <w:rFonts w:hint="eastAsia" w:eastAsia="宋体" w:cs="Times New Roman"/>
                      <w:sz w:val="21"/>
                      <w:szCs w:val="21"/>
                      <w:lang w:val="en-US" w:eastAsia="zh-CN"/>
                    </w:rPr>
                    <w:t>105</w:t>
                  </w:r>
                  <w:r>
                    <w:rPr>
                      <w:rFonts w:hint="default" w:ascii="Times New Roman" w:hAnsi="Times New Roman" w:eastAsia="宋体" w:cs="Times New Roman"/>
                      <w:sz w:val="21"/>
                      <w:szCs w:val="21"/>
                    </w:rPr>
                    <w:t>万元，环保投资占总投资</w:t>
                  </w:r>
                  <w:r>
                    <w:rPr>
                      <w:rFonts w:hint="default" w:ascii="Times New Roman" w:hAnsi="Times New Roman" w:eastAsia="宋体" w:cs="Times New Roman"/>
                      <w:sz w:val="21"/>
                      <w:szCs w:val="21"/>
                      <w:lang w:val="en-US" w:eastAsia="zh-CN"/>
                    </w:rPr>
                    <w:t>的</w:t>
                  </w:r>
                  <w:r>
                    <w:rPr>
                      <w:rFonts w:hint="eastAsia" w:eastAsia="宋体" w:cs="Times New Roman"/>
                      <w:sz w:val="21"/>
                      <w:szCs w:val="21"/>
                      <w:lang w:val="en-US" w:eastAsia="zh-CN"/>
                    </w:rPr>
                    <w:t>8.75</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eastAsia="zh-CN"/>
                    </w:rPr>
                    <w:t>。</w:t>
                  </w:r>
                </w:p>
              </w:tc>
            </w:tr>
            <w:tr w14:paraId="6760D7B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668" w:type="dxa"/>
                  <w:vAlign w:val="center"/>
                </w:tcPr>
                <w:p w14:paraId="042EBC8B">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1513" w:type="dxa"/>
                  <w:vAlign w:val="center"/>
                </w:tcPr>
                <w:p w14:paraId="38B316B5">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工作时间</w:t>
                  </w:r>
                </w:p>
              </w:tc>
              <w:tc>
                <w:tcPr>
                  <w:tcW w:w="7043" w:type="dxa"/>
                  <w:vAlign w:val="center"/>
                </w:tcPr>
                <w:p w14:paraId="20E3E26A">
                  <w:pPr>
                    <w:spacing w:beforeLines="10" w:afterLines="10" w:line="300" w:lineRule="exact"/>
                    <w:ind w:firstLine="0" w:firstLineChars="0"/>
                    <w:jc w:val="center"/>
                    <w:rPr>
                      <w:rFonts w:hint="default" w:ascii="Times New Roman" w:hAnsi="Times New Roman" w:eastAsia="宋体" w:cs="Times New Roman"/>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年工作300天，每天8小时</w:t>
                  </w:r>
                </w:p>
              </w:tc>
            </w:tr>
            <w:tr w14:paraId="1FB8EA0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668" w:type="dxa"/>
                  <w:vAlign w:val="center"/>
                </w:tcPr>
                <w:p w14:paraId="234855B5">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p>
              </w:tc>
              <w:tc>
                <w:tcPr>
                  <w:tcW w:w="1513" w:type="dxa"/>
                  <w:vAlign w:val="center"/>
                </w:tcPr>
                <w:p w14:paraId="1F65842D">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工程占地面积</w:t>
                  </w:r>
                </w:p>
              </w:tc>
              <w:tc>
                <w:tcPr>
                  <w:tcW w:w="7043" w:type="dxa"/>
                  <w:vAlign w:val="center"/>
                </w:tcPr>
                <w:p w14:paraId="39F6A19F">
                  <w:pPr>
                    <w:spacing w:beforeLines="10" w:afterLines="10" w:line="300" w:lineRule="exact"/>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公司</w:t>
                  </w:r>
                  <w:r>
                    <w:rPr>
                      <w:rFonts w:hint="default" w:ascii="Times New Roman" w:hAnsi="Times New Roman" w:eastAsia="宋体" w:cs="Times New Roman"/>
                      <w:bCs/>
                      <w:color w:val="000000" w:themeColor="text1"/>
                      <w:sz w:val="21"/>
                      <w:szCs w:val="21"/>
                      <w14:textFill>
                        <w14:solidFill>
                          <w14:schemeClr w14:val="tx1"/>
                        </w14:solidFill>
                      </w14:textFill>
                    </w:rPr>
                    <w:t>占地面积</w:t>
                  </w:r>
                  <w:r>
                    <w:rPr>
                      <w:rFonts w:hint="eastAsia" w:eastAsia="宋体" w:cs="Times New Roman"/>
                      <w:sz w:val="21"/>
                      <w:szCs w:val="21"/>
                      <w:lang w:val="en-US" w:eastAsia="zh-CN"/>
                    </w:rPr>
                    <w:t>3650</w:t>
                  </w:r>
                  <w:r>
                    <w:rPr>
                      <w:rFonts w:hint="default" w:ascii="Times New Roman" w:hAnsi="Times New Roman" w:cs="Times New Roman"/>
                      <w:sz w:val="21"/>
                      <w:szCs w:val="21"/>
                      <w:lang w:val="en-US" w:eastAsia="zh-CN"/>
                    </w:rPr>
                    <w:t>m</w:t>
                  </w:r>
                  <w:r>
                    <w:rPr>
                      <w:rFonts w:hint="default" w:ascii="Times New Roman" w:hAnsi="Times New Roman" w:cs="Times New Roman"/>
                      <w:sz w:val="21"/>
                      <w:szCs w:val="21"/>
                      <w:vertAlign w:val="superscript"/>
                    </w:rPr>
                    <w:t>2</w:t>
                  </w:r>
                </w:p>
              </w:tc>
            </w:tr>
            <w:tr w14:paraId="3BDF429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66" w:hRule="atLeast"/>
                <w:jc w:val="center"/>
              </w:trPr>
              <w:tc>
                <w:tcPr>
                  <w:tcW w:w="668" w:type="dxa"/>
                  <w:vAlign w:val="center"/>
                </w:tcPr>
                <w:p w14:paraId="31FDE94F">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p>
              </w:tc>
              <w:tc>
                <w:tcPr>
                  <w:tcW w:w="1513" w:type="dxa"/>
                  <w:vAlign w:val="center"/>
                </w:tcPr>
                <w:p w14:paraId="5D5161EA">
                  <w:pPr>
                    <w:spacing w:beforeLines="10" w:afterLines="10" w:line="300" w:lineRule="exact"/>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劳动定员</w:t>
                  </w:r>
                </w:p>
              </w:tc>
              <w:tc>
                <w:tcPr>
                  <w:tcW w:w="7043" w:type="dxa"/>
                  <w:vAlign w:val="center"/>
                </w:tcPr>
                <w:p w14:paraId="1C1BBB79">
                  <w:pPr>
                    <w:spacing w:beforeLines="10" w:afterLines="10" w:line="300" w:lineRule="exact"/>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项目劳动定员40人</w:t>
                  </w:r>
                </w:p>
              </w:tc>
            </w:tr>
          </w:tbl>
          <w:p w14:paraId="3F1B7851">
            <w:pPr>
              <w:ind w:firstLine="0" w:firstLineChars="0"/>
              <w:rPr>
                <w:rFonts w:hint="default" w:ascii="Times New Roman" w:hAnsi="Times New Roman" w:cs="Times New Roman"/>
                <w:b/>
                <w:color w:val="auto"/>
                <w:highlight w:val="none"/>
              </w:rPr>
            </w:pPr>
            <w:r>
              <w:rPr>
                <w:rFonts w:hint="default" w:ascii="Times New Roman" w:hAnsi="Times New Roman" w:cs="Times New Roman"/>
                <w:b/>
                <w:color w:val="auto"/>
                <w:highlight w:val="none"/>
              </w:rPr>
              <w:t>2、验收项目建设内容</w:t>
            </w:r>
          </w:p>
          <w:p w14:paraId="221F8F31">
            <w:pPr>
              <w:ind w:firstLine="480"/>
              <w:rPr>
                <w:rFonts w:hint="default" w:ascii="Times New Roman" w:hAnsi="Times New Roman" w:cs="Times New Roman"/>
                <w:b/>
                <w:sz w:val="21"/>
                <w:szCs w:val="21"/>
              </w:rPr>
            </w:pPr>
            <w:r>
              <w:rPr>
                <w:rFonts w:hint="default" w:ascii="Times New Roman" w:hAnsi="Times New Roman" w:cs="Times New Roman"/>
                <w:lang w:val="en-US" w:eastAsia="zh-CN"/>
              </w:rPr>
              <w:t>本项目</w:t>
            </w:r>
            <w:r>
              <w:rPr>
                <w:rFonts w:hint="default" w:ascii="Times New Roman" w:hAnsi="Times New Roman" w:cs="Times New Roman"/>
              </w:rPr>
              <w:t>实际总投资</w:t>
            </w:r>
            <w:r>
              <w:rPr>
                <w:rFonts w:hint="eastAsia" w:cs="Times New Roman"/>
                <w:lang w:val="en-US" w:eastAsia="zh-CN"/>
              </w:rPr>
              <w:t>12</w:t>
            </w:r>
            <w:r>
              <w:rPr>
                <w:rFonts w:hint="default" w:ascii="Times New Roman" w:hAnsi="Times New Roman" w:cs="Times New Roman"/>
                <w:lang w:val="en-US" w:eastAsia="zh-CN"/>
              </w:rPr>
              <w:t>00</w:t>
            </w:r>
            <w:r>
              <w:rPr>
                <w:rFonts w:hint="default" w:ascii="Times New Roman" w:hAnsi="Times New Roman" w:cs="Times New Roman"/>
              </w:rPr>
              <w:t>万元，于20</w:t>
            </w:r>
            <w:r>
              <w:rPr>
                <w:rFonts w:hint="default" w:ascii="Times New Roman" w:hAnsi="Times New Roman" w:cs="Times New Roman"/>
                <w:lang w:val="en-US" w:eastAsia="zh-CN"/>
              </w:rPr>
              <w:t>24</w:t>
            </w:r>
            <w:r>
              <w:rPr>
                <w:rFonts w:hint="default" w:ascii="Times New Roman" w:hAnsi="Times New Roman" w:cs="Times New Roman"/>
              </w:rPr>
              <w:t>年</w:t>
            </w:r>
            <w:r>
              <w:rPr>
                <w:rFonts w:hint="default" w:ascii="Times New Roman" w:hAnsi="Times New Roman" w:cs="Times New Roman"/>
                <w:lang w:val="en-US" w:eastAsia="zh-CN"/>
              </w:rPr>
              <w:t>10月</w:t>
            </w:r>
            <w:r>
              <w:rPr>
                <w:rFonts w:hint="default" w:ascii="Times New Roman" w:hAnsi="Times New Roman" w:cs="Times New Roman"/>
              </w:rPr>
              <w:t>建成投产</w:t>
            </w:r>
            <w:r>
              <w:rPr>
                <w:rFonts w:hint="default" w:ascii="Times New Roman" w:hAnsi="Times New Roman" w:cs="Times New Roman"/>
                <w:lang w:eastAsia="zh-CN"/>
              </w:rPr>
              <w:t>，</w:t>
            </w:r>
            <w:r>
              <w:rPr>
                <w:rFonts w:hint="default" w:ascii="Times New Roman" w:hAnsi="Times New Roman" w:cs="Times New Roman"/>
              </w:rPr>
              <w:t>由主体工程、辅助工程、公用工程、环保工程</w:t>
            </w:r>
            <w:r>
              <w:rPr>
                <w:rFonts w:hint="default" w:ascii="Times New Roman" w:hAnsi="Times New Roman" w:cs="Times New Roman"/>
                <w:lang w:val="en-US" w:eastAsia="zh-CN"/>
              </w:rPr>
              <w:t>等</w:t>
            </w:r>
            <w:r>
              <w:rPr>
                <w:rFonts w:hint="default" w:ascii="Times New Roman" w:hAnsi="Times New Roman" w:cs="Times New Roman"/>
              </w:rPr>
              <w:t>组成。</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公司总占地面积</w:t>
            </w:r>
            <w:r>
              <w:rPr>
                <w:rFonts w:hint="eastAsia" w:eastAsia="宋体" w:cs="Times New Roman"/>
                <w:bCs/>
                <w:color w:val="000000" w:themeColor="text1"/>
                <w:sz w:val="24"/>
                <w:szCs w:val="24"/>
                <w:lang w:val="en-US" w:eastAsia="zh-CN"/>
                <w14:textFill>
                  <w14:solidFill>
                    <w14:schemeClr w14:val="tx1"/>
                  </w14:solidFill>
                </w14:textFill>
              </w:rPr>
              <w:t>365</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0m</w:t>
            </w:r>
            <w:r>
              <w:rPr>
                <w:rFonts w:hint="default" w:ascii="Times New Roman" w:hAnsi="Times New Roman" w:eastAsia="宋体" w:cs="Times New Roman"/>
                <w:bCs/>
                <w:color w:val="000000" w:themeColor="text1"/>
                <w:sz w:val="24"/>
                <w:szCs w:val="24"/>
                <w:vertAlign w:val="superscript"/>
                <w:lang w:val="en-US" w:eastAsia="zh-CN"/>
                <w14:textFill>
                  <w14:solidFill>
                    <w14:schemeClr w14:val="tx1"/>
                  </w14:solidFill>
                </w14:textFill>
              </w:rPr>
              <w:t>2</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，公司主要工程组成如下：主体工程：生产厂房1F，厂房内北部布设红磷阻燃母粒生产线</w:t>
            </w:r>
            <w:r>
              <w:rPr>
                <w:rFonts w:hint="eastAsia" w:eastAsia="宋体" w:cs="Times New Roman"/>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南部布设油相超细红磷阻燃剂生产线</w:t>
            </w:r>
            <w:r>
              <w:rPr>
                <w:rFonts w:hint="eastAsia" w:eastAsia="宋体" w:cs="Times New Roman"/>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中部设包装区</w:t>
            </w:r>
            <w:r>
              <w:rPr>
                <w:rFonts w:hint="eastAsia" w:eastAsia="宋体" w:cs="Times New Roman"/>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占地面积1120m</w:t>
            </w:r>
            <w:r>
              <w:rPr>
                <w:rFonts w:hint="default" w:ascii="Times New Roman" w:hAnsi="Times New Roman" w:eastAsia="宋体" w:cs="Times New Roman"/>
                <w:bCs/>
                <w:color w:val="000000" w:themeColor="text1"/>
                <w:sz w:val="24"/>
                <w:szCs w:val="24"/>
                <w:vertAlign w:val="superscript"/>
                <w:lang w:val="en-US" w:eastAsia="zh-CN"/>
                <w14:textFill>
                  <w14:solidFill>
                    <w14:schemeClr w14:val="tx1"/>
                  </w14:solidFill>
                </w14:textFill>
              </w:rPr>
              <w:t>2</w:t>
            </w:r>
            <w:r>
              <w:rPr>
                <w:rFonts w:hint="eastAsia" w:eastAsia="宋体" w:cs="Times New Roman"/>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储运工程：原料仓和成品仓，并配套建设辅助公用工程、安全环保工程等。</w:t>
            </w:r>
            <w:r>
              <w:rPr>
                <w:rFonts w:hint="default" w:ascii="Times New Roman" w:hAnsi="Times New Roman" w:cs="Times New Roman"/>
                <w:lang w:val="en-US" w:eastAsia="zh-CN"/>
              </w:rPr>
              <w:t>公司</w:t>
            </w:r>
            <w:r>
              <w:rPr>
                <w:rFonts w:hint="default" w:ascii="Times New Roman" w:hAnsi="Times New Roman" w:cs="Times New Roman"/>
              </w:rPr>
              <w:t>工程组成情况</w:t>
            </w:r>
            <w:r>
              <w:rPr>
                <w:rFonts w:hint="default" w:ascii="Times New Roman" w:hAnsi="Times New Roman" w:cs="Times New Roman"/>
                <w:lang w:eastAsia="zh-CN"/>
              </w:rPr>
              <w:t>如</w:t>
            </w:r>
            <w:r>
              <w:rPr>
                <w:rFonts w:hint="default" w:ascii="Times New Roman" w:hAnsi="Times New Roman" w:cs="Times New Roman"/>
                <w:lang w:val="en-US" w:eastAsia="zh-CN"/>
              </w:rPr>
              <w:t>2-3所示</w:t>
            </w:r>
            <w:r>
              <w:rPr>
                <w:rStyle w:val="37"/>
                <w:rFonts w:hint="default" w:ascii="Times New Roman" w:hAnsi="Times New Roman" w:cs="Times New Roman"/>
                <w:lang w:eastAsia="zh-CN"/>
              </w:rPr>
              <w:t>，</w:t>
            </w:r>
            <w:r>
              <w:rPr>
                <w:rFonts w:hint="default" w:ascii="Times New Roman" w:hAnsi="Times New Roman" w:cs="Times New Roman"/>
              </w:rPr>
              <w:t>如下</w:t>
            </w:r>
            <w:r>
              <w:rPr>
                <w:rFonts w:hint="default" w:ascii="Times New Roman" w:hAnsi="Times New Roman" w:cs="Times New Roman"/>
                <w:lang w:eastAsia="zh-CN"/>
              </w:rPr>
              <w:t>：</w:t>
            </w:r>
          </w:p>
          <w:p w14:paraId="720CCF68">
            <w:pPr>
              <w:spacing w:line="36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表2-</w:t>
            </w:r>
            <w:r>
              <w:rPr>
                <w:rFonts w:hint="default" w:ascii="Times New Roman" w:hAnsi="Times New Roman" w:cs="Times New Roman"/>
                <w:b/>
                <w:sz w:val="21"/>
                <w:szCs w:val="21"/>
                <w:lang w:val="en-US" w:eastAsia="zh-CN"/>
              </w:rPr>
              <w:t>3</w:t>
            </w:r>
            <w:r>
              <w:rPr>
                <w:rFonts w:hint="default" w:ascii="Times New Roman" w:hAnsi="Times New Roman" w:cs="Times New Roman"/>
                <w:b/>
                <w:sz w:val="21"/>
                <w:szCs w:val="21"/>
              </w:rPr>
              <w:t xml:space="preserve">  本项目</w:t>
            </w:r>
            <w:r>
              <w:rPr>
                <w:rFonts w:hint="default" w:ascii="Times New Roman" w:hAnsi="Times New Roman" w:cs="Times New Roman"/>
                <w:b/>
                <w:sz w:val="21"/>
                <w:szCs w:val="21"/>
                <w:lang w:eastAsia="zh-CN"/>
              </w:rPr>
              <w:t>建设情况</w:t>
            </w:r>
            <w:r>
              <w:rPr>
                <w:rFonts w:hint="default" w:ascii="Times New Roman" w:hAnsi="Times New Roman" w:cs="Times New Roman"/>
                <w:b/>
                <w:sz w:val="21"/>
                <w:szCs w:val="21"/>
              </w:rPr>
              <w:t>一览表</w:t>
            </w:r>
          </w:p>
          <w:tbl>
            <w:tblPr>
              <w:tblStyle w:val="31"/>
              <w:tblW w:w="927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139"/>
              <w:gridCol w:w="2600"/>
              <w:gridCol w:w="2512"/>
              <w:gridCol w:w="1067"/>
              <w:gridCol w:w="1183"/>
            </w:tblGrid>
            <w:tr w14:paraId="296AA5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4" w:type="dxa"/>
                  <w:vAlign w:val="center"/>
                </w:tcPr>
                <w:p w14:paraId="772C7798">
                  <w:pPr>
                    <w:tabs>
                      <w:tab w:val="left" w:pos="1021"/>
                    </w:tabs>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工程类别</w:t>
                  </w:r>
                </w:p>
              </w:tc>
              <w:tc>
                <w:tcPr>
                  <w:tcW w:w="1139" w:type="dxa"/>
                  <w:vAlign w:val="center"/>
                </w:tcPr>
                <w:p w14:paraId="3AA1BBE3">
                  <w:pPr>
                    <w:tabs>
                      <w:tab w:val="left" w:pos="1021"/>
                    </w:tabs>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建设内容</w:t>
                  </w:r>
                </w:p>
              </w:tc>
              <w:tc>
                <w:tcPr>
                  <w:tcW w:w="2600" w:type="dxa"/>
                  <w:vAlign w:val="center"/>
                </w:tcPr>
                <w:p w14:paraId="5D763192">
                  <w:pPr>
                    <w:tabs>
                      <w:tab w:val="left" w:pos="1021"/>
                    </w:tabs>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w:t>
                  </w:r>
                  <w:r>
                    <w:rPr>
                      <w:rFonts w:hint="default" w:ascii="Times New Roman" w:hAnsi="Times New Roman" w:eastAsia="宋体" w:cs="Times New Roman"/>
                      <w:b/>
                      <w:bCs/>
                      <w:sz w:val="21"/>
                      <w:szCs w:val="21"/>
                      <w:lang w:val="en-US" w:eastAsia="zh-CN"/>
                    </w:rPr>
                    <w:t>审批建设</w:t>
                  </w:r>
                  <w:r>
                    <w:rPr>
                      <w:rFonts w:hint="default" w:ascii="Times New Roman" w:hAnsi="Times New Roman" w:eastAsia="宋体" w:cs="Times New Roman"/>
                      <w:b/>
                      <w:bCs/>
                      <w:sz w:val="21"/>
                      <w:szCs w:val="21"/>
                    </w:rPr>
                    <w:t>内容</w:t>
                  </w:r>
                </w:p>
              </w:tc>
              <w:tc>
                <w:tcPr>
                  <w:tcW w:w="2512" w:type="dxa"/>
                  <w:vAlign w:val="center"/>
                </w:tcPr>
                <w:p w14:paraId="2309CF53">
                  <w:pPr>
                    <w:tabs>
                      <w:tab w:val="left" w:pos="1021"/>
                    </w:tabs>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实际</w:t>
                  </w:r>
                  <w:r>
                    <w:rPr>
                      <w:rFonts w:hint="default" w:ascii="Times New Roman" w:hAnsi="Times New Roman" w:eastAsia="宋体" w:cs="Times New Roman"/>
                      <w:b/>
                      <w:bCs/>
                      <w:sz w:val="21"/>
                      <w:szCs w:val="21"/>
                      <w:lang w:val="en-US" w:eastAsia="zh-CN"/>
                    </w:rPr>
                    <w:t>建设</w:t>
                  </w:r>
                  <w:r>
                    <w:rPr>
                      <w:rFonts w:hint="default" w:ascii="Times New Roman" w:hAnsi="Times New Roman" w:eastAsia="宋体" w:cs="Times New Roman"/>
                      <w:b/>
                      <w:bCs/>
                      <w:sz w:val="21"/>
                      <w:szCs w:val="21"/>
                    </w:rPr>
                    <w:t>内容</w:t>
                  </w:r>
                </w:p>
              </w:tc>
              <w:tc>
                <w:tcPr>
                  <w:tcW w:w="1067" w:type="dxa"/>
                  <w:vAlign w:val="center"/>
                </w:tcPr>
                <w:p w14:paraId="2BB46280">
                  <w:pPr>
                    <w:tabs>
                      <w:tab w:val="left" w:pos="1021"/>
                    </w:tabs>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是否与环评一致</w:t>
                  </w:r>
                </w:p>
              </w:tc>
              <w:tc>
                <w:tcPr>
                  <w:tcW w:w="1183" w:type="dxa"/>
                  <w:vAlign w:val="center"/>
                </w:tcPr>
                <w:p w14:paraId="2C192712">
                  <w:pPr>
                    <w:tabs>
                      <w:tab w:val="left" w:pos="1021"/>
                    </w:tabs>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备注</w:t>
                  </w:r>
                </w:p>
              </w:tc>
            </w:tr>
            <w:tr w14:paraId="74B6F6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774" w:type="dxa"/>
                  <w:vAlign w:val="center"/>
                </w:tcPr>
                <w:p w14:paraId="4CDAB329">
                  <w:pPr>
                    <w:tabs>
                      <w:tab w:val="left" w:pos="1021"/>
                    </w:tabs>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主体工程</w:t>
                  </w:r>
                </w:p>
              </w:tc>
              <w:tc>
                <w:tcPr>
                  <w:tcW w:w="1139" w:type="dxa"/>
                  <w:vAlign w:val="center"/>
                </w:tcPr>
                <w:p w14:paraId="30B57325">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eastAsia="宋体" w:cs="Times New Roman"/>
                      <w:snapToGrid w:val="0"/>
                      <w:color w:val="auto"/>
                      <w:kern w:val="32"/>
                      <w:sz w:val="21"/>
                      <w:szCs w:val="21"/>
                      <w:lang w:val="en-US" w:eastAsia="zh-CN" w:bidi="ar-SA"/>
                    </w:rPr>
                  </w:pPr>
                  <w:r>
                    <w:rPr>
                      <w:rFonts w:hint="default" w:ascii="Times New Roman" w:hAnsi="Times New Roman" w:cs="Times New Roman"/>
                      <w:snapToGrid w:val="0"/>
                      <w:color w:val="auto"/>
                      <w:kern w:val="32"/>
                      <w:sz w:val="21"/>
                      <w:szCs w:val="21"/>
                      <w:lang w:val="en-US" w:eastAsia="zh-CN"/>
                    </w:rPr>
                    <w:t>生产厂房</w:t>
                  </w:r>
                </w:p>
              </w:tc>
              <w:tc>
                <w:tcPr>
                  <w:tcW w:w="2600" w:type="dxa"/>
                  <w:shd w:val="clear" w:color="auto" w:fill="auto"/>
                  <w:vAlign w:val="center"/>
                </w:tcPr>
                <w:p w14:paraId="465C88C4">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钢架结构，1栋1层，占地面积1120m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，建筑面积1120m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。厂房内北部布设红磷阻燃母粒生产线；南部布设油相超细红磷阻燃剂生产线；中部设包装区。</w:t>
                  </w:r>
                </w:p>
              </w:tc>
              <w:tc>
                <w:tcPr>
                  <w:tcW w:w="2512" w:type="dxa"/>
                  <w:shd w:val="clear" w:color="auto" w:fill="auto"/>
                  <w:vAlign w:val="center"/>
                </w:tcPr>
                <w:p w14:paraId="5F3D2E8D">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钢架结构，1栋1层，占地面积1120m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，建筑面积1120m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。厂房内北部布设红磷阻燃母粒生产线；南部布设油相超细红磷阻燃剂生产线；中部设包装区。</w:t>
                  </w:r>
                </w:p>
              </w:tc>
              <w:tc>
                <w:tcPr>
                  <w:tcW w:w="1067" w:type="dxa"/>
                  <w:vAlign w:val="center"/>
                </w:tcPr>
                <w:p w14:paraId="6115510F">
                  <w:pPr>
                    <w:widowControl/>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是</w:t>
                  </w:r>
                </w:p>
              </w:tc>
              <w:tc>
                <w:tcPr>
                  <w:tcW w:w="1183" w:type="dxa"/>
                  <w:vAlign w:val="center"/>
                </w:tcPr>
                <w:p w14:paraId="2722CA8C">
                  <w:pPr>
                    <w:widowControl/>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w:t>
                  </w:r>
                </w:p>
              </w:tc>
            </w:tr>
            <w:tr w14:paraId="1724AE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774" w:type="dxa"/>
                  <w:vMerge w:val="restart"/>
                  <w:shd w:val="clear" w:color="auto" w:fill="auto"/>
                  <w:vAlign w:val="center"/>
                </w:tcPr>
                <w:p w14:paraId="78894FD1">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cs="Times New Roman" w:eastAsiaTheme="minorEastAsia"/>
                      <w:snapToGrid w:val="0"/>
                      <w:color w:val="auto"/>
                      <w:kern w:val="32"/>
                      <w:sz w:val="21"/>
                      <w:szCs w:val="21"/>
                      <w:lang w:val="en-US" w:eastAsia="zh-CN" w:bidi="ar-SA"/>
                    </w:rPr>
                  </w:pPr>
                  <w:r>
                    <w:rPr>
                      <w:rFonts w:hint="default" w:ascii="Times New Roman" w:hAnsi="Times New Roman" w:cs="Times New Roman"/>
                      <w:snapToGrid w:val="0"/>
                      <w:color w:val="auto"/>
                      <w:kern w:val="32"/>
                      <w:sz w:val="21"/>
                      <w:szCs w:val="21"/>
                      <w:lang w:val="en-US" w:eastAsia="zh-CN" w:bidi="ar-SA"/>
                    </w:rPr>
                    <w:t>储运工程</w:t>
                  </w:r>
                </w:p>
              </w:tc>
              <w:tc>
                <w:tcPr>
                  <w:tcW w:w="1139" w:type="dxa"/>
                  <w:shd w:val="clear" w:color="auto" w:fill="auto"/>
                  <w:vAlign w:val="center"/>
                </w:tcPr>
                <w:p w14:paraId="0F5A195A">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cs="Times New Roman"/>
                      <w:snapToGrid w:val="0"/>
                      <w:color w:val="auto"/>
                      <w:kern w:val="32"/>
                      <w:sz w:val="21"/>
                      <w:szCs w:val="21"/>
                      <w:lang w:val="en-US" w:eastAsia="zh-CN"/>
                    </w:rPr>
                  </w:pPr>
                  <w:r>
                    <w:rPr>
                      <w:rFonts w:hint="eastAsia" w:ascii="Times New Roman" w:hAnsi="Times New Roman" w:cs="Times New Roman"/>
                      <w:snapToGrid w:val="0"/>
                      <w:color w:val="auto"/>
                      <w:kern w:val="32"/>
                      <w:sz w:val="21"/>
                      <w:szCs w:val="21"/>
                      <w:lang w:val="en-US" w:eastAsia="zh-CN"/>
                    </w:rPr>
                    <w:t>原料仓</w:t>
                  </w:r>
                </w:p>
              </w:tc>
              <w:tc>
                <w:tcPr>
                  <w:tcW w:w="2600" w:type="dxa"/>
                  <w:shd w:val="clear" w:color="auto" w:fill="auto"/>
                  <w:vAlign w:val="center"/>
                </w:tcPr>
                <w:p w14:paraId="7AD93E32">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红磷、密胺树脂、聚乙烯树脂原料仓和白油原料仓各1个，均为1层砖混结构，每栋</w:t>
                  </w:r>
                  <w:r>
                    <w:rPr>
                      <w:rFonts w:hint="default" w:ascii="Times New Roman" w:hAnsi="Times New Roman" w:cs="Times New Roman"/>
                      <w:color w:val="auto"/>
                      <w:sz w:val="21"/>
                      <w:szCs w:val="21"/>
                      <w:highlight w:val="none"/>
                      <w:lang w:val="en-US" w:eastAsia="zh-CN"/>
                    </w:rPr>
                    <w:t>占地面积</w:t>
                  </w:r>
                  <w:r>
                    <w:rPr>
                      <w:rFonts w:hint="eastAsia" w:ascii="Times New Roman" w:hAnsi="Times New Roman" w:cs="Times New Roman"/>
                      <w:color w:val="auto"/>
                      <w:sz w:val="21"/>
                      <w:szCs w:val="21"/>
                      <w:highlight w:val="none"/>
                      <w:lang w:val="en-US" w:eastAsia="zh-CN"/>
                    </w:rPr>
                    <w:t>50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50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。位于场地东北角。</w:t>
                  </w:r>
                </w:p>
              </w:tc>
              <w:tc>
                <w:tcPr>
                  <w:tcW w:w="2512" w:type="dxa"/>
                  <w:shd w:val="clear" w:color="auto" w:fill="auto"/>
                  <w:vAlign w:val="center"/>
                </w:tcPr>
                <w:p w14:paraId="6E434CC8">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红磷、密胺树脂、聚乙烯树脂原料仓和白油原料仓各1个，均为1层砖混结构，每栋</w:t>
                  </w:r>
                  <w:r>
                    <w:rPr>
                      <w:rFonts w:hint="default" w:ascii="Times New Roman" w:hAnsi="Times New Roman" w:cs="Times New Roman"/>
                      <w:color w:val="auto"/>
                      <w:sz w:val="21"/>
                      <w:szCs w:val="21"/>
                      <w:highlight w:val="none"/>
                      <w:lang w:val="en-US" w:eastAsia="zh-CN"/>
                    </w:rPr>
                    <w:t>占地面积</w:t>
                  </w:r>
                  <w:r>
                    <w:rPr>
                      <w:rFonts w:hint="eastAsia" w:ascii="Times New Roman" w:hAnsi="Times New Roman" w:cs="Times New Roman"/>
                      <w:color w:val="auto"/>
                      <w:sz w:val="21"/>
                      <w:szCs w:val="21"/>
                      <w:highlight w:val="none"/>
                      <w:lang w:val="en-US" w:eastAsia="zh-CN"/>
                    </w:rPr>
                    <w:t>50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50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。位于场地东北角。</w:t>
                  </w:r>
                </w:p>
              </w:tc>
              <w:tc>
                <w:tcPr>
                  <w:tcW w:w="1067" w:type="dxa"/>
                  <w:shd w:val="clear" w:color="auto" w:fill="auto"/>
                  <w:vAlign w:val="center"/>
                </w:tcPr>
                <w:p w14:paraId="370B80C8">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是</w:t>
                  </w:r>
                </w:p>
              </w:tc>
              <w:tc>
                <w:tcPr>
                  <w:tcW w:w="1183" w:type="dxa"/>
                  <w:shd w:val="clear" w:color="auto" w:fill="auto"/>
                  <w:vAlign w:val="center"/>
                </w:tcPr>
                <w:p w14:paraId="749266ED">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w:t>
                  </w:r>
                </w:p>
              </w:tc>
            </w:tr>
            <w:tr w14:paraId="4952D5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774" w:type="dxa"/>
                  <w:vMerge w:val="continue"/>
                  <w:vAlign w:val="center"/>
                </w:tcPr>
                <w:p w14:paraId="148CE877">
                  <w:pPr>
                    <w:tabs>
                      <w:tab w:val="left" w:pos="1021"/>
                    </w:tabs>
                    <w:spacing w:line="240" w:lineRule="auto"/>
                    <w:ind w:firstLine="0" w:firstLineChars="0"/>
                    <w:jc w:val="center"/>
                    <w:rPr>
                      <w:rFonts w:hint="default" w:ascii="Times New Roman" w:hAnsi="Times New Roman" w:eastAsia="宋体" w:cs="Times New Roman"/>
                      <w:sz w:val="21"/>
                      <w:szCs w:val="21"/>
                    </w:rPr>
                  </w:pPr>
                </w:p>
              </w:tc>
              <w:tc>
                <w:tcPr>
                  <w:tcW w:w="1139" w:type="dxa"/>
                  <w:shd w:val="clear" w:color="auto" w:fill="auto"/>
                  <w:vAlign w:val="center"/>
                </w:tcPr>
                <w:p w14:paraId="3B212413">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cs="Times New Roman"/>
                      <w:snapToGrid w:val="0"/>
                      <w:color w:val="auto"/>
                      <w:kern w:val="32"/>
                      <w:sz w:val="21"/>
                      <w:szCs w:val="21"/>
                      <w:lang w:val="en-US" w:eastAsia="zh-CN"/>
                    </w:rPr>
                  </w:pPr>
                  <w:r>
                    <w:rPr>
                      <w:rFonts w:hint="eastAsia" w:ascii="Times New Roman" w:hAnsi="Times New Roman" w:cs="Times New Roman"/>
                      <w:snapToGrid w:val="0"/>
                      <w:color w:val="auto"/>
                      <w:kern w:val="32"/>
                      <w:sz w:val="21"/>
                      <w:szCs w:val="21"/>
                      <w:lang w:val="en-US" w:eastAsia="zh-CN"/>
                    </w:rPr>
                    <w:t>成品仓</w:t>
                  </w:r>
                </w:p>
              </w:tc>
              <w:tc>
                <w:tcPr>
                  <w:tcW w:w="2600" w:type="dxa"/>
                  <w:shd w:val="clear" w:color="auto" w:fill="auto"/>
                  <w:vAlign w:val="center"/>
                </w:tcPr>
                <w:p w14:paraId="7F7ECD41">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铁皮房，1栋1</w:t>
                  </w:r>
                  <w:r>
                    <w:rPr>
                      <w:rFonts w:hint="default" w:ascii="Times New Roman" w:hAnsi="Times New Roman" w:cs="Times New Roman"/>
                      <w:color w:val="auto"/>
                      <w:sz w:val="21"/>
                      <w:szCs w:val="21"/>
                      <w:highlight w:val="none"/>
                      <w:lang w:val="en-US" w:eastAsia="zh-CN"/>
                    </w:rPr>
                    <w:t>层，占地面积</w:t>
                  </w:r>
                  <w:r>
                    <w:rPr>
                      <w:rFonts w:hint="eastAsia" w:ascii="Times New Roman" w:hAnsi="Times New Roman" w:cs="Times New Roman"/>
                      <w:color w:val="auto"/>
                      <w:sz w:val="21"/>
                      <w:szCs w:val="21"/>
                      <w:highlight w:val="none"/>
                      <w:lang w:val="en-US" w:eastAsia="zh-CN"/>
                    </w:rPr>
                    <w:t>320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320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。位于生产厂房东面靠北端。</w:t>
                  </w:r>
                </w:p>
              </w:tc>
              <w:tc>
                <w:tcPr>
                  <w:tcW w:w="2512" w:type="dxa"/>
                  <w:shd w:val="clear" w:color="auto" w:fill="auto"/>
                  <w:vAlign w:val="center"/>
                </w:tcPr>
                <w:p w14:paraId="70D11FC7">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铁皮房，1栋1</w:t>
                  </w:r>
                  <w:r>
                    <w:rPr>
                      <w:rFonts w:hint="default" w:ascii="Times New Roman" w:hAnsi="Times New Roman" w:cs="Times New Roman"/>
                      <w:color w:val="auto"/>
                      <w:sz w:val="21"/>
                      <w:szCs w:val="21"/>
                      <w:highlight w:val="none"/>
                      <w:lang w:val="en-US" w:eastAsia="zh-CN"/>
                    </w:rPr>
                    <w:t>层，占地面积</w:t>
                  </w:r>
                  <w:r>
                    <w:rPr>
                      <w:rFonts w:hint="eastAsia" w:ascii="Times New Roman" w:hAnsi="Times New Roman" w:cs="Times New Roman"/>
                      <w:color w:val="auto"/>
                      <w:sz w:val="21"/>
                      <w:szCs w:val="21"/>
                      <w:highlight w:val="none"/>
                      <w:lang w:val="en-US" w:eastAsia="zh-CN"/>
                    </w:rPr>
                    <w:t>320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320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。位于生产厂房东面靠北端。</w:t>
                  </w:r>
                </w:p>
              </w:tc>
              <w:tc>
                <w:tcPr>
                  <w:tcW w:w="1067" w:type="dxa"/>
                  <w:shd w:val="clear" w:color="auto" w:fill="auto"/>
                  <w:vAlign w:val="center"/>
                </w:tcPr>
                <w:p w14:paraId="2F51A1A8">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是</w:t>
                  </w:r>
                </w:p>
              </w:tc>
              <w:tc>
                <w:tcPr>
                  <w:tcW w:w="1183" w:type="dxa"/>
                  <w:shd w:val="clear" w:color="auto" w:fill="auto"/>
                  <w:vAlign w:val="center"/>
                </w:tcPr>
                <w:p w14:paraId="2C126C0C">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w:t>
                  </w:r>
                </w:p>
              </w:tc>
            </w:tr>
            <w:tr w14:paraId="095CAF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774" w:type="dxa"/>
                  <w:vMerge w:val="restart"/>
                  <w:vAlign w:val="center"/>
                </w:tcPr>
                <w:p w14:paraId="508DD7F7">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cs="Times New Roman"/>
                      <w:snapToGrid w:val="0"/>
                      <w:color w:val="auto"/>
                      <w:kern w:val="32"/>
                      <w:sz w:val="21"/>
                      <w:szCs w:val="21"/>
                      <w:lang w:val="en-US" w:eastAsia="zh-CN" w:bidi="ar-SA"/>
                    </w:rPr>
                  </w:pPr>
                  <w:r>
                    <w:rPr>
                      <w:rFonts w:hint="default" w:ascii="Times New Roman" w:hAnsi="Times New Roman" w:cs="Times New Roman"/>
                      <w:snapToGrid w:val="0"/>
                      <w:color w:val="auto"/>
                      <w:kern w:val="32"/>
                      <w:sz w:val="21"/>
                      <w:szCs w:val="21"/>
                      <w:lang w:val="en-US" w:eastAsia="zh-CN" w:bidi="ar-SA"/>
                    </w:rPr>
                    <w:t>辅助工程</w:t>
                  </w:r>
                </w:p>
              </w:tc>
              <w:tc>
                <w:tcPr>
                  <w:tcW w:w="1139" w:type="dxa"/>
                  <w:shd w:val="clear" w:color="auto" w:fill="auto"/>
                  <w:vAlign w:val="center"/>
                </w:tcPr>
                <w:p w14:paraId="5CC3EAB0">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生产辅助用房</w:t>
                  </w:r>
                </w:p>
              </w:tc>
              <w:tc>
                <w:tcPr>
                  <w:tcW w:w="2600" w:type="dxa"/>
                  <w:shd w:val="clear" w:color="auto" w:fill="auto"/>
                  <w:vAlign w:val="center"/>
                </w:tcPr>
                <w:p w14:paraId="109D250A">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铁皮房</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1栋1</w:t>
                  </w:r>
                  <w:r>
                    <w:rPr>
                      <w:rFonts w:hint="default" w:ascii="Times New Roman" w:hAnsi="Times New Roman" w:cs="Times New Roman"/>
                      <w:color w:val="auto"/>
                      <w:sz w:val="21"/>
                      <w:szCs w:val="21"/>
                      <w:highlight w:val="none"/>
                      <w:lang w:val="en-US" w:eastAsia="zh-CN"/>
                    </w:rPr>
                    <w:t>层，占地面积</w:t>
                  </w:r>
                  <w:r>
                    <w:rPr>
                      <w:rFonts w:hint="eastAsia" w:ascii="Times New Roman" w:hAnsi="Times New Roman" w:cs="Times New Roman"/>
                      <w:color w:val="auto"/>
                      <w:sz w:val="21"/>
                      <w:szCs w:val="21"/>
                      <w:highlight w:val="none"/>
                      <w:lang w:val="en-US" w:eastAsia="zh-CN"/>
                    </w:rPr>
                    <w:t>110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110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。设置办公室、卫生间等，不设置食堂、宿舍。</w:t>
                  </w:r>
                </w:p>
              </w:tc>
              <w:tc>
                <w:tcPr>
                  <w:tcW w:w="2512" w:type="dxa"/>
                  <w:shd w:val="clear" w:color="auto" w:fill="auto"/>
                  <w:vAlign w:val="center"/>
                </w:tcPr>
                <w:p w14:paraId="0BB8EE6F">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铁皮房</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1栋1</w:t>
                  </w:r>
                  <w:r>
                    <w:rPr>
                      <w:rFonts w:hint="default" w:ascii="Times New Roman" w:hAnsi="Times New Roman" w:cs="Times New Roman"/>
                      <w:color w:val="auto"/>
                      <w:sz w:val="21"/>
                      <w:szCs w:val="21"/>
                      <w:highlight w:val="none"/>
                      <w:lang w:val="en-US" w:eastAsia="zh-CN"/>
                    </w:rPr>
                    <w:t>层，占地面积</w:t>
                  </w:r>
                  <w:r>
                    <w:rPr>
                      <w:rFonts w:hint="eastAsia" w:ascii="Times New Roman" w:hAnsi="Times New Roman" w:cs="Times New Roman"/>
                      <w:color w:val="auto"/>
                      <w:sz w:val="21"/>
                      <w:szCs w:val="21"/>
                      <w:highlight w:val="none"/>
                      <w:lang w:val="en-US" w:eastAsia="zh-CN"/>
                    </w:rPr>
                    <w:t>110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110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。设置办公室、卫生间等，不设食堂宿舍。</w:t>
                  </w:r>
                </w:p>
              </w:tc>
              <w:tc>
                <w:tcPr>
                  <w:tcW w:w="1067" w:type="dxa"/>
                  <w:vAlign w:val="center"/>
                </w:tcPr>
                <w:p w14:paraId="5860D960">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是</w:t>
                  </w:r>
                </w:p>
              </w:tc>
              <w:tc>
                <w:tcPr>
                  <w:tcW w:w="1183" w:type="dxa"/>
                  <w:vAlign w:val="center"/>
                </w:tcPr>
                <w:p w14:paraId="275EEB63">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w:t>
                  </w:r>
                </w:p>
              </w:tc>
            </w:tr>
            <w:tr w14:paraId="6E5FF4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774" w:type="dxa"/>
                  <w:vMerge w:val="continue"/>
                  <w:vAlign w:val="center"/>
                </w:tcPr>
                <w:p w14:paraId="0D67D207">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cs="Times New Roman"/>
                      <w:snapToGrid w:val="0"/>
                      <w:color w:val="auto"/>
                      <w:kern w:val="32"/>
                      <w:sz w:val="21"/>
                      <w:szCs w:val="21"/>
                      <w:lang w:val="en-US" w:eastAsia="zh-CN" w:bidi="ar-SA"/>
                    </w:rPr>
                  </w:pPr>
                </w:p>
              </w:tc>
              <w:tc>
                <w:tcPr>
                  <w:tcW w:w="1139" w:type="dxa"/>
                  <w:shd w:val="clear" w:color="auto" w:fill="auto"/>
                  <w:vAlign w:val="center"/>
                </w:tcPr>
                <w:p w14:paraId="19EB7920">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工具房</w:t>
                  </w:r>
                </w:p>
              </w:tc>
              <w:tc>
                <w:tcPr>
                  <w:tcW w:w="2600" w:type="dxa"/>
                  <w:shd w:val="clear" w:color="auto" w:fill="auto"/>
                  <w:vAlign w:val="center"/>
                </w:tcPr>
                <w:p w14:paraId="16059CAC">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铁皮房</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1栋1</w:t>
                  </w:r>
                  <w:r>
                    <w:rPr>
                      <w:rFonts w:hint="default" w:ascii="Times New Roman" w:hAnsi="Times New Roman" w:cs="Times New Roman"/>
                      <w:color w:val="auto"/>
                      <w:sz w:val="21"/>
                      <w:szCs w:val="21"/>
                      <w:highlight w:val="none"/>
                      <w:lang w:val="en-US" w:eastAsia="zh-CN"/>
                    </w:rPr>
                    <w:t>层，占地面积</w:t>
                  </w:r>
                  <w:r>
                    <w:rPr>
                      <w:rFonts w:hint="eastAsia" w:ascii="Times New Roman" w:hAnsi="Times New Roman" w:cs="Times New Roman"/>
                      <w:color w:val="auto"/>
                      <w:sz w:val="21"/>
                      <w:szCs w:val="21"/>
                      <w:highlight w:val="none"/>
                      <w:lang w:val="en-US" w:eastAsia="zh-CN"/>
                    </w:rPr>
                    <w:t>30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30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。位于生产厂房外东南角。</w:t>
                  </w:r>
                </w:p>
              </w:tc>
              <w:tc>
                <w:tcPr>
                  <w:tcW w:w="2512" w:type="dxa"/>
                  <w:shd w:val="clear" w:color="auto" w:fill="auto"/>
                  <w:vAlign w:val="center"/>
                </w:tcPr>
                <w:p w14:paraId="659460BB">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铁皮房</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1栋1</w:t>
                  </w:r>
                  <w:r>
                    <w:rPr>
                      <w:rFonts w:hint="default" w:ascii="Times New Roman" w:hAnsi="Times New Roman" w:cs="Times New Roman"/>
                      <w:color w:val="auto"/>
                      <w:sz w:val="21"/>
                      <w:szCs w:val="21"/>
                      <w:highlight w:val="none"/>
                      <w:lang w:val="en-US" w:eastAsia="zh-CN"/>
                    </w:rPr>
                    <w:t>层，占地面积</w:t>
                  </w:r>
                  <w:r>
                    <w:rPr>
                      <w:rFonts w:hint="eastAsia" w:ascii="Times New Roman" w:hAnsi="Times New Roman" w:cs="Times New Roman"/>
                      <w:color w:val="auto"/>
                      <w:sz w:val="21"/>
                      <w:szCs w:val="21"/>
                      <w:highlight w:val="none"/>
                      <w:lang w:val="en-US" w:eastAsia="zh-CN"/>
                    </w:rPr>
                    <w:t>30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30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。位于生产厂房外东南角。</w:t>
                  </w:r>
                </w:p>
              </w:tc>
              <w:tc>
                <w:tcPr>
                  <w:tcW w:w="1067" w:type="dxa"/>
                  <w:shd w:val="clear" w:color="auto" w:fill="auto"/>
                  <w:vAlign w:val="center"/>
                </w:tcPr>
                <w:p w14:paraId="2636C98B">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是</w:t>
                  </w:r>
                </w:p>
              </w:tc>
              <w:tc>
                <w:tcPr>
                  <w:tcW w:w="1183" w:type="dxa"/>
                  <w:shd w:val="clear" w:color="auto" w:fill="auto"/>
                  <w:vAlign w:val="center"/>
                </w:tcPr>
                <w:p w14:paraId="170F02F6">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w:t>
                  </w:r>
                </w:p>
              </w:tc>
            </w:tr>
            <w:tr w14:paraId="61DA56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74" w:type="dxa"/>
                  <w:vMerge w:val="continue"/>
                  <w:vAlign w:val="center"/>
                </w:tcPr>
                <w:p w14:paraId="169A63DC">
                  <w:pPr>
                    <w:overflowPunct w:val="0"/>
                    <w:autoSpaceDE w:val="0"/>
                    <w:autoSpaceDN w:val="0"/>
                    <w:adjustRightInd w:val="0"/>
                    <w:snapToGrid w:val="0"/>
                    <w:spacing w:line="240" w:lineRule="exact"/>
                    <w:ind w:left="0" w:leftChars="0" w:right="-36" w:rightChars="-15" w:firstLine="0" w:firstLineChars="0"/>
                    <w:jc w:val="center"/>
                    <w:textAlignment w:val="baseline"/>
                    <w:rPr>
                      <w:rFonts w:hint="default" w:ascii="Times New Roman" w:hAnsi="Times New Roman" w:cs="Times New Roman"/>
                      <w:snapToGrid w:val="0"/>
                      <w:color w:val="auto"/>
                      <w:kern w:val="32"/>
                      <w:sz w:val="21"/>
                      <w:szCs w:val="21"/>
                      <w:lang w:val="en-US" w:eastAsia="zh-CN" w:bidi="ar-SA"/>
                    </w:rPr>
                  </w:pPr>
                </w:p>
              </w:tc>
              <w:tc>
                <w:tcPr>
                  <w:tcW w:w="1139" w:type="dxa"/>
                  <w:shd w:val="clear" w:color="auto" w:fill="auto"/>
                  <w:vAlign w:val="center"/>
                </w:tcPr>
                <w:p w14:paraId="61E763DB">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闲置空坪</w:t>
                  </w:r>
                </w:p>
              </w:tc>
              <w:tc>
                <w:tcPr>
                  <w:tcW w:w="2600" w:type="dxa"/>
                  <w:shd w:val="clear" w:color="auto" w:fill="auto"/>
                  <w:vAlign w:val="center"/>
                </w:tcPr>
                <w:p w14:paraId="6EA6BE45">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占地面积</w:t>
                  </w:r>
                  <w:r>
                    <w:rPr>
                      <w:rFonts w:hint="eastAsia" w:ascii="Times New Roman" w:hAnsi="Times New Roman" w:cs="Times New Roman"/>
                      <w:color w:val="auto"/>
                      <w:sz w:val="21"/>
                      <w:szCs w:val="21"/>
                      <w:highlight w:val="none"/>
                      <w:lang w:val="en-US" w:eastAsia="zh-CN"/>
                    </w:rPr>
                    <w:t>约1810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p>
              </w:tc>
              <w:tc>
                <w:tcPr>
                  <w:tcW w:w="2512" w:type="dxa"/>
                  <w:shd w:val="clear" w:color="auto" w:fill="auto"/>
                  <w:vAlign w:val="center"/>
                </w:tcPr>
                <w:p w14:paraId="439C1FC7">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占地面积</w:t>
                  </w:r>
                  <w:r>
                    <w:rPr>
                      <w:rFonts w:hint="eastAsia" w:ascii="Times New Roman" w:hAnsi="Times New Roman" w:cs="Times New Roman"/>
                      <w:color w:val="auto"/>
                      <w:sz w:val="21"/>
                      <w:szCs w:val="21"/>
                      <w:highlight w:val="none"/>
                      <w:lang w:val="en-US" w:eastAsia="zh-CN"/>
                    </w:rPr>
                    <w:t>约1810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p>
              </w:tc>
              <w:tc>
                <w:tcPr>
                  <w:tcW w:w="1067" w:type="dxa"/>
                  <w:vAlign w:val="center"/>
                </w:tcPr>
                <w:p w14:paraId="6B2DAB36">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是</w:t>
                  </w:r>
                </w:p>
              </w:tc>
              <w:tc>
                <w:tcPr>
                  <w:tcW w:w="1183" w:type="dxa"/>
                  <w:vAlign w:val="center"/>
                </w:tcPr>
                <w:p w14:paraId="6370C75E">
                  <w:pPr>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w:t>
                  </w:r>
                </w:p>
              </w:tc>
            </w:tr>
            <w:tr w14:paraId="0901A1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774" w:type="dxa"/>
                  <w:vMerge w:val="restart"/>
                  <w:vAlign w:val="center"/>
                </w:tcPr>
                <w:p w14:paraId="0D9158A4">
                  <w:pPr>
                    <w:tabs>
                      <w:tab w:val="left" w:pos="1021"/>
                    </w:tabs>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公用工程</w:t>
                  </w:r>
                </w:p>
              </w:tc>
              <w:tc>
                <w:tcPr>
                  <w:tcW w:w="1139" w:type="dxa"/>
                  <w:shd w:val="clear" w:color="auto" w:fill="auto"/>
                  <w:vAlign w:val="center"/>
                </w:tcPr>
                <w:p w14:paraId="7BB2EA7E">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给水工程</w:t>
                  </w:r>
                </w:p>
              </w:tc>
              <w:tc>
                <w:tcPr>
                  <w:tcW w:w="2600" w:type="dxa"/>
                  <w:shd w:val="clear" w:color="auto" w:fill="auto"/>
                  <w:vAlign w:val="center"/>
                </w:tcPr>
                <w:p w14:paraId="3E787005">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由</w:t>
                  </w:r>
                  <w:r>
                    <w:rPr>
                      <w:rFonts w:hint="eastAsia" w:ascii="Times New Roman" w:hAnsi="Times New Roman" w:cs="Times New Roman"/>
                      <w:color w:val="auto"/>
                      <w:sz w:val="21"/>
                      <w:szCs w:val="21"/>
                      <w:highlight w:val="none"/>
                      <w:lang w:val="en-US" w:eastAsia="zh-CN"/>
                    </w:rPr>
                    <w:t>邵阳县高新技术产业园长阳铺新能源片区</w:t>
                  </w:r>
                  <w:r>
                    <w:rPr>
                      <w:rFonts w:hint="default" w:ascii="Times New Roman" w:hAnsi="Times New Roman" w:cs="Times New Roman"/>
                      <w:color w:val="auto"/>
                      <w:sz w:val="21"/>
                      <w:szCs w:val="21"/>
                      <w:highlight w:val="none"/>
                      <w:lang w:val="en-US" w:eastAsia="zh-CN"/>
                    </w:rPr>
                    <w:t>给水系统供应</w:t>
                  </w:r>
                  <w:r>
                    <w:rPr>
                      <w:rFonts w:hint="eastAsia" w:ascii="Times New Roman" w:hAnsi="Times New Roman" w:cs="Times New Roman"/>
                      <w:color w:val="auto"/>
                      <w:sz w:val="21"/>
                      <w:szCs w:val="21"/>
                      <w:highlight w:val="none"/>
                      <w:lang w:val="en-US" w:eastAsia="zh-CN"/>
                    </w:rPr>
                    <w:t>。</w:t>
                  </w:r>
                </w:p>
              </w:tc>
              <w:tc>
                <w:tcPr>
                  <w:tcW w:w="2512" w:type="dxa"/>
                  <w:shd w:val="clear" w:color="auto" w:fill="auto"/>
                  <w:vAlign w:val="center"/>
                </w:tcPr>
                <w:p w14:paraId="3FF5FDF9">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由</w:t>
                  </w:r>
                  <w:r>
                    <w:rPr>
                      <w:rFonts w:hint="eastAsia" w:ascii="Times New Roman" w:hAnsi="Times New Roman" w:cs="Times New Roman"/>
                      <w:color w:val="auto"/>
                      <w:sz w:val="21"/>
                      <w:szCs w:val="21"/>
                      <w:highlight w:val="none"/>
                      <w:lang w:val="en-US" w:eastAsia="zh-CN"/>
                    </w:rPr>
                    <w:t>邵阳县高新技术产业园长阳铺新能源片区</w:t>
                  </w:r>
                  <w:r>
                    <w:rPr>
                      <w:rFonts w:hint="default" w:ascii="Times New Roman" w:hAnsi="Times New Roman" w:cs="Times New Roman"/>
                      <w:color w:val="auto"/>
                      <w:sz w:val="21"/>
                      <w:szCs w:val="21"/>
                      <w:highlight w:val="none"/>
                      <w:lang w:val="en-US" w:eastAsia="zh-CN"/>
                    </w:rPr>
                    <w:t>给水系统供应</w:t>
                  </w:r>
                  <w:r>
                    <w:rPr>
                      <w:rFonts w:hint="eastAsia" w:ascii="Times New Roman" w:hAnsi="Times New Roman" w:cs="Times New Roman"/>
                      <w:color w:val="auto"/>
                      <w:sz w:val="21"/>
                      <w:szCs w:val="21"/>
                      <w:highlight w:val="none"/>
                      <w:lang w:val="en-US" w:eastAsia="zh-CN"/>
                    </w:rPr>
                    <w:t>。</w:t>
                  </w:r>
                </w:p>
              </w:tc>
              <w:tc>
                <w:tcPr>
                  <w:tcW w:w="1067" w:type="dxa"/>
                  <w:vAlign w:val="center"/>
                </w:tcPr>
                <w:p w14:paraId="2D7CB809">
                  <w:pPr>
                    <w:tabs>
                      <w:tab w:val="left" w:pos="1021"/>
                    </w:tabs>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Cs/>
                      <w:color w:val="000000"/>
                      <w:sz w:val="21"/>
                      <w:szCs w:val="21"/>
                      <w:lang w:val="en-US" w:eastAsia="zh-CN"/>
                    </w:rPr>
                    <w:t>是</w:t>
                  </w:r>
                </w:p>
              </w:tc>
              <w:tc>
                <w:tcPr>
                  <w:tcW w:w="1183" w:type="dxa"/>
                  <w:vAlign w:val="center"/>
                </w:tcPr>
                <w:p w14:paraId="15ECE601">
                  <w:pPr>
                    <w:tabs>
                      <w:tab w:val="left" w:pos="1021"/>
                    </w:tabs>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w:t>
                  </w:r>
                </w:p>
              </w:tc>
            </w:tr>
            <w:tr w14:paraId="25A804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09" w:hRule="atLeast"/>
                <w:jc w:val="center"/>
              </w:trPr>
              <w:tc>
                <w:tcPr>
                  <w:tcW w:w="774" w:type="dxa"/>
                  <w:vMerge w:val="continue"/>
                  <w:vAlign w:val="center"/>
                </w:tcPr>
                <w:p w14:paraId="63788749">
                  <w:pPr>
                    <w:tabs>
                      <w:tab w:val="left" w:pos="1021"/>
                    </w:tabs>
                    <w:spacing w:line="240" w:lineRule="auto"/>
                    <w:ind w:firstLine="0" w:firstLineChars="0"/>
                    <w:jc w:val="center"/>
                    <w:rPr>
                      <w:rFonts w:hint="default" w:ascii="Times New Roman" w:hAnsi="Times New Roman" w:eastAsia="宋体" w:cs="Times New Roman"/>
                      <w:sz w:val="21"/>
                      <w:szCs w:val="21"/>
                    </w:rPr>
                  </w:pPr>
                </w:p>
              </w:tc>
              <w:tc>
                <w:tcPr>
                  <w:tcW w:w="1139" w:type="dxa"/>
                  <w:shd w:val="clear" w:color="auto" w:fill="auto"/>
                  <w:vAlign w:val="center"/>
                </w:tcPr>
                <w:p w14:paraId="0F6C18C5">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排水工程</w:t>
                  </w:r>
                </w:p>
              </w:tc>
              <w:tc>
                <w:tcPr>
                  <w:tcW w:w="2600" w:type="dxa"/>
                  <w:shd w:val="clear" w:color="auto" w:fill="auto"/>
                  <w:vAlign w:val="center"/>
                </w:tcPr>
                <w:p w14:paraId="0565ACA6">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生活污水经化粪池预处理，再通过市政污水管网进入长阳铺镇污水处理厂进一步处理达标外排。</w:t>
                  </w:r>
                </w:p>
              </w:tc>
              <w:tc>
                <w:tcPr>
                  <w:tcW w:w="2512" w:type="dxa"/>
                  <w:shd w:val="clear" w:color="auto" w:fill="auto"/>
                  <w:vAlign w:val="center"/>
                </w:tcPr>
                <w:p w14:paraId="4D1FC3ED">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生活污水经化粪池预处理，再通过市政污水管网进入长阳铺镇污水处理厂进一步处理达标外排。</w:t>
                  </w:r>
                </w:p>
              </w:tc>
              <w:tc>
                <w:tcPr>
                  <w:tcW w:w="1067" w:type="dxa"/>
                  <w:vAlign w:val="center"/>
                </w:tcPr>
                <w:p w14:paraId="45CB62A9">
                  <w:pPr>
                    <w:tabs>
                      <w:tab w:val="left" w:pos="1021"/>
                    </w:tabs>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sz w:val="21"/>
                      <w:szCs w:val="21"/>
                      <w:lang w:val="en-US" w:eastAsia="zh-CN"/>
                    </w:rPr>
                    <w:t>是</w:t>
                  </w:r>
                </w:p>
              </w:tc>
              <w:tc>
                <w:tcPr>
                  <w:tcW w:w="1183" w:type="dxa"/>
                  <w:vAlign w:val="center"/>
                </w:tcPr>
                <w:p w14:paraId="45466BB6">
                  <w:pPr>
                    <w:tabs>
                      <w:tab w:val="left" w:pos="1021"/>
                    </w:tabs>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w:t>
                  </w:r>
                </w:p>
              </w:tc>
            </w:tr>
            <w:tr w14:paraId="6B985D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774" w:type="dxa"/>
                  <w:vMerge w:val="continue"/>
                  <w:vAlign w:val="center"/>
                </w:tcPr>
                <w:p w14:paraId="3FA52F3F">
                  <w:pPr>
                    <w:tabs>
                      <w:tab w:val="left" w:pos="1021"/>
                    </w:tabs>
                    <w:spacing w:line="240" w:lineRule="auto"/>
                    <w:ind w:firstLine="0" w:firstLineChars="0"/>
                    <w:jc w:val="center"/>
                    <w:rPr>
                      <w:rFonts w:hint="default" w:ascii="Times New Roman" w:hAnsi="Times New Roman" w:eastAsia="宋体" w:cs="Times New Roman"/>
                      <w:sz w:val="21"/>
                      <w:szCs w:val="21"/>
                    </w:rPr>
                  </w:pPr>
                </w:p>
              </w:tc>
              <w:tc>
                <w:tcPr>
                  <w:tcW w:w="1139" w:type="dxa"/>
                  <w:shd w:val="clear" w:color="auto" w:fill="auto"/>
                  <w:vAlign w:val="center"/>
                </w:tcPr>
                <w:p w14:paraId="763C9705">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供电工程</w:t>
                  </w:r>
                </w:p>
              </w:tc>
              <w:tc>
                <w:tcPr>
                  <w:tcW w:w="2600" w:type="dxa"/>
                  <w:shd w:val="clear" w:color="auto" w:fill="auto"/>
                  <w:vAlign w:val="center"/>
                </w:tcPr>
                <w:p w14:paraId="0095F08D">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由</w:t>
                  </w:r>
                  <w:r>
                    <w:rPr>
                      <w:rFonts w:hint="eastAsia" w:ascii="Times New Roman" w:hAnsi="Times New Roman" w:cs="Times New Roman"/>
                      <w:color w:val="auto"/>
                      <w:sz w:val="21"/>
                      <w:szCs w:val="21"/>
                      <w:highlight w:val="none"/>
                      <w:lang w:val="en-US" w:eastAsia="zh-CN"/>
                    </w:rPr>
                    <w:t>邵阳县高新技术产业园长阳铺新能源片区供电系统</w:t>
                  </w:r>
                  <w:r>
                    <w:rPr>
                      <w:rFonts w:hint="default" w:ascii="Times New Roman" w:hAnsi="Times New Roman" w:cs="Times New Roman"/>
                      <w:color w:val="auto"/>
                      <w:sz w:val="21"/>
                      <w:szCs w:val="21"/>
                      <w:highlight w:val="none"/>
                      <w:lang w:val="en-US" w:eastAsia="zh-CN"/>
                    </w:rPr>
                    <w:t>供应</w:t>
                  </w:r>
                  <w:r>
                    <w:rPr>
                      <w:rFonts w:hint="eastAsia" w:ascii="Times New Roman" w:hAnsi="Times New Roman" w:cs="Times New Roman"/>
                      <w:color w:val="auto"/>
                      <w:sz w:val="21"/>
                      <w:szCs w:val="21"/>
                      <w:highlight w:val="none"/>
                      <w:lang w:val="en-US" w:eastAsia="zh-CN"/>
                    </w:rPr>
                    <w:t>。</w:t>
                  </w:r>
                </w:p>
              </w:tc>
              <w:tc>
                <w:tcPr>
                  <w:tcW w:w="2512" w:type="dxa"/>
                  <w:shd w:val="clear" w:color="auto" w:fill="auto"/>
                  <w:vAlign w:val="center"/>
                </w:tcPr>
                <w:p w14:paraId="11AB8E0B">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由</w:t>
                  </w:r>
                  <w:r>
                    <w:rPr>
                      <w:rFonts w:hint="eastAsia" w:ascii="Times New Roman" w:hAnsi="Times New Roman" w:cs="Times New Roman"/>
                      <w:color w:val="auto"/>
                      <w:sz w:val="21"/>
                      <w:szCs w:val="21"/>
                      <w:highlight w:val="none"/>
                      <w:lang w:val="en-US" w:eastAsia="zh-CN"/>
                    </w:rPr>
                    <w:t>邵阳县高新技术产业园长阳铺新能源片区供电系统</w:t>
                  </w:r>
                  <w:r>
                    <w:rPr>
                      <w:rFonts w:hint="default" w:ascii="Times New Roman" w:hAnsi="Times New Roman" w:cs="Times New Roman"/>
                      <w:color w:val="auto"/>
                      <w:sz w:val="21"/>
                      <w:szCs w:val="21"/>
                      <w:highlight w:val="none"/>
                      <w:lang w:val="en-US" w:eastAsia="zh-CN"/>
                    </w:rPr>
                    <w:t>供应</w:t>
                  </w:r>
                  <w:r>
                    <w:rPr>
                      <w:rFonts w:hint="eastAsia" w:ascii="Times New Roman" w:hAnsi="Times New Roman" w:cs="Times New Roman"/>
                      <w:color w:val="auto"/>
                      <w:sz w:val="21"/>
                      <w:szCs w:val="21"/>
                      <w:highlight w:val="none"/>
                      <w:lang w:val="en-US" w:eastAsia="zh-CN"/>
                    </w:rPr>
                    <w:t>。</w:t>
                  </w:r>
                </w:p>
              </w:tc>
              <w:tc>
                <w:tcPr>
                  <w:tcW w:w="1067" w:type="dxa"/>
                  <w:vAlign w:val="center"/>
                </w:tcPr>
                <w:p w14:paraId="7E0CFA24">
                  <w:pPr>
                    <w:tabs>
                      <w:tab w:val="left" w:pos="1021"/>
                    </w:tabs>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是</w:t>
                  </w:r>
                </w:p>
              </w:tc>
              <w:tc>
                <w:tcPr>
                  <w:tcW w:w="1183" w:type="dxa"/>
                  <w:vAlign w:val="center"/>
                </w:tcPr>
                <w:p w14:paraId="35B330A4">
                  <w:pPr>
                    <w:tabs>
                      <w:tab w:val="left" w:pos="1021"/>
                    </w:tabs>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w:t>
                  </w:r>
                </w:p>
              </w:tc>
            </w:tr>
            <w:tr w14:paraId="130D2C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70" w:hRule="atLeast"/>
                <w:jc w:val="center"/>
              </w:trPr>
              <w:tc>
                <w:tcPr>
                  <w:tcW w:w="774" w:type="dxa"/>
                  <w:vMerge w:val="restart"/>
                  <w:vAlign w:val="center"/>
                </w:tcPr>
                <w:p w14:paraId="6E11B504">
                  <w:pPr>
                    <w:tabs>
                      <w:tab w:val="left" w:pos="1021"/>
                    </w:tabs>
                    <w:spacing w:line="240" w:lineRule="auto"/>
                    <w:ind w:firstLine="0" w:firstLineChars="0"/>
                    <w:jc w:val="center"/>
                    <w:rPr>
                      <w:rFonts w:hint="default" w:ascii="Times New Roman" w:hAnsi="Times New Roman" w:eastAsia="宋体" w:cs="Times New Roman"/>
                      <w:color w:val="0000FF"/>
                      <w:sz w:val="21"/>
                      <w:szCs w:val="21"/>
                    </w:rPr>
                  </w:pPr>
                  <w:r>
                    <w:rPr>
                      <w:rFonts w:hint="default" w:ascii="Times New Roman" w:hAnsi="Times New Roman" w:eastAsia="宋体" w:cs="Times New Roman"/>
                      <w:sz w:val="21"/>
                      <w:szCs w:val="21"/>
                    </w:rPr>
                    <w:t>环保工程</w:t>
                  </w:r>
                </w:p>
              </w:tc>
              <w:tc>
                <w:tcPr>
                  <w:tcW w:w="1139" w:type="dxa"/>
                  <w:shd w:val="clear" w:color="auto" w:fill="auto"/>
                  <w:vAlign w:val="center"/>
                </w:tcPr>
                <w:p w14:paraId="6A7F0DED">
                  <w:pPr>
                    <w:adjustRightInd w:val="0"/>
                    <w:snapToGrid w:val="0"/>
                    <w:spacing w:line="240" w:lineRule="atLeast"/>
                    <w:ind w:left="0" w:leftChars="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废气</w:t>
                  </w:r>
                </w:p>
              </w:tc>
              <w:tc>
                <w:tcPr>
                  <w:tcW w:w="2600" w:type="dxa"/>
                  <w:shd w:val="clear" w:color="auto" w:fill="auto"/>
                  <w:vAlign w:val="center"/>
                </w:tcPr>
                <w:p w14:paraId="386D7D38">
                  <w:pPr>
                    <w:adjustRightInd w:val="0"/>
                    <w:snapToGrid w:val="0"/>
                    <w:spacing w:line="240" w:lineRule="atLeast"/>
                    <w:ind w:left="0" w:lef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母粒挤出废气：挤出工序废气经“过滤棉过滤+油雾净化器+UV光催化氧化+活性炭吸附”处理后，通过15m高排气筒排放；</w:t>
                  </w:r>
                </w:p>
                <w:p w14:paraId="37E47C75">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建设单独的半封闭式（三面封闭）球磨机房，可减少原料拆包和投料粉尘</w:t>
                  </w:r>
                </w:p>
              </w:tc>
              <w:tc>
                <w:tcPr>
                  <w:tcW w:w="2512" w:type="dxa"/>
                  <w:shd w:val="clear" w:color="auto" w:fill="auto"/>
                  <w:vAlign w:val="center"/>
                </w:tcPr>
                <w:p w14:paraId="3E760C6C">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母粒挤出废气：挤出废气经“</w:t>
                  </w:r>
                  <w:r>
                    <w:rPr>
                      <w:rFonts w:hint="eastAsia" w:cs="Times New Roman"/>
                      <w:color w:val="auto"/>
                      <w:sz w:val="21"/>
                      <w:szCs w:val="21"/>
                      <w:highlight w:val="none"/>
                      <w:lang w:val="en-US" w:eastAsia="zh-CN"/>
                    </w:rPr>
                    <w:t>喷淋（油雾净化）</w:t>
                  </w:r>
                  <w:r>
                    <w:rPr>
                      <w:rFonts w:hint="eastAsia" w:ascii="Times New Roman" w:hAnsi="Times New Roman" w:cs="Times New Roman"/>
                      <w:color w:val="auto"/>
                      <w:sz w:val="21"/>
                      <w:szCs w:val="21"/>
                      <w:highlight w:val="none"/>
                      <w:lang w:val="en-US" w:eastAsia="zh-CN"/>
                    </w:rPr>
                    <w:t>+UV光催化氧化+活性炭吸附”处理后，通过15m高排气筒排放；建设单独的半封闭式（三面封闭）球磨机房，可减少原料拆包和球磨投料粉尘</w:t>
                  </w:r>
                </w:p>
              </w:tc>
              <w:tc>
                <w:tcPr>
                  <w:tcW w:w="1067" w:type="dxa"/>
                  <w:shd w:val="clear" w:color="auto" w:fill="auto"/>
                  <w:vAlign w:val="center"/>
                </w:tcPr>
                <w:p w14:paraId="16DDA2F2">
                  <w:pPr>
                    <w:tabs>
                      <w:tab w:val="left" w:pos="1021"/>
                    </w:tabs>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sz w:val="21"/>
                      <w:szCs w:val="21"/>
                      <w:lang w:val="en-US" w:eastAsia="zh-CN"/>
                    </w:rPr>
                    <w:t>是</w:t>
                  </w:r>
                </w:p>
              </w:tc>
              <w:tc>
                <w:tcPr>
                  <w:tcW w:w="1183" w:type="dxa"/>
                  <w:shd w:val="clear" w:color="auto" w:fill="auto"/>
                  <w:vAlign w:val="center"/>
                </w:tcPr>
                <w:p w14:paraId="055257F2">
                  <w:pPr>
                    <w:tabs>
                      <w:tab w:val="left" w:pos="1021"/>
                    </w:tabs>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sz w:val="21"/>
                      <w:szCs w:val="21"/>
                      <w:lang w:val="en-US" w:eastAsia="zh-CN"/>
                    </w:rPr>
                    <w:t>/</w:t>
                  </w:r>
                </w:p>
              </w:tc>
            </w:tr>
            <w:tr w14:paraId="0E16C7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603" w:hRule="atLeast"/>
                <w:jc w:val="center"/>
              </w:trPr>
              <w:tc>
                <w:tcPr>
                  <w:tcW w:w="774" w:type="dxa"/>
                  <w:vMerge w:val="continue"/>
                  <w:vAlign w:val="center"/>
                </w:tcPr>
                <w:p w14:paraId="3454E94B">
                  <w:pPr>
                    <w:tabs>
                      <w:tab w:val="left" w:pos="1021"/>
                    </w:tabs>
                    <w:spacing w:line="240" w:lineRule="auto"/>
                    <w:ind w:firstLine="0" w:firstLineChars="0"/>
                    <w:jc w:val="center"/>
                    <w:rPr>
                      <w:rFonts w:hint="default" w:ascii="Times New Roman" w:hAnsi="Times New Roman" w:eastAsia="宋体" w:cs="Times New Roman"/>
                      <w:sz w:val="21"/>
                      <w:szCs w:val="21"/>
                    </w:rPr>
                  </w:pPr>
                </w:p>
              </w:tc>
              <w:tc>
                <w:tcPr>
                  <w:tcW w:w="1139" w:type="dxa"/>
                  <w:shd w:val="clear" w:color="auto" w:fill="auto"/>
                  <w:vAlign w:val="center"/>
                </w:tcPr>
                <w:p w14:paraId="66AA8057">
                  <w:pPr>
                    <w:adjustRightInd w:val="0"/>
                    <w:snapToGrid w:val="0"/>
                    <w:spacing w:line="240" w:lineRule="atLeast"/>
                    <w:ind w:left="0" w:leftChars="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废水</w:t>
                  </w:r>
                </w:p>
              </w:tc>
              <w:tc>
                <w:tcPr>
                  <w:tcW w:w="2600" w:type="dxa"/>
                  <w:shd w:val="clear" w:color="auto" w:fill="auto"/>
                  <w:vAlign w:val="center"/>
                </w:tcPr>
                <w:p w14:paraId="6E06F08C">
                  <w:pPr>
                    <w:adjustRightInd w:val="0"/>
                    <w:snapToGrid w:val="0"/>
                    <w:spacing w:line="240" w:lineRule="atLeast"/>
                    <w:ind w:left="0" w:lef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生产废水经六级沉淀池混凝沉淀后，上清液回用于生产，不外排；</w:t>
                  </w:r>
                </w:p>
                <w:p w14:paraId="71DE629B">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生活污水经化粪池预处理后，通过市政污水管网进入长阳铺镇污水处理厂进一步处理。</w:t>
                  </w:r>
                </w:p>
              </w:tc>
              <w:tc>
                <w:tcPr>
                  <w:tcW w:w="2512" w:type="dxa"/>
                  <w:shd w:val="clear" w:color="auto" w:fill="auto"/>
                  <w:vAlign w:val="center"/>
                </w:tcPr>
                <w:p w14:paraId="7C82164D">
                  <w:pPr>
                    <w:adjustRightInd w:val="0"/>
                    <w:snapToGrid w:val="0"/>
                    <w:spacing w:line="240" w:lineRule="atLeast"/>
                    <w:ind w:left="0" w:lef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生产废水经六级沉淀池混凝沉淀后，上清液回用于生产，不外排；</w:t>
                  </w:r>
                </w:p>
                <w:p w14:paraId="1245CD9A">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生活污水经化粪池预处理后，通过市政污水管网进入长阳铺镇污水处理厂进一步处理。</w:t>
                  </w:r>
                </w:p>
              </w:tc>
              <w:tc>
                <w:tcPr>
                  <w:tcW w:w="1067" w:type="dxa"/>
                  <w:shd w:val="clear" w:color="auto" w:fill="auto"/>
                  <w:vAlign w:val="center"/>
                </w:tcPr>
                <w:p w14:paraId="140015B4">
                  <w:pPr>
                    <w:tabs>
                      <w:tab w:val="left" w:pos="1021"/>
                    </w:tabs>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sz w:val="21"/>
                      <w:szCs w:val="21"/>
                      <w:lang w:val="en-US" w:eastAsia="zh-CN"/>
                    </w:rPr>
                    <w:t>是</w:t>
                  </w:r>
                </w:p>
              </w:tc>
              <w:tc>
                <w:tcPr>
                  <w:tcW w:w="1183" w:type="dxa"/>
                  <w:shd w:val="clear" w:color="auto" w:fill="auto"/>
                  <w:vAlign w:val="center"/>
                </w:tcPr>
                <w:p w14:paraId="3516E5E7">
                  <w:pPr>
                    <w:tabs>
                      <w:tab w:val="left" w:pos="1021"/>
                    </w:tabs>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sz w:val="21"/>
                      <w:szCs w:val="21"/>
                      <w:lang w:val="en-US" w:eastAsia="zh-CN"/>
                    </w:rPr>
                    <w:t>/</w:t>
                  </w:r>
                </w:p>
              </w:tc>
            </w:tr>
            <w:tr w14:paraId="38DF70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931" w:hRule="atLeast"/>
                <w:jc w:val="center"/>
              </w:trPr>
              <w:tc>
                <w:tcPr>
                  <w:tcW w:w="774" w:type="dxa"/>
                  <w:vMerge w:val="continue"/>
                  <w:vAlign w:val="center"/>
                </w:tcPr>
                <w:p w14:paraId="1BB5C22F">
                  <w:pPr>
                    <w:tabs>
                      <w:tab w:val="left" w:pos="1021"/>
                    </w:tabs>
                    <w:spacing w:line="240" w:lineRule="auto"/>
                    <w:ind w:firstLine="420"/>
                    <w:jc w:val="center"/>
                    <w:rPr>
                      <w:rFonts w:hint="default" w:ascii="Times New Roman" w:hAnsi="Times New Roman" w:eastAsia="宋体" w:cs="Times New Roman"/>
                      <w:sz w:val="21"/>
                      <w:szCs w:val="21"/>
                    </w:rPr>
                  </w:pPr>
                </w:p>
              </w:tc>
              <w:tc>
                <w:tcPr>
                  <w:tcW w:w="1139" w:type="dxa"/>
                  <w:shd w:val="clear" w:color="auto" w:fill="auto"/>
                  <w:vAlign w:val="center"/>
                </w:tcPr>
                <w:p w14:paraId="040CC078">
                  <w:pPr>
                    <w:adjustRightInd w:val="0"/>
                    <w:snapToGrid w:val="0"/>
                    <w:spacing w:line="240" w:lineRule="atLeast"/>
                    <w:ind w:left="0" w:leftChars="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噪声</w:t>
                  </w:r>
                </w:p>
              </w:tc>
              <w:tc>
                <w:tcPr>
                  <w:tcW w:w="2600" w:type="dxa"/>
                  <w:shd w:val="clear" w:color="auto" w:fill="auto"/>
                  <w:vAlign w:val="center"/>
                </w:tcPr>
                <w:p w14:paraId="01B8F89D">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选用低噪声设备，合理布局声源，</w:t>
                  </w:r>
                  <w:r>
                    <w:rPr>
                      <w:rFonts w:hint="eastAsia" w:ascii="Times New Roman" w:hAnsi="Times New Roman" w:cs="Times New Roman"/>
                      <w:color w:val="auto"/>
                      <w:sz w:val="21"/>
                      <w:szCs w:val="21"/>
                      <w:highlight w:val="none"/>
                      <w:lang w:val="en-US" w:eastAsia="zh-CN"/>
                    </w:rPr>
                    <w:t>采取</w:t>
                  </w:r>
                  <w:r>
                    <w:rPr>
                      <w:rFonts w:hint="default" w:ascii="Times New Roman" w:hAnsi="Times New Roman" w:cs="Times New Roman"/>
                      <w:color w:val="auto"/>
                      <w:sz w:val="21"/>
                      <w:szCs w:val="21"/>
                      <w:highlight w:val="none"/>
                      <w:lang w:val="en-US" w:eastAsia="zh-CN"/>
                    </w:rPr>
                    <w:t>减振</w:t>
                  </w:r>
                  <w:r>
                    <w:rPr>
                      <w:rFonts w:hint="eastAsia" w:ascii="Times New Roman" w:hAnsi="Times New Roman" w:cs="Times New Roman"/>
                      <w:color w:val="auto"/>
                      <w:sz w:val="21"/>
                      <w:szCs w:val="21"/>
                      <w:highlight w:val="none"/>
                      <w:lang w:val="en-US" w:eastAsia="zh-CN"/>
                    </w:rPr>
                    <w:t>、消声、建设隔声间</w:t>
                  </w:r>
                  <w:r>
                    <w:rPr>
                      <w:rFonts w:hint="default" w:ascii="Times New Roman" w:hAnsi="Times New Roman" w:cs="Times New Roman"/>
                      <w:color w:val="auto"/>
                      <w:sz w:val="21"/>
                      <w:szCs w:val="21"/>
                      <w:highlight w:val="none"/>
                      <w:lang w:val="en-US" w:eastAsia="zh-CN"/>
                    </w:rPr>
                    <w:t>等措施</w:t>
                  </w:r>
                  <w:r>
                    <w:rPr>
                      <w:rFonts w:hint="eastAsia" w:ascii="Times New Roman" w:hAnsi="Times New Roman" w:cs="Times New Roman"/>
                      <w:color w:val="auto"/>
                      <w:sz w:val="21"/>
                      <w:szCs w:val="21"/>
                      <w:highlight w:val="none"/>
                      <w:lang w:val="en-US" w:eastAsia="zh-CN"/>
                    </w:rPr>
                    <w:t>。</w:t>
                  </w:r>
                </w:p>
              </w:tc>
              <w:tc>
                <w:tcPr>
                  <w:tcW w:w="2512" w:type="dxa"/>
                  <w:shd w:val="clear" w:color="auto" w:fill="auto"/>
                  <w:vAlign w:val="center"/>
                </w:tcPr>
                <w:p w14:paraId="6B206640">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选用低噪声设备，合理布局声源，</w:t>
                  </w:r>
                  <w:r>
                    <w:rPr>
                      <w:rFonts w:hint="eastAsia" w:ascii="Times New Roman" w:hAnsi="Times New Roman" w:cs="Times New Roman"/>
                      <w:color w:val="auto"/>
                      <w:sz w:val="21"/>
                      <w:szCs w:val="21"/>
                      <w:highlight w:val="none"/>
                      <w:lang w:val="en-US" w:eastAsia="zh-CN"/>
                    </w:rPr>
                    <w:t>采取</w:t>
                  </w:r>
                  <w:r>
                    <w:rPr>
                      <w:rFonts w:hint="default" w:ascii="Times New Roman" w:hAnsi="Times New Roman" w:cs="Times New Roman"/>
                      <w:color w:val="auto"/>
                      <w:sz w:val="21"/>
                      <w:szCs w:val="21"/>
                      <w:highlight w:val="none"/>
                      <w:lang w:val="en-US" w:eastAsia="zh-CN"/>
                    </w:rPr>
                    <w:t>减振</w:t>
                  </w:r>
                  <w:r>
                    <w:rPr>
                      <w:rFonts w:hint="eastAsia" w:ascii="Times New Roman" w:hAnsi="Times New Roman" w:cs="Times New Roman"/>
                      <w:color w:val="auto"/>
                      <w:sz w:val="21"/>
                      <w:szCs w:val="21"/>
                      <w:highlight w:val="none"/>
                      <w:lang w:val="en-US" w:eastAsia="zh-CN"/>
                    </w:rPr>
                    <w:t>、消声、建设隔声间</w:t>
                  </w:r>
                  <w:r>
                    <w:rPr>
                      <w:rFonts w:hint="default" w:ascii="Times New Roman" w:hAnsi="Times New Roman" w:cs="Times New Roman"/>
                      <w:color w:val="auto"/>
                      <w:sz w:val="21"/>
                      <w:szCs w:val="21"/>
                      <w:highlight w:val="none"/>
                      <w:lang w:val="en-US" w:eastAsia="zh-CN"/>
                    </w:rPr>
                    <w:t>等措施</w:t>
                  </w:r>
                  <w:r>
                    <w:rPr>
                      <w:rFonts w:hint="eastAsia" w:ascii="Times New Roman" w:hAnsi="Times New Roman" w:cs="Times New Roman"/>
                      <w:color w:val="auto"/>
                      <w:sz w:val="21"/>
                      <w:szCs w:val="21"/>
                      <w:highlight w:val="none"/>
                      <w:lang w:val="en-US" w:eastAsia="zh-CN"/>
                    </w:rPr>
                    <w:t>。</w:t>
                  </w:r>
                </w:p>
              </w:tc>
              <w:tc>
                <w:tcPr>
                  <w:tcW w:w="1067" w:type="dxa"/>
                  <w:vAlign w:val="center"/>
                </w:tcPr>
                <w:p w14:paraId="498BDF66">
                  <w:pPr>
                    <w:tabs>
                      <w:tab w:val="left" w:pos="1021"/>
                    </w:tabs>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是</w:t>
                  </w:r>
                </w:p>
              </w:tc>
              <w:tc>
                <w:tcPr>
                  <w:tcW w:w="1183" w:type="dxa"/>
                  <w:vAlign w:val="center"/>
                </w:tcPr>
                <w:p w14:paraId="01CD9A01">
                  <w:pPr>
                    <w:tabs>
                      <w:tab w:val="left" w:pos="1021"/>
                    </w:tabs>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w:t>
                  </w:r>
                </w:p>
              </w:tc>
            </w:tr>
            <w:tr w14:paraId="4F1086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74" w:type="dxa"/>
                  <w:vMerge w:val="continue"/>
                  <w:vAlign w:val="center"/>
                </w:tcPr>
                <w:p w14:paraId="1E62A016">
                  <w:pPr>
                    <w:tabs>
                      <w:tab w:val="left" w:pos="1021"/>
                    </w:tabs>
                    <w:spacing w:line="240" w:lineRule="auto"/>
                    <w:ind w:firstLine="420"/>
                    <w:jc w:val="center"/>
                    <w:rPr>
                      <w:rFonts w:hint="default" w:ascii="Times New Roman" w:hAnsi="Times New Roman" w:eastAsia="宋体" w:cs="Times New Roman"/>
                      <w:sz w:val="21"/>
                      <w:szCs w:val="21"/>
                    </w:rPr>
                  </w:pPr>
                </w:p>
              </w:tc>
              <w:tc>
                <w:tcPr>
                  <w:tcW w:w="1139" w:type="dxa"/>
                  <w:shd w:val="clear" w:color="auto" w:fill="auto"/>
                  <w:vAlign w:val="center"/>
                </w:tcPr>
                <w:p w14:paraId="2E549DA4">
                  <w:pPr>
                    <w:adjustRightInd w:val="0"/>
                    <w:snapToGrid w:val="0"/>
                    <w:spacing w:line="240" w:lineRule="atLeast"/>
                    <w:ind w:left="0" w:leftChars="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固体废物</w:t>
                  </w:r>
                </w:p>
              </w:tc>
              <w:tc>
                <w:tcPr>
                  <w:tcW w:w="2600" w:type="dxa"/>
                  <w:shd w:val="clear" w:color="auto" w:fill="auto"/>
                  <w:vAlign w:val="center"/>
                </w:tcPr>
                <w:p w14:paraId="0EFF515B">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一般工业固体废物：一般工业固体废物暂存间1栋1层，砖混结构，占地面积20m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20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，位于场地东面中部位置。</w:t>
                  </w:r>
                </w:p>
                <w:p w14:paraId="7733FEB4">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危险废物：</w:t>
                  </w:r>
                  <w:r>
                    <w:rPr>
                      <w:rFonts w:hint="eastAsia" w:ascii="Times New Roman" w:hAnsi="Times New Roman" w:cs="Times New Roman"/>
                      <w:color w:val="auto"/>
                      <w:sz w:val="21"/>
                      <w:szCs w:val="21"/>
                      <w:highlight w:val="none"/>
                      <w:lang w:val="en-US" w:eastAsia="zh-CN"/>
                    </w:rPr>
                    <w:t>危险废物暂存间1栋1层，砖混结构，占地面积10m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，紧邻一般工业固体废物暂存间。</w:t>
                  </w:r>
                </w:p>
                <w:p w14:paraId="0C0B40CF">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生活垃圾：交由环卫部门清运处置</w:t>
                  </w:r>
                  <w:r>
                    <w:rPr>
                      <w:rFonts w:hint="eastAsia" w:ascii="Times New Roman" w:hAnsi="Times New Roman" w:cs="Times New Roman"/>
                      <w:color w:val="auto"/>
                      <w:sz w:val="21"/>
                      <w:szCs w:val="21"/>
                      <w:highlight w:val="none"/>
                      <w:lang w:val="en-US" w:eastAsia="zh-CN"/>
                    </w:rPr>
                    <w:t>。</w:t>
                  </w:r>
                </w:p>
              </w:tc>
              <w:tc>
                <w:tcPr>
                  <w:tcW w:w="2512" w:type="dxa"/>
                  <w:shd w:val="clear" w:color="auto" w:fill="auto"/>
                  <w:vAlign w:val="center"/>
                </w:tcPr>
                <w:p w14:paraId="02674FD6">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一般工业固体废物：一般工业固体废物暂存间1栋1层，砖混结构，占地面积20m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20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，位于场地东面中部位置。</w:t>
                  </w:r>
                </w:p>
                <w:p w14:paraId="7378FE77">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危险废物：</w:t>
                  </w:r>
                  <w:r>
                    <w:rPr>
                      <w:rFonts w:hint="eastAsia" w:ascii="Times New Roman" w:hAnsi="Times New Roman" w:cs="Times New Roman"/>
                      <w:color w:val="auto"/>
                      <w:sz w:val="21"/>
                      <w:szCs w:val="21"/>
                      <w:highlight w:val="none"/>
                      <w:lang w:val="en-US" w:eastAsia="zh-CN"/>
                    </w:rPr>
                    <w:t>危险废物暂存间1栋1层，砖混结构，占地面积10m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建筑面积</w:t>
                  </w:r>
                  <w:r>
                    <w:rPr>
                      <w:rFonts w:hint="eastAsia" w:ascii="Times New Roman" w:hAnsi="Times New Roman" w:cs="Times New Roman"/>
                      <w:color w:val="auto"/>
                      <w:sz w:val="21"/>
                      <w:szCs w:val="21"/>
                      <w:highlight w:val="none"/>
                      <w:lang w:val="en-US" w:eastAsia="zh-CN"/>
                    </w:rPr>
                    <w:t>10</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，紧邻一般工业固体废物暂存间。</w:t>
                  </w:r>
                </w:p>
                <w:p w14:paraId="07942F56">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生活垃圾：交由环卫部门清运处置</w:t>
                  </w:r>
                  <w:r>
                    <w:rPr>
                      <w:rFonts w:hint="eastAsia" w:ascii="Times New Roman" w:hAnsi="Times New Roman" w:cs="Times New Roman"/>
                      <w:color w:val="auto"/>
                      <w:sz w:val="21"/>
                      <w:szCs w:val="21"/>
                      <w:highlight w:val="none"/>
                      <w:lang w:val="en-US" w:eastAsia="zh-CN"/>
                    </w:rPr>
                    <w:t>。</w:t>
                  </w:r>
                </w:p>
              </w:tc>
              <w:tc>
                <w:tcPr>
                  <w:tcW w:w="1067" w:type="dxa"/>
                  <w:vAlign w:val="center"/>
                </w:tcPr>
                <w:p w14:paraId="41212FFA">
                  <w:pPr>
                    <w:tabs>
                      <w:tab w:val="left" w:pos="1021"/>
                    </w:tabs>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Cs/>
                      <w:color w:val="000000"/>
                      <w:sz w:val="21"/>
                      <w:szCs w:val="21"/>
                      <w:lang w:val="en-US" w:eastAsia="zh-CN"/>
                    </w:rPr>
                    <w:t>是</w:t>
                  </w:r>
                </w:p>
              </w:tc>
              <w:tc>
                <w:tcPr>
                  <w:tcW w:w="1183" w:type="dxa"/>
                  <w:vAlign w:val="center"/>
                </w:tcPr>
                <w:p w14:paraId="2AD7E64B">
                  <w:pPr>
                    <w:pStyle w:val="3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w:t>
                  </w:r>
                </w:p>
              </w:tc>
            </w:tr>
            <w:tr w14:paraId="49FB0E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774" w:type="dxa"/>
                  <w:vMerge w:val="continue"/>
                  <w:vAlign w:val="center"/>
                </w:tcPr>
                <w:p w14:paraId="5A838B64">
                  <w:pPr>
                    <w:tabs>
                      <w:tab w:val="left" w:pos="1021"/>
                    </w:tabs>
                    <w:spacing w:line="240" w:lineRule="auto"/>
                    <w:ind w:firstLine="420"/>
                    <w:jc w:val="center"/>
                    <w:rPr>
                      <w:rFonts w:hint="default" w:ascii="Times New Roman" w:hAnsi="Times New Roman" w:eastAsia="宋体" w:cs="Times New Roman"/>
                      <w:sz w:val="21"/>
                      <w:szCs w:val="21"/>
                    </w:rPr>
                  </w:pPr>
                </w:p>
              </w:tc>
              <w:tc>
                <w:tcPr>
                  <w:tcW w:w="1139" w:type="dxa"/>
                  <w:shd w:val="clear" w:color="auto" w:fill="auto"/>
                  <w:vAlign w:val="center"/>
                </w:tcPr>
                <w:p w14:paraId="3F172B0D">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环境风险</w:t>
                  </w:r>
                </w:p>
              </w:tc>
              <w:tc>
                <w:tcPr>
                  <w:tcW w:w="2600" w:type="dxa"/>
                  <w:shd w:val="clear" w:color="auto" w:fill="auto"/>
                  <w:vAlign w:val="center"/>
                </w:tcPr>
                <w:p w14:paraId="73EAA4C3">
                  <w:pPr>
                    <w:adjustRightInd w:val="0"/>
                    <w:snapToGrid w:val="0"/>
                    <w:spacing w:line="240" w:lineRule="atLeast"/>
                    <w:ind w:left="0" w:leftChars="0" w:firstLine="0" w:firstLineChars="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事故应急池：钢砼结构，容积约50m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；危险废物暂存间、白油原料仓进行防渗及设置接液盘和围堰；生产车间固液分离区设置截流沟。</w:t>
                  </w:r>
                </w:p>
              </w:tc>
              <w:tc>
                <w:tcPr>
                  <w:tcW w:w="2512" w:type="dxa"/>
                  <w:shd w:val="clear" w:color="auto" w:fill="auto"/>
                  <w:vAlign w:val="center"/>
                </w:tcPr>
                <w:p w14:paraId="567D80F7">
                  <w:pPr>
                    <w:adjustRightInd w:val="0"/>
                    <w:snapToGrid w:val="0"/>
                    <w:spacing w:line="240" w:lineRule="atLeast"/>
                    <w:ind w:left="0" w:leftChars="0" w:firstLine="0" w:firstLineChars="0"/>
                    <w:jc w:val="both"/>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事故应急池：钢砼结构，容积约50m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；危险废物暂存间、白油原料仓进行防渗及设置接液盘和围堰；生产车间固液分离区设置截流沟。</w:t>
                  </w:r>
                </w:p>
              </w:tc>
              <w:tc>
                <w:tcPr>
                  <w:tcW w:w="1067" w:type="dxa"/>
                  <w:vAlign w:val="center"/>
                </w:tcPr>
                <w:p w14:paraId="39E5DA4B">
                  <w:pPr>
                    <w:tabs>
                      <w:tab w:val="left" w:pos="1021"/>
                    </w:tabs>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SA"/>
                    </w:rPr>
                  </w:pPr>
                  <w:r>
                    <w:rPr>
                      <w:rFonts w:hint="default" w:ascii="Times New Roman" w:hAnsi="Times New Roman" w:eastAsia="宋体" w:cs="Times New Roman"/>
                      <w:bCs/>
                      <w:color w:val="000000"/>
                      <w:sz w:val="21"/>
                      <w:szCs w:val="21"/>
                      <w:lang w:val="en-US" w:eastAsia="zh-CN"/>
                    </w:rPr>
                    <w:t>是</w:t>
                  </w:r>
                </w:p>
              </w:tc>
              <w:tc>
                <w:tcPr>
                  <w:tcW w:w="1183" w:type="dxa"/>
                  <w:vAlign w:val="center"/>
                </w:tcPr>
                <w:p w14:paraId="79802FE8">
                  <w:pPr>
                    <w:tabs>
                      <w:tab w:val="left" w:pos="1021"/>
                    </w:tabs>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w:t>
                  </w:r>
                </w:p>
              </w:tc>
            </w:tr>
          </w:tbl>
          <w:p w14:paraId="429D63C0">
            <w:pPr>
              <w:ind w:firstLine="480"/>
              <w:rPr>
                <w:rFonts w:hint="default" w:ascii="Times New Roman" w:hAnsi="Times New Roman" w:cs="Times New Roman"/>
              </w:rPr>
            </w:pPr>
          </w:p>
        </w:tc>
      </w:tr>
      <w:tr w14:paraId="1494CE6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9287" w:type="dxa"/>
            <w:vAlign w:val="center"/>
          </w:tcPr>
          <w:p w14:paraId="6FA9D94F">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default" w:ascii="Times New Roman" w:hAnsi="Times New Roman" w:cs="Times New Roman"/>
              </w:rPr>
            </w:pPr>
            <w:r>
              <w:rPr>
                <w:rFonts w:hint="default" w:ascii="Times New Roman" w:hAnsi="Times New Roman" w:cs="Times New Roman"/>
              </w:rPr>
              <w:t>原辅材料消耗及水平衡：</w:t>
            </w:r>
          </w:p>
          <w:p w14:paraId="6E441EC8">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default" w:ascii="Times New Roman" w:hAnsi="Times New Roman" w:cs="Times New Roman"/>
              </w:rPr>
            </w:pPr>
            <w:r>
              <w:rPr>
                <w:rFonts w:hint="default" w:ascii="Times New Roman" w:hAnsi="Times New Roman" w:cs="Times New Roman"/>
              </w:rPr>
              <w:t>1、原辅材料消耗</w:t>
            </w:r>
          </w:p>
          <w:p w14:paraId="73FE0E8B">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Times New Roman" w:cs="Times New Roman"/>
                <w:b/>
                <w:bCs/>
                <w:sz w:val="21"/>
                <w:szCs w:val="21"/>
                <w:lang w:val="en-US" w:eastAsia="zh-CN"/>
              </w:rPr>
            </w:pPr>
            <w:r>
              <w:rPr>
                <w:rFonts w:hint="default" w:ascii="Times New Roman" w:hAnsi="Times New Roman" w:cs="Times New Roman"/>
                <w:lang w:val="en-US" w:eastAsia="zh-CN"/>
              </w:rPr>
              <w:t>公司产品</w:t>
            </w:r>
            <w:r>
              <w:rPr>
                <w:rFonts w:hint="default" w:ascii="Times New Roman" w:hAnsi="Times New Roman" w:cs="Times New Roman"/>
              </w:rPr>
              <w:t>方案为</w:t>
            </w:r>
            <w:r>
              <w:rPr>
                <w:rFonts w:hint="default" w:ascii="Times New Roman" w:hAnsi="Times New Roman" w:cs="Times New Roman"/>
                <w:lang w:val="en-US" w:eastAsia="zh-CN"/>
              </w:rPr>
              <w:t>年产油相超细红磷阻燃剂4000吨（其中2000吨直接外售、2000吨用于生产红磷阻燃母粒）、红磷阻燃母粒4000吨，</w:t>
            </w:r>
            <w:r>
              <w:rPr>
                <w:rFonts w:hint="default" w:ascii="Times New Roman" w:hAnsi="Times New Roman" w:cs="Times New Roman"/>
                <w:sz w:val="24"/>
              </w:rPr>
              <w:t>主要原辅材料有</w:t>
            </w:r>
            <w:r>
              <w:rPr>
                <w:rFonts w:hint="default" w:ascii="Times New Roman" w:hAnsi="Times New Roman" w:cs="Times New Roman"/>
                <w:lang w:val="en-US" w:eastAsia="zh-CN"/>
              </w:rPr>
              <w:t>红磷</w:t>
            </w:r>
            <w:r>
              <w:rPr>
                <w:rFonts w:hint="eastAsia" w:cs="Times New Roman"/>
                <w:lang w:val="en-US" w:eastAsia="zh-CN"/>
              </w:rPr>
              <w:t>、白油、密胺树脂、陶瓷珠、聚乙烯树脂</w:t>
            </w:r>
            <w:r>
              <w:rPr>
                <w:rFonts w:hint="default" w:ascii="Times New Roman" w:hAnsi="Times New Roman" w:cs="Times New Roman"/>
                <w:lang w:val="en-US" w:eastAsia="zh-CN"/>
              </w:rPr>
              <w:t>等</w:t>
            </w:r>
            <w:r>
              <w:rPr>
                <w:rFonts w:hint="default" w:ascii="Times New Roman" w:hAnsi="Times New Roman" w:cs="Times New Roman"/>
                <w:sz w:val="24"/>
              </w:rPr>
              <w:t>，原辅材料消耗量详见表</w:t>
            </w:r>
            <w:r>
              <w:rPr>
                <w:rFonts w:hint="default" w:ascii="Times New Roman" w:hAnsi="Times New Roman" w:cs="Times New Roman"/>
                <w:sz w:val="24"/>
                <w:lang w:val="en-US" w:eastAsia="zh-CN"/>
              </w:rPr>
              <w:t>2-4。因项目验收期间生产工况为9</w:t>
            </w:r>
            <w:r>
              <w:rPr>
                <w:rFonts w:hint="eastAsia" w:cs="Times New Roman"/>
                <w:sz w:val="24"/>
                <w:lang w:val="en-US" w:eastAsia="zh-CN"/>
              </w:rPr>
              <w:t>5</w:t>
            </w:r>
            <w:r>
              <w:rPr>
                <w:rFonts w:hint="default" w:ascii="Times New Roman" w:hAnsi="Times New Roman" w:cs="Times New Roman"/>
                <w:sz w:val="24"/>
                <w:lang w:val="en-US" w:eastAsia="zh-CN"/>
              </w:rPr>
              <w:t>%，故各原辅材料用量相对环评中原辅材料消耗量</w:t>
            </w:r>
            <w:r>
              <w:rPr>
                <w:rFonts w:hint="eastAsia" w:cs="Times New Roman"/>
                <w:sz w:val="24"/>
                <w:lang w:val="en-US" w:eastAsia="zh-CN"/>
              </w:rPr>
              <w:t>接近</w:t>
            </w:r>
            <w:r>
              <w:rPr>
                <w:rFonts w:hint="default" w:ascii="Times New Roman" w:hAnsi="Times New Roman" w:cs="Times New Roman"/>
                <w:sz w:val="24"/>
                <w:lang w:val="en-US" w:eastAsia="zh-CN"/>
              </w:rPr>
              <w:t>。</w:t>
            </w:r>
          </w:p>
          <w:p w14:paraId="5206EB87">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lang w:val="en-US" w:eastAsia="zh-CN"/>
              </w:rPr>
              <w:t xml:space="preserve">表2-4  </w:t>
            </w:r>
            <w:r>
              <w:rPr>
                <w:rFonts w:hint="default" w:ascii="Times New Roman" w:hAnsi="Times New Roman" w:cs="Times New Roman"/>
                <w:b/>
                <w:bCs/>
                <w:sz w:val="21"/>
                <w:szCs w:val="21"/>
              </w:rPr>
              <w:t>本项目原辅材料消耗情况表</w:t>
            </w:r>
          </w:p>
          <w:tbl>
            <w:tblPr>
              <w:tblStyle w:val="31"/>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81"/>
              <w:gridCol w:w="2311"/>
              <w:gridCol w:w="1720"/>
              <w:gridCol w:w="1916"/>
            </w:tblGrid>
            <w:tr w14:paraId="319A0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Merge w:val="restart"/>
                  <w:vAlign w:val="center"/>
                </w:tcPr>
                <w:p w14:paraId="65FF0A50">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b/>
                      <w:bCs/>
                      <w:sz w:val="21"/>
                      <w:szCs w:val="21"/>
                      <w:lang w:val="en-US" w:eastAsia="zh-CN"/>
                    </w:rPr>
                    <w:t>序号</w:t>
                  </w:r>
                </w:p>
              </w:tc>
              <w:tc>
                <w:tcPr>
                  <w:tcW w:w="1981" w:type="dxa"/>
                  <w:vMerge w:val="restart"/>
                  <w:vAlign w:val="center"/>
                </w:tcPr>
                <w:p w14:paraId="562F9C11">
                  <w:pPr>
                    <w:bidi w:val="0"/>
                    <w:spacing w:line="240" w:lineRule="auto"/>
                    <w:ind w:left="0" w:leftChars="0" w:firstLine="0" w:firstLineChars="0"/>
                    <w:jc w:val="center"/>
                    <w:rPr>
                      <w:rFonts w:hint="default" w:ascii="Times New Roman" w:hAnsi="Times New Roman" w:cs="Times New Roman"/>
                      <w:b/>
                      <w:bCs/>
                      <w:sz w:val="21"/>
                      <w:szCs w:val="21"/>
                      <w:lang w:val="en-US" w:eastAsia="zh-CN"/>
                    </w:rPr>
                  </w:pPr>
                  <w:r>
                    <w:rPr>
                      <w:rFonts w:hint="eastAsia" w:cs="Times New Roman"/>
                      <w:b/>
                      <w:bCs/>
                      <w:sz w:val="21"/>
                      <w:szCs w:val="21"/>
                      <w:lang w:val="en-US" w:eastAsia="zh-CN"/>
                    </w:rPr>
                    <w:t>工序</w:t>
                  </w:r>
                </w:p>
              </w:tc>
              <w:tc>
                <w:tcPr>
                  <w:tcW w:w="4031" w:type="dxa"/>
                  <w:gridSpan w:val="2"/>
                  <w:vAlign w:val="center"/>
                </w:tcPr>
                <w:p w14:paraId="5C500023">
                  <w:pPr>
                    <w:bidi w:val="0"/>
                    <w:spacing w:line="240" w:lineRule="auto"/>
                    <w:ind w:left="0" w:leftChars="0" w:firstLine="0" w:firstLineChars="0"/>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验收期间原辅材料消耗情况</w:t>
                  </w:r>
                </w:p>
              </w:tc>
              <w:tc>
                <w:tcPr>
                  <w:tcW w:w="1916" w:type="dxa"/>
                  <w:vAlign w:val="center"/>
                </w:tcPr>
                <w:p w14:paraId="3742CE54">
                  <w:pPr>
                    <w:bidi w:val="0"/>
                    <w:spacing w:line="240" w:lineRule="auto"/>
                    <w:ind w:left="0" w:leftChars="0" w:firstLine="0" w:firstLineChars="0"/>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环评中原辅材料消耗情况</w:t>
                  </w:r>
                </w:p>
              </w:tc>
            </w:tr>
            <w:tr w14:paraId="0F00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Merge w:val="continue"/>
                  <w:vAlign w:val="center"/>
                </w:tcPr>
                <w:p w14:paraId="0D54BAD3">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p>
              </w:tc>
              <w:tc>
                <w:tcPr>
                  <w:tcW w:w="1981" w:type="dxa"/>
                  <w:vMerge w:val="continue"/>
                  <w:vAlign w:val="center"/>
                </w:tcPr>
                <w:p w14:paraId="5B6844D6">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p>
              </w:tc>
              <w:tc>
                <w:tcPr>
                  <w:tcW w:w="2311" w:type="dxa"/>
                  <w:vAlign w:val="center"/>
                </w:tcPr>
                <w:p w14:paraId="7280AEBC">
                  <w:pPr>
                    <w:bidi w:val="0"/>
                    <w:spacing w:line="240" w:lineRule="auto"/>
                    <w:ind w:left="0" w:leftChars="0" w:firstLine="0" w:firstLineChars="0"/>
                    <w:jc w:val="center"/>
                    <w:rPr>
                      <w:rFonts w:hint="default" w:ascii="Times New Roman" w:hAnsi="Times New Roman" w:cs="Times New Roman"/>
                      <w:sz w:val="21"/>
                      <w:szCs w:val="21"/>
                    </w:rPr>
                  </w:pPr>
                  <w:r>
                    <w:rPr>
                      <w:rFonts w:hint="default" w:ascii="Times New Roman" w:hAnsi="Times New Roman" w:cs="Times New Roman"/>
                      <w:b/>
                      <w:bCs/>
                      <w:sz w:val="21"/>
                      <w:szCs w:val="21"/>
                    </w:rPr>
                    <w:t>名称</w:t>
                  </w:r>
                </w:p>
              </w:tc>
              <w:tc>
                <w:tcPr>
                  <w:tcW w:w="1720" w:type="dxa"/>
                  <w:vAlign w:val="center"/>
                </w:tcPr>
                <w:p w14:paraId="4BE79837">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b/>
                      <w:bCs/>
                      <w:sz w:val="21"/>
                      <w:szCs w:val="21"/>
                    </w:rPr>
                    <w:t>年耗用量</w:t>
                  </w:r>
                </w:p>
              </w:tc>
              <w:tc>
                <w:tcPr>
                  <w:tcW w:w="1916" w:type="dxa"/>
                  <w:vAlign w:val="center"/>
                </w:tcPr>
                <w:p w14:paraId="764E8A98">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b/>
                      <w:bCs/>
                      <w:sz w:val="21"/>
                      <w:szCs w:val="21"/>
                    </w:rPr>
                    <w:t>年耗用量</w:t>
                  </w:r>
                </w:p>
              </w:tc>
            </w:tr>
            <w:tr w14:paraId="6935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11CC2442">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w:t>
                  </w:r>
                </w:p>
              </w:tc>
              <w:tc>
                <w:tcPr>
                  <w:tcW w:w="1981" w:type="dxa"/>
                  <w:vMerge w:val="restart"/>
                  <w:shd w:val="clear" w:color="auto" w:fill="auto"/>
                  <w:vAlign w:val="center"/>
                </w:tcPr>
                <w:p w14:paraId="393526B8">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油相超细红磷阻燃剂生产线原料</w:t>
                  </w:r>
                </w:p>
              </w:tc>
              <w:tc>
                <w:tcPr>
                  <w:tcW w:w="2311" w:type="dxa"/>
                  <w:shd w:val="clear" w:color="auto" w:fill="auto"/>
                  <w:vAlign w:val="center"/>
                </w:tcPr>
                <w:p w14:paraId="21830014">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红磷</w:t>
                  </w:r>
                </w:p>
              </w:tc>
              <w:tc>
                <w:tcPr>
                  <w:tcW w:w="1720" w:type="dxa"/>
                  <w:shd w:val="clear" w:color="auto" w:fill="auto"/>
                  <w:vAlign w:val="center"/>
                </w:tcPr>
                <w:p w14:paraId="569D4ADE">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1900吨</w:t>
                  </w:r>
                </w:p>
              </w:tc>
              <w:tc>
                <w:tcPr>
                  <w:tcW w:w="1916" w:type="dxa"/>
                  <w:shd w:val="clear" w:color="auto" w:fill="auto"/>
                  <w:vAlign w:val="center"/>
                </w:tcPr>
                <w:p w14:paraId="5B6798CC">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2000吨</w:t>
                  </w:r>
                </w:p>
              </w:tc>
            </w:tr>
            <w:tr w14:paraId="42D1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36378CD9">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w:t>
                  </w:r>
                </w:p>
              </w:tc>
              <w:tc>
                <w:tcPr>
                  <w:tcW w:w="1981" w:type="dxa"/>
                  <w:vMerge w:val="continue"/>
                  <w:shd w:val="clear" w:color="auto" w:fill="auto"/>
                  <w:vAlign w:val="center"/>
                </w:tcPr>
                <w:p w14:paraId="1A838EC7">
                  <w:pPr>
                    <w:bidi w:val="0"/>
                    <w:spacing w:line="240" w:lineRule="auto"/>
                    <w:ind w:left="0" w:leftChars="0" w:firstLine="0" w:firstLineChars="0"/>
                    <w:jc w:val="center"/>
                    <w:rPr>
                      <w:rFonts w:hint="default" w:ascii="Times New Roman" w:hAnsi="Times New Roman" w:cs="Times New Roman"/>
                      <w:sz w:val="21"/>
                      <w:szCs w:val="21"/>
                      <w:lang w:val="en-US" w:eastAsia="zh-CN"/>
                    </w:rPr>
                  </w:pPr>
                </w:p>
              </w:tc>
              <w:tc>
                <w:tcPr>
                  <w:tcW w:w="2311" w:type="dxa"/>
                  <w:shd w:val="clear" w:color="auto" w:fill="auto"/>
                  <w:vAlign w:val="center"/>
                </w:tcPr>
                <w:p w14:paraId="64F7E890">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白油</w:t>
                  </w:r>
                </w:p>
              </w:tc>
              <w:tc>
                <w:tcPr>
                  <w:tcW w:w="1720" w:type="dxa"/>
                  <w:shd w:val="clear" w:color="auto" w:fill="auto"/>
                  <w:vAlign w:val="center"/>
                </w:tcPr>
                <w:p w14:paraId="39C91D95">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950吨</w:t>
                  </w:r>
                </w:p>
              </w:tc>
              <w:tc>
                <w:tcPr>
                  <w:tcW w:w="1916" w:type="dxa"/>
                  <w:shd w:val="clear" w:color="auto" w:fill="auto"/>
                  <w:vAlign w:val="center"/>
                </w:tcPr>
                <w:p w14:paraId="6CEBC186">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1000吨</w:t>
                  </w:r>
                </w:p>
              </w:tc>
            </w:tr>
            <w:tr w14:paraId="2FAA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474EE40B">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w:t>
                  </w:r>
                </w:p>
              </w:tc>
              <w:tc>
                <w:tcPr>
                  <w:tcW w:w="1981" w:type="dxa"/>
                  <w:vMerge w:val="continue"/>
                  <w:shd w:val="clear" w:color="auto" w:fill="auto"/>
                  <w:vAlign w:val="center"/>
                </w:tcPr>
                <w:p w14:paraId="60ED8B19">
                  <w:pPr>
                    <w:bidi w:val="0"/>
                    <w:spacing w:line="240" w:lineRule="auto"/>
                    <w:ind w:left="0" w:leftChars="0" w:firstLine="0" w:firstLineChars="0"/>
                    <w:jc w:val="center"/>
                    <w:rPr>
                      <w:rFonts w:hint="default" w:ascii="Times New Roman" w:hAnsi="Times New Roman" w:cs="Times New Roman"/>
                      <w:sz w:val="21"/>
                      <w:szCs w:val="21"/>
                      <w:lang w:val="en-US" w:eastAsia="zh-CN"/>
                    </w:rPr>
                  </w:pPr>
                </w:p>
              </w:tc>
              <w:tc>
                <w:tcPr>
                  <w:tcW w:w="2311" w:type="dxa"/>
                  <w:shd w:val="clear" w:color="auto" w:fill="auto"/>
                  <w:vAlign w:val="center"/>
                </w:tcPr>
                <w:p w14:paraId="69DD9AE9">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密胺树脂</w:t>
                  </w:r>
                </w:p>
              </w:tc>
              <w:tc>
                <w:tcPr>
                  <w:tcW w:w="1720" w:type="dxa"/>
                  <w:shd w:val="clear" w:color="auto" w:fill="auto"/>
                  <w:vAlign w:val="center"/>
                </w:tcPr>
                <w:p w14:paraId="61A5DBFE">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950吨</w:t>
                  </w:r>
                </w:p>
              </w:tc>
              <w:tc>
                <w:tcPr>
                  <w:tcW w:w="1916" w:type="dxa"/>
                  <w:shd w:val="clear" w:color="auto" w:fill="auto"/>
                  <w:vAlign w:val="center"/>
                </w:tcPr>
                <w:p w14:paraId="2257FFD7">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1000吨</w:t>
                  </w:r>
                </w:p>
              </w:tc>
            </w:tr>
            <w:tr w14:paraId="04E8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tcPr>
                <w:p w14:paraId="7962B913">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w:t>
                  </w:r>
                </w:p>
              </w:tc>
              <w:tc>
                <w:tcPr>
                  <w:tcW w:w="1981" w:type="dxa"/>
                  <w:vMerge w:val="continue"/>
                  <w:shd w:val="clear" w:color="auto" w:fill="auto"/>
                  <w:vAlign w:val="center"/>
                </w:tcPr>
                <w:p w14:paraId="0FEA3091">
                  <w:pPr>
                    <w:bidi w:val="0"/>
                    <w:spacing w:line="240" w:lineRule="auto"/>
                    <w:ind w:left="0" w:leftChars="0" w:firstLine="0" w:firstLineChars="0"/>
                    <w:jc w:val="center"/>
                    <w:rPr>
                      <w:rFonts w:hint="default" w:ascii="Times New Roman" w:hAnsi="Times New Roman" w:cs="Times New Roman"/>
                      <w:sz w:val="21"/>
                      <w:szCs w:val="21"/>
                      <w:lang w:val="en-US" w:eastAsia="zh-CN"/>
                    </w:rPr>
                  </w:pPr>
                </w:p>
              </w:tc>
              <w:tc>
                <w:tcPr>
                  <w:tcW w:w="2311" w:type="dxa"/>
                  <w:shd w:val="clear" w:color="auto" w:fill="auto"/>
                  <w:vAlign w:val="center"/>
                </w:tcPr>
                <w:p w14:paraId="488E2F88">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陶瓷珠</w:t>
                  </w:r>
                </w:p>
              </w:tc>
              <w:tc>
                <w:tcPr>
                  <w:tcW w:w="1720" w:type="dxa"/>
                  <w:shd w:val="clear" w:color="auto" w:fill="auto"/>
                  <w:vAlign w:val="center"/>
                </w:tcPr>
                <w:p w14:paraId="731808BC">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95kg</w:t>
                  </w:r>
                </w:p>
              </w:tc>
              <w:tc>
                <w:tcPr>
                  <w:tcW w:w="1916" w:type="dxa"/>
                  <w:shd w:val="clear" w:color="auto" w:fill="auto"/>
                  <w:vAlign w:val="center"/>
                </w:tcPr>
                <w:p w14:paraId="3BD144CE">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100kg</w:t>
                  </w:r>
                </w:p>
              </w:tc>
            </w:tr>
            <w:tr w14:paraId="0AC0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tcPr>
                <w:p w14:paraId="79F90777">
                  <w:pPr>
                    <w:bidi w:val="0"/>
                    <w:spacing w:line="240" w:lineRule="auto"/>
                    <w:ind w:left="0" w:leftChars="0" w:firstLine="0" w:firstLineChars="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w:t>
                  </w:r>
                </w:p>
              </w:tc>
              <w:tc>
                <w:tcPr>
                  <w:tcW w:w="1981" w:type="dxa"/>
                  <w:vMerge w:val="restart"/>
                  <w:shd w:val="clear" w:color="auto" w:fill="auto"/>
                  <w:vAlign w:val="center"/>
                </w:tcPr>
                <w:p w14:paraId="0E9B87A1">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红磷阻燃母粒生产线原料</w:t>
                  </w:r>
                </w:p>
              </w:tc>
              <w:tc>
                <w:tcPr>
                  <w:tcW w:w="2311" w:type="dxa"/>
                  <w:shd w:val="clear" w:color="auto" w:fill="auto"/>
                  <w:vAlign w:val="center"/>
                </w:tcPr>
                <w:p w14:paraId="5AAEC1E2">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油相超细红磷阻燃剂</w:t>
                  </w:r>
                </w:p>
              </w:tc>
              <w:tc>
                <w:tcPr>
                  <w:tcW w:w="1720" w:type="dxa"/>
                  <w:shd w:val="clear" w:color="auto" w:fill="auto"/>
                  <w:vAlign w:val="center"/>
                </w:tcPr>
                <w:p w14:paraId="7C9B196D">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1900吨</w:t>
                  </w:r>
                </w:p>
              </w:tc>
              <w:tc>
                <w:tcPr>
                  <w:tcW w:w="1916" w:type="dxa"/>
                  <w:shd w:val="clear" w:color="auto" w:fill="auto"/>
                  <w:vAlign w:val="center"/>
                </w:tcPr>
                <w:p w14:paraId="188C3A4E">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2000吨</w:t>
                  </w:r>
                </w:p>
              </w:tc>
            </w:tr>
            <w:tr w14:paraId="1F44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tcPr>
                <w:p w14:paraId="4DDCC2C4">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6</w:t>
                  </w:r>
                </w:p>
              </w:tc>
              <w:tc>
                <w:tcPr>
                  <w:tcW w:w="1981" w:type="dxa"/>
                  <w:vMerge w:val="continue"/>
                  <w:shd w:val="clear" w:color="auto" w:fill="auto"/>
                  <w:vAlign w:val="center"/>
                </w:tcPr>
                <w:p w14:paraId="46A0D31C">
                  <w:pPr>
                    <w:bidi w:val="0"/>
                    <w:spacing w:line="240" w:lineRule="auto"/>
                    <w:ind w:left="0" w:leftChars="0" w:firstLine="0" w:firstLineChars="0"/>
                    <w:jc w:val="center"/>
                    <w:rPr>
                      <w:rFonts w:hint="default" w:ascii="Times New Roman" w:hAnsi="Times New Roman" w:cs="Times New Roman"/>
                      <w:sz w:val="21"/>
                      <w:szCs w:val="21"/>
                      <w:lang w:val="en-US" w:eastAsia="zh-CN"/>
                    </w:rPr>
                  </w:pPr>
                </w:p>
              </w:tc>
              <w:tc>
                <w:tcPr>
                  <w:tcW w:w="2311" w:type="dxa"/>
                  <w:shd w:val="clear" w:color="auto" w:fill="auto"/>
                  <w:vAlign w:val="center"/>
                </w:tcPr>
                <w:p w14:paraId="3266F904">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聚乙烯树脂</w:t>
                  </w:r>
                </w:p>
              </w:tc>
              <w:tc>
                <w:tcPr>
                  <w:tcW w:w="1720" w:type="dxa"/>
                  <w:shd w:val="clear" w:color="auto" w:fill="auto"/>
                  <w:vAlign w:val="center"/>
                </w:tcPr>
                <w:p w14:paraId="56D316E7">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1900吨</w:t>
                  </w:r>
                </w:p>
              </w:tc>
              <w:tc>
                <w:tcPr>
                  <w:tcW w:w="1916" w:type="dxa"/>
                  <w:shd w:val="clear" w:color="auto" w:fill="auto"/>
                  <w:vAlign w:val="center"/>
                </w:tcPr>
                <w:p w14:paraId="74AF105D">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2000吨</w:t>
                  </w:r>
                </w:p>
              </w:tc>
            </w:tr>
          </w:tbl>
          <w:p w14:paraId="6225E105">
            <w:pPr>
              <w:ind w:firstLine="0" w:firstLineChars="0"/>
              <w:rPr>
                <w:rFonts w:hint="default" w:ascii="Times New Roman" w:hAnsi="Times New Roman" w:cs="Times New Roman"/>
              </w:rPr>
            </w:pPr>
            <w:r>
              <w:rPr>
                <w:rFonts w:hint="default" w:ascii="Times New Roman" w:hAnsi="Times New Roman" w:cs="Times New Roman"/>
              </w:rPr>
              <w:t>2、主要设备</w:t>
            </w:r>
          </w:p>
          <w:p w14:paraId="3F6C4213">
            <w:pPr>
              <w:ind w:firstLine="480"/>
              <w:rPr>
                <w:rFonts w:hint="default" w:ascii="Times New Roman" w:hAnsi="Times New Roman" w:cs="Times New Roman"/>
                <w:sz w:val="21"/>
                <w:szCs w:val="21"/>
              </w:rPr>
            </w:pPr>
            <w:r>
              <w:rPr>
                <w:rFonts w:hint="default" w:ascii="Times New Roman" w:hAnsi="Times New Roman" w:cs="Times New Roman"/>
              </w:rPr>
              <w:t>本</w:t>
            </w:r>
            <w:r>
              <w:rPr>
                <w:rFonts w:hint="default" w:ascii="Times New Roman" w:hAnsi="Times New Roman" w:cs="Times New Roman"/>
                <w:lang w:val="en-US" w:eastAsia="zh-CN"/>
              </w:rPr>
              <w:t>项目</w:t>
            </w:r>
            <w:r>
              <w:rPr>
                <w:rFonts w:hint="default" w:ascii="Times New Roman" w:hAnsi="Times New Roman" w:cs="Times New Roman"/>
              </w:rPr>
              <w:t>主要生产设备见表2-</w:t>
            </w:r>
            <w:r>
              <w:rPr>
                <w:rFonts w:hint="default" w:ascii="Times New Roman" w:hAnsi="Times New Roman" w:cs="Times New Roman"/>
                <w:lang w:val="en-US" w:eastAsia="zh-CN"/>
              </w:rPr>
              <w:t>5</w:t>
            </w:r>
            <w:r>
              <w:rPr>
                <w:rFonts w:hint="default" w:ascii="Times New Roman" w:hAnsi="Times New Roman" w:cs="Times New Roman"/>
              </w:rPr>
              <w:t>。</w:t>
            </w:r>
          </w:p>
          <w:p w14:paraId="1249FDCB">
            <w:pPr>
              <w:pStyle w:val="67"/>
              <w:spacing w:after="0"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表2-</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 xml:space="preserve"> 主要生产设备表</w:t>
            </w:r>
          </w:p>
          <w:tbl>
            <w:tblPr>
              <w:tblStyle w:val="31"/>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16"/>
              <w:gridCol w:w="3081"/>
              <w:gridCol w:w="1446"/>
              <w:gridCol w:w="2503"/>
            </w:tblGrid>
            <w:tr w14:paraId="0D272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46CF89EF">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eastAsia="zh-CN"/>
                    </w:rPr>
                    <w:t>序号</w:t>
                  </w:r>
                </w:p>
              </w:tc>
              <w:tc>
                <w:tcPr>
                  <w:tcW w:w="1416" w:type="dxa"/>
                  <w:vAlign w:val="center"/>
                </w:tcPr>
                <w:p w14:paraId="4206DC7E">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eastAsia" w:cs="Times New Roman"/>
                      <w:b/>
                      <w:bCs w:val="0"/>
                      <w:color w:val="auto"/>
                      <w:sz w:val="21"/>
                      <w:szCs w:val="21"/>
                      <w:lang w:val="en-US" w:eastAsia="zh-CN"/>
                    </w:rPr>
                    <w:t>工序</w:t>
                  </w:r>
                </w:p>
              </w:tc>
              <w:tc>
                <w:tcPr>
                  <w:tcW w:w="3081" w:type="dxa"/>
                  <w:vAlign w:val="center"/>
                </w:tcPr>
                <w:p w14:paraId="797D1424">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eastAsia="zh-CN"/>
                    </w:rPr>
                    <w:t>设备名称</w:t>
                  </w:r>
                </w:p>
              </w:tc>
              <w:tc>
                <w:tcPr>
                  <w:tcW w:w="1446" w:type="dxa"/>
                  <w:vAlign w:val="center"/>
                </w:tcPr>
                <w:p w14:paraId="6BD5D518">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eastAsia="zh-CN"/>
                    </w:rPr>
                    <w:t>数量</w:t>
                  </w:r>
                </w:p>
              </w:tc>
              <w:tc>
                <w:tcPr>
                  <w:tcW w:w="2503" w:type="dxa"/>
                  <w:vAlign w:val="center"/>
                </w:tcPr>
                <w:p w14:paraId="3FBD1F3B">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与环评设计比较情况</w:t>
                  </w:r>
                </w:p>
              </w:tc>
            </w:tr>
            <w:tr w14:paraId="2CD5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4DFD0EC9">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w:t>
                  </w:r>
                </w:p>
              </w:tc>
              <w:tc>
                <w:tcPr>
                  <w:tcW w:w="1416" w:type="dxa"/>
                  <w:vMerge w:val="restart"/>
                  <w:shd w:val="clear" w:color="auto" w:fill="auto"/>
                  <w:vAlign w:val="center"/>
                </w:tcPr>
                <w:p w14:paraId="726597F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油相超细红磷阻燃剂生产线</w:t>
                  </w:r>
                </w:p>
              </w:tc>
              <w:tc>
                <w:tcPr>
                  <w:tcW w:w="3081" w:type="dxa"/>
                  <w:shd w:val="clear" w:color="auto" w:fill="auto"/>
                  <w:vAlign w:val="center"/>
                </w:tcPr>
                <w:p w14:paraId="2624D8B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球磨机，2t</w:t>
                  </w:r>
                </w:p>
              </w:tc>
              <w:tc>
                <w:tcPr>
                  <w:tcW w:w="1446" w:type="dxa"/>
                  <w:shd w:val="clear" w:color="auto" w:fill="auto"/>
                  <w:vAlign w:val="center"/>
                </w:tcPr>
                <w:p w14:paraId="7846365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1台</w:t>
                  </w:r>
                </w:p>
              </w:tc>
              <w:tc>
                <w:tcPr>
                  <w:tcW w:w="2503" w:type="dxa"/>
                  <w:vAlign w:val="center"/>
                </w:tcPr>
                <w:p w14:paraId="728B267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62B8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59D0E70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2</w:t>
                  </w:r>
                </w:p>
              </w:tc>
              <w:tc>
                <w:tcPr>
                  <w:tcW w:w="1416" w:type="dxa"/>
                  <w:vMerge w:val="continue"/>
                  <w:shd w:val="clear" w:color="auto" w:fill="auto"/>
                  <w:vAlign w:val="center"/>
                </w:tcPr>
                <w:p w14:paraId="655F5626">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37E0B90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球磨机，1t</w:t>
                  </w:r>
                </w:p>
              </w:tc>
              <w:tc>
                <w:tcPr>
                  <w:tcW w:w="1446" w:type="dxa"/>
                  <w:shd w:val="clear" w:color="auto" w:fill="auto"/>
                  <w:vAlign w:val="center"/>
                </w:tcPr>
                <w:p w14:paraId="64708F70">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2台</w:t>
                  </w:r>
                </w:p>
              </w:tc>
              <w:tc>
                <w:tcPr>
                  <w:tcW w:w="2503" w:type="dxa"/>
                  <w:vAlign w:val="center"/>
                </w:tcPr>
                <w:p w14:paraId="688BB65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0BF3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512D9C4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3</w:t>
                  </w:r>
                </w:p>
              </w:tc>
              <w:tc>
                <w:tcPr>
                  <w:tcW w:w="1416" w:type="dxa"/>
                  <w:vMerge w:val="continue"/>
                  <w:shd w:val="clear" w:color="auto" w:fill="auto"/>
                  <w:vAlign w:val="center"/>
                </w:tcPr>
                <w:p w14:paraId="0479B2D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7F0B2DD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砂磨机，30L</w:t>
                  </w:r>
                </w:p>
              </w:tc>
              <w:tc>
                <w:tcPr>
                  <w:tcW w:w="1446" w:type="dxa"/>
                  <w:shd w:val="clear" w:color="auto" w:fill="auto"/>
                  <w:vAlign w:val="center"/>
                </w:tcPr>
                <w:p w14:paraId="64C54EC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4台</w:t>
                  </w:r>
                </w:p>
              </w:tc>
              <w:tc>
                <w:tcPr>
                  <w:tcW w:w="2503" w:type="dxa"/>
                  <w:vAlign w:val="center"/>
                </w:tcPr>
                <w:p w14:paraId="5553170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336D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055B870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4</w:t>
                  </w:r>
                </w:p>
              </w:tc>
              <w:tc>
                <w:tcPr>
                  <w:tcW w:w="1416" w:type="dxa"/>
                  <w:vMerge w:val="continue"/>
                  <w:shd w:val="clear" w:color="auto" w:fill="auto"/>
                  <w:vAlign w:val="center"/>
                </w:tcPr>
                <w:p w14:paraId="5858A3DF">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04A46AA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砂磨机，60L</w:t>
                  </w:r>
                </w:p>
              </w:tc>
              <w:tc>
                <w:tcPr>
                  <w:tcW w:w="1446" w:type="dxa"/>
                  <w:shd w:val="clear" w:color="auto" w:fill="auto"/>
                  <w:vAlign w:val="center"/>
                </w:tcPr>
                <w:p w14:paraId="3B2C703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2台</w:t>
                  </w:r>
                </w:p>
              </w:tc>
              <w:tc>
                <w:tcPr>
                  <w:tcW w:w="2503" w:type="dxa"/>
                  <w:vAlign w:val="center"/>
                </w:tcPr>
                <w:p w14:paraId="19985A2E">
                  <w:pPr>
                    <w:spacing w:line="240" w:lineRule="auto"/>
                    <w:ind w:left="0" w:leftChars="0" w:firstLine="0" w:firstLineChars="0"/>
                    <w:jc w:val="center"/>
                    <w:rPr>
                      <w:rFonts w:hint="default" w:ascii="Times New Roman" w:hAnsi="Times New Roman" w:cs="Times New Roman"/>
                      <w:bCs/>
                      <w:color w:val="000000" w:themeColor="text1"/>
                      <w:sz w:val="21"/>
                      <w:szCs w:val="21"/>
                      <w14:textFill>
                        <w14:solidFill>
                          <w14:schemeClr w14:val="tx1"/>
                        </w14:solidFill>
                      </w14:textFill>
                    </w:rPr>
                  </w:pPr>
                  <w:r>
                    <w:rPr>
                      <w:rFonts w:hint="default" w:ascii="Times New Roman" w:hAnsi="Times New Roman" w:cs="Times New Roman"/>
                      <w:bCs/>
                      <w:color w:val="auto"/>
                      <w:sz w:val="21"/>
                      <w:szCs w:val="21"/>
                      <w:lang w:val="en-US" w:eastAsia="zh-CN"/>
                    </w:rPr>
                    <w:t>与环评设计一致</w:t>
                  </w:r>
                </w:p>
              </w:tc>
            </w:tr>
            <w:tr w14:paraId="34E5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6C90A24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5</w:t>
                  </w:r>
                </w:p>
              </w:tc>
              <w:tc>
                <w:tcPr>
                  <w:tcW w:w="1416" w:type="dxa"/>
                  <w:vMerge w:val="continue"/>
                  <w:shd w:val="clear" w:color="auto" w:fill="auto"/>
                  <w:vAlign w:val="center"/>
                </w:tcPr>
                <w:p w14:paraId="40E16DE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1D1A140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离心机，1000L</w:t>
                  </w:r>
                </w:p>
              </w:tc>
              <w:tc>
                <w:tcPr>
                  <w:tcW w:w="1446" w:type="dxa"/>
                  <w:shd w:val="clear" w:color="auto" w:fill="auto"/>
                  <w:vAlign w:val="center"/>
                </w:tcPr>
                <w:p w14:paraId="3C2DE6F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4台</w:t>
                  </w:r>
                </w:p>
              </w:tc>
              <w:tc>
                <w:tcPr>
                  <w:tcW w:w="2503" w:type="dxa"/>
                  <w:vAlign w:val="center"/>
                </w:tcPr>
                <w:p w14:paraId="2D7706CD">
                  <w:pPr>
                    <w:spacing w:line="240" w:lineRule="auto"/>
                    <w:ind w:left="0" w:leftChars="0" w:firstLine="0" w:firstLineChars="0"/>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与环评设计一致</w:t>
                  </w:r>
                </w:p>
              </w:tc>
            </w:tr>
            <w:tr w14:paraId="0F66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289F4070">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6</w:t>
                  </w:r>
                </w:p>
              </w:tc>
              <w:tc>
                <w:tcPr>
                  <w:tcW w:w="1416" w:type="dxa"/>
                  <w:vMerge w:val="continue"/>
                  <w:shd w:val="clear" w:color="auto" w:fill="auto"/>
                  <w:vAlign w:val="center"/>
                </w:tcPr>
                <w:p w14:paraId="5D3E385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4561643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离心机，800L</w:t>
                  </w:r>
                </w:p>
              </w:tc>
              <w:tc>
                <w:tcPr>
                  <w:tcW w:w="1446" w:type="dxa"/>
                  <w:shd w:val="clear" w:color="auto" w:fill="auto"/>
                  <w:vAlign w:val="center"/>
                </w:tcPr>
                <w:p w14:paraId="111FF37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3台</w:t>
                  </w:r>
                </w:p>
              </w:tc>
              <w:tc>
                <w:tcPr>
                  <w:tcW w:w="2503" w:type="dxa"/>
                  <w:vAlign w:val="center"/>
                </w:tcPr>
                <w:p w14:paraId="4159C920">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022F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3A2DC91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7</w:t>
                  </w:r>
                </w:p>
              </w:tc>
              <w:tc>
                <w:tcPr>
                  <w:tcW w:w="1416" w:type="dxa"/>
                  <w:vMerge w:val="continue"/>
                  <w:shd w:val="clear" w:color="auto" w:fill="auto"/>
                  <w:vAlign w:val="center"/>
                </w:tcPr>
                <w:p w14:paraId="507B884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766400B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搅拌机，1000L</w:t>
                  </w:r>
                </w:p>
              </w:tc>
              <w:tc>
                <w:tcPr>
                  <w:tcW w:w="1446" w:type="dxa"/>
                  <w:shd w:val="clear" w:color="auto" w:fill="auto"/>
                  <w:vAlign w:val="center"/>
                </w:tcPr>
                <w:p w14:paraId="50C37629">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4台</w:t>
                  </w:r>
                </w:p>
              </w:tc>
              <w:tc>
                <w:tcPr>
                  <w:tcW w:w="2503" w:type="dxa"/>
                  <w:vAlign w:val="center"/>
                </w:tcPr>
                <w:p w14:paraId="7D04331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0E70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5CE52E9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8</w:t>
                  </w:r>
                </w:p>
              </w:tc>
              <w:tc>
                <w:tcPr>
                  <w:tcW w:w="1416" w:type="dxa"/>
                  <w:vMerge w:val="continue"/>
                  <w:shd w:val="clear" w:color="auto" w:fill="auto"/>
                  <w:vAlign w:val="center"/>
                </w:tcPr>
                <w:p w14:paraId="1D6098F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47EBFF7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搅拌桶，100L</w:t>
                  </w:r>
                </w:p>
              </w:tc>
              <w:tc>
                <w:tcPr>
                  <w:tcW w:w="1446" w:type="dxa"/>
                  <w:shd w:val="clear" w:color="auto" w:fill="auto"/>
                  <w:vAlign w:val="center"/>
                </w:tcPr>
                <w:p w14:paraId="2D0A2E6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5个</w:t>
                  </w:r>
                </w:p>
              </w:tc>
              <w:tc>
                <w:tcPr>
                  <w:tcW w:w="2503" w:type="dxa"/>
                  <w:vAlign w:val="center"/>
                </w:tcPr>
                <w:p w14:paraId="688696F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6700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7EC2E279">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9</w:t>
                  </w:r>
                </w:p>
              </w:tc>
              <w:tc>
                <w:tcPr>
                  <w:tcW w:w="1416" w:type="dxa"/>
                  <w:vMerge w:val="continue"/>
                  <w:shd w:val="clear" w:color="auto" w:fill="auto"/>
                  <w:vAlign w:val="center"/>
                </w:tcPr>
                <w:p w14:paraId="0EC5548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5545F74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保温桶，100L</w:t>
                  </w:r>
                </w:p>
              </w:tc>
              <w:tc>
                <w:tcPr>
                  <w:tcW w:w="1446" w:type="dxa"/>
                  <w:shd w:val="clear" w:color="auto" w:fill="auto"/>
                  <w:vAlign w:val="center"/>
                </w:tcPr>
                <w:p w14:paraId="32DBB5F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3个</w:t>
                  </w:r>
                </w:p>
              </w:tc>
              <w:tc>
                <w:tcPr>
                  <w:tcW w:w="2503" w:type="dxa"/>
                  <w:vAlign w:val="center"/>
                </w:tcPr>
                <w:p w14:paraId="1489DDA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4BD4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413F3F31">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10</w:t>
                  </w:r>
                </w:p>
              </w:tc>
              <w:tc>
                <w:tcPr>
                  <w:tcW w:w="1416" w:type="dxa"/>
                  <w:vMerge w:val="continue"/>
                  <w:shd w:val="clear" w:color="auto" w:fill="auto"/>
                  <w:vAlign w:val="center"/>
                </w:tcPr>
                <w:p w14:paraId="76C9C0C0">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56E907C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自动包装机</w:t>
                  </w:r>
                </w:p>
              </w:tc>
              <w:tc>
                <w:tcPr>
                  <w:tcW w:w="1446" w:type="dxa"/>
                  <w:shd w:val="clear" w:color="auto" w:fill="auto"/>
                  <w:vAlign w:val="center"/>
                </w:tcPr>
                <w:p w14:paraId="4BD3530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1套</w:t>
                  </w:r>
                </w:p>
              </w:tc>
              <w:tc>
                <w:tcPr>
                  <w:tcW w:w="2503" w:type="dxa"/>
                  <w:vAlign w:val="center"/>
                </w:tcPr>
                <w:p w14:paraId="4C5EDA6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52CF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vAlign w:val="center"/>
                </w:tcPr>
                <w:p w14:paraId="2FEDD4E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11</w:t>
                  </w:r>
                </w:p>
              </w:tc>
              <w:tc>
                <w:tcPr>
                  <w:tcW w:w="1416" w:type="dxa"/>
                  <w:vMerge w:val="restart"/>
                  <w:shd w:val="clear" w:color="auto" w:fill="auto"/>
                  <w:vAlign w:val="center"/>
                </w:tcPr>
                <w:p w14:paraId="053460C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红磷阻燃母粒生产线</w:t>
                  </w:r>
                </w:p>
              </w:tc>
              <w:tc>
                <w:tcPr>
                  <w:tcW w:w="3081" w:type="dxa"/>
                  <w:shd w:val="clear" w:color="auto" w:fill="auto"/>
                  <w:vAlign w:val="center"/>
                </w:tcPr>
                <w:p w14:paraId="0E26712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混料机，100L</w:t>
                  </w:r>
                </w:p>
              </w:tc>
              <w:tc>
                <w:tcPr>
                  <w:tcW w:w="1446" w:type="dxa"/>
                  <w:shd w:val="clear" w:color="auto" w:fill="auto"/>
                  <w:vAlign w:val="center"/>
                </w:tcPr>
                <w:p w14:paraId="4E71888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2台</w:t>
                  </w:r>
                </w:p>
              </w:tc>
              <w:tc>
                <w:tcPr>
                  <w:tcW w:w="2503" w:type="dxa"/>
                  <w:vAlign w:val="center"/>
                </w:tcPr>
                <w:p w14:paraId="61C28AF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316A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10" w:type="dxa"/>
                  <w:vAlign w:val="center"/>
                </w:tcPr>
                <w:p w14:paraId="7ED9C441">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12</w:t>
                  </w:r>
                </w:p>
              </w:tc>
              <w:tc>
                <w:tcPr>
                  <w:tcW w:w="1416" w:type="dxa"/>
                  <w:vMerge w:val="continue"/>
                  <w:shd w:val="clear" w:color="auto" w:fill="auto"/>
                  <w:vAlign w:val="center"/>
                </w:tcPr>
                <w:p w14:paraId="7B6660C9">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727543D9">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双螺杆挤出机</w:t>
                  </w:r>
                </w:p>
                <w:p w14:paraId="0DE7074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（直径130mm，自带切粒）</w:t>
                  </w:r>
                </w:p>
              </w:tc>
              <w:tc>
                <w:tcPr>
                  <w:tcW w:w="1446" w:type="dxa"/>
                  <w:shd w:val="clear" w:color="auto" w:fill="auto"/>
                  <w:vAlign w:val="center"/>
                </w:tcPr>
                <w:p w14:paraId="7C31E2B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2台</w:t>
                  </w:r>
                </w:p>
              </w:tc>
              <w:tc>
                <w:tcPr>
                  <w:tcW w:w="2503" w:type="dxa"/>
                  <w:vAlign w:val="center"/>
                </w:tcPr>
                <w:p w14:paraId="541C809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578A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tcPr>
                <w:p w14:paraId="5902335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13</w:t>
                  </w:r>
                </w:p>
              </w:tc>
              <w:tc>
                <w:tcPr>
                  <w:tcW w:w="1416" w:type="dxa"/>
                  <w:vMerge w:val="continue"/>
                  <w:shd w:val="clear" w:color="auto" w:fill="auto"/>
                  <w:vAlign w:val="center"/>
                </w:tcPr>
                <w:p w14:paraId="0B1CDA0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0BBE81A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自动包装机</w:t>
                  </w:r>
                </w:p>
              </w:tc>
              <w:tc>
                <w:tcPr>
                  <w:tcW w:w="1446" w:type="dxa"/>
                  <w:shd w:val="clear" w:color="auto" w:fill="auto"/>
                  <w:vAlign w:val="center"/>
                </w:tcPr>
                <w:p w14:paraId="4AE570CF">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1套</w:t>
                  </w:r>
                </w:p>
              </w:tc>
              <w:tc>
                <w:tcPr>
                  <w:tcW w:w="2503" w:type="dxa"/>
                  <w:vAlign w:val="center"/>
                </w:tcPr>
                <w:p w14:paraId="08BB807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与环评设计一致</w:t>
                  </w:r>
                </w:p>
              </w:tc>
            </w:tr>
            <w:tr w14:paraId="2004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0" w:type="dxa"/>
                </w:tcPr>
                <w:p w14:paraId="44E2162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14</w:t>
                  </w:r>
                </w:p>
              </w:tc>
              <w:tc>
                <w:tcPr>
                  <w:tcW w:w="1416" w:type="dxa"/>
                  <w:vMerge w:val="continue"/>
                  <w:shd w:val="clear" w:color="auto" w:fill="auto"/>
                  <w:vAlign w:val="center"/>
                </w:tcPr>
                <w:p w14:paraId="019EF4D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3ADCA01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离心风机</w:t>
                  </w:r>
                </w:p>
              </w:tc>
              <w:tc>
                <w:tcPr>
                  <w:tcW w:w="1446" w:type="dxa"/>
                  <w:shd w:val="clear" w:color="auto" w:fill="auto"/>
                  <w:vAlign w:val="center"/>
                </w:tcPr>
                <w:p w14:paraId="23220F0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1台</w:t>
                  </w:r>
                </w:p>
              </w:tc>
              <w:tc>
                <w:tcPr>
                  <w:tcW w:w="2503" w:type="dxa"/>
                  <w:shd w:val="clear" w:color="auto" w:fill="auto"/>
                  <w:vAlign w:val="center"/>
                </w:tcPr>
                <w:p w14:paraId="04D4DD4F">
                  <w:pPr>
                    <w:spacing w:line="240" w:lineRule="auto"/>
                    <w:ind w:left="0" w:leftChars="0" w:firstLine="0" w:firstLineChars="0"/>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与环评设计一致</w:t>
                  </w:r>
                </w:p>
              </w:tc>
            </w:tr>
            <w:tr w14:paraId="74F7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10" w:type="dxa"/>
                </w:tcPr>
                <w:p w14:paraId="0C0D79D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15</w:t>
                  </w:r>
                </w:p>
              </w:tc>
              <w:tc>
                <w:tcPr>
                  <w:tcW w:w="1416" w:type="dxa"/>
                  <w:vMerge w:val="continue"/>
                  <w:shd w:val="clear" w:color="auto" w:fill="auto"/>
                  <w:vAlign w:val="center"/>
                </w:tcPr>
                <w:p w14:paraId="5D2977C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p>
              </w:tc>
              <w:tc>
                <w:tcPr>
                  <w:tcW w:w="3081" w:type="dxa"/>
                  <w:shd w:val="clear" w:color="auto" w:fill="auto"/>
                  <w:vAlign w:val="center"/>
                </w:tcPr>
                <w:p w14:paraId="3AB34F2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冷却风机</w:t>
                  </w:r>
                </w:p>
              </w:tc>
              <w:tc>
                <w:tcPr>
                  <w:tcW w:w="1446" w:type="dxa"/>
                  <w:shd w:val="clear" w:color="auto" w:fill="auto"/>
                  <w:vAlign w:val="center"/>
                </w:tcPr>
                <w:p w14:paraId="4F95932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1台</w:t>
                  </w:r>
                </w:p>
              </w:tc>
              <w:tc>
                <w:tcPr>
                  <w:tcW w:w="2503" w:type="dxa"/>
                  <w:shd w:val="clear" w:color="auto" w:fill="auto"/>
                  <w:vAlign w:val="center"/>
                </w:tcPr>
                <w:p w14:paraId="0AEFDCC7">
                  <w:pPr>
                    <w:spacing w:line="240" w:lineRule="auto"/>
                    <w:ind w:left="0" w:leftChars="0" w:firstLine="0" w:firstLineChars="0"/>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与环评设计一致</w:t>
                  </w:r>
                </w:p>
              </w:tc>
            </w:tr>
          </w:tbl>
          <w:p w14:paraId="78BDEF09">
            <w:pPr>
              <w:ind w:firstLine="0" w:firstLineChars="0"/>
              <w:rPr>
                <w:rFonts w:hint="default" w:ascii="Times New Roman" w:hAnsi="Times New Roman" w:cs="Times New Roman"/>
              </w:rPr>
            </w:pPr>
            <w:r>
              <w:rPr>
                <w:rFonts w:hint="default" w:ascii="Times New Roman" w:hAnsi="Times New Roman" w:cs="Times New Roman"/>
              </w:rPr>
              <w:t>3、项目水平衡概况</w:t>
            </w:r>
          </w:p>
          <w:p w14:paraId="23BAEDCD">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（1）生活用水</w:t>
            </w:r>
          </w:p>
          <w:p w14:paraId="3AFF7B5E">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项目劳动定员40人，年工作300天，不在厂内食宿，本项目生活用水量为1520m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w:t>
            </w:r>
          </w:p>
          <w:p w14:paraId="61226A35">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生活污水产生量为1216m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/a，经化粪池处理后，通过市政污水管网进入长阳铺镇污水处理厂进一步处理。</w:t>
            </w:r>
          </w:p>
          <w:p w14:paraId="24DEF505">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（2）生产用水</w:t>
            </w:r>
          </w:p>
          <w:p w14:paraId="73D0BA2D">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项目生产用水主要包括砂磨机冷却用水、保温桶用水、员工工衣洗衣用水、员工洗手用水、挤出机间接冷却用水。项目生产车间地面不冲洗，定期使用干、湿拖把进行清扫，清扫的干物料回用于红磷阻燃母粒生产线生产；拖把最后进入废水沉淀池清洗，定期清捞沉淀池沉渣回用于红磷阻燃母粒生产线生产。</w:t>
            </w:r>
          </w:p>
          <w:p w14:paraId="6225724F">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①砂磨机冷却用水：为防止砂磨过程中温度过高，设置水管往砂磨机内壁夹层里不断注水，以达到冷却效果。每台砂磨机的注水量约为1.5m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/h，项目共设置6台砂磨机，则冷却用水量为9m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/h，每天工作8小时，则总用水量为21600m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/a。该部分水经砂磨机出水口导流至循环水池，再抽至循环水塔循环使用。需定期补充1080m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w:t>
            </w:r>
          </w:p>
          <w:p w14:paraId="08AF5988">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②保温桶用水：根据工艺要求，使用水浴保温桶对产品进行干燥，保温桶控制温度为60-70℃，需要定期往保温桶里加水进行水浴保温，每天加水量约300L/台，项目共3台保温桶，则每天用水量为0.9m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，270m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/a，全部蒸发损耗掉。</w:t>
            </w:r>
          </w:p>
          <w:p w14:paraId="06F92AB9">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③工衣洗衣用水：由于工衣上沾有红磷粉末可回收利用，项目设置专门的洗衣机清洗工衣。根据建设单位提供的资料，平均每3天统一洗一次工衣，每次洗衣用水量约600L，则总用水量约60m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/a。洗衣废水经六级沉淀池混凝沉淀处理后，上清液流至循环水池，再抽至循环水塔循环使用。使用过程中因蒸发损耗约5%，即3m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/a，需定期补充。</w:t>
            </w:r>
          </w:p>
          <w:p w14:paraId="4AD057DF">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b w:val="0"/>
                <w:bCs/>
                <w:color w:val="000000" w:themeColor="text1"/>
                <w:sz w:val="24"/>
                <w:szCs w:val="24"/>
                <w:lang w:val="en-US" w:eastAsia="zh-CN"/>
                <w14:textFill>
                  <w14:solidFill>
                    <w14:schemeClr w14:val="tx1"/>
                  </w14:solidFill>
                </w14:textFill>
              </w:rPr>
              <w:instrText xml:space="preserve"> = 4 \* GB3 \* MERGEFORMAT </w:instrText>
            </w:r>
            <w:r>
              <w:rPr>
                <w:rFonts w:hint="default" w:ascii="Times New Roman" w:hAnsi="Times New Roman" w:cs="Times New Roman"/>
                <w:b w:val="0"/>
                <w:bCs/>
                <w:color w:val="000000" w:themeColor="text1"/>
                <w:sz w:val="24"/>
                <w:szCs w:val="24"/>
                <w:lang w:val="en-US" w:eastAsia="zh-CN"/>
                <w14:textFill>
                  <w14:solidFill>
                    <w14:schemeClr w14:val="tx1"/>
                  </w14:solidFill>
                </w14:textFill>
              </w:rPr>
              <w:fldChar w:fldCharType="separate"/>
            </w:r>
            <w:r>
              <w:rPr>
                <w:rFonts w:hint="default" w:ascii="Times New Roman" w:hAnsi="Times New Roman" w:cs="Times New Roman"/>
                <w:b w:val="0"/>
                <w:bCs/>
                <w:color w:val="000000" w:themeColor="text1"/>
                <w:sz w:val="24"/>
                <w:szCs w:val="24"/>
                <w:lang w:val="en-US" w:eastAsia="zh-CN"/>
                <w14:textFill>
                  <w14:solidFill>
                    <w14:schemeClr w14:val="tx1"/>
                  </w14:solidFill>
                </w14:textFill>
              </w:rPr>
              <w:t>④</w:t>
            </w:r>
            <w:r>
              <w:rPr>
                <w:rFonts w:hint="default" w:ascii="Times New Roman" w:hAnsi="Times New Roman" w:cs="Times New Roman"/>
                <w:b w:val="0"/>
                <w:bCs/>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b w:val="0"/>
                <w:bCs/>
                <w:color w:val="000000" w:themeColor="text1"/>
                <w:sz w:val="24"/>
                <w:szCs w:val="24"/>
                <w:lang w:val="en-US" w:eastAsia="zh-CN"/>
                <w14:textFill>
                  <w14:solidFill>
                    <w14:schemeClr w14:val="tx1"/>
                  </w14:solidFill>
                </w14:textFill>
              </w:rPr>
              <w:t>员工洗手用水：员工下班前会前往指定区域洗手。根据建设单位提供的资料，员工平均每人每天洗手用水量约2L，则洗手总用水量约24m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/a。洗手用水来源于循环水塔，洗手废水经管道排往沉淀池经混凝沉淀处理后，上清液流至循环水池，再抽至循环水塔循环使用。使用过程中因蒸发损耗约5%，即1.2m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/a，需定期补充。</w:t>
            </w:r>
          </w:p>
          <w:p w14:paraId="1331668D">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b w:val="0"/>
                <w:bCs/>
                <w:color w:val="000000" w:themeColor="text1"/>
                <w:sz w:val="24"/>
                <w:szCs w:val="24"/>
                <w:lang w:val="en-US" w:eastAsia="zh-CN"/>
                <w14:textFill>
                  <w14:solidFill>
                    <w14:schemeClr w14:val="tx1"/>
                  </w14:solidFill>
                </w14:textFill>
              </w:rPr>
              <w:instrText xml:space="preserve"> = 5 \* GB3 \* MERGEFORMAT </w:instrText>
            </w:r>
            <w:r>
              <w:rPr>
                <w:rFonts w:hint="default" w:ascii="Times New Roman" w:hAnsi="Times New Roman" w:cs="Times New Roman"/>
                <w:b w:val="0"/>
                <w:bCs/>
                <w:color w:val="000000" w:themeColor="text1"/>
                <w:sz w:val="24"/>
                <w:szCs w:val="24"/>
                <w:lang w:val="en-US" w:eastAsia="zh-CN"/>
                <w14:textFill>
                  <w14:solidFill>
                    <w14:schemeClr w14:val="tx1"/>
                  </w14:solidFill>
                </w14:textFill>
              </w:rPr>
              <w:fldChar w:fldCharType="separate"/>
            </w:r>
            <w:r>
              <w:rPr>
                <w:rFonts w:hint="default" w:ascii="Times New Roman" w:hAnsi="Times New Roman" w:cs="Times New Roman"/>
                <w:b w:val="0"/>
                <w:bCs/>
                <w:color w:val="000000" w:themeColor="text1"/>
                <w:sz w:val="24"/>
                <w:szCs w:val="24"/>
                <w:lang w:val="en-US" w:eastAsia="zh-CN"/>
                <w14:textFill>
                  <w14:solidFill>
                    <w14:schemeClr w14:val="tx1"/>
                  </w14:solidFill>
                </w14:textFill>
              </w:rPr>
              <w:t>⑤</w:t>
            </w:r>
            <w:r>
              <w:rPr>
                <w:rFonts w:hint="default" w:ascii="Times New Roman" w:hAnsi="Times New Roman" w:cs="Times New Roman"/>
                <w:b w:val="0"/>
                <w:bCs/>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b w:val="0"/>
                <w:bCs/>
                <w:color w:val="000000" w:themeColor="text1"/>
                <w:sz w:val="24"/>
                <w:szCs w:val="24"/>
                <w:lang w:val="en-US" w:eastAsia="zh-CN"/>
                <w14:textFill>
                  <w14:solidFill>
                    <w14:schemeClr w14:val="tx1"/>
                  </w14:solidFill>
                </w14:textFill>
              </w:rPr>
              <w:t>挤出机间接冷却用水：根据建设单位提供的资料，项目使用的双螺杆挤出机自带间接冷却水箱及冰冻装置，需要定期往水箱里加水，每天加水量约20L/台，项目共2台挤出机，则每天用水量为0.04m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，12m</w:t>
            </w:r>
            <w:r>
              <w:rPr>
                <w:rFonts w:hint="default" w:ascii="Times New Roman" w:hAnsi="Times New Roman" w:cs="Times New Roman"/>
                <w:b w:val="0"/>
                <w:bCs/>
                <w:color w:val="000000" w:themeColor="text1"/>
                <w:sz w:val="24"/>
                <w:szCs w:val="24"/>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/a，全部蒸发损耗掉。</w:t>
            </w:r>
          </w:p>
          <w:p w14:paraId="4DB5964C">
            <w:pPr>
              <w:ind w:firstLine="48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color w:val="000000" w:themeColor="text1"/>
                <w:sz w:val="24"/>
                <w:szCs w:val="24"/>
                <w:lang w:val="en-US" w:eastAsia="zh-CN"/>
                <w14:textFill>
                  <w14:solidFill>
                    <w14:schemeClr w14:val="tx1"/>
                  </w14:solidFill>
                </w14:textFill>
              </w:rPr>
              <w:t>综上所述，项目无</w:t>
            </w:r>
            <w:r>
              <w:rPr>
                <w:rFonts w:hint="eastAsia" w:cs="Times New Roman"/>
                <w:b w:val="0"/>
                <w:bCs/>
                <w:color w:val="000000" w:themeColor="text1"/>
                <w:sz w:val="24"/>
                <w:szCs w:val="24"/>
                <w:lang w:val="en-US" w:eastAsia="zh-CN"/>
                <w14:textFill>
                  <w14:solidFill>
                    <w14:schemeClr w14:val="tx1"/>
                  </w14:solidFill>
                </w14:textFill>
              </w:rPr>
              <w:t>生产</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废水外排</w:t>
            </w:r>
            <w:r>
              <w:rPr>
                <w:rFonts w:hint="eastAsia" w:cs="Times New Roman"/>
                <w:b w:val="0"/>
                <w:bCs/>
                <w:color w:val="000000" w:themeColor="text1"/>
                <w:sz w:val="24"/>
                <w:szCs w:val="24"/>
                <w:lang w:val="en-US" w:eastAsia="zh-CN"/>
                <w14:textFill>
                  <w14:solidFill>
                    <w14:schemeClr w14:val="tx1"/>
                  </w14:solidFill>
                </w14:textFill>
              </w:rPr>
              <w:t>，生活污水经化粪池处理后，通过市政污水管网进入长阳铺镇污水处理厂进一步处理</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w:t>
            </w:r>
          </w:p>
          <w:p w14:paraId="0A4AAEF9">
            <w:pPr>
              <w:ind w:firstLine="0" w:firstLineChars="0"/>
              <w:rPr>
                <w:rFonts w:hint="default" w:ascii="Times New Roman" w:hAnsi="Times New Roman" w:cs="Times New Roman"/>
                <w:b/>
              </w:rPr>
            </w:pPr>
            <w:r>
              <w:rPr>
                <w:rFonts w:hint="default" w:ascii="Times New Roman" w:hAnsi="Times New Roman" w:cs="Times New Roman"/>
                <w:b/>
              </w:rPr>
              <w:t>主要工艺流程及产污环节（附处理工艺流程图，标出产污节点）</w:t>
            </w:r>
          </w:p>
          <w:p w14:paraId="00010427">
            <w:pPr>
              <w:ind w:firstLine="480"/>
              <w:rPr>
                <w:rFonts w:hint="default" w:ascii="Times New Roman" w:hAnsi="Times New Roman" w:cs="Times New Roman"/>
                <w:sz w:val="24"/>
                <w:szCs w:val="24"/>
                <w:lang w:val="en-US" w:eastAsia="zh-CN"/>
              </w:rPr>
            </w:pPr>
            <w:r>
              <w:rPr>
                <w:rFonts w:hint="default" w:ascii="Times New Roman" w:hAnsi="Times New Roman" w:cs="Times New Roman"/>
                <w:sz w:val="24"/>
                <w:szCs w:val="24"/>
              </w:rPr>
              <w:t>项目</w:t>
            </w:r>
            <w:r>
              <w:rPr>
                <w:rFonts w:hint="default" w:ascii="Times New Roman" w:hAnsi="Times New Roman" w:cs="Times New Roman"/>
                <w:sz w:val="24"/>
                <w:szCs w:val="24"/>
                <w:lang w:val="en-US" w:eastAsia="zh-CN"/>
              </w:rPr>
              <w:t>油相超细红磷阻燃剂生产线生产工艺流程</w:t>
            </w:r>
            <w:r>
              <w:rPr>
                <w:rFonts w:hint="default" w:ascii="Times New Roman" w:hAnsi="Times New Roman" w:cs="Times New Roman"/>
                <w:sz w:val="24"/>
                <w:szCs w:val="24"/>
              </w:rPr>
              <w:t>主要为</w:t>
            </w:r>
            <w:r>
              <w:rPr>
                <w:rFonts w:hint="eastAsia" w:cs="Times New Roman"/>
                <w:sz w:val="24"/>
                <w:szCs w:val="24"/>
                <w:lang w:val="en-US" w:eastAsia="zh-CN"/>
              </w:rPr>
              <w:t>球磨、砂磨、离心、搅拌、保温、包装</w:t>
            </w:r>
            <w:r>
              <w:rPr>
                <w:rFonts w:hint="default" w:ascii="Times New Roman" w:hAnsi="Times New Roman" w:cs="Times New Roman"/>
                <w:sz w:val="24"/>
                <w:szCs w:val="24"/>
                <w:lang w:val="en-US" w:eastAsia="zh-CN"/>
              </w:rPr>
              <w:t>等</w:t>
            </w:r>
            <w:r>
              <w:rPr>
                <w:rFonts w:hint="default" w:ascii="Times New Roman" w:hAnsi="Times New Roman" w:cs="Times New Roman"/>
                <w:sz w:val="24"/>
                <w:szCs w:val="24"/>
              </w:rPr>
              <w:t>。本项目</w:t>
            </w:r>
            <w:r>
              <w:rPr>
                <w:rFonts w:hint="default" w:ascii="Times New Roman" w:hAnsi="Times New Roman" w:cs="Times New Roman"/>
                <w:sz w:val="24"/>
                <w:szCs w:val="24"/>
                <w:lang w:val="en-US" w:eastAsia="zh-CN"/>
              </w:rPr>
              <w:t>油相超细红磷阻燃剂生产线生产工艺流程及产排污环节见下图。</w:t>
            </w:r>
          </w:p>
          <w:p w14:paraId="389B8C4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eastAsiaTheme="minorEastAsia"/>
                <w:b/>
                <w:sz w:val="24"/>
                <w:szCs w:val="24"/>
                <w:lang w:eastAsia="zh-CN"/>
              </w:rPr>
            </w:pPr>
            <w:r>
              <w:rPr>
                <w:rFonts w:hint="default" w:ascii="Times New Roman" w:hAnsi="Times New Roman" w:cs="Times New Roman" w:eastAsiaTheme="minorEastAsia"/>
                <w:b/>
                <w:sz w:val="24"/>
                <w:szCs w:val="24"/>
                <w:lang w:eastAsia="zh-CN"/>
              </w:rPr>
              <w:drawing>
                <wp:inline distT="0" distB="0" distL="114300" distR="114300">
                  <wp:extent cx="5388610" cy="1860550"/>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5388610" cy="1860550"/>
                          </a:xfrm>
                          <a:prstGeom prst="rect">
                            <a:avLst/>
                          </a:prstGeom>
                          <a:noFill/>
                          <a:ln>
                            <a:noFill/>
                          </a:ln>
                        </pic:spPr>
                      </pic:pic>
                    </a:graphicData>
                  </a:graphic>
                </wp:inline>
              </w:drawing>
            </w:r>
          </w:p>
          <w:p w14:paraId="58B16A2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eastAsiaTheme="minorEastAsia"/>
                <w:b/>
                <w:sz w:val="24"/>
                <w:szCs w:val="24"/>
                <w:lang w:eastAsia="zh-CN"/>
              </w:rPr>
            </w:pPr>
            <w:r>
              <w:rPr>
                <w:rFonts w:hint="default" w:ascii="Times New Roman" w:hAnsi="Times New Roman" w:cs="Times New Roman" w:eastAsiaTheme="minorEastAsia"/>
                <w:b/>
                <w:sz w:val="24"/>
                <w:szCs w:val="24"/>
                <w:lang w:val="en-US" w:eastAsia="zh-CN"/>
              </w:rPr>
              <w:t>图2-</w:t>
            </w:r>
            <w:r>
              <w:rPr>
                <w:rFonts w:hint="eastAsia" w:cs="Times New Roman"/>
                <w:b/>
                <w:sz w:val="24"/>
                <w:szCs w:val="24"/>
                <w:lang w:val="en-US" w:eastAsia="zh-CN"/>
              </w:rPr>
              <w:t>1</w:t>
            </w:r>
            <w:r>
              <w:rPr>
                <w:rFonts w:hint="default" w:ascii="Times New Roman" w:hAnsi="Times New Roman" w:cs="Times New Roman" w:eastAsiaTheme="minorEastAsia"/>
                <w:b/>
                <w:sz w:val="24"/>
                <w:szCs w:val="24"/>
                <w:lang w:val="en-US" w:eastAsia="zh-CN"/>
              </w:rPr>
              <w:t xml:space="preserve">  油相超细红磷阻燃剂生产工艺流程及产排污环节图</w:t>
            </w:r>
          </w:p>
          <w:p w14:paraId="5FE13427">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t>油相超细红磷阻燃剂</w:t>
            </w:r>
            <w:r>
              <w:rPr>
                <w:rFonts w:hint="eastAsia" w:cs="Times New Roman"/>
                <w:b/>
                <w:sz w:val="24"/>
                <w:szCs w:val="24"/>
                <w:lang w:val="en-US" w:eastAsia="zh-CN"/>
              </w:rPr>
              <w:t>生产</w:t>
            </w:r>
            <w:r>
              <w:rPr>
                <w:rFonts w:hint="default" w:ascii="Times New Roman" w:hAnsi="Times New Roman" w:cs="Times New Roman"/>
                <w:b/>
                <w:sz w:val="24"/>
                <w:szCs w:val="24"/>
              </w:rPr>
              <w:t>工艺流程简述：</w:t>
            </w:r>
          </w:p>
          <w:p w14:paraId="6C12593D">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球磨：将红磷、白油、密胺树脂按一定比例（质量比2：1：1）投加至球磨机（磨球为陶瓷珠），球磨13至15小时，对红磷进行初步细化，不涉及化学反应。该工序主要污染物为噪声和投料粉尘。</w:t>
            </w:r>
          </w:p>
          <w:p w14:paraId="77111853">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砂磨：球磨后的物料通过管道进入砂磨机（磨球为陶瓷珠），砂磨数次，对红磷进行进一步细化，不涉及化学反应。为防止砂磨过程中温度过高，设置水管往砂磨机内壁夹层里不断注水，以达到冷却效果。该工序主要污染物为噪声。</w:t>
            </w:r>
          </w:p>
          <w:p w14:paraId="2E167EC1">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离心：砂磨后的物料输送至离心机，经离心达到固液分离，离心产生的白油及漏料全部回用。该工序主要污染物为噪声。</w:t>
            </w:r>
          </w:p>
          <w:p w14:paraId="74AFE782">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搅拌桶：为防止固体物料结块，通过密闭转运箱转移至搅拌桶进行初步搅拌。该工序主要污染物为噪声。</w:t>
            </w:r>
          </w:p>
          <w:p w14:paraId="3B73321E">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搅拌机：再通过密闭转运箱转运至搅拌机进一步搅拌。该工序主要污染物为噪声。</w:t>
            </w:r>
          </w:p>
          <w:p w14:paraId="0DE62C12">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保温桶：搅拌均匀的物料通过密闭转运箱转运至保温桶进行保温、干燥。采用水浴保温，控制温度为60-70℃。该工序主要污染物为噪声。</w:t>
            </w:r>
          </w:p>
          <w:p w14:paraId="4860C01F">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称量包装：保温、干燥后的产品采用自动包装机进行称量包装。该工序主要污染物为噪声、粉尘。</w:t>
            </w:r>
          </w:p>
          <w:p w14:paraId="6D30D90E">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b/>
                <w:bCs/>
                <w:lang w:val="en-US" w:eastAsia="zh-CN"/>
              </w:rPr>
              <w:t>红磷阻燃母粒生产工艺流程简述：</w:t>
            </w:r>
          </w:p>
          <w:p w14:paraId="544FCC6B">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红磷阻燃母粒生产线生产工艺流程及产排污环节见下图。</w:t>
            </w:r>
          </w:p>
          <w:p w14:paraId="351E76CB">
            <w:pPr>
              <w:bidi w:val="0"/>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5756910" cy="931545"/>
                  <wp:effectExtent l="0" t="0" r="15240" b="190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8"/>
                          <a:stretch>
                            <a:fillRect/>
                          </a:stretch>
                        </pic:blipFill>
                        <pic:spPr>
                          <a:xfrm>
                            <a:off x="0" y="0"/>
                            <a:ext cx="5756910" cy="931545"/>
                          </a:xfrm>
                          <a:prstGeom prst="rect">
                            <a:avLst/>
                          </a:prstGeom>
                          <a:noFill/>
                          <a:ln>
                            <a:noFill/>
                          </a:ln>
                        </pic:spPr>
                      </pic:pic>
                    </a:graphicData>
                  </a:graphic>
                </wp:inline>
              </w:drawing>
            </w:r>
            <w:r>
              <w:rPr>
                <w:rFonts w:hint="default" w:ascii="Times New Roman" w:hAnsi="Times New Roman" w:cs="Times New Roman"/>
                <w:lang w:val="en-US" w:eastAsia="zh-CN"/>
              </w:rPr>
              <mc:AlternateContent>
                <mc:Choice Requires="wps">
                  <w:drawing>
                    <wp:anchor distT="0" distB="0" distL="114300" distR="114300" simplePos="0" relativeHeight="251665408" behindDoc="0" locked="0" layoutInCell="1" allowOverlap="1">
                      <wp:simplePos x="0" y="0"/>
                      <wp:positionH relativeFrom="column">
                        <wp:posOffset>3297555</wp:posOffset>
                      </wp:positionH>
                      <wp:positionV relativeFrom="paragraph">
                        <wp:posOffset>31115</wp:posOffset>
                      </wp:positionV>
                      <wp:extent cx="304800" cy="120650"/>
                      <wp:effectExtent l="0" t="0" r="0" b="12700"/>
                      <wp:wrapNone/>
                      <wp:docPr id="5" name="文本框 5"/>
                      <wp:cNvGraphicFramePr/>
                      <a:graphic xmlns:a="http://schemas.openxmlformats.org/drawingml/2006/main">
                        <a:graphicData uri="http://schemas.microsoft.com/office/word/2010/wordprocessingShape">
                          <wps:wsp>
                            <wps:cNvSpPr txBox="1"/>
                            <wps:spPr>
                              <a:xfrm>
                                <a:off x="0" y="0"/>
                                <a:ext cx="304800" cy="120650"/>
                              </a:xfrm>
                              <a:prstGeom prst="rect">
                                <a:avLst/>
                              </a:prstGeom>
                              <a:solidFill>
                                <a:srgbClr val="FFFFFF"/>
                              </a:solidFill>
                              <a:ln>
                                <a:noFill/>
                              </a:ln>
                            </wps:spPr>
                            <wps:txbx>
                              <w:txbxContent>
                                <w:p w14:paraId="1B43679E">
                                  <w:pPr>
                                    <w:rPr>
                                      <w:rFonts w:hint="default" w:eastAsia="宋体"/>
                                      <w:sz w:val="15"/>
                                      <w:szCs w:val="15"/>
                                      <w:lang w:val="en-US" w:eastAsia="zh-CN"/>
                                    </w:rPr>
                                  </w:pPr>
                                  <w:r>
                                    <w:rPr>
                                      <w:rFonts w:hint="eastAsia"/>
                                      <w:sz w:val="15"/>
                                      <w:szCs w:val="15"/>
                                      <w:lang w:val="en-US" w:eastAsia="zh-CN"/>
                                    </w:rPr>
                                    <w:t>N</w:t>
                                  </w:r>
                                </w:p>
                              </w:txbxContent>
                            </wps:txbx>
                            <wps:bodyPr lIns="0" tIns="0" rIns="0" bIns="0" upright="1"/>
                          </wps:wsp>
                        </a:graphicData>
                      </a:graphic>
                    </wp:anchor>
                  </w:drawing>
                </mc:Choice>
                <mc:Fallback>
                  <w:pict>
                    <v:shape id="_x0000_s1026" o:spid="_x0000_s1026" o:spt="202" type="#_x0000_t202" style="position:absolute;left:0pt;margin-left:259.65pt;margin-top:2.45pt;height:9.5pt;width:24pt;z-index:251665408;mso-width-relative:page;mso-height-relative:page;" fillcolor="#FFFFFF" filled="t" stroked="f" coordsize="21600,21600" o:gfxdata="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x2+UFdgAAAAIAQAADwAAAAAAAAABACAAAAAiAAAA&#10;ZHJzL2Rvd25yZXYueG1sUEsBAhQAFAAAAAgAh07iQMEfwZrOAQAAmgMAAA4AAAAAAAAAAQAgAAAA&#10;JwEAAGRycy9lMm9Eb2MueG1sUEsFBgAAAAAGAAYAWQEAAGcFAAAAAA==&#10;">
                      <v:fill on="t" focussize="0,0"/>
                      <v:stroke on="f"/>
                      <v:imagedata o:title=""/>
                      <o:lock v:ext="edit" aspectratio="f"/>
                      <v:textbox inset="0mm,0mm,0mm,0mm">
                        <w:txbxContent>
                          <w:p w14:paraId="1B43679E">
                            <w:pPr>
                              <w:rPr>
                                <w:rFonts w:hint="default" w:eastAsia="宋体"/>
                                <w:sz w:val="15"/>
                                <w:szCs w:val="15"/>
                                <w:lang w:val="en-US" w:eastAsia="zh-CN"/>
                              </w:rPr>
                            </w:pPr>
                            <w:r>
                              <w:rPr>
                                <w:rFonts w:hint="eastAsia"/>
                                <w:sz w:val="15"/>
                                <w:szCs w:val="15"/>
                                <w:lang w:val="en-US" w:eastAsia="zh-CN"/>
                              </w:rPr>
                              <w:t>N</w:t>
                            </w:r>
                          </w:p>
                        </w:txbxContent>
                      </v:textbox>
                    </v:shape>
                  </w:pict>
                </mc:Fallback>
              </mc:AlternateContent>
            </w:r>
            <w:r>
              <w:rPr>
                <w:rFonts w:hint="default" w:ascii="Times New Roman" w:hAnsi="Times New Roman" w:cs="Times New Roman"/>
                <w:lang w:val="en-US" w:eastAsia="zh-CN"/>
              </w:rPr>
              <mc:AlternateContent>
                <mc:Choice Requires="wps">
                  <w:drawing>
                    <wp:anchor distT="0" distB="0" distL="114300" distR="114300" simplePos="0" relativeHeight="251664384" behindDoc="0" locked="0" layoutInCell="1" allowOverlap="1">
                      <wp:simplePos x="0" y="0"/>
                      <wp:positionH relativeFrom="column">
                        <wp:posOffset>4040505</wp:posOffset>
                      </wp:positionH>
                      <wp:positionV relativeFrom="paragraph">
                        <wp:posOffset>12065</wp:posOffset>
                      </wp:positionV>
                      <wp:extent cx="304800" cy="120650"/>
                      <wp:effectExtent l="0" t="0" r="0" b="12700"/>
                      <wp:wrapNone/>
                      <wp:docPr id="2" name="文本框 2"/>
                      <wp:cNvGraphicFramePr/>
                      <a:graphic xmlns:a="http://schemas.openxmlformats.org/drawingml/2006/main">
                        <a:graphicData uri="http://schemas.microsoft.com/office/word/2010/wordprocessingShape">
                          <wps:wsp>
                            <wps:cNvSpPr txBox="1"/>
                            <wps:spPr>
                              <a:xfrm>
                                <a:off x="0" y="0"/>
                                <a:ext cx="304800" cy="120650"/>
                              </a:xfrm>
                              <a:prstGeom prst="rect">
                                <a:avLst/>
                              </a:prstGeom>
                              <a:solidFill>
                                <a:srgbClr val="FFFFFF"/>
                              </a:solidFill>
                              <a:ln>
                                <a:noFill/>
                              </a:ln>
                            </wps:spPr>
                            <wps:txbx>
                              <w:txbxContent>
                                <w:p w14:paraId="59A12F27">
                                  <w:pPr>
                                    <w:rPr>
                                      <w:rFonts w:hint="default" w:eastAsia="宋体"/>
                                      <w:sz w:val="15"/>
                                      <w:szCs w:val="15"/>
                                      <w:lang w:val="en-US" w:eastAsia="zh-CN"/>
                                    </w:rPr>
                                  </w:pPr>
                                  <w:r>
                                    <w:rPr>
                                      <w:rFonts w:hint="eastAsia"/>
                                      <w:sz w:val="15"/>
                                      <w:szCs w:val="15"/>
                                      <w:lang w:val="en-US" w:eastAsia="zh-CN"/>
                                    </w:rPr>
                                    <w:t>N、G</w:t>
                                  </w:r>
                                </w:p>
                              </w:txbxContent>
                            </wps:txbx>
                            <wps:bodyPr lIns="0" tIns="0" rIns="0" bIns="0" upright="1"/>
                          </wps:wsp>
                        </a:graphicData>
                      </a:graphic>
                    </wp:anchor>
                  </w:drawing>
                </mc:Choice>
                <mc:Fallback>
                  <w:pict>
                    <v:shape id="_x0000_s1026" o:spid="_x0000_s1026" o:spt="202" type="#_x0000_t202" style="position:absolute;left:0pt;margin-left:318.15pt;margin-top:0.95pt;height:9.5pt;width:24pt;z-index:251664384;mso-width-relative:page;mso-height-relative:page;" fillcolor="#FFFFFF" filled="t" stroked="f" coordsize="21600,21600" o:gfxdata="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&#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6wrNt1gAAAAgBAAAPAAAAAAAAAAEAIAAAACIAAABk&#10;cnMvZG93bnJldi54bWxQSwECFAAUAAAACACHTuJAJcmUHM8BAACaAwAADgAAAAAAAAABACAAAAAl&#10;AQAAZHJzL2Uyb0RvYy54bWxQSwUGAAAAAAYABgBZAQAAZgUAAAAA&#10;">
                      <v:fill on="t" focussize="0,0"/>
                      <v:stroke on="f"/>
                      <v:imagedata o:title=""/>
                      <o:lock v:ext="edit" aspectratio="f"/>
                      <v:textbox inset="0mm,0mm,0mm,0mm">
                        <w:txbxContent>
                          <w:p w14:paraId="59A12F27">
                            <w:pPr>
                              <w:rPr>
                                <w:rFonts w:hint="default" w:eastAsia="宋体"/>
                                <w:sz w:val="15"/>
                                <w:szCs w:val="15"/>
                                <w:lang w:val="en-US" w:eastAsia="zh-CN"/>
                              </w:rPr>
                            </w:pPr>
                            <w:r>
                              <w:rPr>
                                <w:rFonts w:hint="eastAsia"/>
                                <w:sz w:val="15"/>
                                <w:szCs w:val="15"/>
                                <w:lang w:val="en-US" w:eastAsia="zh-CN"/>
                              </w:rPr>
                              <w:t>N、G</w:t>
                            </w:r>
                          </w:p>
                        </w:txbxContent>
                      </v:textbox>
                    </v:shape>
                  </w:pict>
                </mc:Fallback>
              </mc:AlternateContent>
            </w:r>
          </w:p>
          <w:p w14:paraId="08DE3A2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eastAsiaTheme="minorEastAsia"/>
                <w:b/>
                <w:sz w:val="24"/>
                <w:szCs w:val="24"/>
                <w:lang w:val="en-US" w:eastAsia="zh-CN"/>
              </w:rPr>
              <w:t>图2-</w:t>
            </w:r>
            <w:r>
              <w:rPr>
                <w:rFonts w:hint="eastAsia" w:ascii="Times New Roman" w:hAnsi="Times New Roman" w:cs="Times New Roman"/>
                <w:b/>
                <w:sz w:val="24"/>
                <w:szCs w:val="24"/>
                <w:lang w:val="en-US" w:eastAsia="zh-CN"/>
              </w:rPr>
              <w:t>2</w:t>
            </w:r>
            <w:r>
              <w:rPr>
                <w:rFonts w:hint="default" w:ascii="Times New Roman" w:hAnsi="Times New Roman" w:cs="Times New Roman" w:eastAsiaTheme="minorEastAsia"/>
                <w:b/>
                <w:sz w:val="24"/>
                <w:szCs w:val="24"/>
                <w:lang w:val="en-US" w:eastAsia="zh-CN"/>
              </w:rPr>
              <w:t xml:space="preserve">  红磷阻燃母粒生产工艺流程及产排污环节图</w:t>
            </w:r>
          </w:p>
          <w:p w14:paraId="4A5CC0CF">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混料：将油相超细红磷阻燃剂和聚乙烯树脂按一定比例（质量比1：1）投加至混料机，混合搅拌均匀。该工序主要污染物为噪声。</w:t>
            </w:r>
          </w:p>
          <w:p w14:paraId="7B6A9E89">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挤出：将混合均匀的物料投入双螺杆挤出机中，采用电加热至135~140℃（密胺树脂熔点为300℃，该温度下密胺树脂不分解、不挥发），使聚乙烯树脂融化将红磷包裹其中，然后通过机械拉伸形成条状。该工序主要污染物为颗粒物、油雾、有机废气、噪声。聚乙烯树脂的熔点为120~136℃，加热过程中白油、聚乙烯树脂会产生少量的油雾、有机废气，挤出工序施加真空，真空抽出的物料全部回用，挤出废气经“过滤棉过滤+油雾净化器+UV光催化氧化+活性炭吸附”处理后，通过15m高的排气筒G1排放。</w:t>
            </w:r>
          </w:p>
          <w:p w14:paraId="14BECD42">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造粒：条状物料通过挤出机配套的刀片切割成颗粒状产品。该工序主要污染物为噪声。</w:t>
            </w:r>
          </w:p>
          <w:p w14:paraId="4B3509F9">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冷却：切割好的产品经风冷至常温。</w:t>
            </w:r>
          </w:p>
          <w:p w14:paraId="792B82F2">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称量包装：冷却后的产品采用自动包装机进行称量包装。该工序主要污染物为噪声。</w:t>
            </w:r>
          </w:p>
          <w:p w14:paraId="2BEFCAA7">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项目</w:t>
            </w:r>
            <w:r>
              <w:rPr>
                <w:rFonts w:hint="eastAsia" w:ascii="Times New Roman" w:hAnsi="Times New Roman" w:cs="Times New Roman"/>
                <w:lang w:val="en-US" w:eastAsia="zh-CN"/>
              </w:rPr>
              <w:t>实际</w:t>
            </w:r>
            <w:r>
              <w:rPr>
                <w:rFonts w:hint="default" w:ascii="Times New Roman" w:hAnsi="Times New Roman" w:cs="Times New Roman"/>
                <w:lang w:val="en-US" w:eastAsia="zh-CN"/>
              </w:rPr>
              <w:t>总投资</w:t>
            </w:r>
            <w:r>
              <w:rPr>
                <w:rFonts w:hint="eastAsia" w:cs="Times New Roman"/>
                <w:lang w:val="en-US" w:eastAsia="zh-CN"/>
              </w:rPr>
              <w:t>12</w:t>
            </w:r>
            <w:r>
              <w:rPr>
                <w:rFonts w:hint="default" w:ascii="Times New Roman" w:hAnsi="Times New Roman" w:cs="Times New Roman"/>
                <w:lang w:val="en-US" w:eastAsia="zh-CN"/>
              </w:rPr>
              <w:t>00万元，资金全部由企业自筹；其中环保投资</w:t>
            </w:r>
            <w:r>
              <w:rPr>
                <w:rFonts w:hint="eastAsia" w:cs="Times New Roman"/>
                <w:lang w:val="en-US" w:eastAsia="zh-CN"/>
              </w:rPr>
              <w:t>105</w:t>
            </w:r>
            <w:r>
              <w:rPr>
                <w:rFonts w:hint="default" w:ascii="Times New Roman" w:hAnsi="Times New Roman" w:cs="Times New Roman"/>
                <w:lang w:val="en-US" w:eastAsia="zh-CN"/>
              </w:rPr>
              <w:t>万元，占总投资的</w:t>
            </w:r>
            <w:r>
              <w:rPr>
                <w:rFonts w:hint="eastAsia" w:cs="Times New Roman"/>
                <w:lang w:val="en-US" w:eastAsia="zh-CN"/>
              </w:rPr>
              <w:t>8.75</w:t>
            </w:r>
            <w:r>
              <w:rPr>
                <w:rFonts w:hint="default" w:ascii="Times New Roman" w:hAnsi="Times New Roman" w:cs="Times New Roman"/>
                <w:lang w:val="en-US" w:eastAsia="zh-CN"/>
              </w:rPr>
              <w:t>%。环保投资分项见</w:t>
            </w:r>
            <w:r>
              <w:rPr>
                <w:rFonts w:hint="eastAsia" w:ascii="Times New Roman" w:hAnsi="Times New Roman" w:cs="Times New Roman"/>
                <w:lang w:val="en-US" w:eastAsia="zh-CN"/>
              </w:rPr>
              <w:t>下</w:t>
            </w:r>
            <w:r>
              <w:rPr>
                <w:rFonts w:hint="default" w:ascii="Times New Roman" w:hAnsi="Times New Roman" w:cs="Times New Roman"/>
                <w:lang w:val="en-US" w:eastAsia="zh-CN"/>
              </w:rPr>
              <w:t>表2-</w:t>
            </w:r>
            <w:r>
              <w:rPr>
                <w:rFonts w:hint="eastAsia" w:ascii="Times New Roman" w:hAnsi="Times New Roman" w:cs="Times New Roman"/>
                <w:lang w:val="en-US" w:eastAsia="zh-CN"/>
              </w:rPr>
              <w:t>6</w:t>
            </w:r>
            <w:r>
              <w:rPr>
                <w:rFonts w:hint="default" w:ascii="Times New Roman" w:hAnsi="Times New Roman" w:cs="Times New Roman"/>
                <w:lang w:val="en-US" w:eastAsia="zh-CN"/>
              </w:rPr>
              <w:t>。</w:t>
            </w:r>
          </w:p>
          <w:p w14:paraId="3B21217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b/>
                <w:color w:val="auto"/>
                <w:sz w:val="21"/>
                <w:szCs w:val="21"/>
              </w:rPr>
            </w:pPr>
            <w:r>
              <w:rPr>
                <w:rFonts w:ascii="Times New Roman" w:hAnsi="Times New Roman" w:eastAsia="宋体" w:cs="Times New Roman"/>
                <w:b/>
                <w:bCs/>
                <w:color w:val="auto"/>
                <w:sz w:val="21"/>
                <w:szCs w:val="21"/>
              </w:rPr>
              <w:t>表</w:t>
            </w:r>
            <w:r>
              <w:rPr>
                <w:rFonts w:hint="eastAsia" w:ascii="Times New Roman" w:hAnsi="Times New Roman" w:eastAsia="宋体" w:cs="Times New Roman"/>
                <w:b/>
                <w:bCs/>
                <w:color w:val="auto"/>
                <w:sz w:val="21"/>
                <w:szCs w:val="21"/>
                <w:lang w:val="en-US" w:eastAsia="zh-CN"/>
              </w:rPr>
              <w:t>2</w:t>
            </w:r>
            <w:r>
              <w:rPr>
                <w:rFonts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val="en-US" w:eastAsia="zh-CN"/>
              </w:rPr>
              <w:t xml:space="preserve">6 </w:t>
            </w:r>
            <w:r>
              <w:rPr>
                <w:rFonts w:ascii="Times New Roman" w:hAnsi="Times New Roman" w:eastAsia="宋体" w:cs="Times New Roman"/>
                <w:b/>
                <w:bCs/>
                <w:color w:val="auto"/>
                <w:sz w:val="21"/>
                <w:szCs w:val="21"/>
              </w:rPr>
              <w:t xml:space="preserve"> 环保投资</w:t>
            </w:r>
            <w:r>
              <w:rPr>
                <w:rFonts w:hint="eastAsia" w:ascii="Times New Roman" w:hAnsi="Times New Roman" w:eastAsia="宋体" w:cs="Times New Roman"/>
                <w:b/>
                <w:bCs/>
                <w:color w:val="auto"/>
                <w:sz w:val="21"/>
                <w:szCs w:val="21"/>
                <w:lang w:eastAsia="zh-CN"/>
              </w:rPr>
              <w:t>一览</w:t>
            </w:r>
            <w:r>
              <w:rPr>
                <w:rFonts w:ascii="Times New Roman" w:hAnsi="Times New Roman" w:eastAsia="宋体" w:cs="Times New Roman"/>
                <w:b/>
                <w:bCs/>
                <w:color w:val="auto"/>
                <w:sz w:val="21"/>
                <w:szCs w:val="21"/>
              </w:rPr>
              <w:t xml:space="preserve">表  </w:t>
            </w:r>
            <w:r>
              <w:rPr>
                <w:rFonts w:ascii="Times New Roman" w:hAnsi="Times New Roman" w:eastAsia="宋体" w:cs="Times New Roman"/>
                <w:b/>
                <w:color w:val="auto"/>
                <w:sz w:val="21"/>
                <w:szCs w:val="21"/>
              </w:rPr>
              <w:t>单位：万元</w:t>
            </w:r>
          </w:p>
          <w:tbl>
            <w:tblPr>
              <w:tblStyle w:val="32"/>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161"/>
              <w:gridCol w:w="4125"/>
              <w:gridCol w:w="1538"/>
              <w:gridCol w:w="1538"/>
            </w:tblGrid>
            <w:tr w14:paraId="575E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636" w:type="dxa"/>
                  <w:noWrap w:val="0"/>
                  <w:vAlign w:val="center"/>
                </w:tcPr>
                <w:p w14:paraId="0F115579">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eastAsia" w:ascii="Times New Roman" w:hAnsi="Times New Roman" w:cs="Times New Roman"/>
                      <w:b/>
                      <w:bCs w:val="0"/>
                      <w:color w:val="auto"/>
                      <w:sz w:val="21"/>
                      <w:szCs w:val="21"/>
                      <w:lang w:val="en-US" w:eastAsia="zh-CN"/>
                    </w:rPr>
                    <w:t>序号</w:t>
                  </w:r>
                </w:p>
              </w:tc>
              <w:tc>
                <w:tcPr>
                  <w:tcW w:w="1161" w:type="dxa"/>
                  <w:noWrap w:val="0"/>
                  <w:vAlign w:val="center"/>
                </w:tcPr>
                <w:p w14:paraId="3DF26450">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eastAsia" w:ascii="Times New Roman" w:hAnsi="Times New Roman" w:cs="Times New Roman"/>
                      <w:b/>
                      <w:bCs w:val="0"/>
                      <w:color w:val="auto"/>
                      <w:sz w:val="21"/>
                      <w:szCs w:val="21"/>
                      <w:lang w:val="en-US" w:eastAsia="zh-CN"/>
                    </w:rPr>
                    <w:t>类别</w:t>
                  </w:r>
                </w:p>
              </w:tc>
              <w:tc>
                <w:tcPr>
                  <w:tcW w:w="4125" w:type="dxa"/>
                  <w:noWrap w:val="0"/>
                  <w:vAlign w:val="center"/>
                </w:tcPr>
                <w:p w14:paraId="15AFD33A">
                  <w:pPr>
                    <w:spacing w:line="240" w:lineRule="auto"/>
                    <w:ind w:left="0" w:leftChars="0" w:firstLine="0" w:firstLineChars="0"/>
                    <w:jc w:val="center"/>
                    <w:rPr>
                      <w:rFonts w:hint="eastAsia" w:ascii="Times New Roman" w:hAnsi="Times New Roman" w:cs="Times New Roman"/>
                      <w:b/>
                      <w:bCs w:val="0"/>
                      <w:color w:val="auto"/>
                      <w:sz w:val="21"/>
                      <w:szCs w:val="21"/>
                      <w:lang w:val="en-US" w:eastAsia="zh-CN"/>
                    </w:rPr>
                  </w:pPr>
                  <w:r>
                    <w:rPr>
                      <w:rFonts w:hint="eastAsia" w:ascii="Times New Roman" w:hAnsi="Times New Roman" w:cs="Times New Roman"/>
                      <w:b/>
                      <w:bCs w:val="0"/>
                      <w:color w:val="auto"/>
                      <w:sz w:val="21"/>
                      <w:szCs w:val="21"/>
                      <w:lang w:val="en-US" w:eastAsia="zh-CN"/>
                    </w:rPr>
                    <w:t>环保措施</w:t>
                  </w:r>
                </w:p>
              </w:tc>
              <w:tc>
                <w:tcPr>
                  <w:tcW w:w="1538" w:type="dxa"/>
                  <w:noWrap w:val="0"/>
                  <w:vAlign w:val="center"/>
                </w:tcPr>
                <w:p w14:paraId="2505F551">
                  <w:pPr>
                    <w:spacing w:line="240" w:lineRule="auto"/>
                    <w:ind w:left="0" w:leftChars="0" w:firstLine="0" w:firstLineChars="0"/>
                    <w:jc w:val="center"/>
                    <w:rPr>
                      <w:rFonts w:hint="default" w:ascii="Times New Roman" w:hAnsi="Times New Roman" w:cs="Times New Roman"/>
                      <w:b/>
                      <w:bCs w:val="0"/>
                      <w:color w:val="auto"/>
                      <w:sz w:val="21"/>
                      <w:szCs w:val="21"/>
                      <w:lang w:val="en-US" w:eastAsia="zh-CN"/>
                    </w:rPr>
                  </w:pPr>
                  <w:r>
                    <w:rPr>
                      <w:rFonts w:hint="eastAsia" w:ascii="Times New Roman" w:hAnsi="Times New Roman" w:cs="Times New Roman"/>
                      <w:b/>
                      <w:bCs w:val="0"/>
                      <w:color w:val="auto"/>
                      <w:sz w:val="21"/>
                      <w:szCs w:val="21"/>
                      <w:lang w:val="en-US" w:eastAsia="zh-CN"/>
                    </w:rPr>
                    <w:t>环评投资金额（万元）</w:t>
                  </w:r>
                </w:p>
              </w:tc>
              <w:tc>
                <w:tcPr>
                  <w:tcW w:w="1538" w:type="dxa"/>
                  <w:noWrap w:val="0"/>
                  <w:vAlign w:val="center"/>
                </w:tcPr>
                <w:p w14:paraId="7F3CFD98">
                  <w:pPr>
                    <w:spacing w:line="240" w:lineRule="auto"/>
                    <w:ind w:left="0" w:leftChars="0" w:firstLine="0" w:firstLineChars="0"/>
                    <w:jc w:val="center"/>
                    <w:rPr>
                      <w:rFonts w:hint="eastAsia" w:ascii="Times New Roman" w:hAnsi="Times New Roman" w:cs="Times New Roman"/>
                      <w:b/>
                      <w:bCs w:val="0"/>
                      <w:color w:val="auto"/>
                      <w:sz w:val="21"/>
                      <w:szCs w:val="21"/>
                      <w:lang w:val="en-US" w:eastAsia="zh-CN"/>
                    </w:rPr>
                  </w:pPr>
                  <w:r>
                    <w:rPr>
                      <w:rFonts w:hint="eastAsia" w:ascii="Times New Roman" w:hAnsi="Times New Roman" w:cs="Times New Roman"/>
                      <w:b/>
                      <w:bCs w:val="0"/>
                      <w:color w:val="auto"/>
                      <w:sz w:val="21"/>
                      <w:szCs w:val="21"/>
                      <w:lang w:val="en-US" w:eastAsia="zh-CN"/>
                    </w:rPr>
                    <w:t>实际投资金额（万元）</w:t>
                  </w:r>
                </w:p>
              </w:tc>
            </w:tr>
            <w:tr w14:paraId="2965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636" w:type="dxa"/>
                  <w:vMerge w:val="restart"/>
                  <w:noWrap w:val="0"/>
                  <w:vAlign w:val="center"/>
                </w:tcPr>
                <w:p w14:paraId="47F27EF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w:t>
                  </w:r>
                </w:p>
              </w:tc>
              <w:tc>
                <w:tcPr>
                  <w:tcW w:w="1161" w:type="dxa"/>
                  <w:vMerge w:val="restart"/>
                  <w:noWrap w:val="0"/>
                  <w:vAlign w:val="center"/>
                </w:tcPr>
                <w:p w14:paraId="7E55380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废气</w:t>
                  </w:r>
                </w:p>
              </w:tc>
              <w:tc>
                <w:tcPr>
                  <w:tcW w:w="4125" w:type="dxa"/>
                  <w:noWrap w:val="0"/>
                  <w:vAlign w:val="center"/>
                </w:tcPr>
                <w:p w14:paraId="069F349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建设单独的半封闭式（三面封闭）球磨机房</w:t>
                  </w:r>
                </w:p>
              </w:tc>
              <w:tc>
                <w:tcPr>
                  <w:tcW w:w="1538" w:type="dxa"/>
                  <w:noWrap w:val="0"/>
                  <w:vAlign w:val="center"/>
                </w:tcPr>
                <w:p w14:paraId="5D82BA81">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w:t>
                  </w:r>
                </w:p>
              </w:tc>
              <w:tc>
                <w:tcPr>
                  <w:tcW w:w="1538" w:type="dxa"/>
                  <w:noWrap w:val="0"/>
                  <w:vAlign w:val="center"/>
                </w:tcPr>
                <w:p w14:paraId="55350E8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8</w:t>
                  </w:r>
                </w:p>
              </w:tc>
            </w:tr>
            <w:tr w14:paraId="74B3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636" w:type="dxa"/>
                  <w:vMerge w:val="continue"/>
                  <w:noWrap w:val="0"/>
                  <w:vAlign w:val="center"/>
                </w:tcPr>
                <w:p w14:paraId="0E47AA84">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1161" w:type="dxa"/>
                  <w:vMerge w:val="continue"/>
                  <w:noWrap w:val="0"/>
                  <w:vAlign w:val="center"/>
                </w:tcPr>
                <w:p w14:paraId="7CA8B5D6">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4125" w:type="dxa"/>
                  <w:noWrap w:val="0"/>
                  <w:vAlign w:val="center"/>
                </w:tcPr>
                <w:p w14:paraId="680309F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振动搅拌粉尘经喷淋装置收集处理</w:t>
                  </w:r>
                </w:p>
              </w:tc>
              <w:tc>
                <w:tcPr>
                  <w:tcW w:w="1538" w:type="dxa"/>
                  <w:noWrap w:val="0"/>
                  <w:vAlign w:val="center"/>
                </w:tcPr>
                <w:p w14:paraId="4CF1BCA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5</w:t>
                  </w:r>
                </w:p>
              </w:tc>
              <w:tc>
                <w:tcPr>
                  <w:tcW w:w="1538" w:type="dxa"/>
                  <w:noWrap w:val="0"/>
                  <w:vAlign w:val="center"/>
                </w:tcPr>
                <w:p w14:paraId="21858F39">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4</w:t>
                  </w:r>
                </w:p>
              </w:tc>
            </w:tr>
            <w:tr w14:paraId="156B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636" w:type="dxa"/>
                  <w:vMerge w:val="continue"/>
                  <w:noWrap w:val="0"/>
                  <w:vAlign w:val="center"/>
                </w:tcPr>
                <w:p w14:paraId="1FA9D457">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1161" w:type="dxa"/>
                  <w:vMerge w:val="continue"/>
                  <w:noWrap w:val="0"/>
                  <w:vAlign w:val="center"/>
                </w:tcPr>
                <w:p w14:paraId="720E435D">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4125" w:type="dxa"/>
                  <w:noWrap w:val="0"/>
                  <w:vAlign w:val="center"/>
                </w:tcPr>
                <w:p w14:paraId="09060ECA">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挤出工序收集的废气经“</w:t>
                  </w:r>
                  <w:r>
                    <w:rPr>
                      <w:rFonts w:hint="eastAsia" w:cs="Times New Roman"/>
                      <w:bCs/>
                      <w:color w:val="auto"/>
                      <w:sz w:val="21"/>
                      <w:szCs w:val="21"/>
                      <w:lang w:val="en-US" w:eastAsia="zh-CN"/>
                    </w:rPr>
                    <w:t>喷淋（</w:t>
                  </w:r>
                  <w:r>
                    <w:rPr>
                      <w:rFonts w:hint="eastAsia" w:ascii="Times New Roman" w:hAnsi="Times New Roman" w:cs="Times New Roman"/>
                      <w:bCs/>
                      <w:color w:val="auto"/>
                      <w:sz w:val="21"/>
                      <w:szCs w:val="21"/>
                      <w:lang w:val="en-US" w:eastAsia="zh-CN"/>
                    </w:rPr>
                    <w:t>油雾净化</w:t>
                  </w:r>
                  <w:r>
                    <w:rPr>
                      <w:rFonts w:hint="eastAsia" w:cs="Times New Roman"/>
                      <w:bCs/>
                      <w:color w:val="auto"/>
                      <w:sz w:val="21"/>
                      <w:szCs w:val="21"/>
                      <w:lang w:val="en-US" w:eastAsia="zh-CN"/>
                    </w:rPr>
                    <w:t>）</w:t>
                  </w:r>
                  <w:r>
                    <w:rPr>
                      <w:rFonts w:hint="eastAsia" w:ascii="Times New Roman" w:hAnsi="Times New Roman" w:cs="Times New Roman"/>
                      <w:bCs/>
                      <w:color w:val="auto"/>
                      <w:sz w:val="21"/>
                      <w:szCs w:val="21"/>
                      <w:lang w:val="en-US" w:eastAsia="zh-CN"/>
                    </w:rPr>
                    <w:t>+UV光催化氧化+活性炭吸附”处理后，通过15m高的排气筒G1排放</w:t>
                  </w:r>
                </w:p>
              </w:tc>
              <w:tc>
                <w:tcPr>
                  <w:tcW w:w="1538" w:type="dxa"/>
                  <w:noWrap w:val="0"/>
                  <w:vAlign w:val="center"/>
                </w:tcPr>
                <w:p w14:paraId="15991E3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25</w:t>
                  </w:r>
                </w:p>
              </w:tc>
              <w:tc>
                <w:tcPr>
                  <w:tcW w:w="1538" w:type="dxa"/>
                  <w:noWrap w:val="0"/>
                  <w:vAlign w:val="center"/>
                </w:tcPr>
                <w:p w14:paraId="6EC2D2D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32</w:t>
                  </w:r>
                </w:p>
              </w:tc>
            </w:tr>
            <w:tr w14:paraId="3026E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636" w:type="dxa"/>
                  <w:vMerge w:val="restart"/>
                  <w:noWrap w:val="0"/>
                  <w:vAlign w:val="center"/>
                </w:tcPr>
                <w:p w14:paraId="3A390AE0">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w:t>
                  </w:r>
                </w:p>
              </w:tc>
              <w:tc>
                <w:tcPr>
                  <w:tcW w:w="1161" w:type="dxa"/>
                  <w:vMerge w:val="restart"/>
                  <w:noWrap w:val="0"/>
                  <w:vAlign w:val="center"/>
                </w:tcPr>
                <w:p w14:paraId="062AB22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废水</w:t>
                  </w:r>
                </w:p>
              </w:tc>
              <w:tc>
                <w:tcPr>
                  <w:tcW w:w="4125" w:type="dxa"/>
                  <w:noWrap w:val="0"/>
                  <w:vAlign w:val="center"/>
                </w:tcPr>
                <w:p w14:paraId="75F9C57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生产废水经六级沉淀池混凝沉淀处理后回用于生产</w:t>
                  </w:r>
                </w:p>
              </w:tc>
              <w:tc>
                <w:tcPr>
                  <w:tcW w:w="1538" w:type="dxa"/>
                  <w:noWrap w:val="0"/>
                  <w:vAlign w:val="center"/>
                </w:tcPr>
                <w:p w14:paraId="3F7026C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w:t>
                  </w:r>
                </w:p>
              </w:tc>
              <w:tc>
                <w:tcPr>
                  <w:tcW w:w="1538" w:type="dxa"/>
                  <w:noWrap w:val="0"/>
                  <w:vAlign w:val="center"/>
                </w:tcPr>
                <w:p w14:paraId="78C4B20D">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12</w:t>
                  </w:r>
                </w:p>
              </w:tc>
            </w:tr>
            <w:tr w14:paraId="61930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636" w:type="dxa"/>
                  <w:vMerge w:val="continue"/>
                  <w:noWrap w:val="0"/>
                  <w:vAlign w:val="center"/>
                </w:tcPr>
                <w:p w14:paraId="01665269">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1161" w:type="dxa"/>
                  <w:vMerge w:val="continue"/>
                  <w:noWrap w:val="0"/>
                  <w:vAlign w:val="center"/>
                </w:tcPr>
                <w:p w14:paraId="488165AD">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4125" w:type="dxa"/>
                  <w:noWrap w:val="0"/>
                  <w:vAlign w:val="center"/>
                </w:tcPr>
                <w:p w14:paraId="59ACFED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生活污水经化粪池处理后排入长阳铺镇污水处理厂处理</w:t>
                  </w:r>
                </w:p>
              </w:tc>
              <w:tc>
                <w:tcPr>
                  <w:tcW w:w="1538" w:type="dxa"/>
                  <w:noWrap w:val="0"/>
                  <w:vAlign w:val="center"/>
                </w:tcPr>
                <w:p w14:paraId="18B7409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w:t>
                  </w:r>
                </w:p>
              </w:tc>
              <w:tc>
                <w:tcPr>
                  <w:tcW w:w="1538" w:type="dxa"/>
                  <w:noWrap w:val="0"/>
                  <w:vAlign w:val="center"/>
                </w:tcPr>
                <w:p w14:paraId="7D563EB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w:t>
                  </w:r>
                </w:p>
              </w:tc>
            </w:tr>
            <w:tr w14:paraId="2F31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636" w:type="dxa"/>
                  <w:noWrap w:val="0"/>
                  <w:vAlign w:val="center"/>
                </w:tcPr>
                <w:p w14:paraId="45B510E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3</w:t>
                  </w:r>
                </w:p>
              </w:tc>
              <w:tc>
                <w:tcPr>
                  <w:tcW w:w="1161" w:type="dxa"/>
                  <w:noWrap w:val="0"/>
                  <w:vAlign w:val="center"/>
                </w:tcPr>
                <w:p w14:paraId="13B90BC0">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噪声</w:t>
                  </w:r>
                </w:p>
              </w:tc>
              <w:tc>
                <w:tcPr>
                  <w:tcW w:w="4125" w:type="dxa"/>
                  <w:noWrap w:val="0"/>
                  <w:vAlign w:val="center"/>
                </w:tcPr>
                <w:p w14:paraId="59F00CE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生产设备基础减震、消声</w:t>
                  </w:r>
                </w:p>
              </w:tc>
              <w:tc>
                <w:tcPr>
                  <w:tcW w:w="1538" w:type="dxa"/>
                  <w:noWrap w:val="0"/>
                  <w:vAlign w:val="center"/>
                </w:tcPr>
                <w:p w14:paraId="67A77BD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20</w:t>
                  </w:r>
                </w:p>
              </w:tc>
              <w:tc>
                <w:tcPr>
                  <w:tcW w:w="1538" w:type="dxa"/>
                  <w:noWrap w:val="0"/>
                  <w:vAlign w:val="center"/>
                </w:tcPr>
                <w:p w14:paraId="2186896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20</w:t>
                  </w:r>
                </w:p>
              </w:tc>
            </w:tr>
            <w:tr w14:paraId="3221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636" w:type="dxa"/>
                  <w:vMerge w:val="restart"/>
                  <w:noWrap w:val="0"/>
                  <w:vAlign w:val="center"/>
                </w:tcPr>
                <w:p w14:paraId="61CCA456">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4</w:t>
                  </w:r>
                </w:p>
              </w:tc>
              <w:tc>
                <w:tcPr>
                  <w:tcW w:w="1161" w:type="dxa"/>
                  <w:vMerge w:val="restart"/>
                  <w:noWrap w:val="0"/>
                  <w:vAlign w:val="center"/>
                </w:tcPr>
                <w:p w14:paraId="3D3FA7A7">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固废</w:t>
                  </w:r>
                </w:p>
              </w:tc>
              <w:tc>
                <w:tcPr>
                  <w:tcW w:w="4125" w:type="dxa"/>
                  <w:noWrap w:val="0"/>
                  <w:vAlign w:val="center"/>
                </w:tcPr>
                <w:p w14:paraId="42E57B6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建设一般工业固体废物暂存间，</w:t>
                  </w:r>
                  <w:r>
                    <w:rPr>
                      <w:rFonts w:hint="default" w:ascii="Times New Roman" w:hAnsi="Times New Roman" w:cs="Times New Roman"/>
                      <w:bCs/>
                      <w:color w:val="auto"/>
                      <w:sz w:val="21"/>
                      <w:szCs w:val="21"/>
                      <w:lang w:val="en-US" w:eastAsia="zh-CN"/>
                    </w:rPr>
                    <w:t>采取防渗漏、防溢流等措施</w:t>
                  </w:r>
                </w:p>
              </w:tc>
              <w:tc>
                <w:tcPr>
                  <w:tcW w:w="1538" w:type="dxa"/>
                  <w:noWrap w:val="0"/>
                  <w:vAlign w:val="center"/>
                </w:tcPr>
                <w:p w14:paraId="1AD630E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w:t>
                  </w:r>
                </w:p>
              </w:tc>
              <w:tc>
                <w:tcPr>
                  <w:tcW w:w="1538" w:type="dxa"/>
                  <w:noWrap w:val="0"/>
                  <w:vAlign w:val="center"/>
                </w:tcPr>
                <w:p w14:paraId="4B0F492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12</w:t>
                  </w:r>
                </w:p>
              </w:tc>
            </w:tr>
            <w:tr w14:paraId="0041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636" w:type="dxa"/>
                  <w:vMerge w:val="continue"/>
                  <w:noWrap w:val="0"/>
                  <w:vAlign w:val="center"/>
                </w:tcPr>
                <w:p w14:paraId="091D331F">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1161" w:type="dxa"/>
                  <w:vMerge w:val="continue"/>
                  <w:noWrap w:val="0"/>
                  <w:vAlign w:val="center"/>
                </w:tcPr>
                <w:p w14:paraId="7CE377D6">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4125" w:type="dxa"/>
                  <w:noWrap w:val="0"/>
                  <w:vAlign w:val="center"/>
                </w:tcPr>
                <w:p w14:paraId="685880C6">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建设危险废物暂存间，</w:t>
                  </w:r>
                  <w:r>
                    <w:rPr>
                      <w:rFonts w:hint="default" w:ascii="Times New Roman" w:hAnsi="Times New Roman" w:cs="Times New Roman"/>
                      <w:bCs/>
                      <w:color w:val="auto"/>
                      <w:sz w:val="21"/>
                      <w:szCs w:val="21"/>
                      <w:lang w:val="en-US" w:eastAsia="zh-CN"/>
                    </w:rPr>
                    <w:t>采取防渗漏、防溢流等措施</w:t>
                  </w:r>
                  <w:r>
                    <w:rPr>
                      <w:rFonts w:hint="eastAsia" w:ascii="Times New Roman" w:hAnsi="Times New Roman" w:cs="Times New Roman"/>
                      <w:bCs/>
                      <w:color w:val="auto"/>
                      <w:sz w:val="21"/>
                      <w:szCs w:val="21"/>
                      <w:lang w:val="en-US" w:eastAsia="zh-CN"/>
                    </w:rPr>
                    <w:t>。经收集的危险废物交由有资质的单位处置</w:t>
                  </w:r>
                </w:p>
              </w:tc>
              <w:tc>
                <w:tcPr>
                  <w:tcW w:w="1538" w:type="dxa"/>
                  <w:noWrap w:val="0"/>
                  <w:vAlign w:val="center"/>
                </w:tcPr>
                <w:p w14:paraId="723C92F2">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5</w:t>
                  </w:r>
                </w:p>
              </w:tc>
              <w:tc>
                <w:tcPr>
                  <w:tcW w:w="1538" w:type="dxa"/>
                  <w:noWrap w:val="0"/>
                  <w:vAlign w:val="center"/>
                </w:tcPr>
                <w:p w14:paraId="7986CA73">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5</w:t>
                  </w:r>
                </w:p>
              </w:tc>
            </w:tr>
            <w:tr w14:paraId="3DD2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636" w:type="dxa"/>
                  <w:vMerge w:val="continue"/>
                  <w:noWrap w:val="0"/>
                  <w:vAlign w:val="center"/>
                </w:tcPr>
                <w:p w14:paraId="57F3AC96">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1161" w:type="dxa"/>
                  <w:vMerge w:val="continue"/>
                  <w:noWrap w:val="0"/>
                  <w:vAlign w:val="center"/>
                </w:tcPr>
                <w:p w14:paraId="76ED8B90">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p>
              </w:tc>
              <w:tc>
                <w:tcPr>
                  <w:tcW w:w="4125" w:type="dxa"/>
                  <w:noWrap w:val="0"/>
                  <w:vAlign w:val="center"/>
                </w:tcPr>
                <w:p w14:paraId="55E8DD8B">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生活垃圾以垃圾桶收集，定期由环卫部门清运处理</w:t>
                  </w:r>
                </w:p>
              </w:tc>
              <w:tc>
                <w:tcPr>
                  <w:tcW w:w="1538" w:type="dxa"/>
                  <w:noWrap w:val="0"/>
                  <w:vAlign w:val="center"/>
                </w:tcPr>
                <w:p w14:paraId="3510CAC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w:t>
                  </w:r>
                </w:p>
              </w:tc>
              <w:tc>
                <w:tcPr>
                  <w:tcW w:w="1538" w:type="dxa"/>
                  <w:noWrap w:val="0"/>
                  <w:vAlign w:val="center"/>
                </w:tcPr>
                <w:p w14:paraId="40D094DF">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w:t>
                  </w:r>
                </w:p>
              </w:tc>
            </w:tr>
            <w:tr w14:paraId="32C8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636" w:type="dxa"/>
                  <w:noWrap w:val="0"/>
                  <w:vAlign w:val="center"/>
                </w:tcPr>
                <w:p w14:paraId="7DEB2B8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5</w:t>
                  </w:r>
                </w:p>
              </w:tc>
              <w:tc>
                <w:tcPr>
                  <w:tcW w:w="1161" w:type="dxa"/>
                  <w:noWrap w:val="0"/>
                  <w:vAlign w:val="center"/>
                </w:tcPr>
                <w:p w14:paraId="028E4E2E">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环境风险</w:t>
                  </w:r>
                </w:p>
              </w:tc>
              <w:tc>
                <w:tcPr>
                  <w:tcW w:w="4125" w:type="dxa"/>
                  <w:noWrap w:val="0"/>
                  <w:vAlign w:val="center"/>
                </w:tcPr>
                <w:p w14:paraId="09BF4265">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建设事故应急池：钢砼结构，容积约50m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，进行防渗措施；对危险废物暂存间、白油原料仓进行防渗，并设置接液盘和围堰；生产车间固液分离区设置截流沟；按有关</w:t>
                  </w:r>
                  <w:r>
                    <w:rPr>
                      <w:rFonts w:hint="default" w:ascii="Times New Roman" w:hAnsi="Times New Roman" w:cs="Times New Roman"/>
                      <w:bCs/>
                      <w:color w:val="auto"/>
                      <w:sz w:val="21"/>
                      <w:szCs w:val="21"/>
                      <w:lang w:val="en-US" w:eastAsia="zh-CN"/>
                    </w:rPr>
                    <w:t>规定制定突发环境事件应急预案</w:t>
                  </w:r>
                </w:p>
              </w:tc>
              <w:tc>
                <w:tcPr>
                  <w:tcW w:w="1538" w:type="dxa"/>
                  <w:noWrap w:val="0"/>
                  <w:vAlign w:val="center"/>
                </w:tcPr>
                <w:p w14:paraId="5D928241">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12</w:t>
                  </w:r>
                </w:p>
              </w:tc>
              <w:tc>
                <w:tcPr>
                  <w:tcW w:w="1538" w:type="dxa"/>
                  <w:noWrap w:val="0"/>
                  <w:vAlign w:val="center"/>
                </w:tcPr>
                <w:p w14:paraId="69F31ACC">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w:t>
                  </w:r>
                </w:p>
              </w:tc>
            </w:tr>
            <w:tr w14:paraId="6902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636" w:type="dxa"/>
                  <w:noWrap w:val="0"/>
                  <w:vAlign w:val="center"/>
                </w:tcPr>
                <w:p w14:paraId="380F76F8">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6</w:t>
                  </w:r>
                </w:p>
              </w:tc>
              <w:tc>
                <w:tcPr>
                  <w:tcW w:w="5286" w:type="dxa"/>
                  <w:gridSpan w:val="2"/>
                  <w:noWrap w:val="0"/>
                  <w:vAlign w:val="center"/>
                </w:tcPr>
                <w:p w14:paraId="4AF8C270">
                  <w:pPr>
                    <w:spacing w:line="240" w:lineRule="auto"/>
                    <w:ind w:left="0" w:leftChars="0" w:firstLine="0" w:firstLineChars="0"/>
                    <w:jc w:val="center"/>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总计</w:t>
                  </w:r>
                </w:p>
              </w:tc>
              <w:tc>
                <w:tcPr>
                  <w:tcW w:w="1538" w:type="dxa"/>
                  <w:noWrap w:val="0"/>
                  <w:vAlign w:val="center"/>
                </w:tcPr>
                <w:p w14:paraId="00F20AAA">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100</w:t>
                  </w:r>
                </w:p>
              </w:tc>
              <w:tc>
                <w:tcPr>
                  <w:tcW w:w="1538" w:type="dxa"/>
                  <w:noWrap w:val="0"/>
                  <w:vAlign w:val="center"/>
                </w:tcPr>
                <w:p w14:paraId="458B5954">
                  <w:pPr>
                    <w:spacing w:line="240" w:lineRule="auto"/>
                    <w:ind w:left="0" w:leftChars="0" w:firstLine="0" w:firstLineChars="0"/>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105</w:t>
                  </w:r>
                </w:p>
              </w:tc>
            </w:tr>
          </w:tbl>
          <w:p w14:paraId="26CE7332">
            <w:pPr>
              <w:bidi w:val="0"/>
              <w:ind w:left="0" w:leftChars="0" w:firstLine="0" w:firstLineChars="0"/>
              <w:rPr>
                <w:rFonts w:hint="default" w:ascii="Times New Roman" w:hAnsi="Times New Roman" w:cs="Times New Roman"/>
                <w:lang w:eastAsia="zh-CN"/>
              </w:rPr>
            </w:pPr>
          </w:p>
        </w:tc>
      </w:tr>
    </w:tbl>
    <w:p w14:paraId="7EB62DB8">
      <w:pPr>
        <w:widowControl/>
        <w:spacing w:line="240" w:lineRule="auto"/>
        <w:ind w:firstLine="0" w:firstLineChars="0"/>
        <w:jc w:val="left"/>
        <w:rPr>
          <w:rFonts w:hint="default" w:ascii="Times New Roman" w:hAnsi="Times New Roman" w:cs="Times New Roman"/>
          <w:color w:val="FF0000"/>
        </w:rPr>
      </w:pPr>
      <w:r>
        <w:rPr>
          <w:rFonts w:hint="default" w:ascii="Times New Roman" w:hAnsi="Times New Roman" w:cs="Times New Roman"/>
          <w:color w:val="FF0000"/>
        </w:rPr>
        <w:br w:type="page"/>
      </w:r>
    </w:p>
    <w:p w14:paraId="556CF072">
      <w:pPr>
        <w:pStyle w:val="2"/>
        <w:keepNext/>
        <w:keepLines/>
        <w:pageBreakBefore w:val="0"/>
        <w:widowControl w:val="0"/>
        <w:kinsoku/>
        <w:wordWrap/>
        <w:overflowPunct/>
        <w:topLinePunct w:val="0"/>
        <w:autoSpaceDE/>
        <w:autoSpaceDN/>
        <w:bidi w:val="0"/>
        <w:adjustRightInd/>
        <w:snapToGrid/>
        <w:spacing w:line="340" w:lineRule="exact"/>
        <w:textAlignment w:val="auto"/>
        <w:rPr>
          <w:rFonts w:hint="default" w:ascii="Times New Roman" w:hAnsi="Times New Roman" w:eastAsia="黑体" w:cs="Times New Roman"/>
          <w:lang w:val="en-US" w:eastAsia="zh-CN"/>
        </w:rPr>
      </w:pPr>
      <w:bookmarkStart w:id="4" w:name="_Toc28397"/>
      <w:r>
        <w:rPr>
          <w:rFonts w:hint="default" w:ascii="Times New Roman" w:hAnsi="Times New Roman" w:cs="Times New Roman"/>
        </w:rPr>
        <w:t>表三</w:t>
      </w:r>
      <w:r>
        <w:rPr>
          <w:rFonts w:hint="default" w:ascii="Times New Roman" w:hAnsi="Times New Roman" w:cs="Times New Roman"/>
          <w:lang w:eastAsia="zh-CN"/>
        </w:rPr>
        <w:t>：</w:t>
      </w:r>
      <w:r>
        <w:rPr>
          <w:rFonts w:hint="default" w:ascii="Times New Roman" w:hAnsi="Times New Roman" w:cs="Times New Roman"/>
          <w:lang w:val="en-US" w:eastAsia="zh-CN"/>
        </w:rPr>
        <w:t>主要污染源、污染物处理和排放</w:t>
      </w:r>
      <w:bookmarkEnd w:id="4"/>
    </w:p>
    <w:tbl>
      <w:tblPr>
        <w:tblStyle w:val="32"/>
        <w:tblW w:w="918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180"/>
      </w:tblGrid>
      <w:tr w14:paraId="5F0BD82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271" w:hRule="atLeast"/>
          <w:jc w:val="center"/>
        </w:trPr>
        <w:tc>
          <w:tcPr>
            <w:tcW w:w="9180" w:type="dxa"/>
            <w:vAlign w:val="center"/>
          </w:tcPr>
          <w:p w14:paraId="3C2384E7">
            <w:pPr>
              <w:ind w:firstLine="0" w:firstLineChars="0"/>
              <w:rPr>
                <w:rFonts w:hint="default" w:ascii="Times New Roman" w:hAnsi="Times New Roman" w:cs="Times New Roman"/>
                <w:b/>
              </w:rPr>
            </w:pPr>
            <w:r>
              <w:rPr>
                <w:rFonts w:hint="default" w:ascii="Times New Roman" w:hAnsi="Times New Roman" w:cs="Times New Roman"/>
                <w:b/>
              </w:rPr>
              <w:t>主要污染源、污染物处理和排放</w:t>
            </w:r>
          </w:p>
          <w:p w14:paraId="5D94801A">
            <w:pPr>
              <w:tabs>
                <w:tab w:val="left" w:pos="1170"/>
              </w:tabs>
              <w:spacing w:line="360" w:lineRule="auto"/>
              <w:ind w:firstLine="480" w:firstLineChars="200"/>
              <w:rPr>
                <w:rFonts w:hint="default" w:ascii="Times New Roman" w:hAnsi="Times New Roman" w:cs="Times New Roman"/>
                <w:color w:val="000000" w:themeColor="text1"/>
                <w:sz w:val="24"/>
                <w:szCs w:val="24"/>
                <w:lang w:eastAsia="zh-CN"/>
                <w14:textFill>
                  <w14:solidFill>
                    <w14:schemeClr w14:val="tx1"/>
                  </w14:solidFill>
                </w14:textFill>
              </w:rPr>
            </w:pPr>
            <w:r>
              <w:rPr>
                <w:rFonts w:hint="default" w:ascii="Times New Roman" w:hAnsi="Times New Roman" w:cs="Times New Roman"/>
              </w:rPr>
              <w:t>1</w:t>
            </w:r>
            <w:r>
              <w:rPr>
                <w:rFonts w:hint="default" w:ascii="Times New Roman" w:hAnsi="Times New Roman" w:cs="Times New Roman"/>
                <w:color w:val="000000" w:themeColor="text1"/>
                <w:sz w:val="24"/>
                <w:szCs w:val="24"/>
                <w:lang w:eastAsia="zh-CN"/>
                <w14:textFill>
                  <w14:solidFill>
                    <w14:schemeClr w14:val="tx1"/>
                  </w14:solidFill>
                </w14:textFill>
              </w:rPr>
              <w:t>、废水</w:t>
            </w:r>
          </w:p>
          <w:p w14:paraId="77217C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项目营运期生产用水主要包括砂磨机冷却用水、保温桶用水、员工工衣洗衣用水、员工洗手用水、挤出机间接冷却用水。其中，保温桶用水、挤出机间接冷却用水全部蒸发损耗掉；砂磨机冷却用水经导流沟导流至循环水池，再抽至循环水塔循环使用；员工工衣洗衣用水、洗手用水经六级沉淀池混凝沉淀处理后，上清液流至循环水池，再抽至循环水塔循环使用。因此，项目营运期生产废水不外排。外排的主要废水源为生活污水。</w:t>
            </w:r>
          </w:p>
          <w:p w14:paraId="242B73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生活污水：项目生活污水进入化粪池预处理，污染物排放浓度符合《污水综合排放标准》（GB8978-1996）三级标准要求</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再通过</w:t>
            </w:r>
            <w:r>
              <w:rPr>
                <w:rFonts w:hint="eastAsia" w:cs="Times New Roman"/>
                <w:color w:val="auto"/>
                <w:lang w:val="en-US" w:eastAsia="zh-CN"/>
              </w:rPr>
              <w:t>园区</w:t>
            </w:r>
            <w:r>
              <w:rPr>
                <w:rFonts w:hint="default" w:ascii="Times New Roman" w:hAnsi="Times New Roman" w:cs="Times New Roman"/>
                <w:color w:val="auto"/>
                <w:lang w:val="en-US" w:eastAsia="zh-CN"/>
              </w:rPr>
              <w:t>市政污水管网进入长阳铺镇污水处理厂进一步处理达标后排入李山峰溪。</w:t>
            </w:r>
          </w:p>
          <w:p w14:paraId="651380A0">
            <w:pPr>
              <w:spacing w:line="360" w:lineRule="auto"/>
              <w:ind w:left="0" w:leftChars="0" w:firstLine="480" w:firstLineChars="200"/>
              <w:rPr>
                <w:rFonts w:hint="default" w:ascii="Times New Roman" w:hAnsi="Times New Roman" w:cs="Times New Roman"/>
                <w:b/>
                <w:bCs/>
                <w:color w:val="auto"/>
                <w:sz w:val="21"/>
                <w:szCs w:val="21"/>
              </w:rPr>
            </w:pPr>
            <w:r>
              <w:rPr>
                <w:rFonts w:hint="default" w:ascii="Times New Roman" w:hAnsi="Times New Roman" w:cs="Times New Roman"/>
                <w:color w:val="auto"/>
              </w:rPr>
              <w:t>项目</w:t>
            </w:r>
            <w:r>
              <w:rPr>
                <w:rFonts w:hint="default" w:ascii="Times New Roman" w:hAnsi="Times New Roman" w:cs="Times New Roman"/>
                <w:color w:val="auto"/>
                <w:lang w:val="en-US" w:eastAsia="zh-CN"/>
              </w:rPr>
              <w:t>生活污</w:t>
            </w:r>
            <w:r>
              <w:rPr>
                <w:rFonts w:hint="default" w:ascii="Times New Roman" w:hAnsi="Times New Roman" w:cs="Times New Roman"/>
                <w:color w:val="auto"/>
                <w:lang w:eastAsia="zh-CN"/>
              </w:rPr>
              <w:t>水</w:t>
            </w:r>
            <w:r>
              <w:rPr>
                <w:rFonts w:hint="default" w:ascii="Times New Roman" w:hAnsi="Times New Roman" w:cs="Times New Roman"/>
                <w:color w:val="auto"/>
              </w:rPr>
              <w:t>污染源及其环保措施情况统计如下：</w:t>
            </w:r>
          </w:p>
          <w:p w14:paraId="10F65A1D">
            <w:pPr>
              <w:adjustRightInd w:val="0"/>
              <w:snapToGrid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表</w:t>
            </w:r>
            <w:r>
              <w:rPr>
                <w:rFonts w:hint="default" w:ascii="Times New Roman" w:hAnsi="Times New Roman" w:cs="Times New Roman"/>
                <w:b/>
                <w:bCs/>
                <w:color w:val="auto"/>
                <w:sz w:val="21"/>
                <w:szCs w:val="21"/>
                <w:lang w:val="en-US" w:eastAsia="zh-CN"/>
              </w:rPr>
              <w:t>3-1</w:t>
            </w:r>
            <w:r>
              <w:rPr>
                <w:rFonts w:hint="default" w:ascii="Times New Roman" w:hAnsi="Times New Roman" w:cs="Times New Roman"/>
                <w:b/>
                <w:bCs/>
                <w:color w:val="auto"/>
                <w:sz w:val="21"/>
                <w:szCs w:val="21"/>
              </w:rPr>
              <w:t xml:space="preserve"> 项目废</w:t>
            </w:r>
            <w:r>
              <w:rPr>
                <w:rFonts w:hint="default" w:ascii="Times New Roman" w:hAnsi="Times New Roman" w:cs="Times New Roman"/>
                <w:b/>
                <w:bCs/>
                <w:color w:val="auto"/>
                <w:sz w:val="21"/>
                <w:szCs w:val="21"/>
                <w:lang w:val="en-US" w:eastAsia="zh-CN"/>
              </w:rPr>
              <w:t>水</w:t>
            </w:r>
            <w:r>
              <w:rPr>
                <w:rFonts w:hint="default" w:ascii="Times New Roman" w:hAnsi="Times New Roman" w:cs="Times New Roman"/>
                <w:b/>
                <w:bCs/>
                <w:color w:val="auto"/>
                <w:sz w:val="21"/>
                <w:szCs w:val="21"/>
              </w:rPr>
              <w:t>污染源及其环保措施情况统计一览表</w:t>
            </w:r>
          </w:p>
          <w:tbl>
            <w:tblPr>
              <w:tblStyle w:val="32"/>
              <w:tblW w:w="8987"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2445"/>
              <w:gridCol w:w="3389"/>
              <w:gridCol w:w="1831"/>
            </w:tblGrid>
            <w:tr w14:paraId="75FB21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322" w:type="dxa"/>
                  <w:noWrap w:val="0"/>
                  <w:vAlign w:val="center"/>
                </w:tcPr>
                <w:p w14:paraId="277B4A9E">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eastAsia="zh-CN"/>
                    </w:rPr>
                    <w:t>废水</w:t>
                  </w:r>
                  <w:r>
                    <w:rPr>
                      <w:rFonts w:hint="default" w:ascii="Times New Roman" w:hAnsi="Times New Roman" w:cs="Times New Roman"/>
                      <w:b/>
                      <w:bCs/>
                      <w:color w:val="auto"/>
                      <w:sz w:val="21"/>
                      <w:szCs w:val="21"/>
                    </w:rPr>
                    <w:t>名称</w:t>
                  </w:r>
                </w:p>
              </w:tc>
              <w:tc>
                <w:tcPr>
                  <w:tcW w:w="2445" w:type="dxa"/>
                  <w:noWrap w:val="0"/>
                  <w:vAlign w:val="center"/>
                </w:tcPr>
                <w:p w14:paraId="2DA9CF78">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污染物种类</w:t>
                  </w:r>
                </w:p>
              </w:tc>
              <w:tc>
                <w:tcPr>
                  <w:tcW w:w="3389" w:type="dxa"/>
                  <w:noWrap w:val="0"/>
                  <w:vAlign w:val="center"/>
                </w:tcPr>
                <w:p w14:paraId="56883265">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处理措施</w:t>
                  </w:r>
                </w:p>
              </w:tc>
              <w:tc>
                <w:tcPr>
                  <w:tcW w:w="1831" w:type="dxa"/>
                  <w:noWrap w:val="0"/>
                  <w:vAlign w:val="center"/>
                </w:tcPr>
                <w:p w14:paraId="609E72AA">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排放去向</w:t>
                  </w:r>
                </w:p>
              </w:tc>
            </w:tr>
            <w:tr w14:paraId="266E232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1322" w:type="dxa"/>
                  <w:noWrap w:val="0"/>
                  <w:vAlign w:val="center"/>
                </w:tcPr>
                <w:p w14:paraId="7D6AC9D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生活污水</w:t>
                  </w:r>
                </w:p>
              </w:tc>
              <w:tc>
                <w:tcPr>
                  <w:tcW w:w="2445" w:type="dxa"/>
                  <w:noWrap w:val="0"/>
                  <w:vAlign w:val="center"/>
                </w:tcPr>
                <w:p w14:paraId="7E6DD808">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pH、COD、SS、氨氮、动植物油</w:t>
                  </w:r>
                </w:p>
              </w:tc>
              <w:tc>
                <w:tcPr>
                  <w:tcW w:w="3389" w:type="dxa"/>
                  <w:noWrap w:val="0"/>
                  <w:vAlign w:val="center"/>
                </w:tcPr>
                <w:p w14:paraId="4245D71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经化粪池</w:t>
                  </w:r>
                  <w:r>
                    <w:rPr>
                      <w:rFonts w:hint="eastAsia" w:cs="Times New Roman"/>
                      <w:color w:val="auto"/>
                      <w:sz w:val="21"/>
                      <w:szCs w:val="21"/>
                      <w:lang w:val="en-US" w:eastAsia="zh-CN"/>
                    </w:rPr>
                    <w:t>预处理后</w:t>
                  </w:r>
                  <w:r>
                    <w:rPr>
                      <w:rFonts w:hint="default" w:ascii="Times New Roman" w:hAnsi="Times New Roman" w:cs="Times New Roman"/>
                      <w:color w:val="auto"/>
                      <w:sz w:val="21"/>
                      <w:szCs w:val="21"/>
                      <w:lang w:val="en-US" w:eastAsia="zh-CN"/>
                    </w:rPr>
                    <w:t>通过园区市政污水管网进入长阳铺镇污水处理厂进一步处理达标后排入李山峰溪</w:t>
                  </w:r>
                </w:p>
              </w:tc>
              <w:tc>
                <w:tcPr>
                  <w:tcW w:w="1831" w:type="dxa"/>
                  <w:noWrap w:val="0"/>
                  <w:vAlign w:val="center"/>
                </w:tcPr>
                <w:p w14:paraId="0446148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长阳铺镇污水处理厂</w:t>
                  </w:r>
                </w:p>
              </w:tc>
            </w:tr>
            <w:tr w14:paraId="0005CA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1322" w:type="dxa"/>
                  <w:noWrap w:val="0"/>
                  <w:vAlign w:val="center"/>
                </w:tcPr>
                <w:p w14:paraId="1B3696F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生产</w:t>
                  </w:r>
                  <w:r>
                    <w:rPr>
                      <w:rFonts w:hint="default" w:ascii="Times New Roman" w:hAnsi="Times New Roman" w:cs="Times New Roman"/>
                      <w:color w:val="auto"/>
                      <w:sz w:val="21"/>
                      <w:szCs w:val="21"/>
                      <w:lang w:val="en-US" w:eastAsia="zh-CN"/>
                    </w:rPr>
                    <w:t>废水</w:t>
                  </w:r>
                </w:p>
              </w:tc>
              <w:tc>
                <w:tcPr>
                  <w:tcW w:w="2445" w:type="dxa"/>
                  <w:noWrap w:val="0"/>
                  <w:vAlign w:val="center"/>
                </w:tcPr>
                <w:p w14:paraId="4113F0F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pH、</w:t>
                  </w:r>
                  <w:r>
                    <w:rPr>
                      <w:rFonts w:hint="eastAsia" w:cs="Times New Roman"/>
                      <w:color w:val="auto"/>
                      <w:sz w:val="21"/>
                      <w:szCs w:val="21"/>
                      <w:lang w:val="en-US" w:eastAsia="zh-CN"/>
                    </w:rPr>
                    <w:t>色度、TP、</w:t>
                  </w:r>
                  <w:r>
                    <w:rPr>
                      <w:rFonts w:hint="default" w:ascii="Times New Roman" w:hAnsi="Times New Roman" w:cs="Times New Roman"/>
                      <w:color w:val="auto"/>
                      <w:sz w:val="21"/>
                      <w:szCs w:val="21"/>
                      <w:lang w:val="en-US" w:eastAsia="zh-CN"/>
                    </w:rPr>
                    <w:t>COD、SS、氨氮、石油类</w:t>
                  </w:r>
                </w:p>
              </w:tc>
              <w:tc>
                <w:tcPr>
                  <w:tcW w:w="3389" w:type="dxa"/>
                  <w:noWrap w:val="0"/>
                  <w:vAlign w:val="center"/>
                </w:tcPr>
                <w:p w14:paraId="209B561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均</w:t>
                  </w:r>
                  <w:r>
                    <w:rPr>
                      <w:rFonts w:hint="default" w:ascii="Times New Roman" w:hAnsi="Times New Roman" w:cs="Times New Roman"/>
                      <w:color w:val="auto"/>
                      <w:sz w:val="21"/>
                      <w:szCs w:val="21"/>
                      <w:lang w:val="en-US" w:eastAsia="zh-CN"/>
                    </w:rPr>
                    <w:t>处理后循环使用，不外排</w:t>
                  </w:r>
                </w:p>
              </w:tc>
              <w:tc>
                <w:tcPr>
                  <w:tcW w:w="1831" w:type="dxa"/>
                  <w:noWrap w:val="0"/>
                  <w:vAlign w:val="center"/>
                </w:tcPr>
                <w:p w14:paraId="2357AAB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不外排</w:t>
                  </w:r>
                </w:p>
              </w:tc>
            </w:tr>
          </w:tbl>
          <w:p w14:paraId="723B58E5">
            <w:pPr>
              <w:bidi w:val="0"/>
              <w:ind w:left="0" w:leftChars="0" w:firstLine="0" w:firstLineChars="0"/>
              <w:rPr>
                <w:rFonts w:hint="default" w:ascii="Times New Roman" w:hAnsi="Times New Roman" w:cs="Times New Roman"/>
              </w:rPr>
            </w:pPr>
            <w:r>
              <w:rPr>
                <w:rFonts w:hint="default" w:ascii="Times New Roman" w:hAnsi="Times New Roman" w:cs="Times New Roman"/>
              </w:rPr>
              <w:t>2、废气</w:t>
            </w:r>
          </w:p>
          <w:p w14:paraId="2243AEDE">
            <w:pPr>
              <w:bidi w:val="0"/>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项目营运期废气污染物排放源主要为红磷阻燃母粒挤出废气、原料拆包产生的粉尘、</w:t>
            </w:r>
            <w:r>
              <w:rPr>
                <w:rFonts w:hint="eastAsia" w:cs="Times New Roman"/>
                <w:lang w:val="en-US" w:eastAsia="zh-CN"/>
              </w:rPr>
              <w:t>球磨</w:t>
            </w:r>
            <w:r>
              <w:rPr>
                <w:rFonts w:hint="default" w:ascii="Times New Roman" w:hAnsi="Times New Roman" w:cs="Times New Roman"/>
                <w:lang w:val="en-US" w:eastAsia="zh-CN"/>
              </w:rPr>
              <w:t>投料粉尘</w:t>
            </w:r>
            <w:r>
              <w:rPr>
                <w:rFonts w:hint="eastAsia" w:cs="Times New Roman"/>
                <w:lang w:val="en-US" w:eastAsia="zh-CN"/>
              </w:rPr>
              <w:t>和振动搅拌产生的颗粒物</w:t>
            </w:r>
            <w:r>
              <w:rPr>
                <w:rFonts w:hint="default" w:ascii="Times New Roman" w:hAnsi="Times New Roman" w:cs="Times New Roman"/>
                <w:lang w:val="en-US" w:eastAsia="zh-CN"/>
              </w:rPr>
              <w:t>。</w:t>
            </w:r>
          </w:p>
          <w:p w14:paraId="723F2A6C">
            <w:pPr>
              <w:bidi w:val="0"/>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①红磷阻燃母粒挤出废气</w:t>
            </w:r>
          </w:p>
          <w:p w14:paraId="19CDC1AF">
            <w:pPr>
              <w:bidi w:val="0"/>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红磷阻燃母粒生产过程中，油相超细红磷阻燃剂、聚乙烯树脂在配料、混合、挤出过程中将产生少量的颗粒物和有机废气。此外，由于油相超细红磷阻燃剂中含有白油成分，白油在135~140℃下会形成少量的油雾，油雾的成分非常复杂，通常包括石油中的碳氢化合物、过氧化物、挥发油分等。挤出工序抽出的废气经“</w:t>
            </w:r>
            <w:r>
              <w:rPr>
                <w:rFonts w:hint="eastAsia" w:cs="Times New Roman"/>
                <w:lang w:val="en-US" w:eastAsia="zh-CN"/>
              </w:rPr>
              <w:t>喷淋（</w:t>
            </w:r>
            <w:r>
              <w:rPr>
                <w:rFonts w:hint="default" w:ascii="Times New Roman" w:hAnsi="Times New Roman" w:cs="Times New Roman"/>
                <w:lang w:val="en-US" w:eastAsia="zh-CN"/>
              </w:rPr>
              <w:t>油雾净化</w:t>
            </w:r>
            <w:r>
              <w:rPr>
                <w:rFonts w:hint="eastAsia" w:cs="Times New Roman"/>
                <w:lang w:val="en-US" w:eastAsia="zh-CN"/>
              </w:rPr>
              <w:t>）</w:t>
            </w:r>
            <w:r>
              <w:rPr>
                <w:rFonts w:hint="default" w:ascii="Times New Roman" w:hAnsi="Times New Roman" w:cs="Times New Roman"/>
                <w:lang w:val="en-US" w:eastAsia="zh-CN"/>
              </w:rPr>
              <w:t>+UV光催化氧化+活性炭吸附”处理后，再经15m高的排气筒G1排放。</w:t>
            </w:r>
          </w:p>
          <w:p w14:paraId="300E60A1">
            <w:pPr>
              <w:bidi w:val="0"/>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项目无组织排放粉尘主要包括：原料拆包产生的粉尘、</w:t>
            </w:r>
            <w:r>
              <w:rPr>
                <w:rFonts w:hint="eastAsia" w:cs="Times New Roman"/>
                <w:lang w:val="en-US" w:eastAsia="zh-CN"/>
              </w:rPr>
              <w:t>球磨</w:t>
            </w:r>
            <w:r>
              <w:rPr>
                <w:rFonts w:hint="default" w:ascii="Times New Roman" w:hAnsi="Times New Roman" w:cs="Times New Roman"/>
                <w:lang w:val="en-US" w:eastAsia="zh-CN"/>
              </w:rPr>
              <w:t>投料粉尘以及</w:t>
            </w:r>
            <w:r>
              <w:rPr>
                <w:rFonts w:hint="eastAsia" w:cs="Times New Roman"/>
                <w:lang w:val="en-US" w:eastAsia="zh-CN"/>
              </w:rPr>
              <w:t>振动搅拌</w:t>
            </w:r>
            <w:r>
              <w:rPr>
                <w:rFonts w:hint="default" w:ascii="Times New Roman" w:hAnsi="Times New Roman" w:cs="Times New Roman"/>
                <w:lang w:val="en-US" w:eastAsia="zh-CN"/>
              </w:rPr>
              <w:t>粉尘。项目设置单独的半封闭式（三面封闭）球磨机房，可减少原料拆包和</w:t>
            </w:r>
            <w:r>
              <w:rPr>
                <w:rFonts w:hint="eastAsia" w:cs="Times New Roman"/>
                <w:lang w:val="en-US" w:eastAsia="zh-CN"/>
              </w:rPr>
              <w:t>球磨</w:t>
            </w:r>
            <w:r>
              <w:rPr>
                <w:rFonts w:hint="default" w:ascii="Times New Roman" w:hAnsi="Times New Roman" w:cs="Times New Roman"/>
                <w:lang w:val="en-US" w:eastAsia="zh-CN"/>
              </w:rPr>
              <w:t>投料粉尘。项目</w:t>
            </w:r>
            <w:r>
              <w:rPr>
                <w:rFonts w:hint="eastAsia" w:cs="Times New Roman"/>
                <w:lang w:val="en-US" w:eastAsia="zh-CN"/>
              </w:rPr>
              <w:t>在振动搅拌</w:t>
            </w:r>
            <w:r>
              <w:rPr>
                <w:rFonts w:hint="default" w:ascii="Times New Roman" w:hAnsi="Times New Roman" w:cs="Times New Roman"/>
                <w:lang w:val="en-US" w:eastAsia="zh-CN"/>
              </w:rPr>
              <w:t>过程中也会产生少量的粉尘，项目设置</w:t>
            </w:r>
            <w:r>
              <w:rPr>
                <w:rFonts w:hint="eastAsia" w:cs="Times New Roman"/>
                <w:lang w:val="en-US" w:eastAsia="zh-CN"/>
              </w:rPr>
              <w:t>喷淋器</w:t>
            </w:r>
            <w:r>
              <w:rPr>
                <w:rFonts w:hint="default" w:ascii="Times New Roman" w:hAnsi="Times New Roman" w:cs="Times New Roman"/>
                <w:lang w:val="en-US" w:eastAsia="zh-CN"/>
              </w:rPr>
              <w:t>进行收集</w:t>
            </w:r>
            <w:r>
              <w:rPr>
                <w:rFonts w:hint="eastAsia" w:cs="Times New Roman"/>
                <w:lang w:val="en-US" w:eastAsia="zh-CN"/>
              </w:rPr>
              <w:t>，</w:t>
            </w:r>
            <w:r>
              <w:rPr>
                <w:rFonts w:hint="default" w:ascii="Times New Roman" w:hAnsi="Times New Roman" w:cs="Times New Roman"/>
                <w:lang w:val="en-US" w:eastAsia="zh-CN"/>
              </w:rPr>
              <w:t>处理后以无组织排放。</w:t>
            </w:r>
          </w:p>
          <w:p w14:paraId="762DBA9A">
            <w:pPr>
              <w:tabs>
                <w:tab w:val="left" w:pos="1170"/>
              </w:tabs>
              <w:spacing w:line="360" w:lineRule="auto"/>
              <w:jc w:val="center"/>
              <w:rPr>
                <w:rFonts w:hint="default" w:ascii="Times New Roman" w:hAnsi="Times New Roman" w:cs="Times New Roman"/>
                <w:sz w:val="21"/>
                <w:szCs w:val="21"/>
              </w:rPr>
            </w:pPr>
            <w:r>
              <w:rPr>
                <w:rFonts w:hint="default" w:ascii="Times New Roman" w:hAnsi="Times New Roman" w:eastAsia="宋体" w:cs="Times New Roman"/>
                <w:b/>
                <w:bCs/>
                <w:sz w:val="21"/>
                <w:szCs w:val="21"/>
              </w:rPr>
              <w:t>表</w:t>
            </w:r>
            <w:r>
              <w:rPr>
                <w:rFonts w:hint="default" w:ascii="Times New Roman" w:hAnsi="Times New Roman" w:eastAsia="宋体" w:cs="Times New Roman"/>
                <w:b/>
                <w:bCs/>
                <w:sz w:val="21"/>
                <w:szCs w:val="21"/>
                <w:lang w:val="en-US" w:eastAsia="zh-CN"/>
              </w:rPr>
              <w:t>3-2</w:t>
            </w:r>
            <w:r>
              <w:rPr>
                <w:rFonts w:hint="default" w:ascii="Times New Roman" w:hAnsi="Times New Roman" w:eastAsia="宋体" w:cs="Times New Roman"/>
                <w:b/>
                <w:bCs/>
                <w:sz w:val="21"/>
                <w:szCs w:val="21"/>
              </w:rPr>
              <w:t xml:space="preserve"> </w:t>
            </w:r>
            <w:r>
              <w:rPr>
                <w:rFonts w:hint="default" w:ascii="Times New Roman" w:hAnsi="Times New Roman" w:eastAsia="宋体" w:cs="Times New Roman"/>
                <w:b/>
                <w:bCs/>
                <w:sz w:val="21"/>
                <w:szCs w:val="21"/>
                <w:lang w:val="en-US" w:eastAsia="zh-CN"/>
              </w:rPr>
              <w:t xml:space="preserve"> </w:t>
            </w:r>
            <w:r>
              <w:rPr>
                <w:rFonts w:hint="default" w:ascii="Times New Roman" w:hAnsi="Times New Roman" w:eastAsia="宋体" w:cs="Times New Roman"/>
                <w:b/>
                <w:bCs/>
                <w:sz w:val="21"/>
                <w:szCs w:val="21"/>
              </w:rPr>
              <w:t>项目废气污染源及其环保措施情况统计一览表</w:t>
            </w:r>
          </w:p>
          <w:tbl>
            <w:tblPr>
              <w:tblStyle w:val="32"/>
              <w:tblW w:w="900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66"/>
              <w:gridCol w:w="1530"/>
              <w:gridCol w:w="1545"/>
              <w:gridCol w:w="2951"/>
              <w:gridCol w:w="1108"/>
            </w:tblGrid>
            <w:tr w14:paraId="63215B4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66" w:type="dxa"/>
                  <w:noWrap w:val="0"/>
                  <w:vAlign w:val="center"/>
                </w:tcPr>
                <w:p w14:paraId="16EE3CD5">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废气名称</w:t>
                  </w:r>
                </w:p>
              </w:tc>
              <w:tc>
                <w:tcPr>
                  <w:tcW w:w="1530" w:type="dxa"/>
                  <w:noWrap w:val="0"/>
                  <w:vAlign w:val="center"/>
                </w:tcPr>
                <w:p w14:paraId="38F0BDC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污染物种类</w:t>
                  </w:r>
                </w:p>
              </w:tc>
              <w:tc>
                <w:tcPr>
                  <w:tcW w:w="1545" w:type="dxa"/>
                  <w:noWrap w:val="0"/>
                  <w:vAlign w:val="center"/>
                </w:tcPr>
                <w:p w14:paraId="11F2369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排放形式</w:t>
                  </w:r>
                </w:p>
              </w:tc>
              <w:tc>
                <w:tcPr>
                  <w:tcW w:w="2951" w:type="dxa"/>
                  <w:noWrap w:val="0"/>
                  <w:vAlign w:val="center"/>
                </w:tcPr>
                <w:p w14:paraId="0DAAE2B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处理措施</w:t>
                  </w:r>
                </w:p>
              </w:tc>
              <w:tc>
                <w:tcPr>
                  <w:tcW w:w="1108" w:type="dxa"/>
                  <w:noWrap w:val="0"/>
                  <w:vAlign w:val="center"/>
                </w:tcPr>
                <w:p w14:paraId="3EA1A9F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排放去向</w:t>
                  </w:r>
                </w:p>
              </w:tc>
            </w:tr>
            <w:tr w14:paraId="0B8BD0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866" w:type="dxa"/>
                  <w:noWrap w:val="0"/>
                  <w:vAlign w:val="center"/>
                </w:tcPr>
                <w:p w14:paraId="230BC9C2">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原料拆包产生的粉尘、</w:t>
                  </w:r>
                  <w:r>
                    <w:rPr>
                      <w:rFonts w:hint="eastAsia" w:eastAsia="宋体" w:cs="Times New Roman"/>
                      <w:kern w:val="2"/>
                      <w:sz w:val="21"/>
                      <w:szCs w:val="21"/>
                      <w:lang w:val="en-US" w:eastAsia="zh-CN"/>
                    </w:rPr>
                    <w:t>球磨</w:t>
                  </w:r>
                  <w:r>
                    <w:rPr>
                      <w:rFonts w:hint="default" w:ascii="Times New Roman" w:hAnsi="Times New Roman" w:eastAsia="宋体" w:cs="Times New Roman"/>
                      <w:kern w:val="2"/>
                      <w:sz w:val="21"/>
                      <w:szCs w:val="21"/>
                      <w:lang w:val="en-US" w:eastAsia="zh-CN"/>
                    </w:rPr>
                    <w:t>投料粉尘</w:t>
                  </w:r>
                </w:p>
              </w:tc>
              <w:tc>
                <w:tcPr>
                  <w:tcW w:w="1530" w:type="dxa"/>
                  <w:vMerge w:val="restart"/>
                  <w:noWrap w:val="0"/>
                  <w:vAlign w:val="center"/>
                </w:tcPr>
                <w:p w14:paraId="3C032AC2">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颗粒物</w:t>
                  </w:r>
                </w:p>
              </w:tc>
              <w:tc>
                <w:tcPr>
                  <w:tcW w:w="1545" w:type="dxa"/>
                  <w:vMerge w:val="restart"/>
                  <w:noWrap w:val="0"/>
                  <w:vAlign w:val="center"/>
                </w:tcPr>
                <w:p w14:paraId="11B468C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无组织排放</w:t>
                  </w:r>
                </w:p>
              </w:tc>
              <w:tc>
                <w:tcPr>
                  <w:tcW w:w="2951" w:type="dxa"/>
                  <w:noWrap w:val="0"/>
                  <w:vAlign w:val="center"/>
                </w:tcPr>
                <w:p w14:paraId="1C681AF5">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设置单独的半封闭式（三面封闭）球磨机房</w:t>
                  </w:r>
                </w:p>
              </w:tc>
              <w:tc>
                <w:tcPr>
                  <w:tcW w:w="1108" w:type="dxa"/>
                  <w:vMerge w:val="restart"/>
                  <w:noWrap w:val="0"/>
                  <w:vAlign w:val="center"/>
                </w:tcPr>
                <w:p w14:paraId="0C787AB5">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环境空气</w:t>
                  </w:r>
                </w:p>
              </w:tc>
            </w:tr>
            <w:tr w14:paraId="26C34FD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866" w:type="dxa"/>
                  <w:noWrap w:val="0"/>
                  <w:vAlign w:val="center"/>
                </w:tcPr>
                <w:p w14:paraId="65D53881">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振动搅拌粉尘</w:t>
                  </w:r>
                </w:p>
              </w:tc>
              <w:tc>
                <w:tcPr>
                  <w:tcW w:w="1530" w:type="dxa"/>
                  <w:vMerge w:val="continue"/>
                  <w:noWrap w:val="0"/>
                  <w:vAlign w:val="center"/>
                </w:tcPr>
                <w:p w14:paraId="76B42A9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sz w:val="21"/>
                      <w:szCs w:val="21"/>
                      <w:lang w:val="en-US" w:eastAsia="zh-CN"/>
                    </w:rPr>
                  </w:pPr>
                </w:p>
              </w:tc>
              <w:tc>
                <w:tcPr>
                  <w:tcW w:w="1545" w:type="dxa"/>
                  <w:vMerge w:val="continue"/>
                  <w:noWrap w:val="0"/>
                  <w:vAlign w:val="center"/>
                </w:tcPr>
                <w:p w14:paraId="0230944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rPr>
                  </w:pPr>
                </w:p>
              </w:tc>
              <w:tc>
                <w:tcPr>
                  <w:tcW w:w="2951" w:type="dxa"/>
                  <w:noWrap w:val="0"/>
                  <w:vAlign w:val="center"/>
                </w:tcPr>
                <w:p w14:paraId="31E250E5">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Arial Unicode MS" w:cs="Times New Roman"/>
                      <w:kern w:val="2"/>
                      <w:sz w:val="21"/>
                      <w:szCs w:val="21"/>
                      <w:lang w:val="en-US" w:eastAsia="zh-CN"/>
                    </w:rPr>
                  </w:pPr>
                  <w:r>
                    <w:rPr>
                      <w:rFonts w:hint="eastAsia" w:cs="Times New Roman"/>
                      <w:color w:val="000000"/>
                      <w:sz w:val="21"/>
                      <w:szCs w:val="21"/>
                      <w:lang w:val="en-US" w:eastAsia="zh-CN"/>
                    </w:rPr>
                    <w:t>喷淋</w:t>
                  </w:r>
                </w:p>
              </w:tc>
              <w:tc>
                <w:tcPr>
                  <w:tcW w:w="1108" w:type="dxa"/>
                  <w:vMerge w:val="continue"/>
                  <w:noWrap w:val="0"/>
                  <w:vAlign w:val="center"/>
                </w:tcPr>
                <w:p w14:paraId="4C29249B">
                  <w:pPr>
                    <w:adjustRightInd w:val="0"/>
                    <w:snapToGrid w:val="0"/>
                    <w:spacing w:line="240" w:lineRule="auto"/>
                    <w:ind w:firstLine="0" w:firstLineChars="0"/>
                    <w:jc w:val="center"/>
                    <w:rPr>
                      <w:rFonts w:hint="default" w:ascii="Times New Roman" w:hAnsi="Times New Roman" w:cs="Times New Roman"/>
                      <w:sz w:val="21"/>
                      <w:szCs w:val="21"/>
                    </w:rPr>
                  </w:pPr>
                </w:p>
              </w:tc>
            </w:tr>
            <w:tr w14:paraId="59ABE71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1866" w:type="dxa"/>
                  <w:noWrap w:val="0"/>
                  <w:vAlign w:val="center"/>
                </w:tcPr>
                <w:p w14:paraId="0D09A84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红磷阻燃母粒挤出废气</w:t>
                  </w:r>
                </w:p>
              </w:tc>
              <w:tc>
                <w:tcPr>
                  <w:tcW w:w="1530" w:type="dxa"/>
                  <w:noWrap w:val="0"/>
                  <w:vAlign w:val="center"/>
                </w:tcPr>
                <w:p w14:paraId="16E9299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kern w:val="2"/>
                      <w:sz w:val="21"/>
                      <w:szCs w:val="21"/>
                      <w:lang w:val="en-US" w:eastAsia="zh-CN"/>
                    </w:rPr>
                    <w:t>颗粒物</w:t>
                  </w:r>
                  <w:r>
                    <w:rPr>
                      <w:rFonts w:hint="eastAsia" w:eastAsia="宋体" w:cs="Times New Roman"/>
                      <w:kern w:val="2"/>
                      <w:sz w:val="21"/>
                      <w:szCs w:val="21"/>
                      <w:lang w:val="en-US" w:eastAsia="zh-CN"/>
                    </w:rPr>
                    <w:t>、非甲烷总烃</w:t>
                  </w:r>
                </w:p>
              </w:tc>
              <w:tc>
                <w:tcPr>
                  <w:tcW w:w="1545" w:type="dxa"/>
                  <w:noWrap w:val="0"/>
                  <w:vAlign w:val="center"/>
                </w:tcPr>
                <w:p w14:paraId="151DFC9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有组织排放</w:t>
                  </w:r>
                </w:p>
              </w:tc>
              <w:tc>
                <w:tcPr>
                  <w:tcW w:w="2951" w:type="dxa"/>
                  <w:noWrap w:val="0"/>
                  <w:vAlign w:val="center"/>
                </w:tcPr>
                <w:p w14:paraId="781320F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rPr>
                  </w:pPr>
                  <w:r>
                    <w:rPr>
                      <w:rFonts w:hint="default" w:ascii="Times New Roman" w:hAnsi="Times New Roman" w:eastAsia="宋体" w:cs="Times New Roman"/>
                      <w:kern w:val="2"/>
                      <w:sz w:val="21"/>
                      <w:szCs w:val="21"/>
                      <w:lang w:val="en-US" w:eastAsia="zh-CN"/>
                    </w:rPr>
                    <w:t>经“喷淋（油雾净化）+UV光催化氧化+活性炭吸附”处理后，再经15m高的排气筒G1排放</w:t>
                  </w:r>
                </w:p>
              </w:tc>
              <w:tc>
                <w:tcPr>
                  <w:tcW w:w="1108" w:type="dxa"/>
                  <w:vMerge w:val="continue"/>
                  <w:noWrap w:val="0"/>
                  <w:vAlign w:val="center"/>
                </w:tcPr>
                <w:p w14:paraId="59A76F7D">
                  <w:pPr>
                    <w:adjustRightInd w:val="0"/>
                    <w:snapToGrid w:val="0"/>
                    <w:spacing w:line="240" w:lineRule="auto"/>
                    <w:ind w:firstLine="0" w:firstLineChars="0"/>
                    <w:jc w:val="center"/>
                    <w:rPr>
                      <w:rFonts w:hint="default" w:ascii="Times New Roman" w:hAnsi="Times New Roman" w:cs="Times New Roman"/>
                      <w:sz w:val="21"/>
                      <w:szCs w:val="21"/>
                    </w:rPr>
                  </w:pPr>
                </w:p>
              </w:tc>
            </w:tr>
          </w:tbl>
          <w:p w14:paraId="0902EAE6">
            <w:pPr>
              <w:ind w:firstLine="0" w:firstLineChars="0"/>
              <w:rPr>
                <w:rFonts w:hint="default" w:ascii="Times New Roman" w:hAnsi="Times New Roman" w:cs="Times New Roman"/>
              </w:rPr>
            </w:pPr>
            <w:r>
              <w:rPr>
                <w:rFonts w:hint="default" w:ascii="Times New Roman" w:hAnsi="Times New Roman" w:cs="Times New Roman"/>
              </w:rPr>
              <w:t>3、噪声</w:t>
            </w:r>
          </w:p>
          <w:p w14:paraId="65FD1CB4">
            <w:pPr>
              <w:pageBreakBefore w:val="0"/>
              <w:widowControl/>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t>本项目噪声主要来自</w:t>
            </w:r>
            <w:r>
              <w:rPr>
                <w:rFonts w:hint="default" w:ascii="Times New Roman" w:hAnsi="Times New Roman" w:cs="Times New Roman"/>
                <w:color w:val="000000"/>
                <w:sz w:val="24"/>
                <w:szCs w:val="24"/>
              </w:rPr>
              <w:t>生产设备</w:t>
            </w:r>
            <w:r>
              <w:rPr>
                <w:rFonts w:hint="eastAsia" w:cs="Times New Roman"/>
                <w:color w:val="000000"/>
                <w:sz w:val="24"/>
                <w:szCs w:val="24"/>
                <w:lang w:val="en-US" w:eastAsia="zh-CN"/>
              </w:rPr>
              <w:t>球磨机、砂磨机、离心机</w:t>
            </w:r>
            <w:r>
              <w:rPr>
                <w:rFonts w:hint="default" w:ascii="Times New Roman" w:hAnsi="Times New Roman" w:cs="Times New Roman"/>
                <w:color w:val="000000"/>
                <w:sz w:val="24"/>
                <w:szCs w:val="24"/>
              </w:rPr>
              <w:t>等，噪声源强为</w:t>
            </w:r>
            <w:r>
              <w:rPr>
                <w:rFonts w:hint="eastAsia" w:cs="Times New Roman"/>
                <w:color w:val="000000"/>
                <w:sz w:val="24"/>
                <w:szCs w:val="24"/>
                <w:lang w:val="en-US" w:eastAsia="zh-CN"/>
              </w:rPr>
              <w:t>70</w:t>
            </w:r>
            <w:r>
              <w:rPr>
                <w:rFonts w:hint="default" w:ascii="Times New Roman" w:hAnsi="Times New Roman" w:cs="Times New Roman"/>
                <w:color w:val="000000"/>
                <w:sz w:val="24"/>
                <w:szCs w:val="24"/>
                <w:lang w:val="en-US" w:eastAsia="zh-CN"/>
              </w:rPr>
              <w:t>-</w:t>
            </w:r>
            <w:r>
              <w:rPr>
                <w:rFonts w:hint="eastAsia" w:cs="Times New Roman"/>
                <w:color w:val="000000"/>
                <w:sz w:val="24"/>
                <w:szCs w:val="24"/>
                <w:lang w:val="en-US" w:eastAsia="zh-CN"/>
              </w:rPr>
              <w:t>90</w:t>
            </w:r>
            <w:r>
              <w:rPr>
                <w:rFonts w:hint="default" w:ascii="Times New Roman" w:hAnsi="Times New Roman" w:cs="Times New Roman"/>
                <w:color w:val="000000"/>
                <w:sz w:val="24"/>
                <w:szCs w:val="24"/>
              </w:rPr>
              <w:t>dB（A）。</w:t>
            </w:r>
            <w:r>
              <w:rPr>
                <w:rFonts w:hint="default" w:ascii="Times New Roman" w:hAnsi="Times New Roman" w:cs="Times New Roman"/>
                <w:color w:val="auto"/>
                <w:lang w:val="en-US" w:eastAsia="zh-CN"/>
              </w:rPr>
              <w:t>项目主要采用选用低噪声设备、基础减振等措施进行降噪的方式削弱源强。</w:t>
            </w:r>
          </w:p>
          <w:p w14:paraId="2C84C7D9">
            <w:pPr>
              <w:pageBreakBefore w:val="0"/>
              <w:widowControl/>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（1）尽量选用低噪声、振动小的生产设备，采取合理布设高噪声设备及利用建筑物屏蔽等措施减少噪声；</w:t>
            </w:r>
          </w:p>
          <w:p w14:paraId="186B12C6">
            <w:pPr>
              <w:ind w:firstLine="480" w:firstLineChars="20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（2）在对设备设置减振基础或减振垫的基础上，加强机械设备的日常维护，生产设备要注意润滑，并对老化和性能降低的旧设备进行及时更换，以此降低磨擦，减小噪声强度；对设备定期进行检查和维修。</w:t>
            </w:r>
          </w:p>
          <w:p w14:paraId="664E0C73">
            <w:pPr>
              <w:ind w:firstLine="0" w:firstLineChars="0"/>
              <w:rPr>
                <w:rFonts w:hint="default" w:ascii="Times New Roman" w:hAnsi="Times New Roman" w:cs="Times New Roman"/>
              </w:rPr>
            </w:pPr>
            <w:r>
              <w:rPr>
                <w:rFonts w:hint="default" w:ascii="Times New Roman" w:hAnsi="Times New Roman" w:cs="Times New Roman"/>
              </w:rPr>
              <w:t>4、固体废物</w:t>
            </w:r>
          </w:p>
          <w:p w14:paraId="4B13A0B7">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项目营运期固体废物主要为废包装材料、废滤袋、布袋除尘器收集的粉尘、车间清扫收集的粉尘、废过滤棉、废吸油纸、废油泥、废活性炭、废润滑油、废UV灯管及生活垃圾等。</w:t>
            </w:r>
          </w:p>
          <w:p w14:paraId="70166960">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①一般工业固体废物</w:t>
            </w:r>
          </w:p>
          <w:p w14:paraId="3175BFCE">
            <w:pPr>
              <w:pStyle w:val="24"/>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废</w:t>
            </w:r>
            <w:r>
              <w:rPr>
                <w:rFonts w:hint="default" w:ascii="Times New Roman" w:hAnsi="Times New Roman" w:cs="Times New Roman"/>
                <w:sz w:val="24"/>
                <w:lang w:val="en-US" w:eastAsia="zh-CN"/>
              </w:rPr>
              <w:t>包装材料：主要为原料包装材料，收集后由原料生产厂家回收利用。</w:t>
            </w:r>
          </w:p>
          <w:p w14:paraId="5594123C">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车间清扫收集的粉尘：车间清扫收集的粉尘全部回用于生产。</w:t>
            </w:r>
          </w:p>
          <w:p w14:paraId="19236607">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②危险废物</w:t>
            </w:r>
          </w:p>
          <w:p w14:paraId="2EC202DB">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废活性炭：产生于红磷阻燃母粒挤出废气处理系统，</w:t>
            </w:r>
            <w:r>
              <w:rPr>
                <w:rFonts w:hint="default" w:ascii="Times New Roman" w:hAnsi="Times New Roman" w:cs="Times New Roman"/>
                <w:sz w:val="24"/>
              </w:rPr>
              <w:t>废</w:t>
            </w:r>
            <w:r>
              <w:rPr>
                <w:rFonts w:hint="default" w:ascii="Times New Roman" w:hAnsi="Times New Roman" w:cs="Times New Roman"/>
                <w:sz w:val="24"/>
                <w:lang w:val="en-US" w:eastAsia="zh-CN"/>
              </w:rPr>
              <w:t>活性炭属危险废物，其危废类别为“HW49其他废物”，废物代码为“900-039-49烟气、VOCs 治理过程（不包括餐饮行业油烟治理过程）产生的废活性炭，化学原料和化学制品脱色（不包括有机合成食品添加剂脱色）、除杂、净化过程产生的废活性炭”，收集后暂存于危险废物暂存间，委托有资质单位清运处置。</w:t>
            </w:r>
          </w:p>
          <w:p w14:paraId="42A3742D">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废润滑油：机械设备维修保养将产生废润滑油，</w:t>
            </w:r>
            <w:r>
              <w:rPr>
                <w:rFonts w:hint="default" w:ascii="Times New Roman" w:hAnsi="Times New Roman" w:cs="Times New Roman"/>
                <w:sz w:val="24"/>
              </w:rPr>
              <w:t>废</w:t>
            </w:r>
            <w:r>
              <w:rPr>
                <w:rFonts w:hint="default" w:ascii="Times New Roman" w:hAnsi="Times New Roman" w:cs="Times New Roman"/>
                <w:sz w:val="24"/>
                <w:lang w:val="en-US" w:eastAsia="zh-CN"/>
              </w:rPr>
              <w:t>润滑</w:t>
            </w:r>
            <w:r>
              <w:rPr>
                <w:rFonts w:hint="default" w:ascii="Times New Roman" w:hAnsi="Times New Roman" w:cs="Times New Roman"/>
                <w:sz w:val="24"/>
              </w:rPr>
              <w:t>油</w:t>
            </w:r>
            <w:r>
              <w:rPr>
                <w:rFonts w:hint="default" w:ascii="Times New Roman" w:hAnsi="Times New Roman" w:cs="Times New Roman"/>
                <w:sz w:val="24"/>
                <w:lang w:val="en-US" w:eastAsia="zh-CN"/>
              </w:rPr>
              <w:t>属危险废物，其危废类别为“HW08废矿物油与含矿物油废物”，废物代码为“900-214-08车辆、轮船及其它机械维修过程中产生的废发动机油、制动器油、自动变速器油、齿轮油等废润滑油”，收集后暂存于危险废物暂存间，委托有资质单位清运处置。</w:t>
            </w:r>
          </w:p>
          <w:p w14:paraId="47E9EF96">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废UV灯管：</w:t>
            </w:r>
            <w:r>
              <w:rPr>
                <w:rFonts w:hint="default" w:ascii="Times New Roman" w:hAnsi="Times New Roman" w:cs="Times New Roman"/>
                <w:sz w:val="24"/>
              </w:rPr>
              <w:t>废</w:t>
            </w:r>
            <w:r>
              <w:rPr>
                <w:rFonts w:hint="default" w:ascii="Times New Roman" w:hAnsi="Times New Roman" w:cs="Times New Roman"/>
                <w:sz w:val="24"/>
                <w:lang w:val="en-US" w:eastAsia="zh-CN"/>
              </w:rPr>
              <w:t>UV灯管属危险废物，其危废类别为“HW29含汞废物”，废物代码为“900-023-29生产、销售及使用过程中产生的废含汞荧光灯管及其他废含汞电光源，及废弃含汞电光源处理处置过程中产生的废荧光粉、废活性炭和废水处理污泥”，经收集于危废暂存间储存，委托有资质单位清运处置。</w:t>
            </w:r>
          </w:p>
          <w:p w14:paraId="3066B1E7">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废吸油纸：项目员工工衣洗衣用水经六级沉淀池混凝沉淀处理后，上清液流至循环水池，再抽至循环水塔循环使用。对于沉淀池内漂浮的油分，项目使用吸油纸进行吸附处理。</w:t>
            </w:r>
            <w:r>
              <w:rPr>
                <w:rFonts w:hint="default" w:ascii="Times New Roman" w:hAnsi="Times New Roman" w:cs="Times New Roman"/>
                <w:sz w:val="24"/>
              </w:rPr>
              <w:t>废</w:t>
            </w:r>
            <w:r>
              <w:rPr>
                <w:rFonts w:hint="default" w:ascii="Times New Roman" w:hAnsi="Times New Roman" w:cs="Times New Roman"/>
                <w:sz w:val="24"/>
                <w:lang w:val="en-US" w:eastAsia="zh-CN"/>
              </w:rPr>
              <w:t>吸油纸属危险废物，其危废类别为“HW08 废矿物油与含矿物油废物”，废物代码为“900-249-08其他生产、销售、使用过程中产生的废矿物油及沾染矿物油的废弃包装物”，经收集于危废暂存间储存，委托有资质单位清运处置。</w:t>
            </w:r>
          </w:p>
          <w:p w14:paraId="2EA49050">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废油泥：洗衣用水经六级沉淀池混凝沉淀处理、湿拖把在沉淀池内清洗都会产生少量油泥，</w:t>
            </w:r>
            <w:r>
              <w:rPr>
                <w:rFonts w:hint="default" w:ascii="Times New Roman" w:hAnsi="Times New Roman" w:cs="Times New Roman"/>
                <w:sz w:val="24"/>
              </w:rPr>
              <w:t>废</w:t>
            </w:r>
            <w:r>
              <w:rPr>
                <w:rFonts w:hint="default" w:ascii="Times New Roman" w:hAnsi="Times New Roman" w:cs="Times New Roman"/>
                <w:sz w:val="24"/>
                <w:lang w:val="en-US" w:eastAsia="zh-CN"/>
              </w:rPr>
              <w:t>油泥属危险废物，其危废类别为“HW08 废矿物油与含矿物油废物”，废物代码为“900-210-08 含油废水处理中隔油、气浮、沉淀等处理过程中产生的浮油、浮渣和污泥（不包括废水生化处理污泥）”。由于该部分污泥中富含红磷和白油，因此，经定期清捞后回用于生产。</w:t>
            </w:r>
          </w:p>
          <w:p w14:paraId="40550BA8">
            <w:pPr>
              <w:pStyle w:val="24"/>
              <w:rPr>
                <w:rFonts w:hint="default" w:ascii="Times New Roman" w:hAnsi="Times New Roman" w:cs="Times New Roman"/>
                <w:sz w:val="24"/>
                <w:lang w:val="en-US" w:eastAsia="zh-CN"/>
              </w:rPr>
            </w:pPr>
            <w:r>
              <w:rPr>
                <w:rFonts w:hint="default" w:ascii="Times New Roman" w:hAnsi="Times New Roman" w:cs="Times New Roman"/>
                <w:sz w:val="24"/>
                <w:lang w:val="en-US" w:eastAsia="zh-CN"/>
              </w:rPr>
              <w:t>③生活垃圾</w:t>
            </w:r>
          </w:p>
          <w:p w14:paraId="35D61B12">
            <w:pPr>
              <w:pStyle w:val="24"/>
              <w:rPr>
                <w:rFonts w:hint="default" w:ascii="Times New Roman" w:hAnsi="Times New Roman" w:cs="Times New Roman"/>
              </w:rPr>
            </w:pPr>
            <w:r>
              <w:rPr>
                <w:rFonts w:hint="default" w:ascii="Times New Roman" w:hAnsi="Times New Roman" w:cs="Times New Roman"/>
                <w:sz w:val="24"/>
                <w:lang w:val="en-US" w:eastAsia="zh-CN"/>
              </w:rPr>
              <w:t>项目生活垃圾收集后委托环卫部门清运处置。</w:t>
            </w:r>
          </w:p>
          <w:p w14:paraId="5307C104">
            <w:pPr>
              <w:tabs>
                <w:tab w:val="left" w:pos="5530"/>
              </w:tabs>
              <w:spacing w:line="360" w:lineRule="auto"/>
              <w:ind w:firstLine="480" w:firstLineChars="200"/>
              <w:rPr>
                <w:rFonts w:hint="default" w:ascii="Times New Roman" w:hAnsi="Times New Roman" w:cs="Times New Roman"/>
              </w:rPr>
            </w:pPr>
            <w:r>
              <w:rPr>
                <w:rFonts w:hint="default" w:ascii="Times New Roman" w:hAnsi="Times New Roman" w:cs="Times New Roman"/>
                <w:sz w:val="24"/>
              </w:rPr>
              <w:t>项目固体废物污染源及其环保措施情况统计如下：</w:t>
            </w:r>
          </w:p>
          <w:p w14:paraId="6325D029">
            <w:pPr>
              <w:adjustRightInd w:val="0"/>
              <w:snapToGrid w:val="0"/>
              <w:spacing w:line="36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w:t>
            </w:r>
            <w:r>
              <w:rPr>
                <w:rFonts w:hint="eastAsia" w:cs="Times New Roman"/>
                <w:b/>
                <w:bCs/>
                <w:sz w:val="21"/>
                <w:szCs w:val="21"/>
                <w:lang w:val="en-US" w:eastAsia="zh-CN"/>
              </w:rPr>
              <w:t>3-3</w:t>
            </w: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 xml:space="preserve"> 项目固体废物污染源及其环保措施情况统计一览表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3"/>
              <w:gridCol w:w="1694"/>
              <w:gridCol w:w="4601"/>
            </w:tblGrid>
            <w:tr w14:paraId="2D87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343" w:type="dxa"/>
                  <w:tcBorders>
                    <w:tl2br w:val="nil"/>
                    <w:tr2bl w:val="nil"/>
                  </w:tcBorders>
                  <w:noWrap w:val="0"/>
                  <w:vAlign w:val="center"/>
                </w:tcPr>
                <w:p w14:paraId="56DD94A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固废名称</w:t>
                  </w:r>
                </w:p>
              </w:tc>
              <w:tc>
                <w:tcPr>
                  <w:tcW w:w="1694" w:type="dxa"/>
                  <w:tcBorders>
                    <w:tl2br w:val="nil"/>
                    <w:tr2bl w:val="nil"/>
                  </w:tcBorders>
                  <w:noWrap w:val="0"/>
                  <w:vAlign w:val="center"/>
                </w:tcPr>
                <w:p w14:paraId="49259BB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性质</w:t>
                  </w:r>
                </w:p>
              </w:tc>
              <w:tc>
                <w:tcPr>
                  <w:tcW w:w="4601" w:type="dxa"/>
                  <w:tcBorders>
                    <w:tl2br w:val="nil"/>
                    <w:tr2bl w:val="nil"/>
                  </w:tcBorders>
                  <w:noWrap w:val="0"/>
                  <w:vAlign w:val="center"/>
                </w:tcPr>
                <w:p w14:paraId="28AFB772">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
                      <w:bCs/>
                      <w:kern w:val="2"/>
                      <w:sz w:val="21"/>
                      <w:szCs w:val="21"/>
                    </w:rPr>
                  </w:pPr>
                  <w:r>
                    <w:rPr>
                      <w:rFonts w:hint="default" w:ascii="Times New Roman" w:hAnsi="Times New Roman" w:eastAsia="宋体" w:cs="Times New Roman"/>
                      <w:b/>
                      <w:bCs/>
                      <w:kern w:val="2"/>
                      <w:sz w:val="21"/>
                      <w:szCs w:val="21"/>
                    </w:rPr>
                    <w:t>处理措施</w:t>
                  </w:r>
                </w:p>
              </w:tc>
            </w:tr>
            <w:tr w14:paraId="728CD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343" w:type="dxa"/>
                  <w:tcBorders>
                    <w:tl2br w:val="nil"/>
                    <w:tr2bl w:val="nil"/>
                  </w:tcBorders>
                  <w:noWrap w:val="0"/>
                  <w:vAlign w:val="center"/>
                </w:tcPr>
                <w:p w14:paraId="3B4C9A7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rPr>
                    <w:t>废包装材料</w:t>
                  </w:r>
                </w:p>
              </w:tc>
              <w:tc>
                <w:tcPr>
                  <w:tcW w:w="1694" w:type="dxa"/>
                  <w:vMerge w:val="restart"/>
                  <w:tcBorders>
                    <w:tl2br w:val="nil"/>
                    <w:tr2bl w:val="nil"/>
                  </w:tcBorders>
                  <w:noWrap w:val="0"/>
                  <w:vAlign w:val="center"/>
                </w:tcPr>
                <w:p w14:paraId="683156D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一般固体废物</w:t>
                  </w:r>
                </w:p>
              </w:tc>
              <w:tc>
                <w:tcPr>
                  <w:tcW w:w="4601" w:type="dxa"/>
                  <w:tcBorders>
                    <w:tl2br w:val="nil"/>
                    <w:tr2bl w:val="nil"/>
                  </w:tcBorders>
                  <w:noWrap w:val="0"/>
                  <w:vAlign w:val="center"/>
                </w:tcPr>
                <w:p w14:paraId="64985C1A">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rPr>
                    <w:t>收集后由原料生产厂家回收利用</w:t>
                  </w:r>
                </w:p>
              </w:tc>
            </w:tr>
            <w:tr w14:paraId="0C9B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343" w:type="dxa"/>
                  <w:tcBorders>
                    <w:tl2br w:val="nil"/>
                    <w:tr2bl w:val="nil"/>
                  </w:tcBorders>
                  <w:noWrap w:val="0"/>
                  <w:vAlign w:val="center"/>
                </w:tcPr>
                <w:p w14:paraId="27587874">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车间清扫收集的粉尘</w:t>
                  </w:r>
                </w:p>
              </w:tc>
              <w:tc>
                <w:tcPr>
                  <w:tcW w:w="1694" w:type="dxa"/>
                  <w:vMerge w:val="continue"/>
                  <w:tcBorders>
                    <w:tl2br w:val="nil"/>
                    <w:tr2bl w:val="nil"/>
                  </w:tcBorders>
                  <w:noWrap w:val="0"/>
                  <w:vAlign w:val="center"/>
                </w:tcPr>
                <w:p w14:paraId="08999D7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kern w:val="2"/>
                      <w:sz w:val="21"/>
                      <w:szCs w:val="21"/>
                    </w:rPr>
                  </w:pPr>
                </w:p>
              </w:tc>
              <w:tc>
                <w:tcPr>
                  <w:tcW w:w="4601" w:type="dxa"/>
                  <w:tcBorders>
                    <w:tl2br w:val="nil"/>
                    <w:tr2bl w:val="nil"/>
                  </w:tcBorders>
                  <w:noWrap w:val="0"/>
                  <w:vAlign w:val="center"/>
                </w:tcPr>
                <w:p w14:paraId="2436408D">
                  <w:pPr>
                    <w:spacing w:line="240" w:lineRule="auto"/>
                    <w:ind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作为原料回用于生产</w:t>
                  </w:r>
                </w:p>
              </w:tc>
            </w:tr>
            <w:tr w14:paraId="3C5BC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343" w:type="dxa"/>
                  <w:tcBorders>
                    <w:tl2br w:val="nil"/>
                    <w:tr2bl w:val="nil"/>
                  </w:tcBorders>
                  <w:noWrap w:val="0"/>
                  <w:vAlign w:val="center"/>
                </w:tcPr>
                <w:p w14:paraId="6C7FCF0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Cs/>
                      <w:kern w:val="0"/>
                      <w:sz w:val="21"/>
                      <w:szCs w:val="21"/>
                      <w:lang w:eastAsia="zh-CN"/>
                    </w:rPr>
                  </w:pPr>
                  <w:r>
                    <w:rPr>
                      <w:rFonts w:hint="default" w:ascii="Times New Roman" w:hAnsi="Times New Roman" w:eastAsia="宋体" w:cs="Times New Roman"/>
                      <w:bCs/>
                      <w:kern w:val="0"/>
                      <w:sz w:val="21"/>
                      <w:szCs w:val="21"/>
                      <w:lang w:eastAsia="zh-CN"/>
                    </w:rPr>
                    <w:t>生活垃圾</w:t>
                  </w:r>
                </w:p>
              </w:tc>
              <w:tc>
                <w:tcPr>
                  <w:tcW w:w="1694" w:type="dxa"/>
                  <w:vMerge w:val="continue"/>
                  <w:tcBorders>
                    <w:tl2br w:val="nil"/>
                    <w:tr2bl w:val="nil"/>
                  </w:tcBorders>
                  <w:noWrap w:val="0"/>
                  <w:vAlign w:val="center"/>
                </w:tcPr>
                <w:p w14:paraId="4B2C18C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i w:val="0"/>
                      <w:caps w:val="0"/>
                      <w:color w:val="333333"/>
                      <w:spacing w:val="0"/>
                      <w:sz w:val="21"/>
                      <w:szCs w:val="21"/>
                      <w:shd w:val="clear" w:color="auto" w:fill="FFFFFF"/>
                    </w:rPr>
                  </w:pPr>
                </w:p>
              </w:tc>
              <w:tc>
                <w:tcPr>
                  <w:tcW w:w="4601" w:type="dxa"/>
                  <w:tcBorders>
                    <w:tl2br w:val="nil"/>
                    <w:tr2bl w:val="nil"/>
                  </w:tcBorders>
                  <w:noWrap w:val="0"/>
                  <w:vAlign w:val="center"/>
                </w:tcPr>
                <w:p w14:paraId="0974A42B">
                  <w:pPr>
                    <w:spacing w:line="240" w:lineRule="auto"/>
                    <w:ind w:firstLine="0" w:firstLineChars="0"/>
                    <w:jc w:val="center"/>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rPr>
                    <w:t>经收集后交由当地环卫部门处理</w:t>
                  </w:r>
                </w:p>
              </w:tc>
            </w:tr>
            <w:tr w14:paraId="3EBE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2343" w:type="dxa"/>
                  <w:tcBorders>
                    <w:tl2br w:val="nil"/>
                    <w:tr2bl w:val="nil"/>
                  </w:tcBorders>
                  <w:noWrap w:val="0"/>
                  <w:vAlign w:val="center"/>
                </w:tcPr>
                <w:p w14:paraId="0502873F">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bCs/>
                      <w:kern w:val="0"/>
                      <w:sz w:val="21"/>
                      <w:szCs w:val="21"/>
                      <w:lang w:eastAsia="zh-CN"/>
                    </w:rPr>
                  </w:pPr>
                  <w:r>
                    <w:rPr>
                      <w:rFonts w:hint="default" w:ascii="Times New Roman" w:hAnsi="Times New Roman" w:eastAsia="宋体" w:cs="Times New Roman"/>
                      <w:bCs/>
                      <w:kern w:val="0"/>
                      <w:sz w:val="21"/>
                      <w:szCs w:val="21"/>
                      <w:lang w:val="en-US" w:eastAsia="zh-CN"/>
                    </w:rPr>
                    <w:t>废活性炭</w:t>
                  </w:r>
                  <w:r>
                    <w:rPr>
                      <w:rFonts w:hint="eastAsia" w:eastAsia="宋体" w:cs="Times New Roman"/>
                      <w:bCs/>
                      <w:kern w:val="0"/>
                      <w:sz w:val="21"/>
                      <w:szCs w:val="21"/>
                      <w:lang w:val="en-US" w:eastAsia="zh-CN"/>
                    </w:rPr>
                    <w:t>、</w:t>
                  </w:r>
                  <w:r>
                    <w:rPr>
                      <w:rFonts w:hint="default" w:ascii="Times New Roman" w:hAnsi="Times New Roman" w:eastAsia="宋体" w:cs="Times New Roman"/>
                      <w:bCs/>
                      <w:kern w:val="0"/>
                      <w:sz w:val="21"/>
                      <w:szCs w:val="21"/>
                      <w:lang w:eastAsia="zh-CN"/>
                    </w:rPr>
                    <w:t>废润滑油、</w:t>
                  </w:r>
                  <w:r>
                    <w:rPr>
                      <w:rFonts w:hint="default" w:ascii="Times New Roman" w:hAnsi="Times New Roman" w:eastAsia="宋体" w:cs="Times New Roman"/>
                      <w:bCs/>
                      <w:kern w:val="0"/>
                      <w:sz w:val="21"/>
                      <w:szCs w:val="21"/>
                      <w:lang w:val="en-US" w:eastAsia="zh-CN"/>
                    </w:rPr>
                    <w:t>废UV灯管</w:t>
                  </w:r>
                  <w:r>
                    <w:rPr>
                      <w:rFonts w:hint="eastAsia" w:eastAsia="宋体" w:cs="Times New Roman"/>
                      <w:bCs/>
                      <w:kern w:val="0"/>
                      <w:sz w:val="21"/>
                      <w:szCs w:val="21"/>
                      <w:lang w:val="en-US" w:eastAsia="zh-CN"/>
                    </w:rPr>
                    <w:t>、喷淋沉渣、废吸油纸、废油泥</w:t>
                  </w:r>
                </w:p>
              </w:tc>
              <w:tc>
                <w:tcPr>
                  <w:tcW w:w="1694" w:type="dxa"/>
                  <w:tcBorders>
                    <w:tl2br w:val="nil"/>
                    <w:tr2bl w:val="nil"/>
                  </w:tcBorders>
                  <w:noWrap w:val="0"/>
                  <w:vAlign w:val="center"/>
                </w:tcPr>
                <w:p w14:paraId="02BB44EF">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textAlignment w:val="auto"/>
                    <w:rPr>
                      <w:rFonts w:hint="default" w:ascii="Times New Roman" w:hAnsi="Times New Roman" w:eastAsia="宋体" w:cs="Times New Roman"/>
                      <w:i w:val="0"/>
                      <w:caps w:val="0"/>
                      <w:color w:val="333333"/>
                      <w:spacing w:val="0"/>
                      <w:sz w:val="21"/>
                      <w:szCs w:val="21"/>
                      <w:shd w:val="clear" w:color="auto" w:fill="FFFFFF"/>
                      <w:lang w:eastAsia="zh-CN"/>
                    </w:rPr>
                  </w:pPr>
                  <w:r>
                    <w:rPr>
                      <w:rFonts w:hint="default" w:ascii="Times New Roman" w:hAnsi="Times New Roman" w:eastAsia="宋体" w:cs="Times New Roman"/>
                      <w:kern w:val="2"/>
                      <w:sz w:val="21"/>
                      <w:szCs w:val="21"/>
                      <w:lang w:eastAsia="zh-CN"/>
                    </w:rPr>
                    <w:t>危险废物</w:t>
                  </w:r>
                </w:p>
              </w:tc>
              <w:tc>
                <w:tcPr>
                  <w:tcW w:w="4601" w:type="dxa"/>
                  <w:tcBorders>
                    <w:tl2br w:val="nil"/>
                    <w:tr2bl w:val="nil"/>
                  </w:tcBorders>
                  <w:noWrap w:val="0"/>
                  <w:vAlign w:val="center"/>
                </w:tcPr>
                <w:p w14:paraId="55604099">
                  <w:pPr>
                    <w:spacing w:line="240" w:lineRule="auto"/>
                    <w:ind w:firstLine="0" w:firstLineChars="0"/>
                    <w:jc w:val="center"/>
                    <w:rPr>
                      <w:rFonts w:hint="default" w:ascii="Times New Roman" w:hAnsi="Times New Roman" w:eastAsia="宋体" w:cs="Times New Roman"/>
                      <w:bCs/>
                      <w:kern w:val="0"/>
                      <w:sz w:val="21"/>
                      <w:szCs w:val="21"/>
                    </w:rPr>
                  </w:pPr>
                  <w:r>
                    <w:rPr>
                      <w:rFonts w:hint="default" w:ascii="Times New Roman" w:hAnsi="Times New Roman" w:eastAsia="宋体" w:cs="Times New Roman"/>
                      <w:bCs/>
                      <w:kern w:val="0"/>
                      <w:sz w:val="21"/>
                      <w:szCs w:val="21"/>
                      <w:lang w:eastAsia="zh-CN"/>
                    </w:rPr>
                    <w:t>经收集后暂存于危废暂存间，定期交由有资质单位处置</w:t>
                  </w:r>
                  <w:r>
                    <w:rPr>
                      <w:rFonts w:hint="eastAsia" w:eastAsia="宋体" w:cs="Times New Roman"/>
                      <w:bCs/>
                      <w:kern w:val="0"/>
                      <w:sz w:val="21"/>
                      <w:szCs w:val="21"/>
                      <w:lang w:eastAsia="zh-CN"/>
                    </w:rPr>
                    <w:t>。</w:t>
                  </w:r>
                  <w:r>
                    <w:rPr>
                      <w:rFonts w:hint="eastAsia" w:eastAsia="宋体" w:cs="Times New Roman"/>
                      <w:bCs/>
                      <w:kern w:val="0"/>
                      <w:sz w:val="21"/>
                      <w:szCs w:val="21"/>
                      <w:lang w:val="en-US" w:eastAsia="zh-CN"/>
                    </w:rPr>
                    <w:t>废油泥经定期清捞后回用于生产。</w:t>
                  </w:r>
                </w:p>
              </w:tc>
            </w:tr>
          </w:tbl>
          <w:p w14:paraId="3B06E116">
            <w:pPr>
              <w:numPr>
                <w:ilvl w:val="0"/>
                <w:numId w:val="4"/>
              </w:numPr>
              <w:ind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t>项目变动情况</w:t>
            </w:r>
          </w:p>
          <w:p w14:paraId="4EAB3204">
            <w:pPr>
              <w:bidi w:val="0"/>
              <w:rPr>
                <w:rFonts w:hint="default" w:ascii="Times New Roman" w:hAnsi="Times New Roman" w:cs="Times New Roman"/>
                <w:lang w:val="en-US" w:eastAsia="zh-CN"/>
              </w:rPr>
            </w:pPr>
            <w:r>
              <w:rPr>
                <w:rFonts w:hint="default" w:ascii="Times New Roman" w:hAnsi="Times New Roman" w:cs="Times New Roman"/>
                <w:lang w:val="en-US" w:eastAsia="zh-CN"/>
              </w:rPr>
              <w:t>根据生态环境部办公厅关于印发《污染影响类建设项目重大变动清单（试行）》的通知（环办环评函〔2020〕688号）等有关规定，建设项目的性质、规模、地点、生产工艺和环境保护措施五个因素中的一项或一项以上发生可能导致重大变动的情况，且可能导致环境影响显著变化（特别是不利环境影响加重）的，界定为重大变动。</w:t>
            </w:r>
          </w:p>
          <w:p w14:paraId="2F487C20">
            <w:pPr>
              <w:bidi w:val="0"/>
              <w:rPr>
                <w:rFonts w:hint="default" w:ascii="Times New Roman" w:hAnsi="Times New Roman" w:cs="Times New Roman"/>
                <w:lang w:val="en-US" w:eastAsia="zh-CN"/>
              </w:rPr>
            </w:pPr>
            <w:r>
              <w:rPr>
                <w:rFonts w:hint="default" w:ascii="Times New Roman" w:hAnsi="Times New Roman" w:cs="Times New Roman"/>
                <w:lang w:val="en-US" w:eastAsia="zh-CN"/>
              </w:rPr>
              <w:t>对照环评和环评批复，本项目性质、生产工艺、规模、地点均符合环评及环评批复要求，不涉及建设项目的性质、规模、地点、生产工艺</w:t>
            </w:r>
            <w:r>
              <w:rPr>
                <w:rFonts w:hint="eastAsia" w:ascii="Times New Roman" w:hAnsi="Times New Roman" w:cs="Times New Roman"/>
                <w:lang w:val="en-US" w:eastAsia="zh-CN"/>
              </w:rPr>
              <w:t>等</w:t>
            </w:r>
            <w:r>
              <w:rPr>
                <w:rFonts w:hint="default" w:ascii="Times New Roman" w:hAnsi="Times New Roman" w:cs="Times New Roman"/>
                <w:lang w:val="en-US" w:eastAsia="zh-CN"/>
              </w:rPr>
              <w:t>因素的变动，与环评一致；项目变动</w:t>
            </w:r>
            <w:r>
              <w:rPr>
                <w:rFonts w:hint="eastAsia" w:cs="Times New Roman"/>
                <w:lang w:val="en-US" w:eastAsia="zh-CN"/>
              </w:rPr>
              <w:t>情况</w:t>
            </w:r>
            <w:r>
              <w:rPr>
                <w:rFonts w:hint="default" w:ascii="Times New Roman" w:hAnsi="Times New Roman" w:cs="Times New Roman"/>
                <w:lang w:val="en-US" w:eastAsia="zh-CN"/>
              </w:rPr>
              <w:t>见表3-</w:t>
            </w:r>
            <w:r>
              <w:rPr>
                <w:rFonts w:hint="eastAsia" w:ascii="Times New Roman" w:hAnsi="Times New Roman" w:cs="Times New Roman"/>
                <w:lang w:val="en-US" w:eastAsia="zh-CN"/>
              </w:rPr>
              <w:t>4</w:t>
            </w:r>
            <w:r>
              <w:rPr>
                <w:rFonts w:hint="default" w:ascii="Times New Roman" w:hAnsi="Times New Roman" w:cs="Times New Roman"/>
                <w:lang w:val="en-US" w:eastAsia="zh-CN"/>
              </w:rPr>
              <w:t>。</w:t>
            </w:r>
          </w:p>
          <w:p w14:paraId="52553133">
            <w:pPr>
              <w:bidi w:val="0"/>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表3-</w:t>
            </w:r>
            <w:r>
              <w:rPr>
                <w:rFonts w:hint="eastAsia" w:ascii="Times New Roman" w:hAnsi="Times New Roman" w:cs="Times New Roman"/>
                <w:b/>
                <w:bCs/>
                <w:sz w:val="21"/>
                <w:szCs w:val="21"/>
                <w:lang w:val="en-US" w:eastAsia="zh-CN"/>
              </w:rPr>
              <w:t>4</w:t>
            </w:r>
            <w:r>
              <w:rPr>
                <w:rFonts w:hint="default" w:ascii="Times New Roman" w:hAnsi="Times New Roman" w:cs="Times New Roman"/>
                <w:b/>
                <w:bCs/>
                <w:sz w:val="21"/>
                <w:szCs w:val="21"/>
                <w:lang w:val="en-US" w:eastAsia="zh-CN"/>
              </w:rPr>
              <w:t xml:space="preserve">  项目变动情况一览表</w:t>
            </w:r>
          </w:p>
          <w:tbl>
            <w:tblPr>
              <w:tblStyle w:val="31"/>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3429"/>
              <w:gridCol w:w="2689"/>
              <w:gridCol w:w="1232"/>
            </w:tblGrid>
            <w:tr w14:paraId="1F4C1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18C6235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
                      <w:bCs w:val="0"/>
                      <w:kern w:val="0"/>
                      <w:sz w:val="21"/>
                      <w:szCs w:val="21"/>
                      <w:lang w:val="en-US" w:eastAsia="zh-CN"/>
                    </w:rPr>
                  </w:pPr>
                  <w:r>
                    <w:rPr>
                      <w:rFonts w:hint="eastAsia" w:eastAsia="宋体" w:cs="Times New Roman"/>
                      <w:b/>
                      <w:bCs w:val="0"/>
                      <w:kern w:val="0"/>
                      <w:sz w:val="21"/>
                      <w:szCs w:val="21"/>
                      <w:lang w:val="en-US" w:eastAsia="zh-CN"/>
                    </w:rPr>
                    <w:t>序号</w:t>
                  </w:r>
                </w:p>
              </w:tc>
              <w:tc>
                <w:tcPr>
                  <w:tcW w:w="815" w:type="dxa"/>
                  <w:noWrap w:val="0"/>
                  <w:vAlign w:val="center"/>
                </w:tcPr>
                <w:p w14:paraId="7DA670C1">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
                      <w:bCs w:val="0"/>
                      <w:kern w:val="0"/>
                      <w:sz w:val="21"/>
                      <w:szCs w:val="21"/>
                      <w:lang w:val="en-US" w:eastAsia="zh-CN"/>
                    </w:rPr>
                  </w:pPr>
                  <w:r>
                    <w:rPr>
                      <w:rFonts w:hint="eastAsia" w:eastAsia="宋体" w:cs="Times New Roman"/>
                      <w:b/>
                      <w:bCs w:val="0"/>
                      <w:kern w:val="0"/>
                      <w:sz w:val="21"/>
                      <w:szCs w:val="21"/>
                      <w:lang w:val="en-US" w:eastAsia="zh-CN"/>
                    </w:rPr>
                    <w:t>类别</w:t>
                  </w:r>
                </w:p>
              </w:tc>
              <w:tc>
                <w:tcPr>
                  <w:tcW w:w="3429" w:type="dxa"/>
                  <w:noWrap w:val="0"/>
                  <w:vAlign w:val="center"/>
                </w:tcPr>
                <w:p w14:paraId="4509EC8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
                      <w:bCs w:val="0"/>
                      <w:kern w:val="0"/>
                      <w:sz w:val="21"/>
                      <w:szCs w:val="21"/>
                      <w:lang w:val="en-US" w:eastAsia="zh-CN"/>
                    </w:rPr>
                  </w:pPr>
                  <w:r>
                    <w:rPr>
                      <w:rFonts w:hint="eastAsia" w:eastAsia="宋体" w:cs="Times New Roman"/>
                      <w:b/>
                      <w:bCs w:val="0"/>
                      <w:kern w:val="0"/>
                      <w:sz w:val="21"/>
                      <w:szCs w:val="21"/>
                      <w:lang w:val="en-US" w:eastAsia="zh-CN"/>
                    </w:rPr>
                    <w:t>变动清单</w:t>
                  </w:r>
                </w:p>
              </w:tc>
              <w:tc>
                <w:tcPr>
                  <w:tcW w:w="2689" w:type="dxa"/>
                  <w:noWrap w:val="0"/>
                  <w:vAlign w:val="center"/>
                </w:tcPr>
                <w:p w14:paraId="336650C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
                      <w:bCs w:val="0"/>
                      <w:kern w:val="0"/>
                      <w:sz w:val="21"/>
                      <w:szCs w:val="21"/>
                      <w:lang w:val="en-US" w:eastAsia="zh-CN"/>
                    </w:rPr>
                  </w:pPr>
                  <w:r>
                    <w:rPr>
                      <w:rFonts w:hint="eastAsia" w:eastAsia="宋体" w:cs="Times New Roman"/>
                      <w:b/>
                      <w:bCs w:val="0"/>
                      <w:kern w:val="0"/>
                      <w:sz w:val="21"/>
                      <w:szCs w:val="21"/>
                      <w:lang w:val="en-US" w:eastAsia="zh-CN"/>
                    </w:rPr>
                    <w:t>实际建设情况</w:t>
                  </w:r>
                </w:p>
              </w:tc>
              <w:tc>
                <w:tcPr>
                  <w:tcW w:w="1232" w:type="dxa"/>
                  <w:noWrap w:val="0"/>
                  <w:vAlign w:val="center"/>
                </w:tcPr>
                <w:p w14:paraId="5526D38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
                      <w:bCs w:val="0"/>
                      <w:kern w:val="0"/>
                      <w:sz w:val="21"/>
                      <w:szCs w:val="21"/>
                      <w:lang w:val="en-US" w:eastAsia="zh-CN"/>
                    </w:rPr>
                  </w:pPr>
                  <w:r>
                    <w:rPr>
                      <w:rFonts w:hint="eastAsia" w:eastAsia="宋体" w:cs="Times New Roman"/>
                      <w:b/>
                      <w:bCs w:val="0"/>
                      <w:kern w:val="0"/>
                      <w:sz w:val="21"/>
                      <w:szCs w:val="21"/>
                      <w:lang w:val="en-US" w:eastAsia="zh-CN"/>
                    </w:rPr>
                    <w:t>备注</w:t>
                  </w:r>
                </w:p>
              </w:tc>
            </w:tr>
            <w:tr w14:paraId="0F93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EE69DB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1</w:t>
                  </w:r>
                </w:p>
              </w:tc>
              <w:tc>
                <w:tcPr>
                  <w:tcW w:w="815" w:type="dxa"/>
                  <w:noWrap w:val="0"/>
                  <w:vAlign w:val="center"/>
                </w:tcPr>
                <w:p w14:paraId="0E93CC6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性质</w:t>
                  </w:r>
                </w:p>
              </w:tc>
              <w:tc>
                <w:tcPr>
                  <w:tcW w:w="3429" w:type="dxa"/>
                  <w:noWrap w:val="0"/>
                  <w:vAlign w:val="center"/>
                </w:tcPr>
                <w:p w14:paraId="31CA41D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建设项目开发、使用功能发生变化的。</w:t>
                  </w:r>
                </w:p>
              </w:tc>
              <w:tc>
                <w:tcPr>
                  <w:tcW w:w="2689" w:type="dxa"/>
                  <w:noWrap w:val="0"/>
                  <w:vAlign w:val="center"/>
                </w:tcPr>
                <w:p w14:paraId="6E7AD05F">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项目为新建项目，属于专用化学产品制造</w:t>
                  </w:r>
                </w:p>
              </w:tc>
              <w:tc>
                <w:tcPr>
                  <w:tcW w:w="1232" w:type="dxa"/>
                  <w:noWrap w:val="0"/>
                  <w:vAlign w:val="center"/>
                </w:tcPr>
                <w:p w14:paraId="2D0C3151">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6B1A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02687C9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2</w:t>
                  </w:r>
                </w:p>
              </w:tc>
              <w:tc>
                <w:tcPr>
                  <w:tcW w:w="815" w:type="dxa"/>
                  <w:vMerge w:val="restart"/>
                  <w:noWrap w:val="0"/>
                  <w:vAlign w:val="center"/>
                </w:tcPr>
                <w:p w14:paraId="5C2D7EE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规模</w:t>
                  </w:r>
                </w:p>
              </w:tc>
              <w:tc>
                <w:tcPr>
                  <w:tcW w:w="3429" w:type="dxa"/>
                  <w:noWrap w:val="0"/>
                  <w:vAlign w:val="center"/>
                </w:tcPr>
                <w:p w14:paraId="6EDA2402">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生产、处置或储存能力增大30%及以上的。</w:t>
                  </w:r>
                </w:p>
              </w:tc>
              <w:tc>
                <w:tcPr>
                  <w:tcW w:w="2689" w:type="dxa"/>
                  <w:noWrap w:val="0"/>
                  <w:vAlign w:val="center"/>
                </w:tcPr>
                <w:p w14:paraId="5F21117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项目实际产量年产油相超细红磷阻燃剂4000吨（其中2000吨直接外售、2000吨用于生产红磷阻燃母粒）、红磷阻燃母粒4000吨，生产规模、生产工艺、处置、储存能力未变化</w:t>
                  </w:r>
                </w:p>
              </w:tc>
              <w:tc>
                <w:tcPr>
                  <w:tcW w:w="1232" w:type="dxa"/>
                  <w:noWrap w:val="0"/>
                  <w:vAlign w:val="center"/>
                </w:tcPr>
                <w:p w14:paraId="7139514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007B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38D8F87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3</w:t>
                  </w:r>
                </w:p>
              </w:tc>
              <w:tc>
                <w:tcPr>
                  <w:tcW w:w="815" w:type="dxa"/>
                  <w:vMerge w:val="continue"/>
                  <w:noWrap w:val="0"/>
                  <w:vAlign w:val="center"/>
                </w:tcPr>
                <w:p w14:paraId="72B152D4">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p>
              </w:tc>
              <w:tc>
                <w:tcPr>
                  <w:tcW w:w="3429" w:type="dxa"/>
                  <w:noWrap w:val="0"/>
                  <w:vAlign w:val="center"/>
                </w:tcPr>
                <w:p w14:paraId="042C3F1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生产、处置或储存能力增大，导致废水第一类污染物排放量增加的</w:t>
                  </w:r>
                </w:p>
              </w:tc>
              <w:tc>
                <w:tcPr>
                  <w:tcW w:w="2689" w:type="dxa"/>
                  <w:noWrap w:val="0"/>
                  <w:vAlign w:val="center"/>
                </w:tcPr>
                <w:p w14:paraId="2C9E9CB1">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项目生产规模、生产工艺、处置、储存能力未变化，不属于重大变更</w:t>
                  </w:r>
                </w:p>
              </w:tc>
              <w:tc>
                <w:tcPr>
                  <w:tcW w:w="1232" w:type="dxa"/>
                  <w:noWrap w:val="0"/>
                  <w:vAlign w:val="center"/>
                </w:tcPr>
                <w:p w14:paraId="1DCC8C7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4A77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710B9F8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4</w:t>
                  </w:r>
                </w:p>
              </w:tc>
              <w:tc>
                <w:tcPr>
                  <w:tcW w:w="815" w:type="dxa"/>
                  <w:vMerge w:val="continue"/>
                  <w:noWrap w:val="0"/>
                  <w:vAlign w:val="center"/>
                </w:tcPr>
                <w:p w14:paraId="33BDC54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p>
              </w:tc>
              <w:tc>
                <w:tcPr>
                  <w:tcW w:w="3429" w:type="dxa"/>
                  <w:noWrap w:val="0"/>
                  <w:vAlign w:val="center"/>
                </w:tcPr>
                <w:p w14:paraId="62E6373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689" w:type="dxa"/>
                  <w:noWrap w:val="0"/>
                  <w:vAlign w:val="center"/>
                </w:tcPr>
                <w:p w14:paraId="3A96054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本项目位于环境质量达标区，项目污染物排放量与环评相比未发生变化，不属于重大变动</w:t>
                  </w:r>
                </w:p>
              </w:tc>
              <w:tc>
                <w:tcPr>
                  <w:tcW w:w="1232" w:type="dxa"/>
                  <w:noWrap w:val="0"/>
                  <w:vAlign w:val="center"/>
                </w:tcPr>
                <w:p w14:paraId="0BA529C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2759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8F3DD2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5</w:t>
                  </w:r>
                </w:p>
              </w:tc>
              <w:tc>
                <w:tcPr>
                  <w:tcW w:w="815" w:type="dxa"/>
                  <w:noWrap w:val="0"/>
                  <w:vAlign w:val="center"/>
                </w:tcPr>
                <w:p w14:paraId="292990A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地点</w:t>
                  </w:r>
                </w:p>
              </w:tc>
              <w:tc>
                <w:tcPr>
                  <w:tcW w:w="3429" w:type="dxa"/>
                  <w:noWrap w:val="0"/>
                  <w:vAlign w:val="center"/>
                </w:tcPr>
                <w:p w14:paraId="4DB3CF88">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重新选址；在原厂址附近调整(包括总平面布置变化)导致环境防护距离范围变化且新增敏感点的。</w:t>
                  </w:r>
                </w:p>
              </w:tc>
              <w:tc>
                <w:tcPr>
                  <w:tcW w:w="2689" w:type="dxa"/>
                  <w:noWrap w:val="0"/>
                  <w:vAlign w:val="center"/>
                </w:tcPr>
                <w:p w14:paraId="613D86C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项目位置不变，无防护距离变化或敏感点变化</w:t>
                  </w:r>
                </w:p>
              </w:tc>
              <w:tc>
                <w:tcPr>
                  <w:tcW w:w="1232" w:type="dxa"/>
                  <w:noWrap w:val="0"/>
                  <w:vAlign w:val="center"/>
                </w:tcPr>
                <w:p w14:paraId="0809F9D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12DE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AA076B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6</w:t>
                  </w:r>
                </w:p>
              </w:tc>
              <w:tc>
                <w:tcPr>
                  <w:tcW w:w="815" w:type="dxa"/>
                  <w:vMerge w:val="restart"/>
                  <w:noWrap w:val="0"/>
                  <w:vAlign w:val="center"/>
                </w:tcPr>
                <w:p w14:paraId="79C3857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生产工艺</w:t>
                  </w:r>
                </w:p>
              </w:tc>
              <w:tc>
                <w:tcPr>
                  <w:tcW w:w="3429" w:type="dxa"/>
                  <w:noWrap w:val="0"/>
                  <w:vAlign w:val="center"/>
                </w:tcPr>
                <w:p w14:paraId="5535BC7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新增产品品种或生产工艺（含主要生产装置、设备及配套设施）、主要原辅材料、燃料变化，导致以下情形之一：</w:t>
                  </w:r>
                </w:p>
                <w:p w14:paraId="3E9DEB64">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1）新增排放污染物种类的（毒性、挥发性降低的除外）；</w:t>
                  </w:r>
                </w:p>
                <w:p w14:paraId="1C945C2F">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2）位于环境质量不达标区的建设项目相应污染物排放量增加的；</w:t>
                  </w:r>
                </w:p>
                <w:p w14:paraId="3EBE94DA">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3）废水第一类污染物排放量增加的；</w:t>
                  </w:r>
                </w:p>
                <w:p w14:paraId="71EBE5B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4）其他污染物排放量增加10%及以上的。</w:t>
                  </w:r>
                </w:p>
              </w:tc>
              <w:tc>
                <w:tcPr>
                  <w:tcW w:w="2689" w:type="dxa"/>
                  <w:noWrap w:val="0"/>
                  <w:vAlign w:val="center"/>
                </w:tcPr>
                <w:p w14:paraId="7AEEC05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本项目实际产量年产油相超细红磷阻燃剂4000吨（其中2000吨直接外售、2000吨用于生产红磷阻燃母粒）、红磷阻燃母粒4000吨，与环评相比不变，原辅材料使用未发生变化，不会导致新增污染物排放种类与新增污染物排放量</w:t>
                  </w:r>
                </w:p>
              </w:tc>
              <w:tc>
                <w:tcPr>
                  <w:tcW w:w="1232" w:type="dxa"/>
                  <w:noWrap w:val="0"/>
                  <w:vAlign w:val="center"/>
                </w:tcPr>
                <w:p w14:paraId="66087AF2">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68C0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6DBD5698">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7</w:t>
                  </w:r>
                </w:p>
              </w:tc>
              <w:tc>
                <w:tcPr>
                  <w:tcW w:w="815" w:type="dxa"/>
                  <w:vMerge w:val="continue"/>
                  <w:noWrap w:val="0"/>
                  <w:vAlign w:val="center"/>
                </w:tcPr>
                <w:p w14:paraId="6F4E050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p>
              </w:tc>
              <w:tc>
                <w:tcPr>
                  <w:tcW w:w="3429" w:type="dxa"/>
                  <w:noWrap w:val="0"/>
                  <w:vAlign w:val="center"/>
                </w:tcPr>
                <w:p w14:paraId="16F65DC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物料运输、装卸、贮存方式变化，导致大气污染物无组织排放量增加10%及以上的。</w:t>
                  </w:r>
                </w:p>
              </w:tc>
              <w:tc>
                <w:tcPr>
                  <w:tcW w:w="2689" w:type="dxa"/>
                  <w:noWrap w:val="0"/>
                  <w:vAlign w:val="center"/>
                </w:tcPr>
                <w:p w14:paraId="52A4EE0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物料运输、装卸、贮存方式无变化</w:t>
                  </w:r>
                </w:p>
              </w:tc>
              <w:tc>
                <w:tcPr>
                  <w:tcW w:w="1232" w:type="dxa"/>
                  <w:noWrap w:val="0"/>
                  <w:vAlign w:val="center"/>
                </w:tcPr>
                <w:p w14:paraId="26F5CA8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3BCC4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3031A86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8</w:t>
                  </w:r>
                </w:p>
              </w:tc>
              <w:tc>
                <w:tcPr>
                  <w:tcW w:w="815" w:type="dxa"/>
                  <w:vMerge w:val="restart"/>
                  <w:noWrap w:val="0"/>
                  <w:vAlign w:val="center"/>
                </w:tcPr>
                <w:p w14:paraId="4A8FE7D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环境保护措施</w:t>
                  </w:r>
                </w:p>
              </w:tc>
              <w:tc>
                <w:tcPr>
                  <w:tcW w:w="3429" w:type="dxa"/>
                  <w:noWrap w:val="0"/>
                  <w:vAlign w:val="center"/>
                </w:tcPr>
                <w:p w14:paraId="2B0648E4">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废气、废水污染防治措施变化，导致第 6条中所列情形之一（废气无组织排放改为有组织排放、污染防治措施强化或改进的除外）或大气污染物无组织排放量增加10%及以上的。</w:t>
                  </w:r>
                </w:p>
              </w:tc>
              <w:tc>
                <w:tcPr>
                  <w:tcW w:w="2689" w:type="dxa"/>
                  <w:noWrap w:val="0"/>
                  <w:vAlign w:val="center"/>
                </w:tcPr>
                <w:p w14:paraId="3E35273F">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振动搅拌废气处理措施由布袋除尘器变动为喷淋除尘；挤出废气处理措施由“过滤棉过滤+油雾净化器+UV光催化氧化+活性炭吸附”变动为“喷淋（油雾净化）+UV光催化氧化+活性炭吸附”；废水污染防治措施相较环评未变化，不会导致污染物排放量增加</w:t>
                  </w:r>
                </w:p>
              </w:tc>
              <w:tc>
                <w:tcPr>
                  <w:tcW w:w="1232" w:type="dxa"/>
                  <w:noWrap w:val="0"/>
                  <w:vAlign w:val="center"/>
                </w:tcPr>
                <w:p w14:paraId="4A098845">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无重大变动</w:t>
                  </w:r>
                </w:p>
              </w:tc>
            </w:tr>
            <w:tr w14:paraId="4EE1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3DDC04E8">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9</w:t>
                  </w:r>
                </w:p>
              </w:tc>
              <w:tc>
                <w:tcPr>
                  <w:tcW w:w="815" w:type="dxa"/>
                  <w:vMerge w:val="continue"/>
                  <w:noWrap w:val="0"/>
                  <w:vAlign w:val="center"/>
                </w:tcPr>
                <w:p w14:paraId="702E8DD9">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p>
              </w:tc>
              <w:tc>
                <w:tcPr>
                  <w:tcW w:w="3429" w:type="dxa"/>
                  <w:noWrap w:val="0"/>
                  <w:vAlign w:val="center"/>
                </w:tcPr>
                <w:p w14:paraId="6A09D09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新增废水直接排放口；废水由间接排放改为直接排放；废水直接排放口位置变化，导致不利环境影响加重的</w:t>
                  </w:r>
                </w:p>
              </w:tc>
              <w:tc>
                <w:tcPr>
                  <w:tcW w:w="2689" w:type="dxa"/>
                  <w:noWrap w:val="0"/>
                  <w:vAlign w:val="center"/>
                </w:tcPr>
                <w:p w14:paraId="6984B202">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项目生产废水经混凝沉淀处理后回用，不外排；生活污水经化粪池处理后纳入长阳铺镇污水处理厂处理，废水排放方式、排放口无变化</w:t>
                  </w:r>
                </w:p>
              </w:tc>
              <w:tc>
                <w:tcPr>
                  <w:tcW w:w="1232" w:type="dxa"/>
                  <w:noWrap w:val="0"/>
                  <w:vAlign w:val="center"/>
                </w:tcPr>
                <w:p w14:paraId="3D52B6EB">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6056E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626BF0F5">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10</w:t>
                  </w:r>
                </w:p>
              </w:tc>
              <w:tc>
                <w:tcPr>
                  <w:tcW w:w="815" w:type="dxa"/>
                  <w:vMerge w:val="continue"/>
                  <w:noWrap w:val="0"/>
                  <w:vAlign w:val="center"/>
                </w:tcPr>
                <w:p w14:paraId="3B6F3D31">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p>
              </w:tc>
              <w:tc>
                <w:tcPr>
                  <w:tcW w:w="3429" w:type="dxa"/>
                  <w:noWrap w:val="0"/>
                  <w:vAlign w:val="center"/>
                </w:tcPr>
                <w:p w14:paraId="5F0D7173">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新增废气主要排放口（废气无组织排放改为有组织排放的除外）；主要排放口排气筒高度降低10%及以上的。</w:t>
                  </w:r>
                </w:p>
              </w:tc>
              <w:tc>
                <w:tcPr>
                  <w:tcW w:w="2689" w:type="dxa"/>
                  <w:noWrap w:val="0"/>
                  <w:vAlign w:val="center"/>
                </w:tcPr>
                <w:p w14:paraId="1C7CEABA">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项目未新增废气排放口或排气筒高度降低10%及以上</w:t>
                  </w:r>
                </w:p>
              </w:tc>
              <w:tc>
                <w:tcPr>
                  <w:tcW w:w="1232" w:type="dxa"/>
                  <w:noWrap w:val="0"/>
                  <w:vAlign w:val="center"/>
                </w:tcPr>
                <w:p w14:paraId="48BFF494">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26664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2C23CA4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11</w:t>
                  </w:r>
                </w:p>
              </w:tc>
              <w:tc>
                <w:tcPr>
                  <w:tcW w:w="815" w:type="dxa"/>
                  <w:vMerge w:val="continue"/>
                  <w:noWrap w:val="0"/>
                  <w:vAlign w:val="center"/>
                </w:tcPr>
                <w:p w14:paraId="647E5B20">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p>
              </w:tc>
              <w:tc>
                <w:tcPr>
                  <w:tcW w:w="3429" w:type="dxa"/>
                  <w:noWrap w:val="0"/>
                  <w:vAlign w:val="center"/>
                </w:tcPr>
                <w:p w14:paraId="3D02042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噪声、土壤或地下水污染防治措施变化，导致不利环境影响加重的。</w:t>
                  </w:r>
                </w:p>
              </w:tc>
              <w:tc>
                <w:tcPr>
                  <w:tcW w:w="2689" w:type="dxa"/>
                  <w:noWrap w:val="0"/>
                  <w:vAlign w:val="center"/>
                </w:tcPr>
                <w:p w14:paraId="55F6440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噪声、土壤或地下水污染防治措施无变化</w:t>
                  </w:r>
                </w:p>
              </w:tc>
              <w:tc>
                <w:tcPr>
                  <w:tcW w:w="1232" w:type="dxa"/>
                  <w:noWrap w:val="0"/>
                  <w:vAlign w:val="center"/>
                </w:tcPr>
                <w:p w14:paraId="43808E2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1230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D6541FE">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12</w:t>
                  </w:r>
                </w:p>
              </w:tc>
              <w:tc>
                <w:tcPr>
                  <w:tcW w:w="815" w:type="dxa"/>
                  <w:vMerge w:val="continue"/>
                  <w:noWrap w:val="0"/>
                  <w:vAlign w:val="center"/>
                </w:tcPr>
                <w:p w14:paraId="1D034A0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p>
              </w:tc>
              <w:tc>
                <w:tcPr>
                  <w:tcW w:w="3429" w:type="dxa"/>
                  <w:noWrap w:val="0"/>
                  <w:vAlign w:val="center"/>
                </w:tcPr>
                <w:p w14:paraId="7541C91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固体废物利用处置方式由委托外单位利用处置改为自行利用处置的（自行利用处置设施单独开展环境影响评价的除外）；固体废物自行处置方式变化，导致不利环境影响加重的。</w:t>
                  </w:r>
                </w:p>
              </w:tc>
              <w:tc>
                <w:tcPr>
                  <w:tcW w:w="2689" w:type="dxa"/>
                  <w:noWrap w:val="0"/>
                  <w:vAlign w:val="center"/>
                </w:tcPr>
                <w:p w14:paraId="19436C86">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废包装材料收集后由原料生产厂家回收利用；喷淋沉渣、车间清扫收集的粉尘全部回用于生产；喷淋沉渣、废吸油纸、废活性炭、废润滑油、废UV灯管等分类收集于危废暂存间储存，委托有资质单位规范处置；废油泥经定期清捞后回用于生产，项目固废处理方式未发生变化</w:t>
                  </w:r>
                </w:p>
              </w:tc>
              <w:tc>
                <w:tcPr>
                  <w:tcW w:w="1232" w:type="dxa"/>
                  <w:noWrap w:val="0"/>
                  <w:vAlign w:val="center"/>
                </w:tcPr>
                <w:p w14:paraId="45E34907">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r w14:paraId="32AE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006851EA">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13</w:t>
                  </w:r>
                </w:p>
              </w:tc>
              <w:tc>
                <w:tcPr>
                  <w:tcW w:w="815" w:type="dxa"/>
                  <w:vMerge w:val="continue"/>
                  <w:noWrap w:val="0"/>
                  <w:vAlign w:val="center"/>
                </w:tcPr>
                <w:p w14:paraId="2A60CE7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p>
              </w:tc>
              <w:tc>
                <w:tcPr>
                  <w:tcW w:w="3429" w:type="dxa"/>
                  <w:noWrap w:val="0"/>
                  <w:vAlign w:val="center"/>
                </w:tcPr>
                <w:p w14:paraId="0DD24CC1">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事故废水暂存能力或拦截设施变化，导致环境风险防范能力弱化或降低的。</w:t>
                  </w:r>
                </w:p>
              </w:tc>
              <w:tc>
                <w:tcPr>
                  <w:tcW w:w="2689" w:type="dxa"/>
                  <w:noWrap w:val="0"/>
                  <w:vAlign w:val="center"/>
                </w:tcPr>
                <w:p w14:paraId="19EBEC4C">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eastAsia="宋体" w:cs="Times New Roman"/>
                      <w:bCs/>
                      <w:kern w:val="0"/>
                      <w:sz w:val="21"/>
                      <w:szCs w:val="21"/>
                      <w:lang w:val="en-US" w:eastAsia="zh-CN"/>
                    </w:rPr>
                  </w:pPr>
                  <w:r>
                    <w:rPr>
                      <w:rFonts w:hint="eastAsia" w:eastAsia="宋体" w:cs="Times New Roman"/>
                      <w:bCs/>
                      <w:kern w:val="0"/>
                      <w:sz w:val="21"/>
                      <w:szCs w:val="21"/>
                      <w:lang w:val="en-US" w:eastAsia="zh-CN"/>
                    </w:rPr>
                    <w:t>无变化</w:t>
                  </w:r>
                </w:p>
              </w:tc>
              <w:tc>
                <w:tcPr>
                  <w:tcW w:w="1232" w:type="dxa"/>
                  <w:noWrap w:val="0"/>
                  <w:vAlign w:val="center"/>
                </w:tcPr>
                <w:p w14:paraId="56655EAD">
                  <w:pPr>
                    <w:pStyle w:val="69"/>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eastAsia="宋体" w:cs="Times New Roman"/>
                      <w:bCs/>
                      <w:kern w:val="0"/>
                      <w:sz w:val="21"/>
                      <w:szCs w:val="21"/>
                      <w:lang w:val="en-US" w:eastAsia="zh-CN"/>
                    </w:rPr>
                  </w:pPr>
                  <w:r>
                    <w:rPr>
                      <w:rFonts w:hint="eastAsia" w:eastAsia="宋体" w:cs="Times New Roman"/>
                      <w:bCs/>
                      <w:kern w:val="0"/>
                      <w:sz w:val="21"/>
                      <w:szCs w:val="21"/>
                      <w:lang w:val="en-US" w:eastAsia="zh-CN"/>
                    </w:rPr>
                    <w:t>无变动</w:t>
                  </w:r>
                </w:p>
              </w:tc>
            </w:tr>
          </w:tbl>
          <w:p w14:paraId="5E0580A5">
            <w:pPr>
              <w:bidi w:val="0"/>
              <w:rPr>
                <w:rFonts w:hint="default" w:ascii="Times New Roman" w:hAnsi="Times New Roman" w:cs="Times New Roman"/>
                <w:lang w:val="en-US" w:eastAsia="zh-CN"/>
              </w:rPr>
            </w:pPr>
            <w:r>
              <w:rPr>
                <w:rFonts w:hint="default" w:ascii="Times New Roman" w:hAnsi="Times New Roman" w:cs="Times New Roman"/>
                <w:lang w:val="en-US" w:eastAsia="zh-CN"/>
              </w:rPr>
              <w:t>对照《污染影响类建设项目重大变动清单（试行）》的通知（环办环评函〔2020〕688号），本</w:t>
            </w:r>
            <w:r>
              <w:rPr>
                <w:rFonts w:hint="eastAsia" w:cs="Times New Roman"/>
                <w:lang w:val="en-US" w:eastAsia="zh-CN"/>
              </w:rPr>
              <w:t>项目无</w:t>
            </w:r>
            <w:r>
              <w:rPr>
                <w:rFonts w:hint="default" w:ascii="Times New Roman" w:hAnsi="Times New Roman" w:cs="Times New Roman"/>
                <w:lang w:val="en-US" w:eastAsia="zh-CN"/>
              </w:rPr>
              <w:t>重大变动。</w:t>
            </w:r>
          </w:p>
          <w:p w14:paraId="2AABA1A9">
            <w:pPr>
              <w:ind w:firstLine="0" w:firstLineChars="0"/>
              <w:rPr>
                <w:rFonts w:hint="default" w:ascii="Times New Roman" w:hAnsi="Times New Roman" w:cs="Times New Roman"/>
              </w:rPr>
            </w:pPr>
            <w:r>
              <w:rPr>
                <w:rFonts w:hint="default" w:ascii="Times New Roman" w:hAnsi="Times New Roman" w:cs="Times New Roman"/>
                <w:lang w:val="en-US" w:eastAsia="zh-CN"/>
              </w:rPr>
              <w:t>6</w:t>
            </w:r>
            <w:r>
              <w:rPr>
                <w:rFonts w:hint="default" w:ascii="Times New Roman" w:hAnsi="Times New Roman" w:cs="Times New Roman"/>
              </w:rPr>
              <w:t>、环保设施投资及“三同时”落实情况</w:t>
            </w:r>
          </w:p>
          <w:p w14:paraId="3458D1CD">
            <w:pPr>
              <w:ind w:firstLine="480" w:firstLineChars="200"/>
              <w:jc w:val="left"/>
              <w:rPr>
                <w:rFonts w:hint="default" w:ascii="Times New Roman" w:hAnsi="Times New Roman" w:cs="Times New Roman"/>
                <w:b/>
                <w:sz w:val="21"/>
                <w:szCs w:val="21"/>
              </w:rPr>
            </w:pPr>
            <w:r>
              <w:rPr>
                <w:rFonts w:hint="default" w:ascii="Times New Roman" w:hAnsi="Times New Roman" w:cs="Times New Roman"/>
              </w:rPr>
              <w:t>本项目实际总投资</w:t>
            </w:r>
            <w:r>
              <w:rPr>
                <w:rFonts w:hint="eastAsia" w:cs="Times New Roman"/>
                <w:lang w:val="en-US" w:eastAsia="zh-CN"/>
              </w:rPr>
              <w:t>12</w:t>
            </w:r>
            <w:r>
              <w:rPr>
                <w:rFonts w:hint="default" w:ascii="Times New Roman" w:hAnsi="Times New Roman" w:cs="Times New Roman"/>
                <w:lang w:val="en-US" w:eastAsia="zh-CN"/>
              </w:rPr>
              <w:t>00</w:t>
            </w:r>
            <w:r>
              <w:rPr>
                <w:rFonts w:hint="default" w:ascii="Times New Roman" w:hAnsi="Times New Roman" w:cs="Times New Roman"/>
              </w:rPr>
              <w:t>万元，其中环保投资</w:t>
            </w:r>
            <w:r>
              <w:rPr>
                <w:rFonts w:hint="eastAsia" w:cs="Times New Roman"/>
                <w:lang w:val="en-US" w:eastAsia="zh-CN"/>
              </w:rPr>
              <w:t>105</w:t>
            </w:r>
            <w:r>
              <w:rPr>
                <w:rFonts w:hint="default" w:ascii="Times New Roman" w:hAnsi="Times New Roman" w:cs="Times New Roman"/>
              </w:rPr>
              <w:t>万元，占总投资的</w:t>
            </w:r>
            <w:r>
              <w:rPr>
                <w:rFonts w:hint="eastAsia" w:cs="Times New Roman"/>
                <w:lang w:val="en-US" w:eastAsia="zh-CN"/>
              </w:rPr>
              <w:t>8.75</w:t>
            </w:r>
            <w:r>
              <w:rPr>
                <w:rFonts w:hint="default" w:ascii="Times New Roman" w:hAnsi="Times New Roman" w:cs="Times New Roman"/>
              </w:rPr>
              <w:t>%。</w:t>
            </w:r>
          </w:p>
          <w:p w14:paraId="7D6394A4">
            <w:pPr>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表3-</w:t>
            </w:r>
            <w:r>
              <w:rPr>
                <w:rFonts w:hint="eastAsia" w:cs="Times New Roman"/>
                <w:b/>
                <w:sz w:val="21"/>
                <w:szCs w:val="21"/>
                <w:lang w:val="en-US" w:eastAsia="zh-CN"/>
              </w:rPr>
              <w:t>5</w:t>
            </w:r>
            <w:r>
              <w:rPr>
                <w:rFonts w:hint="default" w:ascii="Times New Roman" w:hAnsi="Times New Roman" w:cs="Times New Roman"/>
                <w:b/>
                <w:sz w:val="21"/>
                <w:szCs w:val="21"/>
              </w:rPr>
              <w:t xml:space="preserve"> 项目环评批复</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三同时</w:t>
            </w:r>
            <w:r>
              <w:rPr>
                <w:rFonts w:hint="default" w:ascii="Times New Roman" w:hAnsi="Times New Roman" w:cs="Times New Roman"/>
                <w:b/>
                <w:sz w:val="21"/>
                <w:szCs w:val="21"/>
                <w:lang w:eastAsia="zh-CN"/>
              </w:rPr>
              <w:t>”</w:t>
            </w:r>
            <w:r>
              <w:rPr>
                <w:rFonts w:hint="default" w:ascii="Times New Roman" w:hAnsi="Times New Roman" w:cs="Times New Roman"/>
                <w:b/>
                <w:sz w:val="21"/>
                <w:szCs w:val="21"/>
              </w:rPr>
              <w:t>落实情况一览表</w:t>
            </w:r>
          </w:p>
          <w:tbl>
            <w:tblPr>
              <w:tblStyle w:val="31"/>
              <w:tblW w:w="898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31"/>
              <w:gridCol w:w="4153"/>
              <w:gridCol w:w="2988"/>
              <w:gridCol w:w="1108"/>
            </w:tblGrid>
            <w:tr w14:paraId="781A2D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31" w:type="dxa"/>
                  <w:noWrap w:val="0"/>
                  <w:vAlign w:val="center"/>
                </w:tcPr>
                <w:p w14:paraId="31236035">
                  <w:pPr>
                    <w:adjustRightInd w:val="0"/>
                    <w:spacing w:beforeLines="20" w:afterLines="20" w:line="240" w:lineRule="auto"/>
                    <w:ind w:firstLine="0" w:firstLineChars="0"/>
                    <w:jc w:val="center"/>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项目</w:t>
                  </w:r>
                </w:p>
              </w:tc>
              <w:tc>
                <w:tcPr>
                  <w:tcW w:w="4153" w:type="dxa"/>
                  <w:noWrap w:val="0"/>
                  <w:vAlign w:val="center"/>
                </w:tcPr>
                <w:p w14:paraId="3ED805D2">
                  <w:pPr>
                    <w:spacing w:beforeLines="20" w:afterLines="20" w:line="240" w:lineRule="auto"/>
                    <w:ind w:firstLine="422"/>
                    <w:jc w:val="center"/>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环评批复要求</w:t>
                  </w:r>
                </w:p>
              </w:tc>
              <w:tc>
                <w:tcPr>
                  <w:tcW w:w="2988" w:type="dxa"/>
                  <w:noWrap w:val="0"/>
                  <w:vAlign w:val="center"/>
                </w:tcPr>
                <w:p w14:paraId="36937C5B">
                  <w:pPr>
                    <w:spacing w:beforeLines="20" w:afterLines="20" w:line="240" w:lineRule="auto"/>
                    <w:ind w:left="0" w:leftChars="0" w:firstLine="0" w:firstLineChars="0"/>
                    <w:jc w:val="center"/>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实际落实情况</w:t>
                  </w:r>
                </w:p>
              </w:tc>
              <w:tc>
                <w:tcPr>
                  <w:tcW w:w="1108" w:type="dxa"/>
                  <w:noWrap w:val="0"/>
                  <w:vAlign w:val="center"/>
                </w:tcPr>
                <w:p w14:paraId="6B3F5061">
                  <w:pPr>
                    <w:spacing w:beforeLines="20" w:afterLines="20" w:line="240" w:lineRule="auto"/>
                    <w:ind w:firstLine="0" w:firstLineChars="0"/>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是否符合</w:t>
                  </w:r>
                </w:p>
              </w:tc>
            </w:tr>
            <w:tr w14:paraId="77980D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731" w:type="dxa"/>
                  <w:noWrap w:val="0"/>
                  <w:vAlign w:val="center"/>
                </w:tcPr>
                <w:p w14:paraId="3DF265A0">
                  <w:pPr>
                    <w:adjustRightIn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废水处置要求</w:t>
                  </w:r>
                </w:p>
              </w:tc>
              <w:tc>
                <w:tcPr>
                  <w:tcW w:w="4153" w:type="dxa"/>
                  <w:noWrap w:val="0"/>
                  <w:vAlign w:val="center"/>
                </w:tcPr>
                <w:p w14:paraId="67BAE56D">
                  <w:pPr>
                    <w:spacing w:beforeLines="20" w:afterLines="20" w:line="240" w:lineRule="auto"/>
                    <w:ind w:left="0" w:leftChars="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强化废水污染防治。按照“雨污分流”“污污分流”原则，生产废水经混凝沉淀处理后回用，不外排；生活污水一起经化粪池有效处理达到《污水综合排放标准》（GB8978-1996）中的三级标准后纳入长阳铺镇污水处理厂处理。</w:t>
                  </w:r>
                </w:p>
              </w:tc>
              <w:tc>
                <w:tcPr>
                  <w:tcW w:w="2988" w:type="dxa"/>
                  <w:noWrap w:val="0"/>
                  <w:vAlign w:val="center"/>
                </w:tcPr>
                <w:p w14:paraId="298B1CA8">
                  <w:pPr>
                    <w:spacing w:beforeLines="20" w:afterLines="20" w:line="240" w:lineRule="auto"/>
                    <w:ind w:left="0" w:leftChars="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已落实“雨污分流”“污污分流”，生产废水经混凝沉淀处理后回用，不外排。生活污水经化粪池处理</w:t>
                  </w:r>
                  <w:r>
                    <w:rPr>
                      <w:rFonts w:hint="eastAsia" w:eastAsia="宋体" w:cs="Times New Roman"/>
                      <w:sz w:val="21"/>
                      <w:szCs w:val="21"/>
                      <w:lang w:val="en-US" w:eastAsia="zh-CN"/>
                    </w:rPr>
                    <w:t>后</w:t>
                  </w:r>
                  <w:r>
                    <w:rPr>
                      <w:rFonts w:hint="default" w:ascii="Times New Roman" w:hAnsi="Times New Roman" w:eastAsia="宋体" w:cs="Times New Roman"/>
                      <w:sz w:val="21"/>
                      <w:szCs w:val="21"/>
                      <w:lang w:val="en-US" w:eastAsia="zh-CN"/>
                    </w:rPr>
                    <w:t>纳入长阳铺镇污水处理厂处理。</w:t>
                  </w:r>
                </w:p>
              </w:tc>
              <w:tc>
                <w:tcPr>
                  <w:tcW w:w="1108" w:type="dxa"/>
                  <w:noWrap w:val="0"/>
                  <w:vAlign w:val="center"/>
                </w:tcPr>
                <w:p w14:paraId="062CF41C">
                  <w:pPr>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符合</w:t>
                  </w:r>
                </w:p>
              </w:tc>
            </w:tr>
            <w:tr w14:paraId="3C6785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6" w:hRule="atLeast"/>
                <w:jc w:val="center"/>
              </w:trPr>
              <w:tc>
                <w:tcPr>
                  <w:tcW w:w="731" w:type="dxa"/>
                  <w:noWrap w:val="0"/>
                  <w:vAlign w:val="center"/>
                </w:tcPr>
                <w:p w14:paraId="0B18BBA0">
                  <w:pPr>
                    <w:adjustRightIn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废气处置要求</w:t>
                  </w:r>
                </w:p>
              </w:tc>
              <w:tc>
                <w:tcPr>
                  <w:tcW w:w="4153" w:type="dxa"/>
                  <w:noWrap w:val="0"/>
                  <w:vAlign w:val="center"/>
                </w:tcPr>
                <w:p w14:paraId="75502285">
                  <w:pPr>
                    <w:tabs>
                      <w:tab w:val="left" w:pos="1021"/>
                    </w:tabs>
                    <w:adjustRightInd w:val="0"/>
                    <w:snapToGrid w:val="0"/>
                    <w:spacing w:beforeLines="10" w:afterLines="10" w:line="240" w:lineRule="auto"/>
                    <w:ind w:left="0" w:leftChars="0" w:firstLine="0" w:firstLineChars="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严格控制废气污染物排放。设置单独的三面封闭球磨房，无组织废气经布袋除尘器收集处理后排放；有组织废气经“过滤棉过滤+油雾净化器+UV光催化氧化+活性炭吸附”处理后，再经15m高的排气筒高空排放，废气排放浓度应满足《大气污染物综合排放标准》（GB16297-1996）表2相关浓度限值。</w:t>
                  </w:r>
                </w:p>
              </w:tc>
              <w:tc>
                <w:tcPr>
                  <w:tcW w:w="2988" w:type="dxa"/>
                  <w:noWrap w:val="0"/>
                  <w:vAlign w:val="center"/>
                </w:tcPr>
                <w:p w14:paraId="30B3256A">
                  <w:pPr>
                    <w:spacing w:beforeLines="20" w:afterLines="20" w:line="240" w:lineRule="auto"/>
                    <w:ind w:left="0" w:leftChars="0" w:firstLine="0" w:firstLineChars="0"/>
                    <w:jc w:val="both"/>
                    <w:rPr>
                      <w:rFonts w:hint="default" w:ascii="Times New Roman" w:hAnsi="Times New Roman" w:eastAsia="宋体" w:cs="Times New Roman"/>
                      <w:sz w:val="21"/>
                      <w:szCs w:val="21"/>
                      <w:lang w:val="en-US" w:eastAsia="zh-CN"/>
                    </w:rPr>
                  </w:pPr>
                  <w:r>
                    <w:rPr>
                      <w:rFonts w:hint="eastAsia"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设置单独的三面封闭球磨房，</w:t>
                  </w:r>
                  <w:r>
                    <w:rPr>
                      <w:rFonts w:hint="eastAsia" w:eastAsia="宋体" w:cs="Times New Roman"/>
                      <w:color w:val="000000"/>
                      <w:sz w:val="21"/>
                      <w:szCs w:val="21"/>
                      <w:lang w:val="en-US" w:eastAsia="zh-CN"/>
                    </w:rPr>
                    <w:t>振动搅拌工序</w:t>
                  </w:r>
                  <w:r>
                    <w:rPr>
                      <w:rFonts w:hint="default" w:ascii="Times New Roman" w:hAnsi="Times New Roman" w:eastAsia="宋体" w:cs="Times New Roman"/>
                      <w:color w:val="000000"/>
                      <w:sz w:val="21"/>
                      <w:szCs w:val="21"/>
                      <w:lang w:val="en-US" w:eastAsia="zh-CN"/>
                    </w:rPr>
                    <w:t>无组织废气经</w:t>
                  </w:r>
                  <w:r>
                    <w:rPr>
                      <w:rFonts w:hint="eastAsia" w:eastAsia="宋体" w:cs="Times New Roman"/>
                      <w:color w:val="000000"/>
                      <w:sz w:val="21"/>
                      <w:szCs w:val="21"/>
                      <w:lang w:val="en-US" w:eastAsia="zh-CN"/>
                    </w:rPr>
                    <w:t>喷淋</w:t>
                  </w:r>
                  <w:r>
                    <w:rPr>
                      <w:rFonts w:hint="default" w:ascii="Times New Roman" w:hAnsi="Times New Roman" w:eastAsia="宋体" w:cs="Times New Roman"/>
                      <w:color w:val="000000"/>
                      <w:sz w:val="21"/>
                      <w:szCs w:val="21"/>
                      <w:lang w:val="en-US" w:eastAsia="zh-CN"/>
                    </w:rPr>
                    <w:t>收集处理后排放；</w:t>
                  </w:r>
                  <w:r>
                    <w:rPr>
                      <w:rFonts w:hint="eastAsia" w:eastAsia="宋体" w:cs="Times New Roman"/>
                      <w:color w:val="000000"/>
                      <w:sz w:val="21"/>
                      <w:szCs w:val="21"/>
                      <w:lang w:val="en-US" w:eastAsia="zh-CN"/>
                    </w:rPr>
                    <w:t>挤出工序</w:t>
                  </w:r>
                  <w:r>
                    <w:rPr>
                      <w:rFonts w:hint="default" w:ascii="Times New Roman" w:hAnsi="Times New Roman" w:eastAsia="宋体" w:cs="Times New Roman"/>
                      <w:color w:val="000000"/>
                      <w:sz w:val="21"/>
                      <w:szCs w:val="21"/>
                      <w:lang w:val="en-US" w:eastAsia="zh-CN"/>
                    </w:rPr>
                    <w:t>有组织废气经“喷淋（油雾净化）+UV光催化氧化+活性炭吸附”处理后，再经15m高的排气筒高空排放。</w:t>
                  </w:r>
                </w:p>
              </w:tc>
              <w:tc>
                <w:tcPr>
                  <w:tcW w:w="1108" w:type="dxa"/>
                  <w:noWrap w:val="0"/>
                  <w:vAlign w:val="center"/>
                </w:tcPr>
                <w:p w14:paraId="05EB679C">
                  <w:pPr>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符合</w:t>
                  </w:r>
                </w:p>
              </w:tc>
            </w:tr>
            <w:tr w14:paraId="61A3CC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05" w:hRule="atLeast"/>
                <w:jc w:val="center"/>
              </w:trPr>
              <w:tc>
                <w:tcPr>
                  <w:tcW w:w="731" w:type="dxa"/>
                  <w:noWrap w:val="0"/>
                  <w:vAlign w:val="center"/>
                </w:tcPr>
                <w:p w14:paraId="415D9856">
                  <w:pPr>
                    <w:adjustRightIn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噪声防治要求</w:t>
                  </w:r>
                </w:p>
              </w:tc>
              <w:tc>
                <w:tcPr>
                  <w:tcW w:w="4153" w:type="dxa"/>
                  <w:noWrap w:val="0"/>
                  <w:vAlign w:val="center"/>
                </w:tcPr>
                <w:p w14:paraId="3AE9C9D7">
                  <w:pPr>
                    <w:spacing w:beforeLines="20" w:afterLines="20" w:line="240" w:lineRule="auto"/>
                    <w:ind w:left="0" w:leftChars="0" w:firstLine="0" w:firstLineChars="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加强噪声控制管理。优化厂区平面布局，选用低噪声设备，采取基础减振、消声、建设隔声间等措施进行降噪，确保项目场界噪声满足《工业企业厂界环境噪声排放标准》（GB12348-2008）中3类标准限值要求。</w:t>
                  </w:r>
                </w:p>
              </w:tc>
              <w:tc>
                <w:tcPr>
                  <w:tcW w:w="2988" w:type="dxa"/>
                  <w:noWrap w:val="0"/>
                  <w:vAlign w:val="center"/>
                </w:tcPr>
                <w:p w14:paraId="04F8CC33">
                  <w:pPr>
                    <w:spacing w:line="240" w:lineRule="auto"/>
                    <w:ind w:left="0" w:leftChars="0" w:firstLine="0" w:firstLineChars="0"/>
                    <w:jc w:val="both"/>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sz w:val="21"/>
                      <w:szCs w:val="21"/>
                    </w:rPr>
                    <w:t>本项目采用了低噪声设备，采取隔音、减震、降噪等措施，</w:t>
                  </w:r>
                  <w:r>
                    <w:rPr>
                      <w:rFonts w:hint="default" w:ascii="Times New Roman" w:hAnsi="Times New Roman" w:eastAsia="宋体" w:cs="Times New Roman"/>
                      <w:sz w:val="21"/>
                      <w:szCs w:val="21"/>
                      <w:lang w:eastAsia="zh-CN"/>
                    </w:rPr>
                    <w:t>通过竣工验收监测数据可知，</w:t>
                  </w:r>
                  <w:r>
                    <w:rPr>
                      <w:rFonts w:hint="default" w:ascii="Times New Roman" w:hAnsi="Times New Roman" w:eastAsia="宋体" w:cs="Times New Roman"/>
                      <w:sz w:val="21"/>
                      <w:szCs w:val="21"/>
                    </w:rPr>
                    <w:t>厂界噪声符合</w:t>
                  </w:r>
                  <w:r>
                    <w:rPr>
                      <w:rFonts w:hint="default" w:ascii="Times New Roman" w:hAnsi="Times New Roman" w:eastAsia="宋体" w:cs="Times New Roman"/>
                      <w:sz w:val="21"/>
                      <w:szCs w:val="21"/>
                      <w:lang w:eastAsia="zh-CN"/>
                    </w:rPr>
                    <w:t>GB12348-2008</w:t>
                  </w:r>
                  <w:r>
                    <w:rPr>
                      <w:rFonts w:hint="default" w:ascii="Times New Roman" w:hAnsi="Times New Roman" w:cs="Times New Roman"/>
                      <w:sz w:val="21"/>
                      <w:szCs w:val="21"/>
                      <w:lang w:eastAsia="zh-CN"/>
                    </w:rPr>
                    <w:t>《</w:t>
                  </w:r>
                  <w:r>
                    <w:rPr>
                      <w:rFonts w:hint="default" w:ascii="Times New Roman" w:hAnsi="Times New Roman" w:eastAsia="宋体" w:cs="Times New Roman"/>
                      <w:sz w:val="21"/>
                      <w:szCs w:val="21"/>
                      <w:lang w:eastAsia="zh-CN"/>
                    </w:rPr>
                    <w:t>工业企业厂界</w:t>
                  </w:r>
                  <w:r>
                    <w:rPr>
                      <w:rFonts w:hint="default" w:ascii="Times New Roman" w:hAnsi="Times New Roman" w:cs="Times New Roman"/>
                      <w:sz w:val="21"/>
                      <w:szCs w:val="21"/>
                      <w:lang w:val="en-US" w:eastAsia="zh-CN"/>
                    </w:rPr>
                    <w:t>环境噪声排放</w:t>
                  </w:r>
                  <w:r>
                    <w:rPr>
                      <w:rFonts w:hint="default" w:ascii="Times New Roman" w:hAnsi="Times New Roman" w:eastAsia="宋体" w:cs="Times New Roman"/>
                      <w:sz w:val="21"/>
                      <w:szCs w:val="21"/>
                      <w:lang w:eastAsia="zh-CN"/>
                    </w:rPr>
                    <w:t>标准》表1中</w:t>
                  </w:r>
                  <w:r>
                    <w:rPr>
                      <w:rFonts w:hint="eastAsia" w:eastAsia="宋体" w:cs="Times New Roman"/>
                      <w:sz w:val="21"/>
                      <w:szCs w:val="21"/>
                      <w:lang w:val="en-US" w:eastAsia="zh-CN"/>
                    </w:rPr>
                    <w:t>3</w:t>
                  </w:r>
                  <w:r>
                    <w:rPr>
                      <w:rFonts w:hint="default" w:ascii="Times New Roman" w:hAnsi="Times New Roman" w:eastAsia="宋体" w:cs="Times New Roman"/>
                      <w:sz w:val="21"/>
                      <w:szCs w:val="21"/>
                      <w:lang w:eastAsia="zh-CN"/>
                    </w:rPr>
                    <w:t>类标准限值</w:t>
                  </w:r>
                  <w:r>
                    <w:rPr>
                      <w:rFonts w:hint="default" w:ascii="Times New Roman" w:hAnsi="Times New Roman" w:cs="Times New Roman"/>
                      <w:sz w:val="21"/>
                      <w:szCs w:val="21"/>
                      <w:lang w:eastAsia="zh-CN"/>
                    </w:rPr>
                    <w:t>。</w:t>
                  </w:r>
                </w:p>
              </w:tc>
              <w:tc>
                <w:tcPr>
                  <w:tcW w:w="1108" w:type="dxa"/>
                  <w:noWrap w:val="0"/>
                  <w:vAlign w:val="center"/>
                </w:tcPr>
                <w:p w14:paraId="3FF26331">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符合</w:t>
                  </w:r>
                </w:p>
              </w:tc>
            </w:tr>
            <w:tr w14:paraId="2F1485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87" w:hRule="atLeast"/>
                <w:jc w:val="center"/>
              </w:trPr>
              <w:tc>
                <w:tcPr>
                  <w:tcW w:w="731" w:type="dxa"/>
                  <w:noWrap w:val="0"/>
                  <w:vAlign w:val="center"/>
                </w:tcPr>
                <w:p w14:paraId="1E181590">
                  <w:pPr>
                    <w:adjustRightIn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固废处置要求</w:t>
                  </w:r>
                </w:p>
              </w:tc>
              <w:tc>
                <w:tcPr>
                  <w:tcW w:w="4153" w:type="dxa"/>
                  <w:noWrap w:val="0"/>
                  <w:vAlign w:val="center"/>
                </w:tcPr>
                <w:p w14:paraId="31857772">
                  <w:pPr>
                    <w:spacing w:beforeLines="20" w:afterLines="20" w:line="240" w:lineRule="auto"/>
                    <w:ind w:left="0" w:leftChars="0" w:firstLine="0" w:firstLineChars="0"/>
                    <w:jc w:val="both"/>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val="en-US" w:eastAsia="zh-CN"/>
                    </w:rPr>
                    <w:t>妥善处置固体废物。按照“减量化、资源化、无害化”原则妥善处置固体废物。废包装材料、废滤袋收集后由原料生产厂家回收利用；布袋除尘器收集的粉尘、车间清扫收集的粉尘全部回用于生产；废过滤棉、废吸油纸、废活性炭、废润滑油、废UV灯管等分类收集于危废暂存间储存，委托有资质单位规范处置；废油泥经定期清捞后回用于生产。 一般工业固体废物执行《一般工业固体废物贮存和填埋污染控制标准》（GB18599-2020），危险废物执行《危险废物贮存污染控制标准》（GB18597-2023），生活垃圾执行《生活垃圾焚烧污染控制标准》（GB18485-2014）。</w:t>
                  </w:r>
                </w:p>
              </w:tc>
              <w:tc>
                <w:tcPr>
                  <w:tcW w:w="2988" w:type="dxa"/>
                  <w:noWrap w:val="0"/>
                  <w:vAlign w:val="center"/>
                </w:tcPr>
                <w:p w14:paraId="26074E9A">
                  <w:pPr>
                    <w:tabs>
                      <w:tab w:val="left" w:pos="1021"/>
                    </w:tabs>
                    <w:adjustRightInd w:val="0"/>
                    <w:snapToGrid w:val="0"/>
                    <w:spacing w:beforeLines="10" w:afterLines="10" w:line="240" w:lineRule="auto"/>
                    <w:ind w:left="0" w:leftChars="0" w:firstLine="0" w:firstLineChars="0"/>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sz w:val="21"/>
                      <w:szCs w:val="21"/>
                      <w:lang w:val="en-US" w:eastAsia="zh-CN"/>
                    </w:rPr>
                    <w:t>废包装材料收集后由原料生产厂家回收利用；</w:t>
                  </w:r>
                  <w:r>
                    <w:rPr>
                      <w:rFonts w:hint="eastAsia" w:eastAsia="宋体" w:cs="Times New Roman"/>
                      <w:color w:val="000000"/>
                      <w:sz w:val="21"/>
                      <w:szCs w:val="21"/>
                      <w:lang w:val="en-US" w:eastAsia="zh-CN"/>
                    </w:rPr>
                    <w:t>喷淋沉渣、</w:t>
                  </w:r>
                  <w:r>
                    <w:rPr>
                      <w:rFonts w:hint="default" w:ascii="Times New Roman" w:hAnsi="Times New Roman" w:eastAsia="宋体" w:cs="Times New Roman"/>
                      <w:color w:val="000000"/>
                      <w:sz w:val="21"/>
                      <w:szCs w:val="21"/>
                      <w:lang w:val="en-US" w:eastAsia="zh-CN"/>
                    </w:rPr>
                    <w:t>车间清扫收集的粉尘全部回用于生产；</w:t>
                  </w:r>
                  <w:r>
                    <w:rPr>
                      <w:rFonts w:hint="eastAsia" w:eastAsia="宋体" w:cs="Times New Roman"/>
                      <w:color w:val="000000"/>
                      <w:sz w:val="21"/>
                      <w:szCs w:val="21"/>
                      <w:lang w:val="en-US" w:eastAsia="zh-CN"/>
                    </w:rPr>
                    <w:t>喷淋沉渣</w:t>
                  </w:r>
                  <w:r>
                    <w:rPr>
                      <w:rFonts w:hint="default" w:ascii="Times New Roman" w:hAnsi="Times New Roman" w:eastAsia="宋体" w:cs="Times New Roman"/>
                      <w:color w:val="000000"/>
                      <w:sz w:val="21"/>
                      <w:szCs w:val="21"/>
                      <w:lang w:val="en-US" w:eastAsia="zh-CN"/>
                    </w:rPr>
                    <w:t xml:space="preserve">、废吸油纸、废活性炭、废润滑油、废UV灯管等分类收集于危废暂存间储存，委托有资质单位规范处置；废油泥经定期清捞后回用于生产。 </w:t>
                  </w:r>
                </w:p>
              </w:tc>
              <w:tc>
                <w:tcPr>
                  <w:tcW w:w="1108" w:type="dxa"/>
                  <w:noWrap w:val="0"/>
                  <w:vAlign w:val="center"/>
                </w:tcPr>
                <w:p w14:paraId="01657F0F">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符合</w:t>
                  </w:r>
                </w:p>
              </w:tc>
            </w:tr>
            <w:tr w14:paraId="33CDE6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87" w:hRule="atLeast"/>
                <w:jc w:val="center"/>
              </w:trPr>
              <w:tc>
                <w:tcPr>
                  <w:tcW w:w="731" w:type="dxa"/>
                  <w:noWrap w:val="0"/>
                  <w:vAlign w:val="center"/>
                </w:tcPr>
                <w:p w14:paraId="29FF63B7">
                  <w:pPr>
                    <w:adjustRightIn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eastAsia="宋体" w:cs="Times New Roman"/>
                      <w:color w:val="000000"/>
                      <w:sz w:val="21"/>
                      <w:szCs w:val="21"/>
                      <w:lang w:val="en-US" w:eastAsia="zh-CN"/>
                    </w:rPr>
                    <w:t>其他要求</w:t>
                  </w:r>
                </w:p>
              </w:tc>
              <w:tc>
                <w:tcPr>
                  <w:tcW w:w="4153" w:type="dxa"/>
                  <w:noWrap w:val="0"/>
                  <w:vAlign w:val="center"/>
                </w:tcPr>
                <w:p w14:paraId="44971839">
                  <w:pPr>
                    <w:spacing w:beforeLines="20" w:afterLines="20" w:line="240" w:lineRule="auto"/>
                    <w:ind w:left="0" w:leftChars="0" w:firstLine="0" w:firstLineChars="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加强企业环境管理，实行清洁生产，全过程控制污染，保持良好的厂容厂貌。加强环境风险防范措施，制订环境风险应急预案，强化风险管理和事故的预防，做好环境风险的巡查、监控等日常管理工作，杜绝环境风险事故发生。</w:t>
                  </w:r>
                </w:p>
              </w:tc>
              <w:tc>
                <w:tcPr>
                  <w:tcW w:w="2988" w:type="dxa"/>
                  <w:noWrap w:val="0"/>
                  <w:vAlign w:val="center"/>
                </w:tcPr>
                <w:p w14:paraId="3E7A0CBE">
                  <w:pPr>
                    <w:tabs>
                      <w:tab w:val="left" w:pos="1021"/>
                    </w:tabs>
                    <w:adjustRightInd w:val="0"/>
                    <w:snapToGrid w:val="0"/>
                    <w:spacing w:beforeLines="10" w:afterLines="10" w:line="240" w:lineRule="auto"/>
                    <w:ind w:left="0" w:leftChars="0" w:firstLine="0" w:firstLineChars="0"/>
                    <w:jc w:val="both"/>
                    <w:rPr>
                      <w:rFonts w:hint="default" w:ascii="Times New Roman" w:hAnsi="Times New Roman" w:eastAsia="宋体" w:cs="Times New Roman"/>
                      <w:color w:val="000000"/>
                      <w:sz w:val="21"/>
                      <w:szCs w:val="21"/>
                      <w:lang w:val="en-US" w:eastAsia="zh-CN"/>
                    </w:rPr>
                  </w:pPr>
                  <w:r>
                    <w:rPr>
                      <w:rFonts w:hint="eastAsia" w:eastAsia="宋体" w:cs="Times New Roman"/>
                      <w:color w:val="000000"/>
                      <w:sz w:val="21"/>
                      <w:szCs w:val="21"/>
                      <w:lang w:val="en-US" w:eastAsia="zh-CN"/>
                    </w:rPr>
                    <w:t>已制定环境风险应急预案并于2024年10月31日在邵阳市生态环境局邵阳县分局进行了备案，备案编号为430523-2024-031-L。</w:t>
                  </w:r>
                </w:p>
              </w:tc>
              <w:tc>
                <w:tcPr>
                  <w:tcW w:w="1108" w:type="dxa"/>
                  <w:noWrap w:val="0"/>
                  <w:vAlign w:val="center"/>
                </w:tcPr>
                <w:p w14:paraId="42516EF0">
                  <w:pPr>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eastAsia="宋体" w:cs="Times New Roman"/>
                      <w:sz w:val="21"/>
                      <w:szCs w:val="21"/>
                      <w:lang w:val="en-US" w:eastAsia="zh-CN"/>
                    </w:rPr>
                    <w:t>符合</w:t>
                  </w:r>
                </w:p>
              </w:tc>
            </w:tr>
            <w:tr w14:paraId="1E658A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87" w:hRule="atLeast"/>
                <w:jc w:val="center"/>
              </w:trPr>
              <w:tc>
                <w:tcPr>
                  <w:tcW w:w="731" w:type="dxa"/>
                  <w:noWrap w:val="0"/>
                  <w:vAlign w:val="center"/>
                </w:tcPr>
                <w:p w14:paraId="7D9860A0">
                  <w:pPr>
                    <w:adjustRightInd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总量控制要求</w:t>
                  </w:r>
                </w:p>
              </w:tc>
              <w:tc>
                <w:tcPr>
                  <w:tcW w:w="4153" w:type="dxa"/>
                  <w:noWrap w:val="0"/>
                  <w:vAlign w:val="center"/>
                </w:tcPr>
                <w:p w14:paraId="53B389EE">
                  <w:pPr>
                    <w:spacing w:beforeLines="20" w:afterLines="20" w:line="240" w:lineRule="auto"/>
                    <w:ind w:left="0" w:leftChars="0" w:firstLine="0" w:firstLineChars="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严格控制污染总量。项目总量控制指标为：非甲烷总烃≤0.486t/a。</w:t>
                  </w:r>
                </w:p>
              </w:tc>
              <w:tc>
                <w:tcPr>
                  <w:tcW w:w="2988" w:type="dxa"/>
                  <w:noWrap w:val="0"/>
                  <w:vAlign w:val="center"/>
                </w:tcPr>
                <w:p w14:paraId="5E12E5F0">
                  <w:pPr>
                    <w:tabs>
                      <w:tab w:val="left" w:pos="1021"/>
                    </w:tabs>
                    <w:adjustRightInd w:val="0"/>
                    <w:snapToGrid w:val="0"/>
                    <w:spacing w:beforeLines="10" w:afterLines="10" w:line="240" w:lineRule="auto"/>
                    <w:ind w:left="0" w:leftChars="0" w:firstLine="0" w:firstLineChars="0"/>
                    <w:jc w:val="both"/>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sz w:val="21"/>
                      <w:szCs w:val="21"/>
                      <w:lang w:eastAsia="zh-CN"/>
                    </w:rPr>
                    <w:t>通过竣工验收监测数据可知，</w:t>
                  </w:r>
                  <w:r>
                    <w:rPr>
                      <w:rFonts w:hint="default" w:ascii="Times New Roman" w:hAnsi="Times New Roman" w:eastAsia="宋体" w:cs="Times New Roman"/>
                      <w:color w:val="000000"/>
                      <w:sz w:val="21"/>
                      <w:szCs w:val="21"/>
                      <w:lang w:val="en-US" w:eastAsia="zh-CN"/>
                    </w:rPr>
                    <w:t>总量控制符合相关要求。</w:t>
                  </w:r>
                </w:p>
              </w:tc>
              <w:tc>
                <w:tcPr>
                  <w:tcW w:w="1108" w:type="dxa"/>
                  <w:noWrap w:val="0"/>
                  <w:vAlign w:val="center"/>
                </w:tcPr>
                <w:p w14:paraId="0EEC05A7">
                  <w:pPr>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符合</w:t>
                  </w:r>
                </w:p>
              </w:tc>
            </w:tr>
          </w:tbl>
          <w:p w14:paraId="2066A9EE">
            <w:pPr>
              <w:ind w:firstLine="0" w:firstLineChars="0"/>
              <w:rPr>
                <w:rFonts w:hint="default" w:ascii="Times New Roman" w:hAnsi="Times New Roman" w:cs="Times New Roman"/>
              </w:rPr>
            </w:pPr>
          </w:p>
        </w:tc>
      </w:tr>
    </w:tbl>
    <w:p w14:paraId="3A875BF6">
      <w:pPr>
        <w:widowControl/>
        <w:spacing w:line="240" w:lineRule="auto"/>
        <w:ind w:firstLine="0" w:firstLineChars="0"/>
        <w:jc w:val="left"/>
        <w:rPr>
          <w:rFonts w:hint="default" w:ascii="Times New Roman" w:hAnsi="Times New Roman" w:eastAsia="黑体" w:cs="Times New Roman"/>
          <w:b/>
          <w:bCs/>
          <w:kern w:val="44"/>
          <w:sz w:val="32"/>
          <w:szCs w:val="44"/>
        </w:rPr>
      </w:pPr>
      <w:r>
        <w:rPr>
          <w:rFonts w:hint="default" w:ascii="Times New Roman" w:hAnsi="Times New Roman" w:cs="Times New Roman"/>
        </w:rPr>
        <w:br w:type="page"/>
      </w:r>
    </w:p>
    <w:p w14:paraId="292A3946">
      <w:pPr>
        <w:pStyle w:val="2"/>
        <w:rPr>
          <w:rFonts w:hint="default" w:ascii="Times New Roman" w:hAnsi="Times New Roman" w:eastAsia="黑体" w:cs="Times New Roman"/>
          <w:lang w:val="en-US" w:eastAsia="zh-CN"/>
        </w:rPr>
      </w:pPr>
      <w:bookmarkStart w:id="5" w:name="_Toc26454"/>
      <w:r>
        <w:rPr>
          <w:rFonts w:hint="default" w:ascii="Times New Roman" w:hAnsi="Times New Roman" w:cs="Times New Roman"/>
        </w:rPr>
        <w:t>表四</w:t>
      </w:r>
      <w:r>
        <w:rPr>
          <w:rFonts w:hint="default" w:ascii="Times New Roman" w:hAnsi="Times New Roman" w:cs="Times New Roman"/>
          <w:lang w:eastAsia="zh-CN"/>
        </w:rPr>
        <w:t>：</w:t>
      </w:r>
      <w:r>
        <w:rPr>
          <w:rFonts w:hint="default" w:ascii="Times New Roman" w:hAnsi="Times New Roman" w:cs="Times New Roman"/>
          <w:lang w:val="en-US" w:eastAsia="zh-CN"/>
        </w:rPr>
        <w:t>建设项目环境影响报告表主要结论及审批部门决定</w:t>
      </w:r>
      <w:bookmarkEnd w:id="5"/>
    </w:p>
    <w:tbl>
      <w:tblPr>
        <w:tblStyle w:val="32"/>
        <w:tblW w:w="928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286"/>
      </w:tblGrid>
      <w:tr w14:paraId="43BA80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trPr>
        <w:tc>
          <w:tcPr>
            <w:tcW w:w="9286" w:type="dxa"/>
            <w:vAlign w:val="center"/>
          </w:tcPr>
          <w:p w14:paraId="273D2F07">
            <w:pPr>
              <w:keepNext w:val="0"/>
              <w:keepLines w:val="0"/>
              <w:pageBreakBefore w:val="0"/>
              <w:kinsoku/>
              <w:wordWrap/>
              <w:overflowPunct/>
              <w:topLinePunct w:val="0"/>
              <w:autoSpaceDE/>
              <w:autoSpaceDN/>
              <w:bidi w:val="0"/>
              <w:spacing w:line="460" w:lineRule="exact"/>
              <w:ind w:firstLine="0" w:firstLineChars="0"/>
              <w:textAlignment w:val="auto"/>
              <w:rPr>
                <w:rFonts w:hint="default" w:ascii="Times New Roman" w:hAnsi="Times New Roman" w:cs="Times New Roman"/>
              </w:rPr>
            </w:pPr>
            <w:r>
              <w:rPr>
                <w:rFonts w:hint="default" w:ascii="Times New Roman" w:hAnsi="Times New Roman" w:cs="Times New Roman"/>
              </w:rPr>
              <w:t>建设项目环境影响报告表主要结论及审批部门决定：</w:t>
            </w:r>
          </w:p>
          <w:p w14:paraId="5FEC6BC8">
            <w:pPr>
              <w:keepNext w:val="0"/>
              <w:keepLines w:val="0"/>
              <w:pageBreakBefore w:val="0"/>
              <w:numPr>
                <w:ilvl w:val="0"/>
                <w:numId w:val="5"/>
              </w:numPr>
              <w:kinsoku/>
              <w:wordWrap/>
              <w:overflowPunct/>
              <w:topLinePunct w:val="0"/>
              <w:autoSpaceDE/>
              <w:autoSpaceDN/>
              <w:bidi w:val="0"/>
              <w:spacing w:line="460" w:lineRule="exact"/>
              <w:ind w:firstLine="0" w:firstLineChars="0"/>
              <w:textAlignment w:val="auto"/>
              <w:rPr>
                <w:rFonts w:hint="default" w:ascii="Times New Roman" w:hAnsi="Times New Roman" w:cs="Times New Roman"/>
              </w:rPr>
            </w:pPr>
            <w:r>
              <w:rPr>
                <w:rFonts w:hint="default" w:ascii="Times New Roman" w:hAnsi="Times New Roman" w:cs="Times New Roman"/>
              </w:rPr>
              <w:t>环境影响报告表主要结论</w:t>
            </w:r>
          </w:p>
          <w:p w14:paraId="76C9C1EA">
            <w:pPr>
              <w:pStyle w:val="8"/>
              <w:keepNext w:val="0"/>
              <w:keepLines w:val="0"/>
              <w:pageBreakBefore w:val="0"/>
              <w:kinsoku/>
              <w:wordWrap/>
              <w:overflowPunct/>
              <w:topLinePunct w:val="0"/>
              <w:autoSpaceDE/>
              <w:autoSpaceDN/>
              <w:bidi w:val="0"/>
              <w:spacing w:line="460" w:lineRule="exact"/>
              <w:ind w:firstLine="480" w:firstLineChars="200"/>
              <w:jc w:val="both"/>
              <w:textAlignment w:val="auto"/>
              <w:rPr>
                <w:rFonts w:hint="default" w:ascii="Times New Roman" w:hAnsi="Times New Roman" w:cs="Times New Roman"/>
              </w:rPr>
            </w:pPr>
            <w:r>
              <w:rPr>
                <w:rFonts w:hint="default" w:ascii="Times New Roman" w:hAnsi="Times New Roman" w:cs="Times New Roman"/>
                <w:szCs w:val="21"/>
                <w:lang w:val="en-US" w:eastAsia="zh-CN"/>
              </w:rPr>
              <w:t>邵阳市鑫腾阻燃新材料科技有限公司红磷阻燃剂建设项目</w:t>
            </w:r>
            <w:r>
              <w:rPr>
                <w:rFonts w:hint="default" w:ascii="Times New Roman" w:hAnsi="Times New Roman" w:cs="Times New Roman"/>
                <w:szCs w:val="21"/>
              </w:rPr>
              <w:t>符合国家产业政策、相关规划及“三线一单”要求，在认真落实本次评价提出的污染防治措施及风险防范措施的前提下，项目营运期产生的废水、废气污染物及噪声可达标排放，固体废物可得到合理处置，环境风险可防控。</w:t>
            </w:r>
            <w:r>
              <w:rPr>
                <w:rFonts w:hint="default" w:ascii="Times New Roman" w:hAnsi="Times New Roman" w:cs="Times New Roman"/>
                <w:szCs w:val="21"/>
                <w:lang w:val="en-US" w:eastAsia="zh-CN"/>
              </w:rPr>
              <w:t>综上所述，</w:t>
            </w:r>
            <w:r>
              <w:rPr>
                <w:rFonts w:hint="default" w:ascii="Times New Roman" w:hAnsi="Times New Roman" w:cs="Times New Roman"/>
                <w:szCs w:val="21"/>
              </w:rPr>
              <w:t>从环境保护的角度出发，本项目在拟定地址建设是可行的。</w:t>
            </w:r>
          </w:p>
          <w:p w14:paraId="692EE52E">
            <w:pPr>
              <w:keepNext w:val="0"/>
              <w:keepLines w:val="0"/>
              <w:pageBreakBefore w:val="0"/>
              <w:numPr>
                <w:ilvl w:val="0"/>
                <w:numId w:val="5"/>
              </w:numPr>
              <w:kinsoku/>
              <w:wordWrap/>
              <w:overflowPunct/>
              <w:topLinePunct w:val="0"/>
              <w:autoSpaceDE/>
              <w:autoSpaceDN/>
              <w:bidi w:val="0"/>
              <w:spacing w:line="460" w:lineRule="exact"/>
              <w:ind w:left="0" w:leftChars="0" w:firstLine="0" w:firstLineChars="0"/>
              <w:textAlignment w:val="auto"/>
              <w:rPr>
                <w:rFonts w:hint="default" w:ascii="Times New Roman" w:hAnsi="Times New Roman" w:cs="Times New Roman"/>
                <w:lang w:val="en-US" w:eastAsia="zh-CN"/>
              </w:rPr>
            </w:pPr>
            <w:r>
              <w:rPr>
                <w:rFonts w:hint="default" w:ascii="Times New Roman" w:hAnsi="Times New Roman" w:cs="Times New Roman"/>
              </w:rPr>
              <w:t>审批部门决定</w:t>
            </w:r>
            <w:r>
              <w:rPr>
                <w:rFonts w:hint="default" w:ascii="Times New Roman" w:hAnsi="Times New Roman" w:cs="Times New Roman"/>
                <w:lang w:eastAsia="zh-CN"/>
              </w:rPr>
              <w:t>：</w:t>
            </w:r>
            <w:r>
              <w:rPr>
                <w:rFonts w:hint="default" w:ascii="Times New Roman" w:hAnsi="Times New Roman" w:cs="Times New Roman"/>
                <w:lang w:val="en-US" w:eastAsia="zh-CN"/>
              </w:rPr>
              <w:t>关于《</w:t>
            </w:r>
            <w:r>
              <w:rPr>
                <w:rFonts w:hint="eastAsia" w:cs="Times New Roman"/>
                <w:lang w:val="en" w:eastAsia="zh-CN"/>
              </w:rPr>
              <w:t>邵阳市鑫腾阻燃新材料科技有限公司红磷阻燃剂建设项目</w:t>
            </w:r>
            <w:r>
              <w:rPr>
                <w:rFonts w:hint="default" w:ascii="Times New Roman" w:hAnsi="Times New Roman" w:cs="Times New Roman"/>
                <w:lang w:val="en-US" w:eastAsia="zh-CN"/>
              </w:rPr>
              <w:t>环境影响评价报告表》的批复（邵市环评（3）〔2024〕</w:t>
            </w:r>
            <w:r>
              <w:rPr>
                <w:rFonts w:hint="eastAsia" w:cs="Times New Roman"/>
                <w:lang w:val="en-US" w:eastAsia="zh-CN"/>
              </w:rPr>
              <w:t>10</w:t>
            </w:r>
            <w:r>
              <w:rPr>
                <w:rFonts w:hint="default" w:ascii="Times New Roman" w:hAnsi="Times New Roman" w:cs="Times New Roman"/>
                <w:lang w:val="en-US" w:eastAsia="zh-CN"/>
              </w:rPr>
              <w:t>号）</w:t>
            </w:r>
          </w:p>
          <w:p w14:paraId="0F281C78">
            <w:pPr>
              <w:bidi w:val="0"/>
              <w:rPr>
                <w:rFonts w:hint="default" w:ascii="Times New Roman" w:hAnsi="Times New Roman" w:cs="Times New Roman"/>
                <w:lang w:val="en-US" w:eastAsia="zh-CN"/>
              </w:rPr>
            </w:pPr>
            <w:r>
              <w:rPr>
                <w:rFonts w:hint="default" w:ascii="Times New Roman" w:hAnsi="Times New Roman" w:cs="Times New Roman"/>
                <w:lang w:val="en-US" w:eastAsia="zh-CN"/>
              </w:rPr>
              <w:t>项目在设计、建设与营运过程中，应严格执行环保“三同时”制度，确保各项污染物达标排放，并重点做好以下几点：</w:t>
            </w:r>
          </w:p>
          <w:p w14:paraId="1417C15D">
            <w:pPr>
              <w:bidi w:val="0"/>
              <w:rPr>
                <w:rFonts w:hint="default" w:ascii="Times New Roman" w:hAnsi="Times New Roman" w:cs="Times New Roman"/>
                <w:lang w:val="en-US" w:eastAsia="zh-CN"/>
              </w:rPr>
            </w:pPr>
            <w:r>
              <w:rPr>
                <w:rFonts w:hint="default" w:ascii="Times New Roman" w:hAnsi="Times New Roman" w:cs="Times New Roman"/>
                <w:lang w:val="en-US" w:eastAsia="zh-CN"/>
              </w:rPr>
              <w:t>1、加强施工期管理。施工扬尘采取洒水降尘及道路冲洗清扫措施，确保废气排放满足《大气污染物综合排放标准》(GB16297-1996）无组织排放监控浓度限值要求。施工人员生活污水经化粪池预处理后，通过市政污水管网进入长阳铺镇污水处理厂处理；尽量选用低噪声机械，对高噪声设备进行隔声、减振处理，确保施工噪声符合《建筑施工场界环境噪声排放标准》（GB12523-2011）限值要求。建筑垃圾能回收利用的进行分类回收，不能利用的及时清运至城建部门指定场所统一处理；施工生活垃圾经集中收集后交由当地环卫部门规范处置。</w:t>
            </w:r>
          </w:p>
          <w:p w14:paraId="68530DF1">
            <w:pPr>
              <w:bidi w:val="0"/>
              <w:rPr>
                <w:rFonts w:hint="default" w:ascii="Times New Roman" w:hAnsi="Times New Roman" w:cs="Times New Roman"/>
                <w:lang w:val="en-US" w:eastAsia="zh-CN"/>
              </w:rPr>
            </w:pPr>
            <w:r>
              <w:rPr>
                <w:rFonts w:hint="default" w:ascii="Times New Roman" w:hAnsi="Times New Roman" w:cs="Times New Roman"/>
                <w:lang w:val="en-US" w:eastAsia="zh-CN"/>
              </w:rPr>
              <w:t>2、强化废水污染防治。按照“雨污分流”“污污分流”原则，生产废水经混凝沉淀处理后回用，不外排；生活污水一起经化粪池有效处理达到《污水综合排放标准》（GB8978-1996）中的三级标准后纳入长阳铺镇污水处理厂处理。</w:t>
            </w:r>
          </w:p>
          <w:p w14:paraId="06130557">
            <w:pPr>
              <w:bidi w:val="0"/>
              <w:rPr>
                <w:rFonts w:hint="default" w:ascii="Times New Roman" w:hAnsi="Times New Roman" w:cs="Times New Roman"/>
                <w:lang w:val="en-US" w:eastAsia="zh-CN"/>
              </w:rPr>
            </w:pPr>
            <w:r>
              <w:rPr>
                <w:rFonts w:hint="default" w:ascii="Times New Roman" w:hAnsi="Times New Roman" w:cs="Times New Roman"/>
                <w:lang w:val="en-US" w:eastAsia="zh-CN"/>
              </w:rPr>
              <w:t>3、严格控制废气污染物排放。设置单独的三面封闭球磨房，无组织废气经布袋除尘器收集处理后排放；有组织废气经“过滤棉过滤+油雾净化器+UV光催化氧化+活性炭吸附”处理后，再经15m高的排气筒高空排放，废气排放浓度应满足《大气污染物综合排放标准》（GB16297-1996）表2相关浓度限值。</w:t>
            </w:r>
          </w:p>
          <w:p w14:paraId="4C56BC5C">
            <w:pPr>
              <w:bidi w:val="0"/>
              <w:rPr>
                <w:rFonts w:hint="default" w:ascii="Times New Roman" w:hAnsi="Times New Roman" w:cs="Times New Roman"/>
                <w:lang w:val="en-US" w:eastAsia="zh-CN"/>
              </w:rPr>
            </w:pPr>
            <w:r>
              <w:rPr>
                <w:rFonts w:hint="default" w:ascii="Times New Roman" w:hAnsi="Times New Roman" w:cs="Times New Roman"/>
                <w:lang w:val="en-US" w:eastAsia="zh-CN"/>
              </w:rPr>
              <w:t>4、加强噪声控制管理。优化厂区平面布局，选用低噪声设备，采取基础减振、消声、建设隔声间等措施进行降噪，确保项目场界噪声满足《工业企业厂界环境噪声排放标准》（GB12348-2008）中3类标准限值要求。</w:t>
            </w:r>
          </w:p>
          <w:p w14:paraId="4E06482A">
            <w:pPr>
              <w:bidi w:val="0"/>
              <w:rPr>
                <w:rFonts w:hint="default" w:ascii="Times New Roman" w:hAnsi="Times New Roman" w:cs="Times New Roman"/>
                <w:lang w:val="en-US" w:eastAsia="zh-CN"/>
              </w:rPr>
            </w:pPr>
            <w:r>
              <w:rPr>
                <w:rFonts w:hint="default" w:ascii="Times New Roman" w:hAnsi="Times New Roman" w:cs="Times New Roman"/>
                <w:lang w:val="en-US" w:eastAsia="zh-CN"/>
              </w:rPr>
              <w:t>5、妥善处置固体废物。按照“减量化、资源化、无害化”原则妥善处置固体废物。废包装材料、废滤袋收集后由原料生产厂家回收利用；布袋除尘器收集的粉尘、车间清扫收集的粉尘全部回用于生产；废过滤棉、废吸油纸、废活性炭、废润滑油、废UV灯管等分类收集于危废暂存间储存，委托有资质单位规范处置；废油泥经定期清捞后回用于生产。 一般工业固体废物执行《一般工业固体废物贮存和填埋污染控制标准》（GB18599-2020），危险废物执行《危险废物贮存污染控制标准》（GB18597-2023），生活垃圾执行《生活垃圾焚烧污染控制标准》（GB18485-2014）。</w:t>
            </w:r>
          </w:p>
          <w:p w14:paraId="7A037C9B">
            <w:pPr>
              <w:bidi w:val="0"/>
              <w:rPr>
                <w:rFonts w:hint="default" w:ascii="Times New Roman" w:hAnsi="Times New Roman" w:cs="Times New Roman"/>
                <w:lang w:val="en-US" w:eastAsia="zh-CN"/>
              </w:rPr>
            </w:pPr>
            <w:r>
              <w:rPr>
                <w:rFonts w:hint="default" w:ascii="Times New Roman" w:hAnsi="Times New Roman" w:cs="Times New Roman"/>
                <w:lang w:val="en-US" w:eastAsia="zh-CN"/>
              </w:rPr>
              <w:t>6、加强企业环境管理，实行清洁生产，全过程控制污染，保持良好的厂容厂貌。加强环境风险防范措施，制订环境风险应急预案，强化风险管理和事故的预防，做好环境风险的巡查、监控等日常管理工作，杜绝环境风险事故发生。</w:t>
            </w:r>
          </w:p>
          <w:p w14:paraId="4EB00572">
            <w:pPr>
              <w:bidi w:val="0"/>
              <w:rPr>
                <w:rFonts w:hint="default" w:ascii="Times New Roman" w:hAnsi="Times New Roman" w:cs="Times New Roman"/>
                <w:lang w:val="en-US" w:eastAsia="zh-CN"/>
              </w:rPr>
            </w:pPr>
            <w:r>
              <w:rPr>
                <w:rFonts w:hint="default" w:ascii="Times New Roman" w:hAnsi="Times New Roman" w:cs="Times New Roman"/>
                <w:lang w:val="en-US" w:eastAsia="zh-CN"/>
              </w:rPr>
              <w:t>二、严格控制污染总量。项目总量控制指标为：非甲烷总烃≤0.486t/a。</w:t>
            </w:r>
          </w:p>
          <w:p w14:paraId="4A7749C2">
            <w:pPr>
              <w:bidi w:val="0"/>
              <w:rPr>
                <w:rFonts w:hint="default" w:ascii="Times New Roman" w:hAnsi="Times New Roman" w:cs="Times New Roman"/>
                <w:lang w:val="en-US" w:eastAsia="zh-CN"/>
              </w:rPr>
            </w:pPr>
            <w:r>
              <w:rPr>
                <w:rFonts w:hint="default" w:ascii="Times New Roman" w:hAnsi="Times New Roman" w:cs="Times New Roman"/>
                <w:lang w:val="en-US" w:eastAsia="zh-CN"/>
              </w:rPr>
              <w:t>三、环境影响报告表经批准后，建设项目的性质、规模、地点、采用的生产工艺或者防治污染、防止生态破坏的措施发生重大变动的，应当重新报批该项目的环境影响报告表或变更环境影响报告表。自环境影响报告表批复文件批准之日起，如超过5年方决定工程开工建设的，环境影响报告表应当报我局重新审核。</w:t>
            </w:r>
          </w:p>
          <w:p w14:paraId="77B4402B">
            <w:pPr>
              <w:bidi w:val="0"/>
              <w:rPr>
                <w:rFonts w:hint="default" w:ascii="Times New Roman" w:hAnsi="Times New Roman" w:cs="Times New Roman"/>
                <w:lang w:val="en-US" w:eastAsia="zh-CN"/>
              </w:rPr>
            </w:pPr>
            <w:r>
              <w:rPr>
                <w:rFonts w:hint="default" w:ascii="Times New Roman" w:hAnsi="Times New Roman" w:cs="Times New Roman"/>
                <w:lang w:val="en-US" w:eastAsia="zh-CN"/>
              </w:rPr>
              <w:t>四、项目建成后，在启动生产设施或实际排污之前须严格按照《排污许可管理条例》申请办理排污许可手续。项目竣工后，应当依法开展项目竣工环境保护验收，并接受生态环境主管部门的监督检查。</w:t>
            </w:r>
          </w:p>
        </w:tc>
      </w:tr>
    </w:tbl>
    <w:p w14:paraId="2FE699D8">
      <w:pPr>
        <w:widowControl/>
        <w:spacing w:line="240" w:lineRule="auto"/>
        <w:ind w:firstLine="0" w:firstLineChars="0"/>
        <w:jc w:val="left"/>
        <w:rPr>
          <w:rFonts w:hint="default" w:ascii="Times New Roman" w:hAnsi="Times New Roman" w:cs="Times New Roman"/>
          <w:color w:val="FF0000"/>
        </w:rPr>
      </w:pPr>
      <w:r>
        <w:rPr>
          <w:rFonts w:hint="default" w:ascii="Times New Roman" w:hAnsi="Times New Roman" w:cs="Times New Roman"/>
          <w:color w:val="FF0000"/>
        </w:rPr>
        <w:br w:type="page"/>
      </w:r>
    </w:p>
    <w:p w14:paraId="5EA71735">
      <w:pPr>
        <w:pStyle w:val="2"/>
        <w:rPr>
          <w:rFonts w:hint="default" w:ascii="Times New Roman" w:hAnsi="Times New Roman" w:eastAsia="黑体" w:cs="Times New Roman"/>
          <w:color w:val="auto"/>
          <w:u w:val="none"/>
          <w:lang w:val="en-US" w:eastAsia="zh-CN"/>
        </w:rPr>
      </w:pPr>
      <w:bookmarkStart w:id="6" w:name="_Toc6753"/>
      <w:r>
        <w:rPr>
          <w:rFonts w:hint="default" w:ascii="Times New Roman" w:hAnsi="Times New Roman" w:cs="Times New Roman"/>
          <w:color w:val="auto"/>
          <w:u w:val="none"/>
        </w:rPr>
        <w:t>表五</w:t>
      </w:r>
      <w:r>
        <w:rPr>
          <w:rFonts w:hint="default" w:ascii="Times New Roman" w:hAnsi="Times New Roman" w:cs="Times New Roman"/>
          <w:color w:val="auto"/>
          <w:u w:val="none"/>
          <w:lang w:eastAsia="zh-CN"/>
        </w:rPr>
        <w:t>：</w:t>
      </w:r>
      <w:r>
        <w:rPr>
          <w:rFonts w:hint="default" w:ascii="Times New Roman" w:hAnsi="Times New Roman" w:cs="Times New Roman"/>
          <w:color w:val="auto"/>
          <w:u w:val="none"/>
          <w:lang w:val="en-US" w:eastAsia="zh-CN"/>
        </w:rPr>
        <w:t>验收监测质量保证及质量控制</w:t>
      </w:r>
      <w:bookmarkEnd w:id="6"/>
    </w:p>
    <w:tbl>
      <w:tblPr>
        <w:tblStyle w:val="32"/>
        <w:tblW w:w="928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286"/>
      </w:tblGrid>
      <w:tr w14:paraId="550732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75" w:hRule="atLeast"/>
        </w:trPr>
        <w:tc>
          <w:tcPr>
            <w:tcW w:w="9286" w:type="dxa"/>
            <w:vAlign w:val="center"/>
          </w:tcPr>
          <w:p w14:paraId="0E14D907">
            <w:pPr>
              <w:ind w:firstLine="0" w:firstLineChars="0"/>
              <w:rPr>
                <w:rFonts w:hint="default" w:ascii="Times New Roman" w:hAnsi="Times New Roman" w:cs="Times New Roman"/>
                <w:b/>
              </w:rPr>
            </w:pPr>
            <w:r>
              <w:rPr>
                <w:rFonts w:hint="default" w:ascii="Times New Roman" w:hAnsi="Times New Roman" w:cs="Times New Roman"/>
                <w:b/>
              </w:rPr>
              <w:t>验收检测质量保证及质量控制：</w:t>
            </w:r>
          </w:p>
          <w:p w14:paraId="0014C077">
            <w:pPr>
              <w:ind w:firstLine="0" w:firstLineChars="0"/>
              <w:rPr>
                <w:rFonts w:hint="default" w:ascii="Times New Roman" w:hAnsi="Times New Roman" w:cs="Times New Roman"/>
              </w:rPr>
            </w:pPr>
            <w:r>
              <w:rPr>
                <w:rFonts w:hint="default" w:ascii="Times New Roman" w:hAnsi="Times New Roman" w:cs="Times New Roman"/>
              </w:rPr>
              <w:t>1、检测分析方法及检测仪器</w:t>
            </w:r>
          </w:p>
          <w:p w14:paraId="58AD35DB">
            <w:pPr>
              <w:ind w:firstLine="480"/>
              <w:rPr>
                <w:rFonts w:hint="default" w:ascii="Times New Roman" w:hAnsi="Times New Roman" w:cs="Times New Roman"/>
              </w:rPr>
            </w:pPr>
            <w:r>
              <w:rPr>
                <w:rFonts w:hint="default" w:ascii="Times New Roman" w:hAnsi="Times New Roman" w:cs="Times New Roman"/>
              </w:rPr>
              <w:t>本次验收检测分析方法及使用仪器见表5-1。</w:t>
            </w:r>
          </w:p>
          <w:p w14:paraId="6B929FFB">
            <w:pPr>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表5-1  检测方法及使用仪器统计表</w:t>
            </w:r>
          </w:p>
          <w:tbl>
            <w:tblPr>
              <w:tblStyle w:val="31"/>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089"/>
              <w:gridCol w:w="3791"/>
              <w:gridCol w:w="2164"/>
              <w:gridCol w:w="1254"/>
            </w:tblGrid>
            <w:tr w14:paraId="24D08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22" w:type="dxa"/>
                  <w:tcBorders>
                    <w:tl2br w:val="nil"/>
                    <w:tr2bl w:val="nil"/>
                  </w:tcBorders>
                  <w:noWrap w:val="0"/>
                  <w:vAlign w:val="center"/>
                </w:tcPr>
                <w:p w14:paraId="3DE44781">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类别</w:t>
                  </w:r>
                </w:p>
              </w:tc>
              <w:tc>
                <w:tcPr>
                  <w:tcW w:w="1089" w:type="dxa"/>
                  <w:tcBorders>
                    <w:tl2br w:val="nil"/>
                    <w:tr2bl w:val="nil"/>
                  </w:tcBorders>
                  <w:noWrap w:val="0"/>
                  <w:vAlign w:val="center"/>
                </w:tcPr>
                <w:p w14:paraId="1679D7EE">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检测项目</w:t>
                  </w:r>
                </w:p>
              </w:tc>
              <w:tc>
                <w:tcPr>
                  <w:tcW w:w="3791" w:type="dxa"/>
                  <w:tcBorders>
                    <w:tl2br w:val="nil"/>
                    <w:tr2bl w:val="nil"/>
                  </w:tcBorders>
                  <w:noWrap w:val="0"/>
                  <w:vAlign w:val="center"/>
                </w:tcPr>
                <w:p w14:paraId="149AEE4B">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分析方法及标准号</w:t>
                  </w:r>
                </w:p>
              </w:tc>
              <w:tc>
                <w:tcPr>
                  <w:tcW w:w="2164" w:type="dxa"/>
                  <w:tcBorders>
                    <w:tl2br w:val="nil"/>
                    <w:tr2bl w:val="nil"/>
                  </w:tcBorders>
                  <w:noWrap w:val="0"/>
                  <w:vAlign w:val="center"/>
                </w:tcPr>
                <w:p w14:paraId="4074CE74">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分析仪器及编号</w:t>
                  </w:r>
                </w:p>
              </w:tc>
              <w:tc>
                <w:tcPr>
                  <w:tcW w:w="1254" w:type="dxa"/>
                  <w:tcBorders>
                    <w:tl2br w:val="nil"/>
                    <w:tr2bl w:val="nil"/>
                  </w:tcBorders>
                  <w:noWrap w:val="0"/>
                  <w:vAlign w:val="center"/>
                </w:tcPr>
                <w:p w14:paraId="0445D283">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方法</w:t>
                  </w:r>
                  <w:r>
                    <w:rPr>
                      <w:rFonts w:hint="default" w:ascii="Times New Roman" w:hAnsi="Times New Roman" w:eastAsia="宋体" w:cs="Times New Roman"/>
                      <w:b w:val="0"/>
                      <w:color w:val="auto"/>
                      <w:spacing w:val="-6"/>
                      <w:sz w:val="21"/>
                      <w:szCs w:val="21"/>
                      <w:lang w:val="en-US" w:eastAsia="zh-CN"/>
                    </w:rPr>
                    <w:t>检出限</w:t>
                  </w:r>
                </w:p>
              </w:tc>
            </w:tr>
            <w:tr w14:paraId="1AF29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22" w:type="dxa"/>
                  <w:vMerge w:val="restart"/>
                  <w:tcBorders>
                    <w:tl2br w:val="nil"/>
                    <w:tr2bl w:val="nil"/>
                  </w:tcBorders>
                  <w:noWrap w:val="0"/>
                  <w:vAlign w:val="center"/>
                </w:tcPr>
                <w:p w14:paraId="373818B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废水</w:t>
                  </w:r>
                </w:p>
              </w:tc>
              <w:tc>
                <w:tcPr>
                  <w:tcW w:w="1089" w:type="dxa"/>
                  <w:tcBorders>
                    <w:tl2br w:val="nil"/>
                    <w:tr2bl w:val="nil"/>
                  </w:tcBorders>
                  <w:noWrap w:val="0"/>
                  <w:vAlign w:val="center"/>
                </w:tcPr>
                <w:p w14:paraId="26C5DA31">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pH值</w:t>
                  </w:r>
                </w:p>
              </w:tc>
              <w:tc>
                <w:tcPr>
                  <w:tcW w:w="3791" w:type="dxa"/>
                  <w:tcBorders>
                    <w:tl2br w:val="nil"/>
                    <w:tr2bl w:val="nil"/>
                  </w:tcBorders>
                  <w:noWrap w:val="0"/>
                  <w:vAlign w:val="center"/>
                </w:tcPr>
                <w:p w14:paraId="38F87C1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pH值的测定  电极法》</w:t>
                  </w:r>
                </w:p>
                <w:p w14:paraId="1FD6FD78">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HJ 1147-2020</w:t>
                  </w:r>
                </w:p>
              </w:tc>
              <w:tc>
                <w:tcPr>
                  <w:tcW w:w="2164" w:type="dxa"/>
                  <w:tcBorders>
                    <w:tl2br w:val="nil"/>
                    <w:tr2bl w:val="nil"/>
                  </w:tcBorders>
                  <w:noWrap w:val="0"/>
                  <w:vAlign w:val="center"/>
                </w:tcPr>
                <w:p w14:paraId="3D5A38B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PHB-4 便携式pH计/PSTX38-2</w:t>
                  </w:r>
                </w:p>
              </w:tc>
              <w:tc>
                <w:tcPr>
                  <w:tcW w:w="1254" w:type="dxa"/>
                  <w:tcBorders>
                    <w:tl2br w:val="nil"/>
                    <w:tr2bl w:val="nil"/>
                  </w:tcBorders>
                  <w:noWrap w:val="0"/>
                  <w:vAlign w:val="center"/>
                </w:tcPr>
                <w:p w14:paraId="639D2D3A">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w:t>
                  </w:r>
                </w:p>
              </w:tc>
            </w:tr>
            <w:tr w14:paraId="572A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22" w:type="dxa"/>
                  <w:vMerge w:val="continue"/>
                  <w:tcBorders>
                    <w:tl2br w:val="nil"/>
                    <w:tr2bl w:val="nil"/>
                  </w:tcBorders>
                  <w:noWrap w:val="0"/>
                  <w:vAlign w:val="center"/>
                </w:tcPr>
                <w:p w14:paraId="594AD7A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1089" w:type="dxa"/>
                  <w:tcBorders>
                    <w:tl2br w:val="nil"/>
                    <w:tr2bl w:val="nil"/>
                  </w:tcBorders>
                  <w:noWrap w:val="0"/>
                  <w:vAlign w:val="center"/>
                </w:tcPr>
                <w:p w14:paraId="567136A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悬浮物</w:t>
                  </w:r>
                </w:p>
              </w:tc>
              <w:tc>
                <w:tcPr>
                  <w:tcW w:w="3791" w:type="dxa"/>
                  <w:tcBorders>
                    <w:tl2br w:val="nil"/>
                    <w:tr2bl w:val="nil"/>
                  </w:tcBorders>
                  <w:noWrap w:val="0"/>
                  <w:vAlign w:val="center"/>
                </w:tcPr>
                <w:p w14:paraId="0FF06D1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悬浮物的测定 重量法》</w:t>
                  </w:r>
                </w:p>
                <w:p w14:paraId="65761D26">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GB</w:t>
                  </w:r>
                  <w:r>
                    <w:rPr>
                      <w:rFonts w:hint="eastAsia" w:ascii="Times New Roman" w:hAnsi="Times New Roman" w:eastAsia="宋体" w:cs="Times New Roman"/>
                      <w:b w:val="0"/>
                      <w:color w:val="auto"/>
                      <w:spacing w:val="-6"/>
                      <w:sz w:val="21"/>
                      <w:szCs w:val="21"/>
                      <w:lang w:val="en-US" w:eastAsia="zh-CN"/>
                    </w:rPr>
                    <w:t xml:space="preserve"> </w:t>
                  </w:r>
                  <w:r>
                    <w:rPr>
                      <w:rFonts w:hint="default" w:ascii="Times New Roman" w:hAnsi="Times New Roman" w:eastAsia="宋体" w:cs="Times New Roman"/>
                      <w:b w:val="0"/>
                      <w:color w:val="auto"/>
                      <w:spacing w:val="-6"/>
                      <w:sz w:val="21"/>
                      <w:szCs w:val="21"/>
                      <w:lang w:val="en-US" w:eastAsia="zh-CN"/>
                    </w:rPr>
                    <w:t>11901-1989</w:t>
                  </w:r>
                </w:p>
              </w:tc>
              <w:tc>
                <w:tcPr>
                  <w:tcW w:w="2164" w:type="dxa"/>
                  <w:tcBorders>
                    <w:tl2br w:val="nil"/>
                    <w:tr2bl w:val="nil"/>
                  </w:tcBorders>
                  <w:noWrap w:val="0"/>
                  <w:vAlign w:val="center"/>
                </w:tcPr>
                <w:p w14:paraId="6D12B454">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FA-2004电子天平/PSTS09</w:t>
                  </w:r>
                </w:p>
              </w:tc>
              <w:tc>
                <w:tcPr>
                  <w:tcW w:w="1254" w:type="dxa"/>
                  <w:tcBorders>
                    <w:tl2br w:val="nil"/>
                    <w:tr2bl w:val="nil"/>
                  </w:tcBorders>
                  <w:noWrap w:val="0"/>
                  <w:vAlign w:val="center"/>
                </w:tcPr>
                <w:p w14:paraId="5713008C">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4mg/L</w:t>
                  </w:r>
                </w:p>
              </w:tc>
            </w:tr>
            <w:tr w14:paraId="3FDE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2" w:type="dxa"/>
                  <w:vMerge w:val="continue"/>
                  <w:tcBorders>
                    <w:tl2br w:val="nil"/>
                    <w:tr2bl w:val="nil"/>
                  </w:tcBorders>
                  <w:noWrap w:val="0"/>
                  <w:vAlign w:val="center"/>
                </w:tcPr>
                <w:p w14:paraId="0021149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1089" w:type="dxa"/>
                  <w:tcBorders>
                    <w:tl2br w:val="nil"/>
                    <w:tr2bl w:val="nil"/>
                  </w:tcBorders>
                  <w:noWrap w:val="0"/>
                  <w:vAlign w:val="center"/>
                </w:tcPr>
                <w:p w14:paraId="0AAD850C">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化学需</w:t>
                  </w:r>
                </w:p>
                <w:p w14:paraId="15AEF822">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氧量</w:t>
                  </w:r>
                </w:p>
              </w:tc>
              <w:tc>
                <w:tcPr>
                  <w:tcW w:w="3791" w:type="dxa"/>
                  <w:tcBorders>
                    <w:tl2br w:val="nil"/>
                    <w:tr2bl w:val="nil"/>
                  </w:tcBorders>
                  <w:noWrap w:val="0"/>
                  <w:vAlign w:val="center"/>
                </w:tcPr>
                <w:p w14:paraId="2425888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化学需氧量的测定</w:t>
                  </w:r>
                  <w:r>
                    <w:rPr>
                      <w:rFonts w:hint="eastAsia" w:ascii="Times New Roman" w:hAnsi="Times New Roman" w:eastAsia="宋体" w:cs="Times New Roman"/>
                      <w:b w:val="0"/>
                      <w:color w:val="auto"/>
                      <w:spacing w:val="-6"/>
                      <w:sz w:val="21"/>
                      <w:szCs w:val="21"/>
                      <w:lang w:val="en-US" w:eastAsia="zh-CN"/>
                    </w:rPr>
                    <w:t xml:space="preserve"> </w:t>
                  </w:r>
                  <w:r>
                    <w:rPr>
                      <w:rFonts w:hint="default" w:ascii="Times New Roman" w:hAnsi="Times New Roman" w:eastAsia="宋体" w:cs="Times New Roman"/>
                      <w:b w:val="0"/>
                      <w:color w:val="auto"/>
                      <w:spacing w:val="-6"/>
                      <w:sz w:val="21"/>
                      <w:szCs w:val="21"/>
                      <w:lang w:val="en-US" w:eastAsia="zh-CN"/>
                    </w:rPr>
                    <w:t xml:space="preserve">重铬酸盐法》 </w:t>
                  </w:r>
                </w:p>
                <w:p w14:paraId="733EB48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 xml:space="preserve">HJ 828-2017 </w:t>
                  </w:r>
                </w:p>
              </w:tc>
              <w:tc>
                <w:tcPr>
                  <w:tcW w:w="2164" w:type="dxa"/>
                  <w:tcBorders>
                    <w:tl2br w:val="nil"/>
                    <w:tr2bl w:val="nil"/>
                  </w:tcBorders>
                  <w:noWrap w:val="0"/>
                  <w:vAlign w:val="center"/>
                </w:tcPr>
                <w:p w14:paraId="764B638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HCA-100/10孔COD</w:t>
                  </w:r>
                  <w:r>
                    <w:rPr>
                      <w:rFonts w:hint="eastAsia" w:ascii="Times New Roman" w:hAnsi="Times New Roman" w:eastAsia="宋体" w:cs="Times New Roman"/>
                      <w:b w:val="0"/>
                      <w:color w:val="auto"/>
                      <w:spacing w:val="-6"/>
                      <w:sz w:val="21"/>
                      <w:szCs w:val="21"/>
                      <w:lang w:val="en-US" w:eastAsia="zh-CN"/>
                    </w:rPr>
                    <w:t>标准</w:t>
                  </w:r>
                  <w:r>
                    <w:rPr>
                      <w:rFonts w:hint="default" w:ascii="Times New Roman" w:hAnsi="Times New Roman" w:eastAsia="宋体" w:cs="Times New Roman"/>
                      <w:b w:val="0"/>
                      <w:color w:val="auto"/>
                      <w:spacing w:val="-6"/>
                      <w:sz w:val="21"/>
                      <w:szCs w:val="21"/>
                      <w:lang w:val="en-US" w:eastAsia="zh-CN"/>
                    </w:rPr>
                    <w:t>消解器</w:t>
                  </w:r>
                  <w:r>
                    <w:rPr>
                      <w:rFonts w:hint="eastAsia" w:ascii="Times New Roman" w:hAnsi="Times New Roman" w:eastAsia="宋体" w:cs="Times New Roman"/>
                      <w:b w:val="0"/>
                      <w:color w:val="auto"/>
                      <w:spacing w:val="-6"/>
                      <w:sz w:val="21"/>
                      <w:szCs w:val="21"/>
                      <w:lang w:val="en-US" w:eastAsia="zh-CN"/>
                    </w:rPr>
                    <w:t>/PSTF28-4</w:t>
                  </w:r>
                </w:p>
              </w:tc>
              <w:tc>
                <w:tcPr>
                  <w:tcW w:w="1254" w:type="dxa"/>
                  <w:tcBorders>
                    <w:tl2br w:val="nil"/>
                    <w:tr2bl w:val="nil"/>
                  </w:tcBorders>
                  <w:noWrap w:val="0"/>
                  <w:vAlign w:val="center"/>
                </w:tcPr>
                <w:p w14:paraId="2A75D87C">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 xml:space="preserve">4mg/L </w:t>
                  </w:r>
                </w:p>
              </w:tc>
            </w:tr>
            <w:tr w14:paraId="53C79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2" w:type="dxa"/>
                  <w:vMerge w:val="continue"/>
                  <w:tcBorders>
                    <w:tl2br w:val="nil"/>
                    <w:tr2bl w:val="nil"/>
                  </w:tcBorders>
                  <w:noWrap w:val="0"/>
                  <w:vAlign w:val="center"/>
                </w:tcPr>
                <w:p w14:paraId="1A41D9B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1089" w:type="dxa"/>
                  <w:tcBorders>
                    <w:tl2br w:val="nil"/>
                    <w:tr2bl w:val="nil"/>
                  </w:tcBorders>
                  <w:noWrap w:val="0"/>
                  <w:vAlign w:val="center"/>
                </w:tcPr>
                <w:p w14:paraId="293478EE">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五日生化需氧量</w:t>
                  </w:r>
                </w:p>
              </w:tc>
              <w:tc>
                <w:tcPr>
                  <w:tcW w:w="3791" w:type="dxa"/>
                  <w:tcBorders>
                    <w:tl2br w:val="nil"/>
                    <w:tr2bl w:val="nil"/>
                  </w:tcBorders>
                  <w:noWrap w:val="0"/>
                  <w:vAlign w:val="center"/>
                </w:tcPr>
                <w:p w14:paraId="053F2BC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五日生化需氧量（BOD5）的测定 稀释与接种法》HJ 505-2009</w:t>
                  </w:r>
                </w:p>
              </w:tc>
              <w:tc>
                <w:tcPr>
                  <w:tcW w:w="2164" w:type="dxa"/>
                  <w:tcBorders>
                    <w:tl2br w:val="nil"/>
                    <w:tr2bl w:val="nil"/>
                  </w:tcBorders>
                  <w:noWrap w:val="0"/>
                  <w:vAlign w:val="center"/>
                </w:tcPr>
                <w:p w14:paraId="5A9F5D4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SPX-250B</w:t>
                  </w:r>
                  <w:r>
                    <w:rPr>
                      <w:rFonts w:hint="default" w:ascii="Times New Roman" w:hAnsi="Times New Roman" w:eastAsia="宋体" w:cs="Times New Roman"/>
                      <w:b w:val="0"/>
                      <w:color w:val="auto"/>
                      <w:spacing w:val="-6"/>
                      <w:sz w:val="21"/>
                      <w:szCs w:val="21"/>
                      <w:lang w:val="en-US" w:eastAsia="zh-CN"/>
                    </w:rPr>
                    <w:t>生化培养箱/PSTS</w:t>
                  </w:r>
                  <w:r>
                    <w:rPr>
                      <w:rFonts w:hint="eastAsia" w:ascii="Times New Roman" w:hAnsi="Times New Roman" w:eastAsia="宋体" w:cs="Times New Roman"/>
                      <w:b w:val="0"/>
                      <w:color w:val="auto"/>
                      <w:spacing w:val="-6"/>
                      <w:sz w:val="21"/>
                      <w:szCs w:val="21"/>
                      <w:lang w:val="en-US" w:eastAsia="zh-CN"/>
                    </w:rPr>
                    <w:t>51</w:t>
                  </w:r>
                </w:p>
              </w:tc>
              <w:tc>
                <w:tcPr>
                  <w:tcW w:w="1254" w:type="dxa"/>
                  <w:tcBorders>
                    <w:tl2br w:val="nil"/>
                    <w:tr2bl w:val="nil"/>
                  </w:tcBorders>
                  <w:noWrap w:val="0"/>
                  <w:vAlign w:val="center"/>
                </w:tcPr>
                <w:p w14:paraId="194E36D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0.5mg/L</w:t>
                  </w:r>
                </w:p>
              </w:tc>
            </w:tr>
            <w:tr w14:paraId="4DEC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continue"/>
                  <w:tcBorders>
                    <w:tl2br w:val="nil"/>
                    <w:tr2bl w:val="nil"/>
                  </w:tcBorders>
                  <w:noWrap w:val="0"/>
                  <w:vAlign w:val="center"/>
                </w:tcPr>
                <w:p w14:paraId="307F3EE3">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1089" w:type="dxa"/>
                  <w:tcBorders>
                    <w:tl2br w:val="nil"/>
                    <w:tr2bl w:val="nil"/>
                  </w:tcBorders>
                  <w:noWrap w:val="0"/>
                  <w:vAlign w:val="center"/>
                </w:tcPr>
                <w:p w14:paraId="305A1462">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氨氮</w:t>
                  </w:r>
                </w:p>
              </w:tc>
              <w:tc>
                <w:tcPr>
                  <w:tcW w:w="3791" w:type="dxa"/>
                  <w:tcBorders>
                    <w:tl2br w:val="nil"/>
                    <w:tr2bl w:val="nil"/>
                  </w:tcBorders>
                  <w:noWrap w:val="0"/>
                  <w:vAlign w:val="center"/>
                </w:tcPr>
                <w:p w14:paraId="69ED8A6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氨氮的测定 纳氏试剂光度法》 HJ535-2009</w:t>
                  </w:r>
                </w:p>
              </w:tc>
              <w:tc>
                <w:tcPr>
                  <w:tcW w:w="2164" w:type="dxa"/>
                  <w:tcBorders>
                    <w:tl2br w:val="nil"/>
                    <w:tr2bl w:val="nil"/>
                  </w:tcBorders>
                  <w:noWrap w:val="0"/>
                  <w:vAlign w:val="center"/>
                </w:tcPr>
                <w:p w14:paraId="1017230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7</w:t>
                  </w:r>
                  <w:r>
                    <w:rPr>
                      <w:rFonts w:hint="default" w:ascii="Times New Roman" w:hAnsi="Times New Roman" w:eastAsia="宋体" w:cs="Times New Roman"/>
                      <w:b w:val="0"/>
                      <w:color w:val="auto"/>
                      <w:spacing w:val="-6"/>
                      <w:sz w:val="21"/>
                      <w:szCs w:val="21"/>
                      <w:lang w:val="en-US" w:eastAsia="zh-CN"/>
                    </w:rPr>
                    <w:t>52紫外可见分光光度计/PSTS</w:t>
                  </w:r>
                  <w:r>
                    <w:rPr>
                      <w:rFonts w:hint="eastAsia" w:ascii="Times New Roman" w:hAnsi="Times New Roman" w:eastAsia="宋体" w:cs="Times New Roman"/>
                      <w:b w:val="0"/>
                      <w:color w:val="auto"/>
                      <w:spacing w:val="-6"/>
                      <w:sz w:val="21"/>
                      <w:szCs w:val="21"/>
                      <w:lang w:val="en-US" w:eastAsia="zh-CN"/>
                    </w:rPr>
                    <w:t>50</w:t>
                  </w:r>
                </w:p>
              </w:tc>
              <w:tc>
                <w:tcPr>
                  <w:tcW w:w="1254" w:type="dxa"/>
                  <w:tcBorders>
                    <w:tl2br w:val="nil"/>
                    <w:tr2bl w:val="nil"/>
                  </w:tcBorders>
                  <w:noWrap w:val="0"/>
                  <w:vAlign w:val="center"/>
                </w:tcPr>
                <w:p w14:paraId="457126B8">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0.025mg/L</w:t>
                  </w:r>
                </w:p>
              </w:tc>
            </w:tr>
            <w:tr w14:paraId="1E78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continue"/>
                  <w:tcBorders>
                    <w:tl2br w:val="nil"/>
                    <w:tr2bl w:val="nil"/>
                  </w:tcBorders>
                  <w:shd w:val="clear" w:color="auto" w:fill="auto"/>
                  <w:noWrap w:val="0"/>
                  <w:vAlign w:val="center"/>
                </w:tcPr>
                <w:p w14:paraId="2885D55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1089" w:type="dxa"/>
                  <w:tcBorders>
                    <w:tl2br w:val="nil"/>
                    <w:tr2bl w:val="nil"/>
                  </w:tcBorders>
                  <w:shd w:val="clear" w:color="auto" w:fill="auto"/>
                  <w:noWrap w:val="0"/>
                  <w:vAlign w:val="center"/>
                </w:tcPr>
                <w:p w14:paraId="5FEA964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总磷</w:t>
                  </w:r>
                </w:p>
              </w:tc>
              <w:tc>
                <w:tcPr>
                  <w:tcW w:w="3791" w:type="dxa"/>
                  <w:tcBorders>
                    <w:tl2br w:val="nil"/>
                    <w:tr2bl w:val="nil"/>
                  </w:tcBorders>
                  <w:shd w:val="clear" w:color="auto" w:fill="auto"/>
                  <w:noWrap w:val="0"/>
                  <w:vAlign w:val="center"/>
                </w:tcPr>
                <w:p w14:paraId="78E887E1">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总磷的测定</w:t>
                  </w:r>
                  <w:r>
                    <w:rPr>
                      <w:rFonts w:hint="eastAsia" w:ascii="Times New Roman" w:hAnsi="Times New Roman" w:eastAsia="宋体" w:cs="Times New Roman"/>
                      <w:b w:val="0"/>
                      <w:color w:val="auto"/>
                      <w:spacing w:val="-6"/>
                      <w:sz w:val="21"/>
                      <w:szCs w:val="21"/>
                      <w:lang w:val="en-US" w:eastAsia="zh-CN"/>
                    </w:rPr>
                    <w:t xml:space="preserve"> </w:t>
                  </w:r>
                  <w:r>
                    <w:rPr>
                      <w:rFonts w:hint="default" w:ascii="Times New Roman" w:hAnsi="Times New Roman" w:eastAsia="宋体" w:cs="Times New Roman"/>
                      <w:b w:val="0"/>
                      <w:color w:val="auto"/>
                      <w:spacing w:val="-6"/>
                      <w:sz w:val="21"/>
                      <w:szCs w:val="21"/>
                      <w:lang w:val="en-US" w:eastAsia="zh-CN"/>
                    </w:rPr>
                    <w:t>钼酸铵分光光度法》 GB 11893-89</w:t>
                  </w:r>
                </w:p>
              </w:tc>
              <w:tc>
                <w:tcPr>
                  <w:tcW w:w="2164" w:type="dxa"/>
                  <w:tcBorders>
                    <w:tl2br w:val="nil"/>
                    <w:tr2bl w:val="nil"/>
                  </w:tcBorders>
                  <w:shd w:val="clear" w:color="auto" w:fill="auto"/>
                  <w:noWrap w:val="0"/>
                  <w:vAlign w:val="center"/>
                </w:tcPr>
                <w:p w14:paraId="03221A2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SP-752紫外可见分光光度计/PSTS07</w:t>
                  </w:r>
                  <w:r>
                    <w:rPr>
                      <w:rFonts w:hint="eastAsia" w:ascii="Times New Roman" w:hAnsi="Times New Roman" w:eastAsia="宋体" w:cs="Times New Roman"/>
                      <w:b w:val="0"/>
                      <w:color w:val="auto"/>
                      <w:spacing w:val="-6"/>
                      <w:sz w:val="21"/>
                      <w:szCs w:val="21"/>
                      <w:lang w:val="en-US" w:eastAsia="zh-CN"/>
                    </w:rPr>
                    <w:t>-2</w:t>
                  </w:r>
                </w:p>
              </w:tc>
              <w:tc>
                <w:tcPr>
                  <w:tcW w:w="1254" w:type="dxa"/>
                  <w:tcBorders>
                    <w:tl2br w:val="nil"/>
                    <w:tr2bl w:val="nil"/>
                  </w:tcBorders>
                  <w:shd w:val="clear" w:color="auto" w:fill="auto"/>
                  <w:noWrap w:val="0"/>
                  <w:vAlign w:val="center"/>
                </w:tcPr>
                <w:p w14:paraId="645A2ECE">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0.01mg/L</w:t>
                  </w:r>
                </w:p>
              </w:tc>
            </w:tr>
            <w:tr w14:paraId="4BDBC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continue"/>
                </w:tcPr>
                <w:p w14:paraId="11B398F4">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0" w:type="auto"/>
                  <w:shd w:val="clear" w:color="auto" w:fill="auto"/>
                  <w:vAlign w:val="center"/>
                </w:tcPr>
                <w:p w14:paraId="49A155F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动植物油</w:t>
                  </w:r>
                </w:p>
              </w:tc>
              <w:tc>
                <w:tcPr>
                  <w:tcW w:w="0" w:type="auto"/>
                  <w:shd w:val="clear" w:color="auto" w:fill="auto"/>
                  <w:vAlign w:val="center"/>
                </w:tcPr>
                <w:p w14:paraId="212F9CA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《水质 石油类和动植物油类的测定</w:t>
                  </w:r>
                  <w:r>
                    <w:rPr>
                      <w:rFonts w:hint="eastAsia" w:ascii="Times New Roman" w:hAnsi="Times New Roman" w:eastAsia="宋体" w:cs="Times New Roman"/>
                      <w:b w:val="0"/>
                      <w:color w:val="auto"/>
                      <w:spacing w:val="-6"/>
                      <w:sz w:val="21"/>
                      <w:szCs w:val="21"/>
                      <w:lang w:val="en-US" w:eastAsia="zh-CN"/>
                    </w:rPr>
                    <w:t xml:space="preserve"> </w:t>
                  </w:r>
                  <w:r>
                    <w:rPr>
                      <w:rFonts w:hint="default" w:ascii="Times New Roman" w:hAnsi="Times New Roman" w:eastAsia="宋体" w:cs="Times New Roman"/>
                      <w:b w:val="0"/>
                      <w:color w:val="auto"/>
                      <w:spacing w:val="-6"/>
                      <w:sz w:val="21"/>
                      <w:szCs w:val="21"/>
                      <w:lang w:val="en-US" w:eastAsia="zh-CN"/>
                    </w:rPr>
                    <w:t>红外分光光度法》 HJ 637-201</w:t>
                  </w:r>
                  <w:r>
                    <w:rPr>
                      <w:rFonts w:hint="eastAsia" w:ascii="Times New Roman" w:hAnsi="Times New Roman" w:eastAsia="宋体" w:cs="Times New Roman"/>
                      <w:b w:val="0"/>
                      <w:color w:val="auto"/>
                      <w:spacing w:val="-6"/>
                      <w:sz w:val="21"/>
                      <w:szCs w:val="21"/>
                      <w:lang w:val="en-US" w:eastAsia="zh-CN"/>
                    </w:rPr>
                    <w:t>8</w:t>
                  </w:r>
                </w:p>
              </w:tc>
              <w:tc>
                <w:tcPr>
                  <w:tcW w:w="0" w:type="auto"/>
                  <w:shd w:val="clear" w:color="auto" w:fill="auto"/>
                  <w:vAlign w:val="center"/>
                </w:tcPr>
                <w:p w14:paraId="1067CB21">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LT-21</w:t>
                  </w:r>
                  <w:r>
                    <w:rPr>
                      <w:rFonts w:hint="eastAsia" w:ascii="Times New Roman" w:hAnsi="Times New Roman" w:eastAsia="宋体" w:cs="Times New Roman"/>
                      <w:b w:val="0"/>
                      <w:color w:val="auto"/>
                      <w:spacing w:val="-6"/>
                      <w:sz w:val="21"/>
                      <w:szCs w:val="21"/>
                      <w:lang w:val="en-US" w:eastAsia="zh-CN"/>
                    </w:rPr>
                    <w:t>C</w:t>
                  </w:r>
                  <w:r>
                    <w:rPr>
                      <w:rFonts w:hint="default" w:ascii="Times New Roman" w:hAnsi="Times New Roman" w:eastAsia="宋体" w:cs="Times New Roman"/>
                      <w:b w:val="0"/>
                      <w:color w:val="auto"/>
                      <w:spacing w:val="-6"/>
                      <w:sz w:val="21"/>
                      <w:szCs w:val="21"/>
                      <w:lang w:val="en-US" w:eastAsia="zh-CN"/>
                    </w:rPr>
                    <w:t>红外分光测油仪/PSTS</w:t>
                  </w:r>
                  <w:r>
                    <w:rPr>
                      <w:rFonts w:hint="eastAsia" w:ascii="Times New Roman" w:hAnsi="Times New Roman" w:eastAsia="宋体" w:cs="Times New Roman"/>
                      <w:b w:val="0"/>
                      <w:color w:val="auto"/>
                      <w:spacing w:val="-6"/>
                      <w:sz w:val="21"/>
                      <w:szCs w:val="21"/>
                      <w:lang w:val="en-US" w:eastAsia="zh-CN"/>
                    </w:rPr>
                    <w:t>49</w:t>
                  </w:r>
                </w:p>
              </w:tc>
              <w:tc>
                <w:tcPr>
                  <w:tcW w:w="0" w:type="auto"/>
                  <w:shd w:val="clear" w:color="auto" w:fill="auto"/>
                  <w:vAlign w:val="center"/>
                </w:tcPr>
                <w:p w14:paraId="700A0A39">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0.0</w:t>
                  </w:r>
                  <w:r>
                    <w:rPr>
                      <w:rFonts w:hint="eastAsia" w:ascii="Times New Roman" w:hAnsi="Times New Roman" w:eastAsia="宋体" w:cs="Times New Roman"/>
                      <w:b w:val="0"/>
                      <w:color w:val="auto"/>
                      <w:spacing w:val="-6"/>
                      <w:sz w:val="21"/>
                      <w:szCs w:val="21"/>
                      <w:lang w:val="en-US" w:eastAsia="zh-CN"/>
                    </w:rPr>
                    <w:t>6</w:t>
                  </w:r>
                  <w:r>
                    <w:rPr>
                      <w:rFonts w:hint="default" w:ascii="Times New Roman" w:hAnsi="Times New Roman" w:eastAsia="宋体" w:cs="Times New Roman"/>
                      <w:b w:val="0"/>
                      <w:color w:val="auto"/>
                      <w:spacing w:val="-6"/>
                      <w:sz w:val="21"/>
                      <w:szCs w:val="21"/>
                      <w:lang w:val="en-US" w:eastAsia="zh-CN"/>
                    </w:rPr>
                    <w:t>mg/L</w:t>
                  </w:r>
                </w:p>
              </w:tc>
            </w:tr>
            <w:tr w14:paraId="313F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restart"/>
                  <w:shd w:val="clear" w:color="auto" w:fill="auto"/>
                  <w:vAlign w:val="center"/>
                </w:tcPr>
                <w:p w14:paraId="43F7C78A">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有组织废气</w:t>
                  </w:r>
                </w:p>
              </w:tc>
              <w:tc>
                <w:tcPr>
                  <w:tcW w:w="0" w:type="auto"/>
                  <w:shd w:val="clear" w:color="auto" w:fill="auto"/>
                  <w:vAlign w:val="center"/>
                </w:tcPr>
                <w:p w14:paraId="66871D30">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颗粒物</w:t>
                  </w:r>
                </w:p>
              </w:tc>
              <w:tc>
                <w:tcPr>
                  <w:tcW w:w="0" w:type="auto"/>
                  <w:shd w:val="clear" w:color="auto" w:fill="auto"/>
                  <w:vAlign w:val="center"/>
                </w:tcPr>
                <w:p w14:paraId="15D9C3AB">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《固定污染源废气 低浓度颗粒物的测定 重量法》HJ 836-2017</w:t>
                  </w:r>
                </w:p>
              </w:tc>
              <w:tc>
                <w:tcPr>
                  <w:tcW w:w="0" w:type="auto"/>
                  <w:shd w:val="clear" w:color="auto" w:fill="auto"/>
                  <w:vAlign w:val="center"/>
                </w:tcPr>
                <w:p w14:paraId="4939727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HSX-350恒温恒湿称重系统</w:t>
                  </w:r>
                  <w:r>
                    <w:rPr>
                      <w:rFonts w:hint="eastAsia" w:ascii="Times New Roman" w:hAnsi="Times New Roman" w:eastAsia="宋体" w:cs="Times New Roman"/>
                      <w:b w:val="0"/>
                      <w:color w:val="auto"/>
                      <w:spacing w:val="-6"/>
                      <w:sz w:val="21"/>
                      <w:szCs w:val="21"/>
                      <w:lang w:val="en-US" w:eastAsia="zh-CN"/>
                    </w:rPr>
                    <w:t>/PSTS31</w:t>
                  </w:r>
                </w:p>
                <w:p w14:paraId="4D623759">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104/35S十万分之一天平</w:t>
                  </w:r>
                  <w:r>
                    <w:rPr>
                      <w:rFonts w:hint="eastAsia" w:ascii="Times New Roman" w:hAnsi="Times New Roman" w:eastAsia="宋体" w:cs="Times New Roman"/>
                      <w:b w:val="0"/>
                      <w:color w:val="auto"/>
                      <w:spacing w:val="-6"/>
                      <w:sz w:val="21"/>
                      <w:szCs w:val="21"/>
                      <w:lang w:val="en-US" w:eastAsia="zh-CN"/>
                    </w:rPr>
                    <w:t>/PSTS18</w:t>
                  </w:r>
                </w:p>
              </w:tc>
              <w:tc>
                <w:tcPr>
                  <w:tcW w:w="0" w:type="auto"/>
                  <w:shd w:val="clear" w:color="auto" w:fill="auto"/>
                  <w:vAlign w:val="center"/>
                </w:tcPr>
                <w:p w14:paraId="2E15E3C2">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1.0</w:t>
                  </w:r>
                  <w:r>
                    <w:rPr>
                      <w:rFonts w:hint="default" w:ascii="Times New Roman" w:hAnsi="Times New Roman" w:eastAsia="宋体" w:cs="Times New Roman"/>
                      <w:b w:val="0"/>
                      <w:color w:val="auto"/>
                      <w:spacing w:val="-6"/>
                      <w:sz w:val="21"/>
                      <w:szCs w:val="21"/>
                      <w:lang w:val="en-US" w:eastAsia="zh-CN"/>
                    </w:rPr>
                    <w:t>mg/m</w:t>
                  </w:r>
                  <w:r>
                    <w:rPr>
                      <w:rFonts w:hint="default" w:ascii="Times New Roman" w:hAnsi="Times New Roman" w:eastAsia="宋体" w:cs="Times New Roman"/>
                      <w:b w:val="0"/>
                      <w:color w:val="auto"/>
                      <w:spacing w:val="-6"/>
                      <w:sz w:val="21"/>
                      <w:szCs w:val="21"/>
                      <w:vertAlign w:val="superscript"/>
                      <w:lang w:val="en-US" w:eastAsia="zh-CN"/>
                    </w:rPr>
                    <w:t>3</w:t>
                  </w:r>
                </w:p>
              </w:tc>
            </w:tr>
            <w:tr w14:paraId="61913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continue"/>
                </w:tcPr>
                <w:p w14:paraId="6EFE09B0">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0" w:type="auto"/>
                  <w:shd w:val="clear" w:color="auto" w:fill="auto"/>
                  <w:vAlign w:val="center"/>
                </w:tcPr>
                <w:p w14:paraId="7D25579E">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非甲烷</w:t>
                  </w:r>
                </w:p>
                <w:p w14:paraId="11A5BFB8">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总烃</w:t>
                  </w:r>
                </w:p>
              </w:tc>
              <w:tc>
                <w:tcPr>
                  <w:tcW w:w="0" w:type="auto"/>
                  <w:shd w:val="clear" w:color="auto" w:fill="auto"/>
                  <w:vAlign w:val="center"/>
                </w:tcPr>
                <w:p w14:paraId="534C9ED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 xml:space="preserve">《固定污染源废气 总烃、甲烷和非甲烷总烃的测定 气相色谱法》 </w:t>
                  </w:r>
                </w:p>
                <w:p w14:paraId="6B8ABE5C">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HJ 38-2017</w:t>
                  </w:r>
                </w:p>
              </w:tc>
              <w:tc>
                <w:tcPr>
                  <w:tcW w:w="0" w:type="auto"/>
                  <w:shd w:val="clear" w:color="auto" w:fill="auto"/>
                  <w:vAlign w:val="center"/>
                </w:tcPr>
                <w:p w14:paraId="2B7E36A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GC-9790Ⅱ气相色谱仪/PSTS15</w:t>
                  </w:r>
                  <w:r>
                    <w:rPr>
                      <w:rFonts w:hint="eastAsia" w:ascii="Times New Roman" w:hAnsi="Times New Roman" w:eastAsia="宋体" w:cs="Times New Roman"/>
                      <w:b w:val="0"/>
                      <w:color w:val="auto"/>
                      <w:spacing w:val="-6"/>
                      <w:sz w:val="21"/>
                      <w:szCs w:val="21"/>
                      <w:lang w:val="en-US" w:eastAsia="zh-CN"/>
                    </w:rPr>
                    <w:t>-2</w:t>
                  </w:r>
                </w:p>
              </w:tc>
              <w:tc>
                <w:tcPr>
                  <w:tcW w:w="0" w:type="auto"/>
                  <w:shd w:val="clear" w:color="auto" w:fill="auto"/>
                  <w:vAlign w:val="center"/>
                </w:tcPr>
                <w:p w14:paraId="03B4F28A">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0.0</w:t>
                  </w:r>
                  <w:r>
                    <w:rPr>
                      <w:rFonts w:hint="eastAsia" w:ascii="Times New Roman" w:hAnsi="Times New Roman" w:eastAsia="宋体" w:cs="Times New Roman"/>
                      <w:b w:val="0"/>
                      <w:color w:val="auto"/>
                      <w:spacing w:val="-6"/>
                      <w:sz w:val="21"/>
                      <w:szCs w:val="21"/>
                      <w:lang w:val="en-US" w:eastAsia="zh-CN"/>
                    </w:rPr>
                    <w:t>7</w:t>
                  </w:r>
                  <w:r>
                    <w:rPr>
                      <w:rFonts w:hint="default" w:ascii="Times New Roman" w:hAnsi="Times New Roman" w:eastAsia="宋体" w:cs="Times New Roman"/>
                      <w:b w:val="0"/>
                      <w:color w:val="auto"/>
                      <w:spacing w:val="-6"/>
                      <w:sz w:val="21"/>
                      <w:szCs w:val="21"/>
                      <w:lang w:val="en-US" w:eastAsia="zh-CN"/>
                    </w:rPr>
                    <w:t>mg/m</w:t>
                  </w:r>
                  <w:r>
                    <w:rPr>
                      <w:rFonts w:hint="default" w:ascii="Times New Roman" w:hAnsi="Times New Roman" w:eastAsia="宋体" w:cs="Times New Roman"/>
                      <w:b w:val="0"/>
                      <w:color w:val="auto"/>
                      <w:spacing w:val="-6"/>
                      <w:sz w:val="21"/>
                      <w:szCs w:val="21"/>
                      <w:vertAlign w:val="superscript"/>
                      <w:lang w:val="en-US" w:eastAsia="zh-CN"/>
                    </w:rPr>
                    <w:t>3</w:t>
                  </w:r>
                </w:p>
              </w:tc>
            </w:tr>
            <w:tr w14:paraId="1AB8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restart"/>
                  <w:shd w:val="clear" w:color="auto" w:fill="auto"/>
                  <w:vAlign w:val="center"/>
                </w:tcPr>
                <w:p w14:paraId="7921045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无组织废气</w:t>
                  </w:r>
                </w:p>
              </w:tc>
              <w:tc>
                <w:tcPr>
                  <w:tcW w:w="0" w:type="auto"/>
                  <w:shd w:val="clear" w:color="auto" w:fill="auto"/>
                  <w:vAlign w:val="center"/>
                </w:tcPr>
                <w:p w14:paraId="2A68BC40">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总悬浮</w:t>
                  </w:r>
                  <w:r>
                    <w:rPr>
                      <w:rFonts w:hint="default" w:ascii="Times New Roman" w:hAnsi="Times New Roman" w:eastAsia="宋体" w:cs="Times New Roman"/>
                      <w:b w:val="0"/>
                      <w:color w:val="auto"/>
                      <w:spacing w:val="-6"/>
                      <w:sz w:val="21"/>
                      <w:szCs w:val="21"/>
                      <w:lang w:val="en-US" w:eastAsia="zh-CN"/>
                    </w:rPr>
                    <w:t>颗粒物</w:t>
                  </w:r>
                </w:p>
              </w:tc>
              <w:tc>
                <w:tcPr>
                  <w:tcW w:w="0" w:type="auto"/>
                  <w:shd w:val="clear" w:color="auto" w:fill="auto"/>
                  <w:vAlign w:val="center"/>
                </w:tcPr>
                <w:p w14:paraId="3C8B1D3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 xml:space="preserve">《环境空气 总悬浮颗粒物的测定 重量法》 </w:t>
                  </w:r>
                  <w:r>
                    <w:rPr>
                      <w:rFonts w:hint="eastAsia" w:ascii="Times New Roman" w:hAnsi="Times New Roman" w:eastAsia="宋体" w:cs="Times New Roman"/>
                      <w:b w:val="0"/>
                      <w:color w:val="auto"/>
                      <w:spacing w:val="-6"/>
                      <w:sz w:val="21"/>
                      <w:szCs w:val="21"/>
                      <w:lang w:val="en-US" w:eastAsia="zh-CN"/>
                    </w:rPr>
                    <w:t>HJ 1263-2022</w:t>
                  </w:r>
                </w:p>
              </w:tc>
              <w:tc>
                <w:tcPr>
                  <w:tcW w:w="0" w:type="auto"/>
                  <w:shd w:val="clear" w:color="auto" w:fill="auto"/>
                  <w:vAlign w:val="center"/>
                </w:tcPr>
                <w:p w14:paraId="7E4CEC4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HSX-350恒温恒湿称重系统</w:t>
                  </w:r>
                  <w:r>
                    <w:rPr>
                      <w:rFonts w:hint="eastAsia" w:ascii="Times New Roman" w:hAnsi="Times New Roman" w:eastAsia="宋体" w:cs="Times New Roman"/>
                      <w:b w:val="0"/>
                      <w:color w:val="auto"/>
                      <w:spacing w:val="-6"/>
                      <w:sz w:val="21"/>
                      <w:szCs w:val="21"/>
                      <w:lang w:val="en-US" w:eastAsia="zh-CN"/>
                    </w:rPr>
                    <w:t>/PSTS31</w:t>
                  </w:r>
                </w:p>
                <w:p w14:paraId="4141CEE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104/35S十万分之一天平</w:t>
                  </w:r>
                  <w:r>
                    <w:rPr>
                      <w:rFonts w:hint="eastAsia" w:ascii="Times New Roman" w:hAnsi="Times New Roman" w:eastAsia="宋体" w:cs="Times New Roman"/>
                      <w:b w:val="0"/>
                      <w:color w:val="auto"/>
                      <w:spacing w:val="-6"/>
                      <w:sz w:val="21"/>
                      <w:szCs w:val="21"/>
                      <w:lang w:val="en-US" w:eastAsia="zh-CN"/>
                    </w:rPr>
                    <w:t>/PSTS18</w:t>
                  </w:r>
                </w:p>
              </w:tc>
              <w:tc>
                <w:tcPr>
                  <w:tcW w:w="0" w:type="auto"/>
                  <w:shd w:val="clear" w:color="auto" w:fill="auto"/>
                  <w:vAlign w:val="center"/>
                </w:tcPr>
                <w:p w14:paraId="7806849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0.168m</w:t>
                  </w:r>
                  <w:r>
                    <w:rPr>
                      <w:rFonts w:hint="default" w:ascii="Times New Roman" w:hAnsi="Times New Roman" w:eastAsia="宋体" w:cs="Times New Roman"/>
                      <w:b w:val="0"/>
                      <w:color w:val="auto"/>
                      <w:spacing w:val="-6"/>
                      <w:sz w:val="21"/>
                      <w:szCs w:val="21"/>
                      <w:lang w:val="en-US" w:eastAsia="zh-CN"/>
                    </w:rPr>
                    <w:t>g/m</w:t>
                  </w:r>
                  <w:r>
                    <w:rPr>
                      <w:rFonts w:hint="default" w:ascii="Times New Roman" w:hAnsi="Times New Roman" w:eastAsia="宋体" w:cs="Times New Roman"/>
                      <w:b w:val="0"/>
                      <w:color w:val="auto"/>
                      <w:spacing w:val="-6"/>
                      <w:sz w:val="21"/>
                      <w:szCs w:val="21"/>
                      <w:vertAlign w:val="superscript"/>
                      <w:lang w:val="en-US" w:eastAsia="zh-CN"/>
                    </w:rPr>
                    <w:t>3</w:t>
                  </w:r>
                </w:p>
              </w:tc>
            </w:tr>
            <w:tr w14:paraId="7B0A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22" w:type="dxa"/>
                  <w:vMerge w:val="continue"/>
                  <w:shd w:val="clear" w:color="auto" w:fill="auto"/>
                  <w:vAlign w:val="center"/>
                </w:tcPr>
                <w:p w14:paraId="27C6147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p>
              </w:tc>
              <w:tc>
                <w:tcPr>
                  <w:tcW w:w="0" w:type="auto"/>
                  <w:shd w:val="clear" w:color="auto" w:fill="auto"/>
                  <w:vAlign w:val="center"/>
                </w:tcPr>
                <w:p w14:paraId="0B61C12C">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非甲烷</w:t>
                  </w:r>
                </w:p>
                <w:p w14:paraId="332EA9C3">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总烃</w:t>
                  </w:r>
                </w:p>
              </w:tc>
              <w:tc>
                <w:tcPr>
                  <w:tcW w:w="0" w:type="auto"/>
                  <w:shd w:val="clear" w:color="auto" w:fill="auto"/>
                  <w:vAlign w:val="center"/>
                </w:tcPr>
                <w:p w14:paraId="1265270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 xml:space="preserve">《环境空气 总烃、甲烷和非甲烷总烃的测定 直接进样-气相色谱法》 </w:t>
                  </w:r>
                </w:p>
                <w:p w14:paraId="20CA3865">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HJ 604-2017</w:t>
                  </w:r>
                </w:p>
              </w:tc>
              <w:tc>
                <w:tcPr>
                  <w:tcW w:w="0" w:type="auto"/>
                  <w:shd w:val="clear" w:color="auto" w:fill="auto"/>
                  <w:vAlign w:val="center"/>
                </w:tcPr>
                <w:p w14:paraId="5D4EE8F2">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GC-9790Ⅱ气相色谱仪</w:t>
                  </w:r>
                  <w:r>
                    <w:rPr>
                      <w:rFonts w:hint="eastAsia" w:ascii="Times New Roman" w:hAnsi="Times New Roman" w:eastAsia="宋体" w:cs="Times New Roman"/>
                      <w:b w:val="0"/>
                      <w:color w:val="auto"/>
                      <w:spacing w:val="-6"/>
                      <w:sz w:val="21"/>
                      <w:szCs w:val="21"/>
                      <w:lang w:val="en-US" w:eastAsia="zh-CN"/>
                    </w:rPr>
                    <w:t>/PSTS15-2</w:t>
                  </w:r>
                </w:p>
              </w:tc>
              <w:tc>
                <w:tcPr>
                  <w:tcW w:w="0" w:type="auto"/>
                  <w:shd w:val="clear" w:color="auto" w:fill="auto"/>
                  <w:vAlign w:val="center"/>
                </w:tcPr>
                <w:p w14:paraId="498359C8">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eastAsia" w:ascii="Times New Roman" w:hAnsi="Times New Roman" w:eastAsia="宋体" w:cs="Times New Roman"/>
                      <w:b w:val="0"/>
                      <w:color w:val="auto"/>
                      <w:spacing w:val="-6"/>
                      <w:sz w:val="21"/>
                      <w:szCs w:val="21"/>
                      <w:lang w:val="en-US" w:eastAsia="zh-CN"/>
                    </w:rPr>
                    <w:t>0.07</w:t>
                  </w:r>
                  <w:r>
                    <w:rPr>
                      <w:rFonts w:hint="default" w:ascii="Times New Roman" w:hAnsi="Times New Roman" w:eastAsia="宋体" w:cs="Times New Roman"/>
                      <w:b w:val="0"/>
                      <w:color w:val="auto"/>
                      <w:spacing w:val="-6"/>
                      <w:sz w:val="21"/>
                      <w:szCs w:val="21"/>
                      <w:lang w:val="en-US" w:eastAsia="zh-CN"/>
                    </w:rPr>
                    <w:t>mg/m</w:t>
                  </w:r>
                  <w:r>
                    <w:rPr>
                      <w:rFonts w:hint="default" w:ascii="Times New Roman" w:hAnsi="Times New Roman" w:eastAsia="宋体" w:cs="Times New Roman"/>
                      <w:b w:val="0"/>
                      <w:color w:val="auto"/>
                      <w:spacing w:val="-6"/>
                      <w:sz w:val="21"/>
                      <w:szCs w:val="21"/>
                      <w:vertAlign w:val="superscript"/>
                      <w:lang w:val="en-US" w:eastAsia="zh-CN"/>
                    </w:rPr>
                    <w:t>3</w:t>
                  </w:r>
                </w:p>
              </w:tc>
            </w:tr>
            <w:tr w14:paraId="4079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0" w:type="auto"/>
                  <w:shd w:val="clear" w:color="auto" w:fill="auto"/>
                  <w:vAlign w:val="center"/>
                </w:tcPr>
                <w:p w14:paraId="58625800">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噪声</w:t>
                  </w:r>
                </w:p>
              </w:tc>
              <w:tc>
                <w:tcPr>
                  <w:tcW w:w="0" w:type="auto"/>
                  <w:shd w:val="clear" w:color="auto" w:fill="auto"/>
                  <w:vAlign w:val="center"/>
                </w:tcPr>
                <w:p w14:paraId="297A64F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厂界环境噪声</w:t>
                  </w:r>
                </w:p>
              </w:tc>
              <w:tc>
                <w:tcPr>
                  <w:tcW w:w="0" w:type="auto"/>
                  <w:shd w:val="clear" w:color="auto" w:fill="auto"/>
                  <w:vAlign w:val="center"/>
                </w:tcPr>
                <w:p w14:paraId="773192B9">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《工业企业厂界环境噪声排放标准》</w:t>
                  </w:r>
                </w:p>
                <w:p w14:paraId="4C04012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GB 12348-2008</w:t>
                  </w:r>
                </w:p>
              </w:tc>
              <w:tc>
                <w:tcPr>
                  <w:tcW w:w="0" w:type="auto"/>
                  <w:shd w:val="clear" w:color="auto" w:fill="auto"/>
                  <w:vAlign w:val="center"/>
                </w:tcPr>
                <w:p w14:paraId="1A41851E">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AWA</w:t>
                  </w:r>
                  <w:r>
                    <w:rPr>
                      <w:rFonts w:hint="eastAsia" w:ascii="Times New Roman" w:hAnsi="Times New Roman" w:eastAsia="宋体" w:cs="Times New Roman"/>
                      <w:b w:val="0"/>
                      <w:color w:val="auto"/>
                      <w:spacing w:val="-6"/>
                      <w:sz w:val="21"/>
                      <w:szCs w:val="21"/>
                      <w:lang w:val="en-US" w:eastAsia="zh-CN"/>
                    </w:rPr>
                    <w:t>6228</w:t>
                  </w:r>
                  <w:r>
                    <w:rPr>
                      <w:rFonts w:hint="default" w:ascii="Times New Roman" w:hAnsi="Times New Roman" w:eastAsia="宋体" w:cs="Times New Roman"/>
                      <w:b w:val="0"/>
                      <w:color w:val="auto"/>
                      <w:spacing w:val="-6"/>
                      <w:sz w:val="21"/>
                      <w:szCs w:val="21"/>
                      <w:lang w:val="en-US" w:eastAsia="zh-CN"/>
                    </w:rPr>
                    <w:t>多功能噪声分析仪/PSTX</w:t>
                  </w:r>
                  <w:r>
                    <w:rPr>
                      <w:rFonts w:hint="eastAsia" w:ascii="Times New Roman" w:hAnsi="Times New Roman" w:eastAsia="宋体" w:cs="Times New Roman"/>
                      <w:b w:val="0"/>
                      <w:color w:val="auto"/>
                      <w:spacing w:val="-6"/>
                      <w:sz w:val="21"/>
                      <w:szCs w:val="21"/>
                      <w:lang w:val="en-US" w:eastAsia="zh-CN"/>
                    </w:rPr>
                    <w:t>03-2</w:t>
                  </w:r>
                </w:p>
              </w:tc>
              <w:tc>
                <w:tcPr>
                  <w:tcW w:w="0" w:type="auto"/>
                  <w:shd w:val="clear" w:color="auto" w:fill="auto"/>
                  <w:vAlign w:val="center"/>
                </w:tcPr>
                <w:p w14:paraId="722527CF">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color w:val="auto"/>
                      <w:spacing w:val="-6"/>
                      <w:sz w:val="21"/>
                      <w:szCs w:val="21"/>
                      <w:lang w:val="en-US" w:eastAsia="zh-CN"/>
                    </w:rPr>
                  </w:pPr>
                  <w:r>
                    <w:rPr>
                      <w:rFonts w:hint="default" w:ascii="Times New Roman" w:hAnsi="Times New Roman" w:eastAsia="宋体" w:cs="Times New Roman"/>
                      <w:b w:val="0"/>
                      <w:color w:val="auto"/>
                      <w:spacing w:val="-6"/>
                      <w:sz w:val="21"/>
                      <w:szCs w:val="21"/>
                      <w:lang w:val="en-US" w:eastAsia="zh-CN"/>
                    </w:rPr>
                    <w:t>30dB</w:t>
                  </w:r>
                  <w:r>
                    <w:rPr>
                      <w:rFonts w:hint="eastAsia" w:ascii="Times New Roman" w:hAnsi="Times New Roman" w:eastAsia="宋体" w:cs="Times New Roman"/>
                      <w:b w:val="0"/>
                      <w:color w:val="auto"/>
                      <w:spacing w:val="-6"/>
                      <w:sz w:val="21"/>
                      <w:szCs w:val="21"/>
                      <w:lang w:val="en-US" w:eastAsia="zh-CN"/>
                    </w:rPr>
                    <w:t>（A）</w:t>
                  </w:r>
                </w:p>
              </w:tc>
            </w:tr>
          </w:tbl>
          <w:p w14:paraId="0079A890">
            <w:pPr>
              <w:ind w:firstLine="0" w:firstLineChars="0"/>
              <w:rPr>
                <w:rFonts w:hint="default" w:ascii="Times New Roman" w:hAnsi="Times New Roman" w:cs="Times New Roman"/>
                <w:highlight w:val="green"/>
              </w:rPr>
            </w:pPr>
            <w:r>
              <w:rPr>
                <w:rFonts w:hint="default" w:ascii="Times New Roman" w:hAnsi="Times New Roman" w:cs="Times New Roman"/>
              </w:rPr>
              <w:t>2、质量控制及质量保证</w:t>
            </w:r>
          </w:p>
          <w:p w14:paraId="5E5EBB47">
            <w:pPr>
              <w:pStyle w:val="56"/>
              <w:numPr>
                <w:ilvl w:val="0"/>
                <w:numId w:val="0"/>
              </w:numPr>
              <w:ind w:firstLine="480" w:firstLineChars="200"/>
              <w:rPr>
                <w:rFonts w:hint="default" w:ascii="Times New Roman" w:hAnsi="Times New Roman" w:cs="Times New Roman"/>
              </w:rPr>
            </w:pPr>
            <w:r>
              <w:rPr>
                <w:rFonts w:hint="default" w:ascii="Times New Roman" w:hAnsi="Times New Roman" w:cs="Times New Roman"/>
                <w:lang w:eastAsia="zh-CN"/>
              </w:rPr>
              <w:t>（</w:t>
            </w:r>
            <w:r>
              <w:rPr>
                <w:rFonts w:hint="default" w:ascii="Times New Roman" w:hAnsi="Times New Roman" w:cs="Times New Roman"/>
                <w:lang w:val="en-US" w:eastAsia="zh-CN"/>
              </w:rPr>
              <w:t>1</w:t>
            </w:r>
            <w:r>
              <w:rPr>
                <w:rFonts w:hint="default" w:ascii="Times New Roman" w:hAnsi="Times New Roman" w:cs="Times New Roman"/>
                <w:lang w:eastAsia="zh-CN"/>
              </w:rPr>
              <w:t>）</w:t>
            </w:r>
            <w:r>
              <w:rPr>
                <w:rFonts w:hint="default" w:ascii="Times New Roman" w:hAnsi="Times New Roman" w:cs="Times New Roman"/>
              </w:rPr>
              <w:t>现场监测采用国家现行的标准、监测技术规范的方法；所用采样或监测仪器设备状态正常且均在有效检定周期内。</w:t>
            </w:r>
          </w:p>
          <w:p w14:paraId="5D83AE5A">
            <w:pPr>
              <w:pStyle w:val="56"/>
              <w:numPr>
                <w:ilvl w:val="0"/>
                <w:numId w:val="0"/>
              </w:numPr>
              <w:ind w:firstLine="480" w:firstLineChars="200"/>
              <w:rPr>
                <w:rFonts w:hint="default" w:ascii="Times New Roman" w:hAnsi="Times New Roman" w:eastAsia="宋体" w:cs="Times New Roman"/>
                <w:b/>
                <w:kern w:val="0"/>
                <w:sz w:val="21"/>
                <w:szCs w:val="21"/>
                <w:lang w:val="en-US" w:eastAsia="zh-CN"/>
              </w:rPr>
            </w:pPr>
            <w:r>
              <w:rPr>
                <w:rFonts w:hint="default" w:ascii="Times New Roman" w:hAnsi="Times New Roman" w:cs="Times New Roman"/>
                <w:lang w:eastAsia="zh-CN"/>
              </w:rPr>
              <w:t>（</w:t>
            </w:r>
            <w:r>
              <w:rPr>
                <w:rFonts w:hint="default" w:ascii="Times New Roman" w:hAnsi="Times New Roman" w:cs="Times New Roman"/>
                <w:lang w:val="en-US" w:eastAsia="zh-CN"/>
              </w:rPr>
              <w:t>2</w:t>
            </w:r>
            <w:r>
              <w:rPr>
                <w:rFonts w:hint="default" w:ascii="Times New Roman" w:hAnsi="Times New Roman" w:cs="Times New Roman"/>
                <w:lang w:eastAsia="zh-CN"/>
              </w:rPr>
              <w:t>）采样前后对采样仪器进行校准和检查</w:t>
            </w:r>
            <w:r>
              <w:rPr>
                <w:rFonts w:hint="default" w:ascii="Times New Roman" w:hAnsi="Times New Roman" w:cs="Times New Roman"/>
                <w:lang w:val="en-US" w:eastAsia="zh-CN"/>
              </w:rPr>
              <w:t>。</w:t>
            </w:r>
            <w:r>
              <w:rPr>
                <w:rFonts w:hint="default" w:ascii="Times New Roman" w:hAnsi="Times New Roman" w:cs="Times New Roman"/>
              </w:rPr>
              <w:t>本次验收噪声采样设备校准记录表见表5-</w:t>
            </w:r>
            <w:r>
              <w:rPr>
                <w:rFonts w:hint="eastAsia" w:cs="Times New Roman"/>
                <w:lang w:val="en-US" w:eastAsia="zh-CN"/>
              </w:rPr>
              <w:t>2</w:t>
            </w:r>
            <w:r>
              <w:rPr>
                <w:rFonts w:hint="default" w:ascii="Times New Roman" w:hAnsi="Times New Roman" w:cs="Times New Roman"/>
              </w:rPr>
              <w:t>。</w:t>
            </w:r>
            <w:bookmarkStart w:id="7" w:name="_Toc25894"/>
            <w:bookmarkStart w:id="8" w:name="_Toc15491"/>
            <w:bookmarkStart w:id="9" w:name="_Toc7345"/>
            <w:bookmarkStart w:id="10" w:name="_Toc25585"/>
          </w:p>
          <w:p w14:paraId="62BB227D">
            <w:pPr>
              <w:pStyle w:val="56"/>
              <w:numPr>
                <w:ilvl w:val="0"/>
                <w:numId w:val="0"/>
              </w:numPr>
              <w:jc w:val="center"/>
              <w:rPr>
                <w:rFonts w:hint="default" w:ascii="Times New Roman" w:hAnsi="Times New Roman" w:eastAsia="宋体" w:cs="Times New Roman"/>
                <w:b/>
                <w:bCs/>
                <w:kern w:val="0"/>
                <w:sz w:val="21"/>
                <w:szCs w:val="21"/>
                <w:lang w:val="zh-CN"/>
              </w:rPr>
            </w:pPr>
            <w:bookmarkStart w:id="11" w:name="_Toc32128"/>
            <w:bookmarkStart w:id="12" w:name="_Toc22979"/>
            <w:bookmarkStart w:id="13" w:name="_Toc10062"/>
            <w:bookmarkStart w:id="14" w:name="_Toc14722"/>
            <w:bookmarkStart w:id="15" w:name="_Toc4619"/>
            <w:bookmarkStart w:id="16" w:name="_Toc24852"/>
            <w:bookmarkStart w:id="17" w:name="_Toc27124"/>
            <w:bookmarkStart w:id="18" w:name="_Toc17323"/>
            <w:bookmarkStart w:id="19" w:name="_Toc81"/>
            <w:bookmarkStart w:id="20" w:name="_Toc20878"/>
            <w:bookmarkStart w:id="21" w:name="_Toc26988"/>
            <w:r>
              <w:rPr>
                <w:rFonts w:hint="default" w:ascii="Times New Roman" w:hAnsi="Times New Roman" w:eastAsia="宋体" w:cs="Times New Roman"/>
                <w:b/>
                <w:kern w:val="0"/>
                <w:sz w:val="21"/>
                <w:szCs w:val="21"/>
                <w:lang w:val="en-US" w:eastAsia="zh-CN"/>
              </w:rPr>
              <w:t xml:space="preserve">表5-2  </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Fonts w:hint="default" w:ascii="Times New Roman" w:hAnsi="Times New Roman" w:eastAsia="宋体" w:cs="Times New Roman"/>
                <w:b/>
                <w:bCs/>
                <w:kern w:val="0"/>
                <w:sz w:val="21"/>
                <w:szCs w:val="21"/>
                <w:lang w:val="zh-CN"/>
              </w:rPr>
              <w:t>噪声仪器校验表</w:t>
            </w:r>
          </w:p>
          <w:tbl>
            <w:tblPr>
              <w:tblStyle w:val="31"/>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853"/>
              <w:gridCol w:w="1135"/>
              <w:gridCol w:w="1243"/>
              <w:gridCol w:w="1156"/>
              <w:gridCol w:w="1157"/>
              <w:gridCol w:w="881"/>
              <w:gridCol w:w="844"/>
              <w:gridCol w:w="808"/>
            </w:tblGrid>
            <w:tr w14:paraId="4581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9" w:type="dxa"/>
                  <w:vMerge w:val="restart"/>
                  <w:tcBorders>
                    <w:tl2br w:val="nil"/>
                    <w:tr2bl w:val="nil"/>
                  </w:tcBorders>
                  <w:noWrap w:val="0"/>
                  <w:vAlign w:val="center"/>
                </w:tcPr>
                <w:p w14:paraId="40572896">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eastAsia="zh-CN"/>
                    </w:rPr>
                    <w:t>采样</w:t>
                  </w:r>
                  <w:r>
                    <w:rPr>
                      <w:rFonts w:hint="eastAsia" w:ascii="Times New Roman" w:hAnsi="Times New Roman" w:eastAsia="宋体" w:cs="Times New Roman"/>
                      <w:b/>
                      <w:bCs/>
                      <w:sz w:val="21"/>
                      <w:szCs w:val="21"/>
                      <w:highlight w:val="none"/>
                      <w:lang w:val="en-US" w:eastAsia="zh-CN"/>
                    </w:rPr>
                    <w:t>日期</w:t>
                  </w:r>
                </w:p>
              </w:tc>
              <w:tc>
                <w:tcPr>
                  <w:tcW w:w="853" w:type="dxa"/>
                  <w:vMerge w:val="restart"/>
                  <w:tcBorders>
                    <w:tl2br w:val="nil"/>
                    <w:tr2bl w:val="nil"/>
                  </w:tcBorders>
                  <w:noWrap w:val="0"/>
                  <w:vAlign w:val="center"/>
                </w:tcPr>
                <w:p w14:paraId="25FAE9DD">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序号</w:t>
                  </w:r>
                </w:p>
              </w:tc>
              <w:tc>
                <w:tcPr>
                  <w:tcW w:w="1135" w:type="dxa"/>
                  <w:vMerge w:val="restart"/>
                  <w:tcBorders>
                    <w:tl2br w:val="nil"/>
                    <w:tr2bl w:val="nil"/>
                  </w:tcBorders>
                  <w:noWrap w:val="0"/>
                  <w:vAlign w:val="center"/>
                </w:tcPr>
                <w:p w14:paraId="20FB39D5">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仪器设备</w:t>
                  </w:r>
                </w:p>
                <w:p w14:paraId="27E8F32D">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名称</w:t>
                  </w:r>
                </w:p>
              </w:tc>
              <w:tc>
                <w:tcPr>
                  <w:tcW w:w="1243" w:type="dxa"/>
                  <w:vMerge w:val="restart"/>
                  <w:tcBorders>
                    <w:tl2br w:val="nil"/>
                    <w:tr2bl w:val="nil"/>
                  </w:tcBorders>
                  <w:noWrap w:val="0"/>
                  <w:vAlign w:val="center"/>
                </w:tcPr>
                <w:p w14:paraId="4B36292D">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校准设备</w:t>
                  </w:r>
                </w:p>
                <w:p w14:paraId="430DFED5">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名称</w:t>
                  </w:r>
                </w:p>
              </w:tc>
              <w:tc>
                <w:tcPr>
                  <w:tcW w:w="2313" w:type="dxa"/>
                  <w:gridSpan w:val="2"/>
                  <w:tcBorders>
                    <w:tl2br w:val="nil"/>
                    <w:tr2bl w:val="nil"/>
                  </w:tcBorders>
                  <w:noWrap w:val="0"/>
                  <w:vAlign w:val="center"/>
                </w:tcPr>
                <w:p w14:paraId="7D892E61">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校准值</w:t>
                  </w:r>
                </w:p>
              </w:tc>
              <w:tc>
                <w:tcPr>
                  <w:tcW w:w="881" w:type="dxa"/>
                  <w:vMerge w:val="restart"/>
                  <w:tcBorders>
                    <w:tl2br w:val="nil"/>
                    <w:tr2bl w:val="nil"/>
                  </w:tcBorders>
                  <w:noWrap w:val="0"/>
                  <w:vAlign w:val="center"/>
                </w:tcPr>
                <w:p w14:paraId="7685BBA6">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校准器标准值</w:t>
                  </w:r>
                </w:p>
              </w:tc>
              <w:tc>
                <w:tcPr>
                  <w:tcW w:w="844" w:type="dxa"/>
                  <w:vMerge w:val="restart"/>
                  <w:tcBorders>
                    <w:tl2br w:val="nil"/>
                    <w:tr2bl w:val="nil"/>
                  </w:tcBorders>
                  <w:noWrap w:val="0"/>
                  <w:vAlign w:val="center"/>
                </w:tcPr>
                <w:p w14:paraId="41090554">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允许误差范围</w:t>
                  </w:r>
                </w:p>
              </w:tc>
              <w:tc>
                <w:tcPr>
                  <w:tcW w:w="808" w:type="dxa"/>
                  <w:vMerge w:val="restart"/>
                  <w:tcBorders>
                    <w:tl2br w:val="nil"/>
                    <w:tr2bl w:val="nil"/>
                  </w:tcBorders>
                  <w:noWrap w:val="0"/>
                  <w:vAlign w:val="center"/>
                </w:tcPr>
                <w:p w14:paraId="0AAD24DD">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结果</w:t>
                  </w:r>
                </w:p>
                <w:p w14:paraId="3937EC0C">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rPr>
                  </w:pPr>
                  <w:r>
                    <w:rPr>
                      <w:rFonts w:hint="eastAsia" w:ascii="Times New Roman" w:hAnsi="Times New Roman" w:eastAsia="宋体" w:cs="Times New Roman"/>
                      <w:b/>
                      <w:bCs/>
                      <w:color w:val="auto"/>
                      <w:sz w:val="21"/>
                      <w:szCs w:val="21"/>
                      <w:highlight w:val="none"/>
                      <w:lang w:val="en-US" w:eastAsia="zh-CN"/>
                    </w:rPr>
                    <w:t>评价</w:t>
                  </w:r>
                </w:p>
              </w:tc>
            </w:tr>
            <w:tr w14:paraId="371F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9" w:type="dxa"/>
                  <w:vMerge w:val="continue"/>
                  <w:tcBorders>
                    <w:tl2br w:val="nil"/>
                    <w:tr2bl w:val="nil"/>
                  </w:tcBorders>
                  <w:noWrap w:val="0"/>
                  <w:vAlign w:val="center"/>
                </w:tcPr>
                <w:p w14:paraId="2FA29937">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eastAsia" w:ascii="Times New Roman" w:hAnsi="Times New Roman" w:eastAsia="宋体" w:cs="Times New Roman"/>
                      <w:sz w:val="21"/>
                      <w:szCs w:val="21"/>
                      <w:highlight w:val="none"/>
                      <w:lang w:eastAsia="zh-CN"/>
                    </w:rPr>
                  </w:pPr>
                </w:p>
              </w:tc>
              <w:tc>
                <w:tcPr>
                  <w:tcW w:w="853" w:type="dxa"/>
                  <w:vMerge w:val="continue"/>
                  <w:tcBorders>
                    <w:tl2br w:val="nil"/>
                    <w:tr2bl w:val="nil"/>
                  </w:tcBorders>
                  <w:noWrap w:val="0"/>
                  <w:vAlign w:val="center"/>
                </w:tcPr>
                <w:p w14:paraId="44380E4B">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1135" w:type="dxa"/>
                  <w:vMerge w:val="continue"/>
                  <w:tcBorders>
                    <w:tl2br w:val="nil"/>
                    <w:tr2bl w:val="nil"/>
                  </w:tcBorders>
                  <w:noWrap w:val="0"/>
                  <w:vAlign w:val="center"/>
                </w:tcPr>
                <w:p w14:paraId="3DC29E42">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1243" w:type="dxa"/>
                  <w:vMerge w:val="continue"/>
                  <w:tcBorders>
                    <w:tl2br w:val="nil"/>
                    <w:tr2bl w:val="nil"/>
                  </w:tcBorders>
                  <w:noWrap w:val="0"/>
                  <w:vAlign w:val="center"/>
                </w:tcPr>
                <w:p w14:paraId="39C7629E">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1156" w:type="dxa"/>
                  <w:tcBorders>
                    <w:tl2br w:val="nil"/>
                    <w:tr2bl w:val="nil"/>
                  </w:tcBorders>
                  <w:noWrap w:val="0"/>
                  <w:vAlign w:val="center"/>
                </w:tcPr>
                <w:p w14:paraId="59909100">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bCs/>
                      <w:sz w:val="21"/>
                      <w:szCs w:val="21"/>
                      <w:highlight w:val="none"/>
                      <w:lang w:val="en-US" w:eastAsia="zh-CN"/>
                    </w:rPr>
                  </w:pPr>
                  <w:r>
                    <w:rPr>
                      <w:rFonts w:hint="eastAsia" w:eastAsia="宋体" w:cs="Times New Roman"/>
                      <w:b/>
                      <w:bCs/>
                      <w:sz w:val="21"/>
                      <w:szCs w:val="21"/>
                      <w:highlight w:val="none"/>
                      <w:lang w:val="en-US" w:eastAsia="zh-CN"/>
                    </w:rPr>
                    <w:t>昼间</w:t>
                  </w:r>
                </w:p>
              </w:tc>
              <w:tc>
                <w:tcPr>
                  <w:tcW w:w="1157" w:type="dxa"/>
                  <w:tcBorders>
                    <w:tl2br w:val="nil"/>
                    <w:tr2bl w:val="nil"/>
                  </w:tcBorders>
                  <w:noWrap w:val="0"/>
                  <w:vAlign w:val="center"/>
                </w:tcPr>
                <w:p w14:paraId="37422C22">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eastAsia" w:ascii="Times New Roman" w:hAnsi="Times New Roman" w:eastAsia="宋体" w:cs="Times New Roman"/>
                      <w:b/>
                      <w:bCs/>
                      <w:sz w:val="21"/>
                      <w:szCs w:val="21"/>
                      <w:highlight w:val="none"/>
                      <w:lang w:eastAsia="zh-CN"/>
                    </w:rPr>
                  </w:pPr>
                  <w:r>
                    <w:rPr>
                      <w:rFonts w:hint="eastAsia" w:eastAsia="宋体" w:cs="Times New Roman"/>
                      <w:b/>
                      <w:bCs/>
                      <w:sz w:val="21"/>
                      <w:szCs w:val="21"/>
                      <w:highlight w:val="none"/>
                      <w:lang w:eastAsia="zh-CN"/>
                    </w:rPr>
                    <w:t>夜间</w:t>
                  </w:r>
                </w:p>
              </w:tc>
              <w:tc>
                <w:tcPr>
                  <w:tcW w:w="881" w:type="dxa"/>
                  <w:vMerge w:val="continue"/>
                  <w:tcBorders>
                    <w:tl2br w:val="nil"/>
                    <w:tr2bl w:val="nil"/>
                  </w:tcBorders>
                  <w:noWrap w:val="0"/>
                  <w:vAlign w:val="center"/>
                </w:tcPr>
                <w:p w14:paraId="7C7AB79C">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844" w:type="dxa"/>
                  <w:vMerge w:val="continue"/>
                  <w:tcBorders>
                    <w:tl2br w:val="nil"/>
                    <w:tr2bl w:val="nil"/>
                  </w:tcBorders>
                  <w:noWrap w:val="0"/>
                  <w:vAlign w:val="center"/>
                </w:tcPr>
                <w:p w14:paraId="79C9910F">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808" w:type="dxa"/>
                  <w:vMerge w:val="continue"/>
                  <w:tcBorders>
                    <w:tl2br w:val="nil"/>
                    <w:tr2bl w:val="nil"/>
                  </w:tcBorders>
                  <w:noWrap w:val="0"/>
                  <w:vAlign w:val="center"/>
                </w:tcPr>
                <w:p w14:paraId="1C437F8D">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eastAsia" w:ascii="Times New Roman" w:hAnsi="Times New Roman" w:eastAsia="宋体" w:cs="Times New Roman"/>
                      <w:b w:val="0"/>
                      <w:bCs/>
                      <w:color w:val="auto"/>
                      <w:sz w:val="21"/>
                      <w:szCs w:val="21"/>
                      <w:highlight w:val="none"/>
                      <w:lang w:val="en-US" w:eastAsia="zh-CN"/>
                    </w:rPr>
                  </w:pPr>
                </w:p>
              </w:tc>
            </w:tr>
            <w:tr w14:paraId="05BA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9" w:type="dxa"/>
                  <w:vMerge w:val="restart"/>
                  <w:tcBorders>
                    <w:tl2br w:val="nil"/>
                    <w:tr2bl w:val="nil"/>
                  </w:tcBorders>
                  <w:noWrap w:val="0"/>
                  <w:vAlign w:val="center"/>
                </w:tcPr>
                <w:p w14:paraId="5FE4CDB7">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b w:val="0"/>
                      <w:color w:val="auto"/>
                      <w:spacing w:val="-6"/>
                      <w:sz w:val="21"/>
                      <w:szCs w:val="21"/>
                      <w:highlight w:val="none"/>
                      <w:lang w:val="en-US" w:eastAsia="zh-CN"/>
                    </w:rPr>
                    <w:t>5月23日</w:t>
                  </w:r>
                </w:p>
              </w:tc>
              <w:tc>
                <w:tcPr>
                  <w:tcW w:w="853" w:type="dxa"/>
                  <w:tcBorders>
                    <w:tl2br w:val="nil"/>
                    <w:tr2bl w:val="nil"/>
                  </w:tcBorders>
                  <w:noWrap w:val="0"/>
                  <w:vAlign w:val="center"/>
                </w:tcPr>
                <w:p w14:paraId="0B5FBDA9">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采样前</w:t>
                  </w:r>
                </w:p>
              </w:tc>
              <w:tc>
                <w:tcPr>
                  <w:tcW w:w="1135" w:type="dxa"/>
                  <w:vMerge w:val="restart"/>
                  <w:tcBorders>
                    <w:tl2br w:val="nil"/>
                    <w:tr2bl w:val="nil"/>
                  </w:tcBorders>
                  <w:noWrap w:val="0"/>
                  <w:vAlign w:val="center"/>
                </w:tcPr>
                <w:p w14:paraId="3562237A">
                  <w:pPr>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b w:val="0"/>
                      <w:color w:val="000000"/>
                      <w:spacing w:val="-6"/>
                      <w:sz w:val="21"/>
                      <w:szCs w:val="21"/>
                      <w:highlight w:val="none"/>
                    </w:rPr>
                    <w:t>AW</w:t>
                  </w:r>
                  <w:r>
                    <w:rPr>
                      <w:rFonts w:hint="eastAsia" w:ascii="Times New Roman" w:hAnsi="Times New Roman" w:eastAsia="宋体" w:cs="Times New Roman"/>
                      <w:b w:val="0"/>
                      <w:color w:val="000000"/>
                      <w:spacing w:val="-6"/>
                      <w:sz w:val="21"/>
                      <w:szCs w:val="21"/>
                      <w:highlight w:val="none"/>
                      <w:lang w:val="en-US" w:eastAsia="zh-CN"/>
                    </w:rPr>
                    <w:t>A6228</w:t>
                  </w:r>
                  <w:r>
                    <w:rPr>
                      <w:rFonts w:hint="default" w:ascii="Times New Roman" w:hAnsi="Times New Roman" w:eastAsia="宋体" w:cs="Times New Roman"/>
                      <w:b w:val="0"/>
                      <w:color w:val="000000"/>
                      <w:spacing w:val="-6"/>
                      <w:sz w:val="21"/>
                      <w:szCs w:val="21"/>
                      <w:highlight w:val="none"/>
                    </w:rPr>
                    <w:t>多功能噪声分析仪</w:t>
                  </w:r>
                  <w:r>
                    <w:rPr>
                      <w:rFonts w:hint="default" w:ascii="Times New Roman" w:hAnsi="Times New Roman" w:eastAsia="宋体" w:cs="Times New Roman"/>
                      <w:b w:val="0"/>
                      <w:color w:val="000000"/>
                      <w:spacing w:val="-6"/>
                      <w:sz w:val="21"/>
                      <w:szCs w:val="21"/>
                      <w:highlight w:val="none"/>
                      <w:lang w:val="en-US" w:eastAsia="zh-CN"/>
                    </w:rPr>
                    <w:t>/PSTX</w:t>
                  </w:r>
                  <w:r>
                    <w:rPr>
                      <w:rFonts w:hint="eastAsia" w:ascii="Times New Roman" w:hAnsi="Times New Roman" w:eastAsia="宋体" w:cs="Times New Roman"/>
                      <w:b w:val="0"/>
                      <w:color w:val="000000"/>
                      <w:spacing w:val="-6"/>
                      <w:sz w:val="21"/>
                      <w:szCs w:val="21"/>
                      <w:highlight w:val="none"/>
                      <w:lang w:val="en-US" w:eastAsia="zh-CN"/>
                    </w:rPr>
                    <w:t>03-2</w:t>
                  </w:r>
                </w:p>
              </w:tc>
              <w:tc>
                <w:tcPr>
                  <w:tcW w:w="1243" w:type="dxa"/>
                  <w:vMerge w:val="restart"/>
                  <w:tcBorders>
                    <w:tl2br w:val="nil"/>
                    <w:tr2bl w:val="nil"/>
                  </w:tcBorders>
                  <w:noWrap w:val="0"/>
                  <w:vAlign w:val="center"/>
                </w:tcPr>
                <w:p w14:paraId="41D8662E">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AWA</w:t>
                  </w:r>
                  <w:r>
                    <w:rPr>
                      <w:rFonts w:hint="eastAsia" w:eastAsia="宋体" w:cs="Times New Roman"/>
                      <w:sz w:val="21"/>
                      <w:szCs w:val="21"/>
                      <w:highlight w:val="none"/>
                      <w:lang w:val="en-US" w:eastAsia="zh-CN"/>
                    </w:rPr>
                    <w:t>6222A</w:t>
                  </w:r>
                  <w:r>
                    <w:rPr>
                      <w:rFonts w:hint="default" w:ascii="Times New Roman" w:hAnsi="Times New Roman" w:eastAsia="宋体" w:cs="Times New Roman"/>
                      <w:sz w:val="21"/>
                      <w:szCs w:val="21"/>
                      <w:highlight w:val="none"/>
                    </w:rPr>
                    <w:t>声级校准器（编号：PSTX</w:t>
                  </w:r>
                  <w:r>
                    <w:rPr>
                      <w:rFonts w:hint="eastAsia" w:eastAsia="宋体" w:cs="Times New Roman"/>
                      <w:sz w:val="21"/>
                      <w:szCs w:val="21"/>
                      <w:highlight w:val="none"/>
                      <w:lang w:val="en-US" w:eastAsia="zh-CN"/>
                    </w:rPr>
                    <w:t>10-2</w:t>
                  </w:r>
                  <w:r>
                    <w:rPr>
                      <w:rFonts w:hint="default" w:ascii="Times New Roman" w:hAnsi="Times New Roman" w:eastAsia="宋体" w:cs="Times New Roman"/>
                      <w:sz w:val="21"/>
                      <w:szCs w:val="21"/>
                      <w:highlight w:val="none"/>
                    </w:rPr>
                    <w:t>）</w:t>
                  </w:r>
                </w:p>
              </w:tc>
              <w:tc>
                <w:tcPr>
                  <w:tcW w:w="1156" w:type="dxa"/>
                  <w:tcBorders>
                    <w:tl2br w:val="nil"/>
                    <w:tr2bl w:val="nil"/>
                  </w:tcBorders>
                  <w:noWrap w:val="0"/>
                  <w:vAlign w:val="center"/>
                </w:tcPr>
                <w:p w14:paraId="7210AAD0">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1157" w:type="dxa"/>
                  <w:tcBorders>
                    <w:tl2br w:val="nil"/>
                    <w:tr2bl w:val="nil"/>
                  </w:tcBorders>
                  <w:noWrap w:val="0"/>
                  <w:vAlign w:val="center"/>
                </w:tcPr>
                <w:p w14:paraId="3D5EB794">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eastAsia" w:eastAsia="宋体" w:cs="Times New Roman"/>
                      <w:sz w:val="21"/>
                      <w:szCs w:val="21"/>
                      <w:highlight w:val="none"/>
                      <w:lang w:val="en-US" w:eastAsia="zh-CN"/>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881" w:type="dxa"/>
                  <w:vMerge w:val="restart"/>
                  <w:tcBorders>
                    <w:tl2br w:val="nil"/>
                    <w:tr2bl w:val="nil"/>
                  </w:tcBorders>
                  <w:noWrap w:val="0"/>
                  <w:vAlign w:val="center"/>
                </w:tcPr>
                <w:p w14:paraId="6209D6CC">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94.0dB(A)</w:t>
                  </w:r>
                </w:p>
              </w:tc>
              <w:tc>
                <w:tcPr>
                  <w:tcW w:w="844" w:type="dxa"/>
                  <w:vMerge w:val="restart"/>
                  <w:tcBorders>
                    <w:tl2br w:val="nil"/>
                    <w:tr2bl w:val="nil"/>
                  </w:tcBorders>
                  <w:noWrap w:val="0"/>
                  <w:vAlign w:val="center"/>
                </w:tcPr>
                <w:p w14:paraId="5C94F0D1">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±0.5dB(A)</w:t>
                  </w:r>
                </w:p>
              </w:tc>
              <w:tc>
                <w:tcPr>
                  <w:tcW w:w="808" w:type="dxa"/>
                  <w:tcBorders>
                    <w:tl2br w:val="nil"/>
                    <w:tr2bl w:val="nil"/>
                  </w:tcBorders>
                  <w:noWrap w:val="0"/>
                  <w:vAlign w:val="center"/>
                </w:tcPr>
                <w:p w14:paraId="3EEF5DFC">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合格</w:t>
                  </w:r>
                </w:p>
              </w:tc>
            </w:tr>
            <w:tr w14:paraId="3F86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9" w:type="dxa"/>
                  <w:vMerge w:val="continue"/>
                  <w:tcBorders>
                    <w:tl2br w:val="nil"/>
                    <w:tr2bl w:val="nil"/>
                  </w:tcBorders>
                  <w:noWrap w:val="0"/>
                  <w:vAlign w:val="center"/>
                </w:tcPr>
                <w:p w14:paraId="4957AAA5">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853" w:type="dxa"/>
                  <w:tcBorders>
                    <w:tl2br w:val="nil"/>
                    <w:tr2bl w:val="nil"/>
                  </w:tcBorders>
                  <w:noWrap w:val="0"/>
                  <w:vAlign w:val="center"/>
                </w:tcPr>
                <w:p w14:paraId="32958B61">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采样后</w:t>
                  </w:r>
                </w:p>
              </w:tc>
              <w:tc>
                <w:tcPr>
                  <w:tcW w:w="1135" w:type="dxa"/>
                  <w:vMerge w:val="continue"/>
                  <w:tcBorders>
                    <w:tl2br w:val="nil"/>
                    <w:tr2bl w:val="nil"/>
                  </w:tcBorders>
                  <w:noWrap w:val="0"/>
                  <w:vAlign w:val="center"/>
                </w:tcPr>
                <w:p w14:paraId="32A20A65">
                  <w:pPr>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lang w:val="en-US"/>
                    </w:rPr>
                  </w:pPr>
                </w:p>
              </w:tc>
              <w:tc>
                <w:tcPr>
                  <w:tcW w:w="1243" w:type="dxa"/>
                  <w:vMerge w:val="continue"/>
                  <w:tcBorders>
                    <w:tl2br w:val="nil"/>
                    <w:tr2bl w:val="nil"/>
                  </w:tcBorders>
                  <w:noWrap w:val="0"/>
                  <w:vAlign w:val="center"/>
                </w:tcPr>
                <w:p w14:paraId="19005712">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val="0"/>
                      <w:kern w:val="2"/>
                      <w:sz w:val="21"/>
                      <w:szCs w:val="21"/>
                      <w:highlight w:val="none"/>
                      <w:lang w:val="en-US" w:eastAsia="zh-CN" w:bidi="ar-SA"/>
                    </w:rPr>
                  </w:pPr>
                </w:p>
              </w:tc>
              <w:tc>
                <w:tcPr>
                  <w:tcW w:w="1156" w:type="dxa"/>
                  <w:tcBorders>
                    <w:tl2br w:val="nil"/>
                    <w:tr2bl w:val="nil"/>
                  </w:tcBorders>
                  <w:noWrap w:val="0"/>
                  <w:vAlign w:val="center"/>
                </w:tcPr>
                <w:p w14:paraId="28695311">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1157" w:type="dxa"/>
                  <w:tcBorders>
                    <w:tl2br w:val="nil"/>
                    <w:tr2bl w:val="nil"/>
                  </w:tcBorders>
                  <w:noWrap w:val="0"/>
                  <w:vAlign w:val="center"/>
                </w:tcPr>
                <w:p w14:paraId="72809EAE">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eastAsia" w:eastAsia="宋体" w:cs="Times New Roman"/>
                      <w:sz w:val="21"/>
                      <w:szCs w:val="21"/>
                      <w:highlight w:val="none"/>
                      <w:lang w:val="en-US" w:eastAsia="zh-CN"/>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881" w:type="dxa"/>
                  <w:vMerge w:val="continue"/>
                  <w:tcBorders>
                    <w:tl2br w:val="nil"/>
                    <w:tr2bl w:val="nil"/>
                  </w:tcBorders>
                  <w:noWrap w:val="0"/>
                  <w:vAlign w:val="center"/>
                </w:tcPr>
                <w:p w14:paraId="5561FD79">
                  <w:pPr>
                    <w:pStyle w:val="75"/>
                    <w:keepNext w:val="0"/>
                    <w:keepLines w:val="0"/>
                    <w:pageBreakBefore w:val="0"/>
                    <w:widowControl w:val="0"/>
                    <w:kinsoku/>
                    <w:wordWrap w:val="0"/>
                    <w:overflowPunct/>
                    <w:topLinePunct/>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p>
              </w:tc>
              <w:tc>
                <w:tcPr>
                  <w:tcW w:w="844" w:type="dxa"/>
                  <w:vMerge w:val="continue"/>
                  <w:tcBorders>
                    <w:tl2br w:val="nil"/>
                    <w:tr2bl w:val="nil"/>
                  </w:tcBorders>
                  <w:noWrap w:val="0"/>
                  <w:vAlign w:val="center"/>
                </w:tcPr>
                <w:p w14:paraId="03BC6B61">
                  <w:pPr>
                    <w:pStyle w:val="75"/>
                    <w:keepNext w:val="0"/>
                    <w:keepLines w:val="0"/>
                    <w:pageBreakBefore w:val="0"/>
                    <w:widowControl w:val="0"/>
                    <w:kinsoku/>
                    <w:wordWrap w:val="0"/>
                    <w:overflowPunct/>
                    <w:topLinePunct/>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p>
              </w:tc>
              <w:tc>
                <w:tcPr>
                  <w:tcW w:w="808" w:type="dxa"/>
                  <w:tcBorders>
                    <w:tl2br w:val="nil"/>
                    <w:tr2bl w:val="nil"/>
                  </w:tcBorders>
                  <w:noWrap w:val="0"/>
                  <w:vAlign w:val="center"/>
                </w:tcPr>
                <w:p w14:paraId="7CB725B9">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合格</w:t>
                  </w:r>
                </w:p>
              </w:tc>
            </w:tr>
            <w:tr w14:paraId="69E5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9" w:type="dxa"/>
                  <w:vMerge w:val="restart"/>
                  <w:tcBorders>
                    <w:tl2br w:val="nil"/>
                    <w:tr2bl w:val="nil"/>
                  </w:tcBorders>
                  <w:noWrap w:val="0"/>
                  <w:vAlign w:val="center"/>
                </w:tcPr>
                <w:p w14:paraId="536CBE61">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r>
                    <w:rPr>
                      <w:rFonts w:hint="eastAsia" w:ascii="Times New Roman" w:hAnsi="Times New Roman" w:eastAsia="宋体" w:cs="Times New Roman"/>
                      <w:b w:val="0"/>
                      <w:color w:val="auto"/>
                      <w:spacing w:val="-6"/>
                      <w:sz w:val="21"/>
                      <w:szCs w:val="21"/>
                      <w:highlight w:val="none"/>
                      <w:lang w:val="en-US" w:eastAsia="zh-CN"/>
                    </w:rPr>
                    <w:t>5月24日</w:t>
                  </w:r>
                </w:p>
              </w:tc>
              <w:tc>
                <w:tcPr>
                  <w:tcW w:w="853" w:type="dxa"/>
                  <w:tcBorders>
                    <w:tl2br w:val="nil"/>
                    <w:tr2bl w:val="nil"/>
                  </w:tcBorders>
                  <w:noWrap w:val="0"/>
                  <w:vAlign w:val="center"/>
                </w:tcPr>
                <w:p w14:paraId="7182E81C">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采样前</w:t>
                  </w:r>
                </w:p>
              </w:tc>
              <w:tc>
                <w:tcPr>
                  <w:tcW w:w="1135" w:type="dxa"/>
                  <w:vMerge w:val="continue"/>
                  <w:tcBorders>
                    <w:tl2br w:val="nil"/>
                    <w:tr2bl w:val="nil"/>
                  </w:tcBorders>
                  <w:noWrap w:val="0"/>
                  <w:vAlign w:val="center"/>
                </w:tcPr>
                <w:p w14:paraId="26270E1C">
                  <w:pPr>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lang w:val="en-US"/>
                    </w:rPr>
                  </w:pPr>
                </w:p>
              </w:tc>
              <w:tc>
                <w:tcPr>
                  <w:tcW w:w="1243" w:type="dxa"/>
                  <w:vMerge w:val="continue"/>
                  <w:tcBorders>
                    <w:tl2br w:val="nil"/>
                    <w:tr2bl w:val="nil"/>
                  </w:tcBorders>
                  <w:noWrap w:val="0"/>
                  <w:vAlign w:val="center"/>
                </w:tcPr>
                <w:p w14:paraId="3059866B">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val="0"/>
                      <w:kern w:val="2"/>
                      <w:sz w:val="21"/>
                      <w:szCs w:val="21"/>
                      <w:highlight w:val="none"/>
                      <w:lang w:val="en-US" w:eastAsia="zh-CN" w:bidi="ar-SA"/>
                    </w:rPr>
                  </w:pPr>
                </w:p>
              </w:tc>
              <w:tc>
                <w:tcPr>
                  <w:tcW w:w="1156" w:type="dxa"/>
                  <w:tcBorders>
                    <w:tl2br w:val="nil"/>
                    <w:tr2bl w:val="nil"/>
                  </w:tcBorders>
                  <w:noWrap w:val="0"/>
                  <w:vAlign w:val="center"/>
                </w:tcPr>
                <w:p w14:paraId="1C51F0D9">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eastAsia" w:eastAsia="宋体" w:cs="Times New Roman"/>
                      <w:sz w:val="21"/>
                      <w:szCs w:val="21"/>
                      <w:highlight w:val="none"/>
                      <w:lang w:val="en-US" w:eastAsia="zh-CN"/>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1157" w:type="dxa"/>
                  <w:tcBorders>
                    <w:tl2br w:val="nil"/>
                    <w:tr2bl w:val="nil"/>
                  </w:tcBorders>
                  <w:noWrap w:val="0"/>
                  <w:vAlign w:val="center"/>
                </w:tcPr>
                <w:p w14:paraId="1D19DC4F">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eastAsia" w:eastAsia="宋体" w:cs="Times New Roman"/>
                      <w:sz w:val="21"/>
                      <w:szCs w:val="21"/>
                      <w:highlight w:val="none"/>
                      <w:lang w:val="en-US" w:eastAsia="zh-CN"/>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881" w:type="dxa"/>
                  <w:vMerge w:val="continue"/>
                  <w:tcBorders>
                    <w:tl2br w:val="nil"/>
                    <w:tr2bl w:val="nil"/>
                  </w:tcBorders>
                  <w:noWrap w:val="0"/>
                  <w:vAlign w:val="center"/>
                </w:tcPr>
                <w:p w14:paraId="1AB517FE">
                  <w:pPr>
                    <w:pStyle w:val="75"/>
                    <w:keepNext w:val="0"/>
                    <w:keepLines w:val="0"/>
                    <w:pageBreakBefore w:val="0"/>
                    <w:widowControl w:val="0"/>
                    <w:kinsoku/>
                    <w:wordWrap w:val="0"/>
                    <w:overflowPunct/>
                    <w:topLinePunct/>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p>
              </w:tc>
              <w:tc>
                <w:tcPr>
                  <w:tcW w:w="844" w:type="dxa"/>
                  <w:vMerge w:val="continue"/>
                  <w:tcBorders>
                    <w:tl2br w:val="nil"/>
                    <w:tr2bl w:val="nil"/>
                  </w:tcBorders>
                  <w:noWrap w:val="0"/>
                  <w:vAlign w:val="center"/>
                </w:tcPr>
                <w:p w14:paraId="2DC9A71B">
                  <w:pPr>
                    <w:pStyle w:val="75"/>
                    <w:keepNext w:val="0"/>
                    <w:keepLines w:val="0"/>
                    <w:pageBreakBefore w:val="0"/>
                    <w:widowControl w:val="0"/>
                    <w:kinsoku/>
                    <w:wordWrap w:val="0"/>
                    <w:overflowPunct/>
                    <w:topLinePunct/>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p>
              </w:tc>
              <w:tc>
                <w:tcPr>
                  <w:tcW w:w="808" w:type="dxa"/>
                  <w:tcBorders>
                    <w:tl2br w:val="nil"/>
                    <w:tr2bl w:val="nil"/>
                  </w:tcBorders>
                  <w:noWrap w:val="0"/>
                  <w:vAlign w:val="center"/>
                </w:tcPr>
                <w:p w14:paraId="1A71ECD5">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合格</w:t>
                  </w:r>
                </w:p>
              </w:tc>
            </w:tr>
            <w:tr w14:paraId="4446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9" w:type="dxa"/>
                  <w:vMerge w:val="continue"/>
                  <w:tcBorders>
                    <w:tl2br w:val="nil"/>
                    <w:tr2bl w:val="nil"/>
                  </w:tcBorders>
                  <w:noWrap w:val="0"/>
                  <w:vAlign w:val="center"/>
                </w:tcPr>
                <w:p w14:paraId="2B3E8494">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p>
              </w:tc>
              <w:tc>
                <w:tcPr>
                  <w:tcW w:w="853" w:type="dxa"/>
                  <w:tcBorders>
                    <w:tl2br w:val="nil"/>
                    <w:tr2bl w:val="nil"/>
                  </w:tcBorders>
                  <w:noWrap w:val="0"/>
                  <w:vAlign w:val="center"/>
                </w:tcPr>
                <w:p w14:paraId="78BFAB05">
                  <w:pPr>
                    <w:pStyle w:val="7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采样后</w:t>
                  </w:r>
                </w:p>
              </w:tc>
              <w:tc>
                <w:tcPr>
                  <w:tcW w:w="1135" w:type="dxa"/>
                  <w:vMerge w:val="continue"/>
                  <w:tcBorders>
                    <w:tl2br w:val="nil"/>
                    <w:tr2bl w:val="nil"/>
                  </w:tcBorders>
                  <w:noWrap w:val="0"/>
                  <w:vAlign w:val="center"/>
                </w:tcPr>
                <w:p w14:paraId="7349E6B1">
                  <w:pPr>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lang w:val="en-US"/>
                    </w:rPr>
                  </w:pPr>
                </w:p>
              </w:tc>
              <w:tc>
                <w:tcPr>
                  <w:tcW w:w="1243" w:type="dxa"/>
                  <w:vMerge w:val="continue"/>
                  <w:tcBorders>
                    <w:tl2br w:val="nil"/>
                    <w:tr2bl w:val="nil"/>
                  </w:tcBorders>
                  <w:noWrap w:val="0"/>
                  <w:vAlign w:val="center"/>
                </w:tcPr>
                <w:p w14:paraId="3E383686">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val="0"/>
                      <w:kern w:val="2"/>
                      <w:sz w:val="21"/>
                      <w:szCs w:val="21"/>
                      <w:highlight w:val="none"/>
                      <w:lang w:val="en-US" w:eastAsia="zh-CN" w:bidi="ar-SA"/>
                    </w:rPr>
                  </w:pPr>
                </w:p>
              </w:tc>
              <w:tc>
                <w:tcPr>
                  <w:tcW w:w="1156" w:type="dxa"/>
                  <w:tcBorders>
                    <w:tl2br w:val="nil"/>
                    <w:tr2bl w:val="nil"/>
                  </w:tcBorders>
                  <w:noWrap w:val="0"/>
                  <w:vAlign w:val="center"/>
                </w:tcPr>
                <w:p w14:paraId="73836D43">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eastAsia" w:eastAsia="宋体" w:cs="Times New Roman"/>
                      <w:sz w:val="21"/>
                      <w:szCs w:val="21"/>
                      <w:highlight w:val="none"/>
                      <w:lang w:val="en-US" w:eastAsia="zh-CN"/>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1157" w:type="dxa"/>
                  <w:tcBorders>
                    <w:tl2br w:val="nil"/>
                    <w:tr2bl w:val="nil"/>
                  </w:tcBorders>
                  <w:noWrap w:val="0"/>
                  <w:vAlign w:val="center"/>
                </w:tcPr>
                <w:p w14:paraId="1145EF83">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eastAsia" w:eastAsia="宋体" w:cs="Times New Roman"/>
                      <w:sz w:val="21"/>
                      <w:szCs w:val="21"/>
                      <w:highlight w:val="none"/>
                      <w:lang w:val="en-US" w:eastAsia="zh-CN"/>
                    </w:rPr>
                  </w:pPr>
                  <w:r>
                    <w:rPr>
                      <w:rFonts w:hint="eastAsia" w:eastAsia="宋体" w:cs="Times New Roman"/>
                      <w:sz w:val="21"/>
                      <w:szCs w:val="21"/>
                      <w:highlight w:val="none"/>
                      <w:lang w:val="en-US" w:eastAsia="zh-CN"/>
                    </w:rPr>
                    <w:t>93.8</w:t>
                  </w:r>
                  <w:r>
                    <w:rPr>
                      <w:rFonts w:hint="default" w:ascii="Times New Roman" w:hAnsi="Times New Roman" w:eastAsia="宋体" w:cs="Times New Roman"/>
                      <w:sz w:val="21"/>
                      <w:szCs w:val="21"/>
                      <w:highlight w:val="none"/>
                    </w:rPr>
                    <w:t>dB(A)</w:t>
                  </w:r>
                </w:p>
              </w:tc>
              <w:tc>
                <w:tcPr>
                  <w:tcW w:w="881" w:type="dxa"/>
                  <w:vMerge w:val="continue"/>
                  <w:tcBorders>
                    <w:tl2br w:val="nil"/>
                    <w:tr2bl w:val="nil"/>
                  </w:tcBorders>
                  <w:noWrap w:val="0"/>
                  <w:vAlign w:val="center"/>
                </w:tcPr>
                <w:p w14:paraId="40C92713">
                  <w:pPr>
                    <w:pStyle w:val="75"/>
                    <w:keepNext w:val="0"/>
                    <w:keepLines w:val="0"/>
                    <w:pageBreakBefore w:val="0"/>
                    <w:widowControl w:val="0"/>
                    <w:kinsoku/>
                    <w:wordWrap w:val="0"/>
                    <w:overflowPunct/>
                    <w:topLinePunct/>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p>
              </w:tc>
              <w:tc>
                <w:tcPr>
                  <w:tcW w:w="844" w:type="dxa"/>
                  <w:vMerge w:val="continue"/>
                  <w:tcBorders>
                    <w:tl2br w:val="nil"/>
                    <w:tr2bl w:val="nil"/>
                  </w:tcBorders>
                  <w:noWrap w:val="0"/>
                  <w:vAlign w:val="center"/>
                </w:tcPr>
                <w:p w14:paraId="6EE4076A">
                  <w:pPr>
                    <w:pStyle w:val="75"/>
                    <w:keepNext w:val="0"/>
                    <w:keepLines w:val="0"/>
                    <w:pageBreakBefore w:val="0"/>
                    <w:widowControl w:val="0"/>
                    <w:kinsoku/>
                    <w:wordWrap w:val="0"/>
                    <w:overflowPunct/>
                    <w:topLinePunct/>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highlight w:val="none"/>
                    </w:rPr>
                  </w:pPr>
                </w:p>
              </w:tc>
              <w:tc>
                <w:tcPr>
                  <w:tcW w:w="808" w:type="dxa"/>
                  <w:tcBorders>
                    <w:tl2br w:val="nil"/>
                    <w:tr2bl w:val="nil"/>
                  </w:tcBorders>
                  <w:noWrap w:val="0"/>
                  <w:vAlign w:val="center"/>
                </w:tcPr>
                <w:p w14:paraId="22BBB7C9">
                  <w:pPr>
                    <w:pStyle w:val="75"/>
                    <w:keepNext w:val="0"/>
                    <w:keepLines w:val="0"/>
                    <w:pageBreakBefore w:val="0"/>
                    <w:widowControl w:val="0"/>
                    <w:kinsoku/>
                    <w:wordWrap w:val="0"/>
                    <w:overflowPunct/>
                    <w:topLinePunct/>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合格</w:t>
                  </w:r>
                </w:p>
              </w:tc>
            </w:tr>
          </w:tbl>
          <w:p w14:paraId="4D9F0B11">
            <w:pPr>
              <w:pStyle w:val="56"/>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cs="Times New Roman"/>
                <w:color w:val="auto"/>
              </w:rPr>
            </w:pPr>
            <w:r>
              <w:rPr>
                <w:rFonts w:hint="default" w:ascii="Times New Roman" w:hAnsi="Times New Roman" w:cs="Times New Roman"/>
                <w:lang w:eastAsia="zh-CN"/>
              </w:rPr>
              <w:t>（</w:t>
            </w:r>
            <w:r>
              <w:rPr>
                <w:rFonts w:hint="default" w:ascii="Times New Roman" w:hAnsi="Times New Roman" w:cs="Times New Roman"/>
                <w:lang w:val="en-US" w:eastAsia="zh-CN"/>
              </w:rPr>
              <w:t>3</w:t>
            </w:r>
            <w:r>
              <w:rPr>
                <w:rFonts w:hint="default" w:ascii="Times New Roman" w:hAnsi="Times New Roman" w:cs="Times New Roman"/>
                <w:lang w:eastAsia="zh-CN"/>
              </w:rPr>
              <w:t>）</w:t>
            </w:r>
            <w:r>
              <w:rPr>
                <w:rFonts w:hint="default" w:ascii="Times New Roman" w:hAnsi="Times New Roman" w:cs="Times New Roman"/>
              </w:rPr>
              <w:t>样品采集、</w:t>
            </w:r>
            <w:r>
              <w:rPr>
                <w:rFonts w:hint="default" w:ascii="Times New Roman" w:hAnsi="Times New Roman" w:cs="Times New Roman"/>
                <w:color w:val="auto"/>
              </w:rPr>
              <w:t>运输、保存均按照环境保护部发布的《环境监测质量管理技术导则》（HJ 630-2011）的要求进行。</w:t>
            </w:r>
          </w:p>
          <w:p w14:paraId="10FFDE42">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outlineLvl w:val="9"/>
              <w:rPr>
                <w:rFonts w:hint="default" w:ascii="Times New Roman" w:hAnsi="Times New Roman" w:eastAsia="宋体" w:cs="Times New Roman"/>
                <w:b w:val="0"/>
                <w:bCs/>
                <w:caps w:val="0"/>
                <w:kern w:val="2"/>
                <w:sz w:val="24"/>
                <w:szCs w:val="24"/>
                <w:highlight w:val="none"/>
                <w:lang w:val="en-US" w:eastAsia="zh-CN" w:bidi="ar-SA"/>
              </w:rPr>
            </w:pPr>
            <w:r>
              <w:rPr>
                <w:rFonts w:hint="default" w:ascii="Times New Roman" w:hAnsi="Times New Roman" w:cs="Times New Roman"/>
                <w:lang w:eastAsia="zh-CN"/>
              </w:rPr>
              <w:t>（</w:t>
            </w:r>
            <w:r>
              <w:rPr>
                <w:rFonts w:hint="default" w:ascii="Times New Roman" w:hAnsi="Times New Roman" w:cs="Times New Roman"/>
                <w:lang w:val="en-US" w:eastAsia="zh-CN"/>
              </w:rPr>
              <w:t>4</w:t>
            </w:r>
            <w:r>
              <w:rPr>
                <w:rFonts w:hint="default" w:ascii="Times New Roman" w:hAnsi="Times New Roman" w:cs="Times New Roman"/>
                <w:lang w:eastAsia="zh-CN"/>
              </w:rPr>
              <w:t>）</w:t>
            </w:r>
            <w:r>
              <w:rPr>
                <w:rFonts w:hint="default" w:ascii="Times New Roman" w:hAnsi="Times New Roman" w:cs="Times New Roman"/>
              </w:rPr>
              <w:t>实验室分析采用国家和行业标准分析方法；所用检测仪器设备状态正常且均在有效检定周期内。</w:t>
            </w:r>
          </w:p>
          <w:p w14:paraId="0CF7438A">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480" w:firstLineChars="200"/>
              <w:jc w:val="left"/>
              <w:textAlignment w:val="auto"/>
              <w:outlineLvl w:val="9"/>
              <w:rPr>
                <w:rFonts w:hint="eastAsia" w:ascii="Times New Roman" w:hAnsi="Times New Roman" w:eastAsia="宋体" w:cs="Times New Roman"/>
                <w:b w:val="0"/>
                <w:bCs/>
                <w:caps w:val="0"/>
                <w:kern w:val="2"/>
                <w:sz w:val="24"/>
                <w:szCs w:val="24"/>
                <w:highlight w:val="none"/>
                <w:lang w:val="en-US" w:eastAsia="zh-CN" w:bidi="ar-SA"/>
              </w:rPr>
            </w:pPr>
            <w:r>
              <w:rPr>
                <w:rFonts w:hint="default" w:ascii="Times New Roman" w:hAnsi="Times New Roman" w:eastAsia="宋体" w:cs="Times New Roman"/>
                <w:b w:val="0"/>
                <w:bCs/>
                <w:caps w:val="0"/>
                <w:kern w:val="2"/>
                <w:sz w:val="24"/>
                <w:szCs w:val="24"/>
                <w:highlight w:val="none"/>
                <w:lang w:val="en-US" w:eastAsia="zh-CN" w:bidi="ar-SA"/>
              </w:rPr>
              <w:t>本次检测</w:t>
            </w:r>
            <w:r>
              <w:rPr>
                <w:rFonts w:hint="eastAsia" w:ascii="Times New Roman" w:hAnsi="Times New Roman" w:eastAsia="宋体" w:cs="Times New Roman"/>
                <w:b w:val="0"/>
                <w:bCs/>
                <w:caps w:val="0"/>
                <w:kern w:val="2"/>
                <w:sz w:val="24"/>
                <w:szCs w:val="24"/>
                <w:highlight w:val="none"/>
                <w:lang w:val="en-US" w:eastAsia="zh-CN" w:bidi="ar-SA"/>
              </w:rPr>
              <w:t>的现场平行样结果、实验室平行样结果、质控样检测结果如下。</w:t>
            </w:r>
          </w:p>
          <w:p w14:paraId="41EA229B">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表</w:t>
            </w:r>
            <w:r>
              <w:rPr>
                <w:rFonts w:hint="eastAsia" w:ascii="Times New Roman" w:hAnsi="Times New Roman" w:eastAsia="宋体" w:cs="Times New Roman"/>
                <w:b/>
                <w:bCs/>
                <w:color w:val="000000"/>
                <w:sz w:val="24"/>
                <w:szCs w:val="24"/>
                <w:highlight w:val="none"/>
                <w:lang w:val="en-US" w:eastAsia="zh-CN"/>
              </w:rPr>
              <w:t>5-3</w:t>
            </w:r>
            <w:r>
              <w:rPr>
                <w:rFonts w:hint="default" w:ascii="Times New Roman" w:hAnsi="Times New Roman" w:eastAsia="宋体" w:cs="Times New Roman"/>
                <w:b/>
                <w:bCs/>
                <w:color w:val="000000"/>
                <w:sz w:val="24"/>
                <w:szCs w:val="24"/>
                <w:highlight w:val="none"/>
                <w:lang w:val="en-US" w:eastAsia="zh-CN"/>
              </w:rPr>
              <w:t xml:space="preserve">  </w:t>
            </w:r>
            <w:r>
              <w:rPr>
                <w:rFonts w:hint="eastAsia" w:ascii="Times New Roman" w:hAnsi="Times New Roman" w:eastAsia="宋体" w:cs="Times New Roman"/>
                <w:b/>
                <w:bCs/>
                <w:color w:val="000000"/>
                <w:sz w:val="24"/>
                <w:szCs w:val="24"/>
                <w:highlight w:val="none"/>
                <w:lang w:val="en-US" w:eastAsia="zh-CN"/>
              </w:rPr>
              <w:t>现场</w:t>
            </w:r>
            <w:r>
              <w:rPr>
                <w:rFonts w:hint="default" w:ascii="Times New Roman" w:hAnsi="Times New Roman" w:eastAsia="宋体" w:cs="Times New Roman"/>
                <w:b/>
                <w:bCs/>
                <w:color w:val="000000"/>
                <w:sz w:val="24"/>
                <w:szCs w:val="24"/>
                <w:highlight w:val="none"/>
                <w:lang w:val="en-US" w:eastAsia="zh-CN"/>
              </w:rPr>
              <w:t>平行样检测结果表</w:t>
            </w:r>
          </w:p>
          <w:tbl>
            <w:tblPr>
              <w:tblStyle w:val="31"/>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931"/>
              <w:gridCol w:w="2759"/>
              <w:gridCol w:w="1159"/>
              <w:gridCol w:w="896"/>
              <w:gridCol w:w="1128"/>
              <w:gridCol w:w="789"/>
              <w:gridCol w:w="687"/>
            </w:tblGrid>
            <w:tr w14:paraId="07D6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27" w:type="dxa"/>
                  <w:tcBorders>
                    <w:tl2br w:val="nil"/>
                    <w:tr2bl w:val="nil"/>
                  </w:tcBorders>
                  <w:noWrap w:val="0"/>
                  <w:vAlign w:val="center"/>
                </w:tcPr>
                <w:p w14:paraId="0E1FF9D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eastAsia" w:ascii="Times New Roman" w:hAnsi="Times New Roman" w:eastAsia="宋体" w:cs="Times New Roman"/>
                      <w:b/>
                      <w:bCs w:val="0"/>
                      <w:color w:val="auto"/>
                      <w:kern w:val="2"/>
                      <w:sz w:val="21"/>
                      <w:szCs w:val="21"/>
                      <w:highlight w:val="none"/>
                      <w:lang w:val="en-US" w:eastAsia="zh-CN" w:bidi="ar-SA"/>
                    </w:rPr>
                    <w:t>类别</w:t>
                  </w:r>
                </w:p>
              </w:tc>
              <w:tc>
                <w:tcPr>
                  <w:tcW w:w="931" w:type="dxa"/>
                  <w:tcBorders>
                    <w:tl2br w:val="nil"/>
                    <w:tr2bl w:val="nil"/>
                  </w:tcBorders>
                  <w:noWrap w:val="0"/>
                  <w:vAlign w:val="center"/>
                </w:tcPr>
                <w:p w14:paraId="35E3F96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项目</w:t>
                  </w:r>
                </w:p>
              </w:tc>
              <w:tc>
                <w:tcPr>
                  <w:tcW w:w="2759" w:type="dxa"/>
                  <w:tcBorders>
                    <w:tl2br w:val="nil"/>
                    <w:tr2bl w:val="nil"/>
                  </w:tcBorders>
                  <w:noWrap w:val="0"/>
                  <w:vAlign w:val="center"/>
                </w:tcPr>
                <w:p w14:paraId="10B7B0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样品编码</w:t>
                  </w:r>
                </w:p>
              </w:tc>
              <w:tc>
                <w:tcPr>
                  <w:tcW w:w="1159" w:type="dxa"/>
                  <w:tcBorders>
                    <w:tl2br w:val="nil"/>
                    <w:tr2bl w:val="nil"/>
                  </w:tcBorders>
                  <w:noWrap w:val="0"/>
                  <w:vAlign w:val="center"/>
                </w:tcPr>
                <w:p w14:paraId="38A86FA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分析结果（mg/L）</w:t>
                  </w:r>
                </w:p>
              </w:tc>
              <w:tc>
                <w:tcPr>
                  <w:tcW w:w="896" w:type="dxa"/>
                  <w:tcBorders>
                    <w:tl2br w:val="nil"/>
                    <w:tr2bl w:val="nil"/>
                  </w:tcBorders>
                  <w:noWrap w:val="0"/>
                  <w:vAlign w:val="center"/>
                </w:tcPr>
                <w:p w14:paraId="00EBC41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相对偏差(%)</w:t>
                  </w:r>
                </w:p>
              </w:tc>
              <w:tc>
                <w:tcPr>
                  <w:tcW w:w="1128" w:type="dxa"/>
                  <w:tcBorders>
                    <w:tl2br w:val="nil"/>
                    <w:tr2bl w:val="nil"/>
                  </w:tcBorders>
                  <w:noWrap w:val="0"/>
                  <w:vAlign w:val="center"/>
                </w:tcPr>
                <w:p w14:paraId="3E5960B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允许相对偏差(%)</w:t>
                  </w:r>
                </w:p>
              </w:tc>
              <w:tc>
                <w:tcPr>
                  <w:tcW w:w="789" w:type="dxa"/>
                  <w:tcBorders>
                    <w:tl2br w:val="nil"/>
                    <w:tr2bl w:val="nil"/>
                  </w:tcBorders>
                  <w:noWrap w:val="0"/>
                  <w:vAlign w:val="center"/>
                </w:tcPr>
                <w:p w14:paraId="539527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结果</w:t>
                  </w:r>
                </w:p>
                <w:p w14:paraId="7A21F2D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评价</w:t>
                  </w:r>
                </w:p>
              </w:tc>
              <w:tc>
                <w:tcPr>
                  <w:tcW w:w="687" w:type="dxa"/>
                  <w:tcBorders>
                    <w:tl2br w:val="nil"/>
                    <w:tr2bl w:val="nil"/>
                  </w:tcBorders>
                  <w:noWrap w:val="0"/>
                  <w:vAlign w:val="center"/>
                </w:tcPr>
                <w:p w14:paraId="06C8E21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备注</w:t>
                  </w:r>
                </w:p>
              </w:tc>
            </w:tr>
            <w:tr w14:paraId="4703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restart"/>
                  <w:tcBorders>
                    <w:tl2br w:val="nil"/>
                    <w:tr2bl w:val="nil"/>
                  </w:tcBorders>
                  <w:noWrap w:val="0"/>
                  <w:vAlign w:val="center"/>
                </w:tcPr>
                <w:p w14:paraId="5CD6779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废水</w:t>
                  </w:r>
                </w:p>
              </w:tc>
              <w:tc>
                <w:tcPr>
                  <w:tcW w:w="931" w:type="dxa"/>
                  <w:vMerge w:val="restart"/>
                  <w:tcBorders>
                    <w:tl2br w:val="nil"/>
                    <w:tr2bl w:val="nil"/>
                  </w:tcBorders>
                  <w:noWrap w:val="0"/>
                  <w:vAlign w:val="center"/>
                </w:tcPr>
                <w:p w14:paraId="5509B36A">
                  <w:pPr>
                    <w:spacing w:line="240" w:lineRule="auto"/>
                    <w:ind w:firstLine="0" w:firstLineChars="0"/>
                    <w:jc w:val="center"/>
                    <w:rPr>
                      <w:rFonts w:hint="eastAsia" w:ascii="Times New Roman" w:hAnsi="Times New Roman" w:eastAsia="宋体" w:cs="Times New Roman"/>
                      <w:b w:val="0"/>
                      <w:bCs/>
                      <w:sz w:val="21"/>
                      <w:szCs w:val="21"/>
                      <w:highlight w:val="none"/>
                      <w:lang w:eastAsia="zh-CN"/>
                    </w:rPr>
                  </w:pPr>
                  <w:r>
                    <w:rPr>
                      <w:rFonts w:hint="eastAsia" w:ascii="Times New Roman" w:hAnsi="Times New Roman" w:eastAsia="宋体" w:cs="Times New Roman"/>
                      <w:b w:val="0"/>
                      <w:bCs/>
                      <w:sz w:val="21"/>
                      <w:szCs w:val="21"/>
                      <w:highlight w:val="none"/>
                      <w:lang w:eastAsia="zh-CN"/>
                    </w:rPr>
                    <w:t>化学需</w:t>
                  </w:r>
                </w:p>
                <w:p w14:paraId="741FB57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color w:val="000000"/>
                      <w:kern w:val="2"/>
                      <w:sz w:val="21"/>
                      <w:szCs w:val="21"/>
                      <w:highlight w:val="none"/>
                      <w:lang w:val="en-US" w:eastAsia="zh-CN" w:bidi="ar-SA"/>
                    </w:rPr>
                    <w:t>氧量</w:t>
                  </w:r>
                </w:p>
              </w:tc>
              <w:tc>
                <w:tcPr>
                  <w:tcW w:w="2759" w:type="dxa"/>
                  <w:tcBorders>
                    <w:tl2br w:val="nil"/>
                    <w:tr2bl w:val="nil"/>
                  </w:tcBorders>
                  <w:noWrap w:val="0"/>
                  <w:vAlign w:val="center"/>
                </w:tcPr>
                <w:p w14:paraId="0BBC4DB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p>
              </w:tc>
              <w:tc>
                <w:tcPr>
                  <w:tcW w:w="1159" w:type="dxa"/>
                  <w:tcBorders>
                    <w:tl2br w:val="nil"/>
                    <w:tr2bl w:val="nil"/>
                  </w:tcBorders>
                  <w:noWrap w:val="0"/>
                  <w:vAlign w:val="center"/>
                </w:tcPr>
                <w:p w14:paraId="787E90A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254</w:t>
                  </w:r>
                </w:p>
              </w:tc>
              <w:tc>
                <w:tcPr>
                  <w:tcW w:w="896" w:type="dxa"/>
                  <w:vMerge w:val="restart"/>
                  <w:tcBorders>
                    <w:tl2br w:val="nil"/>
                    <w:tr2bl w:val="nil"/>
                  </w:tcBorders>
                  <w:noWrap w:val="0"/>
                  <w:vAlign w:val="center"/>
                </w:tcPr>
                <w:p w14:paraId="0079365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0.8</w:t>
                  </w:r>
                </w:p>
              </w:tc>
              <w:tc>
                <w:tcPr>
                  <w:tcW w:w="1128" w:type="dxa"/>
                  <w:vMerge w:val="restart"/>
                  <w:tcBorders>
                    <w:tl2br w:val="nil"/>
                    <w:tr2bl w:val="nil"/>
                  </w:tcBorders>
                  <w:noWrap w:val="0"/>
                  <w:vAlign w:val="center"/>
                </w:tcPr>
                <w:p w14:paraId="6C8CD0F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38AF191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restart"/>
                  <w:tcBorders>
                    <w:tl2br w:val="nil"/>
                    <w:tr2bl w:val="nil"/>
                  </w:tcBorders>
                  <w:noWrap w:val="0"/>
                  <w:vAlign w:val="center"/>
                </w:tcPr>
                <w:p w14:paraId="3ACA0E6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现场</w:t>
                  </w:r>
                  <w:r>
                    <w:rPr>
                      <w:rFonts w:hint="default" w:ascii="Times New Roman" w:hAnsi="Times New Roman" w:eastAsia="宋体" w:cs="Times New Roman"/>
                      <w:b w:val="0"/>
                      <w:bCs w:val="0"/>
                      <w:color w:val="auto"/>
                      <w:kern w:val="2"/>
                      <w:sz w:val="21"/>
                      <w:szCs w:val="21"/>
                      <w:highlight w:val="none"/>
                      <w:lang w:val="en-US" w:eastAsia="zh-CN" w:bidi="ar-SA"/>
                    </w:rPr>
                    <w:t>平行</w:t>
                  </w:r>
                </w:p>
              </w:tc>
            </w:tr>
            <w:tr w14:paraId="3B58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4A66B6A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66A4B3C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55768A0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r>
                    <w:rPr>
                      <w:rFonts w:hint="eastAsia" w:ascii="Times New Roman" w:hAnsi="宋体" w:eastAsia="宋体" w:cs="Times New Roman"/>
                      <w:b w:val="0"/>
                      <w:color w:val="000000"/>
                      <w:kern w:val="2"/>
                      <w:sz w:val="21"/>
                      <w:szCs w:val="21"/>
                      <w:highlight w:val="none"/>
                      <w:lang w:val="en-US" w:eastAsia="zh-CN" w:bidi="ar-SA"/>
                    </w:rPr>
                    <w:t>PX</w:t>
                  </w:r>
                </w:p>
              </w:tc>
              <w:tc>
                <w:tcPr>
                  <w:tcW w:w="1159" w:type="dxa"/>
                  <w:tcBorders>
                    <w:tl2br w:val="nil"/>
                    <w:tr2bl w:val="nil"/>
                  </w:tcBorders>
                  <w:noWrap w:val="0"/>
                  <w:vAlign w:val="center"/>
                </w:tcPr>
                <w:p w14:paraId="34A2311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250</w:t>
                  </w:r>
                </w:p>
              </w:tc>
              <w:tc>
                <w:tcPr>
                  <w:tcW w:w="896" w:type="dxa"/>
                  <w:vMerge w:val="continue"/>
                  <w:tcBorders>
                    <w:tl2br w:val="nil"/>
                    <w:tr2bl w:val="nil"/>
                  </w:tcBorders>
                  <w:noWrap w:val="0"/>
                  <w:vAlign w:val="center"/>
                </w:tcPr>
                <w:p w14:paraId="438571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4C72F59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0DD4321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5D5E70E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1CA1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32D5376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668E869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342572F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p>
              </w:tc>
              <w:tc>
                <w:tcPr>
                  <w:tcW w:w="1159" w:type="dxa"/>
                  <w:tcBorders>
                    <w:tl2br w:val="nil"/>
                    <w:tr2bl w:val="nil"/>
                  </w:tcBorders>
                  <w:noWrap w:val="0"/>
                  <w:vAlign w:val="center"/>
                </w:tcPr>
                <w:p w14:paraId="1F6E2AC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237</w:t>
                  </w:r>
                </w:p>
              </w:tc>
              <w:tc>
                <w:tcPr>
                  <w:tcW w:w="896" w:type="dxa"/>
                  <w:vMerge w:val="restart"/>
                  <w:tcBorders>
                    <w:tl2br w:val="nil"/>
                    <w:tr2bl w:val="nil"/>
                  </w:tcBorders>
                  <w:noWrap w:val="0"/>
                  <w:vAlign w:val="center"/>
                </w:tcPr>
                <w:p w14:paraId="31C360C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0.4</w:t>
                  </w:r>
                </w:p>
              </w:tc>
              <w:tc>
                <w:tcPr>
                  <w:tcW w:w="1128" w:type="dxa"/>
                  <w:vMerge w:val="restart"/>
                  <w:tcBorders>
                    <w:tl2br w:val="nil"/>
                    <w:tr2bl w:val="nil"/>
                  </w:tcBorders>
                  <w:noWrap w:val="0"/>
                  <w:vAlign w:val="center"/>
                </w:tcPr>
                <w:p w14:paraId="73FC50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768FC6F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03C6AD7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04FF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3A167BD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06324D4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730AB77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r>
                    <w:rPr>
                      <w:rFonts w:hint="eastAsia" w:ascii="Times New Roman" w:hAnsi="宋体" w:eastAsia="宋体" w:cs="Times New Roman"/>
                      <w:b w:val="0"/>
                      <w:color w:val="000000"/>
                      <w:kern w:val="2"/>
                      <w:sz w:val="21"/>
                      <w:szCs w:val="21"/>
                      <w:highlight w:val="none"/>
                      <w:lang w:val="en-US" w:eastAsia="zh-CN" w:bidi="ar-SA"/>
                    </w:rPr>
                    <w:t>PX</w:t>
                  </w:r>
                </w:p>
              </w:tc>
              <w:tc>
                <w:tcPr>
                  <w:tcW w:w="1159" w:type="dxa"/>
                  <w:tcBorders>
                    <w:tl2br w:val="nil"/>
                    <w:tr2bl w:val="nil"/>
                  </w:tcBorders>
                  <w:noWrap w:val="0"/>
                  <w:vAlign w:val="center"/>
                </w:tcPr>
                <w:p w14:paraId="2773E42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239</w:t>
                  </w:r>
                </w:p>
              </w:tc>
              <w:tc>
                <w:tcPr>
                  <w:tcW w:w="896" w:type="dxa"/>
                  <w:vMerge w:val="continue"/>
                  <w:tcBorders>
                    <w:tl2br w:val="nil"/>
                    <w:tr2bl w:val="nil"/>
                  </w:tcBorders>
                  <w:noWrap w:val="0"/>
                  <w:vAlign w:val="center"/>
                </w:tcPr>
                <w:p w14:paraId="1BDE315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5B45757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1F617A5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49CA983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4BEE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2E5D3A2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restart"/>
                  <w:tcBorders>
                    <w:tl2br w:val="nil"/>
                    <w:tr2bl w:val="nil"/>
                  </w:tcBorders>
                  <w:noWrap w:val="0"/>
                  <w:vAlign w:val="center"/>
                </w:tcPr>
                <w:p w14:paraId="3836D34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氨氮</w:t>
                  </w:r>
                </w:p>
              </w:tc>
              <w:tc>
                <w:tcPr>
                  <w:tcW w:w="2759" w:type="dxa"/>
                  <w:tcBorders>
                    <w:tl2br w:val="nil"/>
                    <w:tr2bl w:val="nil"/>
                  </w:tcBorders>
                  <w:noWrap w:val="0"/>
                  <w:vAlign w:val="center"/>
                </w:tcPr>
                <w:p w14:paraId="7E73AD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p>
              </w:tc>
              <w:tc>
                <w:tcPr>
                  <w:tcW w:w="1159" w:type="dxa"/>
                  <w:tcBorders>
                    <w:tl2br w:val="nil"/>
                    <w:tr2bl w:val="nil"/>
                  </w:tcBorders>
                  <w:noWrap w:val="0"/>
                  <w:vAlign w:val="center"/>
                </w:tcPr>
                <w:p w14:paraId="620B009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22.4</w:t>
                  </w:r>
                </w:p>
              </w:tc>
              <w:tc>
                <w:tcPr>
                  <w:tcW w:w="896" w:type="dxa"/>
                  <w:vMerge w:val="restart"/>
                  <w:tcBorders>
                    <w:tl2br w:val="nil"/>
                    <w:tr2bl w:val="nil"/>
                  </w:tcBorders>
                  <w:noWrap w:val="0"/>
                  <w:vAlign w:val="center"/>
                </w:tcPr>
                <w:p w14:paraId="4C8BF1D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1.4</w:t>
                  </w:r>
                </w:p>
              </w:tc>
              <w:tc>
                <w:tcPr>
                  <w:tcW w:w="1128" w:type="dxa"/>
                  <w:vMerge w:val="restart"/>
                  <w:tcBorders>
                    <w:tl2br w:val="nil"/>
                    <w:tr2bl w:val="nil"/>
                  </w:tcBorders>
                  <w:noWrap w:val="0"/>
                  <w:vAlign w:val="center"/>
                </w:tcPr>
                <w:p w14:paraId="0ACC25C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5F64E62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restart"/>
                  <w:tcBorders>
                    <w:tl2br w:val="nil"/>
                    <w:tr2bl w:val="nil"/>
                  </w:tcBorders>
                  <w:noWrap w:val="0"/>
                  <w:vAlign w:val="center"/>
                </w:tcPr>
                <w:p w14:paraId="3731081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现场</w:t>
                  </w:r>
                  <w:r>
                    <w:rPr>
                      <w:rFonts w:hint="default" w:ascii="Times New Roman" w:hAnsi="Times New Roman" w:eastAsia="宋体" w:cs="Times New Roman"/>
                      <w:b w:val="0"/>
                      <w:bCs w:val="0"/>
                      <w:color w:val="auto"/>
                      <w:kern w:val="2"/>
                      <w:sz w:val="21"/>
                      <w:szCs w:val="21"/>
                      <w:highlight w:val="none"/>
                      <w:lang w:val="en-US" w:eastAsia="zh-CN" w:bidi="ar-SA"/>
                    </w:rPr>
                    <w:t>平行</w:t>
                  </w:r>
                </w:p>
              </w:tc>
            </w:tr>
            <w:tr w14:paraId="3D945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0C31C97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53248C7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2E7EBF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r>
                    <w:rPr>
                      <w:rFonts w:hint="eastAsia" w:ascii="Times New Roman" w:hAnsi="宋体" w:eastAsia="宋体" w:cs="Times New Roman"/>
                      <w:b w:val="0"/>
                      <w:color w:val="000000"/>
                      <w:kern w:val="2"/>
                      <w:sz w:val="21"/>
                      <w:szCs w:val="21"/>
                      <w:highlight w:val="none"/>
                      <w:lang w:val="en-US" w:eastAsia="zh-CN" w:bidi="ar-SA"/>
                    </w:rPr>
                    <w:t>PX</w:t>
                  </w:r>
                </w:p>
              </w:tc>
              <w:tc>
                <w:tcPr>
                  <w:tcW w:w="1159" w:type="dxa"/>
                  <w:tcBorders>
                    <w:tl2br w:val="nil"/>
                    <w:tr2bl w:val="nil"/>
                  </w:tcBorders>
                  <w:noWrap w:val="0"/>
                  <w:vAlign w:val="center"/>
                </w:tcPr>
                <w:p w14:paraId="229138C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21.8</w:t>
                  </w:r>
                </w:p>
              </w:tc>
              <w:tc>
                <w:tcPr>
                  <w:tcW w:w="896" w:type="dxa"/>
                  <w:vMerge w:val="continue"/>
                  <w:tcBorders>
                    <w:tl2br w:val="nil"/>
                    <w:tr2bl w:val="nil"/>
                  </w:tcBorders>
                  <w:noWrap w:val="0"/>
                  <w:vAlign w:val="center"/>
                </w:tcPr>
                <w:p w14:paraId="79C4DB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7516EC6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7B1C8FF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1064292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5A7C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0CCDBBE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173B28B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01DC9C2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p>
              </w:tc>
              <w:tc>
                <w:tcPr>
                  <w:tcW w:w="1159" w:type="dxa"/>
                  <w:tcBorders>
                    <w:tl2br w:val="nil"/>
                    <w:tr2bl w:val="nil"/>
                  </w:tcBorders>
                  <w:noWrap w:val="0"/>
                  <w:vAlign w:val="center"/>
                </w:tcPr>
                <w:p w14:paraId="5F10AA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15.2</w:t>
                  </w:r>
                </w:p>
              </w:tc>
              <w:tc>
                <w:tcPr>
                  <w:tcW w:w="896" w:type="dxa"/>
                  <w:vMerge w:val="restart"/>
                  <w:tcBorders>
                    <w:tl2br w:val="nil"/>
                    <w:tr2bl w:val="nil"/>
                  </w:tcBorders>
                  <w:noWrap w:val="0"/>
                  <w:vAlign w:val="center"/>
                </w:tcPr>
                <w:p w14:paraId="30615C7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1.3</w:t>
                  </w:r>
                </w:p>
              </w:tc>
              <w:tc>
                <w:tcPr>
                  <w:tcW w:w="1128" w:type="dxa"/>
                  <w:vMerge w:val="restart"/>
                  <w:tcBorders>
                    <w:tl2br w:val="nil"/>
                    <w:tr2bl w:val="nil"/>
                  </w:tcBorders>
                  <w:noWrap w:val="0"/>
                  <w:vAlign w:val="center"/>
                </w:tcPr>
                <w:p w14:paraId="578B3A6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258BD09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4EE3864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0F00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5E89028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7184103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7BCA22E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r>
                    <w:rPr>
                      <w:rFonts w:hint="eastAsia" w:ascii="Times New Roman" w:hAnsi="宋体" w:eastAsia="宋体" w:cs="Times New Roman"/>
                      <w:b w:val="0"/>
                      <w:color w:val="000000"/>
                      <w:kern w:val="2"/>
                      <w:sz w:val="21"/>
                      <w:szCs w:val="21"/>
                      <w:highlight w:val="none"/>
                      <w:lang w:val="en-US" w:eastAsia="zh-CN" w:bidi="ar-SA"/>
                    </w:rPr>
                    <w:t>PX</w:t>
                  </w:r>
                </w:p>
              </w:tc>
              <w:tc>
                <w:tcPr>
                  <w:tcW w:w="1159" w:type="dxa"/>
                  <w:tcBorders>
                    <w:tl2br w:val="nil"/>
                    <w:tr2bl w:val="nil"/>
                  </w:tcBorders>
                  <w:noWrap w:val="0"/>
                  <w:vAlign w:val="center"/>
                </w:tcPr>
                <w:p w14:paraId="0409DE4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15.6</w:t>
                  </w:r>
                </w:p>
              </w:tc>
              <w:tc>
                <w:tcPr>
                  <w:tcW w:w="896" w:type="dxa"/>
                  <w:vMerge w:val="continue"/>
                  <w:tcBorders>
                    <w:tl2br w:val="nil"/>
                    <w:tr2bl w:val="nil"/>
                  </w:tcBorders>
                  <w:noWrap w:val="0"/>
                  <w:vAlign w:val="center"/>
                </w:tcPr>
                <w:p w14:paraId="0CED4CE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340331D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7B780EA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33FD440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487B3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4A08AED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restart"/>
                  <w:tcBorders>
                    <w:tl2br w:val="nil"/>
                    <w:tr2bl w:val="nil"/>
                  </w:tcBorders>
                  <w:noWrap w:val="0"/>
                  <w:vAlign w:val="center"/>
                </w:tcPr>
                <w:p w14:paraId="713269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总磷</w:t>
                  </w:r>
                </w:p>
              </w:tc>
              <w:tc>
                <w:tcPr>
                  <w:tcW w:w="2759" w:type="dxa"/>
                  <w:tcBorders>
                    <w:tl2br w:val="nil"/>
                    <w:tr2bl w:val="nil"/>
                  </w:tcBorders>
                  <w:noWrap w:val="0"/>
                  <w:vAlign w:val="center"/>
                </w:tcPr>
                <w:p w14:paraId="09A8122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p>
              </w:tc>
              <w:tc>
                <w:tcPr>
                  <w:tcW w:w="1159" w:type="dxa"/>
                  <w:tcBorders>
                    <w:tl2br w:val="nil"/>
                    <w:tr2bl w:val="nil"/>
                  </w:tcBorders>
                  <w:noWrap w:val="0"/>
                  <w:vAlign w:val="center"/>
                </w:tcPr>
                <w:p w14:paraId="4C00C8A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19.9</w:t>
                  </w:r>
                </w:p>
              </w:tc>
              <w:tc>
                <w:tcPr>
                  <w:tcW w:w="896" w:type="dxa"/>
                  <w:vMerge w:val="restart"/>
                  <w:tcBorders>
                    <w:tl2br w:val="nil"/>
                    <w:tr2bl w:val="nil"/>
                  </w:tcBorders>
                  <w:noWrap w:val="0"/>
                  <w:vAlign w:val="center"/>
                </w:tcPr>
                <w:p w14:paraId="7D6E601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2.1</w:t>
                  </w:r>
                </w:p>
              </w:tc>
              <w:tc>
                <w:tcPr>
                  <w:tcW w:w="1128" w:type="dxa"/>
                  <w:vMerge w:val="restart"/>
                  <w:tcBorders>
                    <w:tl2br w:val="nil"/>
                    <w:tr2bl w:val="nil"/>
                  </w:tcBorders>
                  <w:noWrap w:val="0"/>
                  <w:vAlign w:val="center"/>
                </w:tcPr>
                <w:p w14:paraId="000C85E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5</w:t>
                  </w:r>
                </w:p>
              </w:tc>
              <w:tc>
                <w:tcPr>
                  <w:tcW w:w="789" w:type="dxa"/>
                  <w:vMerge w:val="restart"/>
                  <w:tcBorders>
                    <w:tl2br w:val="nil"/>
                    <w:tr2bl w:val="nil"/>
                  </w:tcBorders>
                  <w:noWrap w:val="0"/>
                  <w:vAlign w:val="center"/>
                </w:tcPr>
                <w:p w14:paraId="3F67DF7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4D2D536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2F7B4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6E278E3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53353A8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4C79762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r>
                    <w:rPr>
                      <w:rFonts w:hint="eastAsia" w:ascii="Times New Roman" w:hAnsi="宋体" w:eastAsia="宋体" w:cs="Times New Roman"/>
                      <w:b w:val="0"/>
                      <w:color w:val="000000"/>
                      <w:kern w:val="2"/>
                      <w:sz w:val="21"/>
                      <w:szCs w:val="21"/>
                      <w:highlight w:val="none"/>
                      <w:lang w:val="en-US" w:eastAsia="zh-CN" w:bidi="ar-SA"/>
                    </w:rPr>
                    <w:t>PX</w:t>
                  </w:r>
                </w:p>
              </w:tc>
              <w:tc>
                <w:tcPr>
                  <w:tcW w:w="1159" w:type="dxa"/>
                  <w:tcBorders>
                    <w:tl2br w:val="nil"/>
                    <w:tr2bl w:val="nil"/>
                  </w:tcBorders>
                  <w:noWrap w:val="0"/>
                  <w:vAlign w:val="center"/>
                </w:tcPr>
                <w:p w14:paraId="66BA49B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21.4</w:t>
                  </w:r>
                </w:p>
              </w:tc>
              <w:tc>
                <w:tcPr>
                  <w:tcW w:w="896" w:type="dxa"/>
                  <w:vMerge w:val="continue"/>
                  <w:tcBorders>
                    <w:tl2br w:val="nil"/>
                    <w:tr2bl w:val="nil"/>
                  </w:tcBorders>
                  <w:noWrap w:val="0"/>
                  <w:vAlign w:val="center"/>
                </w:tcPr>
                <w:p w14:paraId="3F9044B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5EE59CA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423568A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2E40EF9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29E64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7" w:type="dxa"/>
                  <w:vMerge w:val="continue"/>
                  <w:tcBorders>
                    <w:tl2br w:val="nil"/>
                    <w:tr2bl w:val="nil"/>
                  </w:tcBorders>
                  <w:noWrap w:val="0"/>
                  <w:vAlign w:val="center"/>
                </w:tcPr>
                <w:p w14:paraId="432E5C9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4337DD5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27E42C5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p>
              </w:tc>
              <w:tc>
                <w:tcPr>
                  <w:tcW w:w="1159" w:type="dxa"/>
                  <w:tcBorders>
                    <w:tl2br w:val="nil"/>
                    <w:tr2bl w:val="nil"/>
                  </w:tcBorders>
                  <w:noWrap w:val="0"/>
                  <w:vAlign w:val="center"/>
                </w:tcPr>
                <w:p w14:paraId="6F7368E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18.2</w:t>
                  </w:r>
                </w:p>
              </w:tc>
              <w:tc>
                <w:tcPr>
                  <w:tcW w:w="896" w:type="dxa"/>
                  <w:vMerge w:val="restart"/>
                  <w:tcBorders>
                    <w:tl2br w:val="nil"/>
                    <w:tr2bl w:val="nil"/>
                  </w:tcBorders>
                  <w:noWrap w:val="0"/>
                  <w:vAlign w:val="center"/>
                </w:tcPr>
                <w:p w14:paraId="0051A66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2.7</w:t>
                  </w:r>
                </w:p>
              </w:tc>
              <w:tc>
                <w:tcPr>
                  <w:tcW w:w="1128" w:type="dxa"/>
                  <w:vMerge w:val="restart"/>
                  <w:tcBorders>
                    <w:tl2br w:val="nil"/>
                    <w:tr2bl w:val="nil"/>
                  </w:tcBorders>
                  <w:noWrap w:val="0"/>
                  <w:vAlign w:val="center"/>
                </w:tcPr>
                <w:p w14:paraId="553DE0F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5</w:t>
                  </w:r>
                </w:p>
              </w:tc>
              <w:tc>
                <w:tcPr>
                  <w:tcW w:w="789" w:type="dxa"/>
                  <w:vMerge w:val="restart"/>
                  <w:tcBorders>
                    <w:tl2br w:val="nil"/>
                    <w:tr2bl w:val="nil"/>
                  </w:tcBorders>
                  <w:noWrap w:val="0"/>
                  <w:vAlign w:val="center"/>
                </w:tcPr>
                <w:p w14:paraId="7115277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49F25C8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4E1A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27" w:type="dxa"/>
                  <w:vMerge w:val="continue"/>
                  <w:tcBorders>
                    <w:tl2br w:val="nil"/>
                    <w:tr2bl w:val="nil"/>
                  </w:tcBorders>
                  <w:noWrap w:val="0"/>
                  <w:vAlign w:val="center"/>
                </w:tcPr>
                <w:p w14:paraId="6A53825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31" w:type="dxa"/>
                  <w:vMerge w:val="continue"/>
                  <w:tcBorders>
                    <w:tl2br w:val="nil"/>
                    <w:tr2bl w:val="nil"/>
                  </w:tcBorders>
                  <w:noWrap w:val="0"/>
                  <w:vAlign w:val="center"/>
                </w:tcPr>
                <w:p w14:paraId="5BB14B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59" w:type="dxa"/>
                  <w:tcBorders>
                    <w:tl2br w:val="nil"/>
                    <w:tr2bl w:val="nil"/>
                  </w:tcBorders>
                  <w:noWrap w:val="0"/>
                  <w:vAlign w:val="center"/>
                </w:tcPr>
                <w:p w14:paraId="5A20612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r>
                    <w:rPr>
                      <w:rFonts w:hint="eastAsia" w:ascii="Times New Roman" w:hAnsi="宋体" w:eastAsia="宋体" w:cs="Times New Roman"/>
                      <w:b w:val="0"/>
                      <w:color w:val="000000"/>
                      <w:kern w:val="2"/>
                      <w:sz w:val="21"/>
                      <w:szCs w:val="21"/>
                      <w:highlight w:val="none"/>
                      <w:lang w:val="en-US" w:eastAsia="zh-CN" w:bidi="ar-SA"/>
                    </w:rPr>
                    <w:t>PX</w:t>
                  </w:r>
                </w:p>
              </w:tc>
              <w:tc>
                <w:tcPr>
                  <w:tcW w:w="1159" w:type="dxa"/>
                  <w:tcBorders>
                    <w:tl2br w:val="nil"/>
                    <w:tr2bl w:val="nil"/>
                  </w:tcBorders>
                  <w:noWrap w:val="0"/>
                  <w:vAlign w:val="center"/>
                </w:tcPr>
                <w:p w14:paraId="011A186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17.4</w:t>
                  </w:r>
                </w:p>
              </w:tc>
              <w:tc>
                <w:tcPr>
                  <w:tcW w:w="896" w:type="dxa"/>
                  <w:vMerge w:val="continue"/>
                  <w:tcBorders>
                    <w:tl2br w:val="nil"/>
                    <w:tr2bl w:val="nil"/>
                  </w:tcBorders>
                  <w:noWrap w:val="0"/>
                  <w:vAlign w:val="center"/>
                </w:tcPr>
                <w:p w14:paraId="6C1FEDC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15C737D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2B81BB4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6388C6F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bl>
          <w:p w14:paraId="23407BEC">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sz w:val="24"/>
                <w:szCs w:val="24"/>
                <w:highlight w:val="none"/>
                <w:lang w:val="en-US" w:eastAsia="zh-CN"/>
              </w:rPr>
            </w:pPr>
          </w:p>
          <w:p w14:paraId="6A61FA15">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sz w:val="24"/>
                <w:szCs w:val="24"/>
                <w:highlight w:val="none"/>
                <w:lang w:val="en-US" w:eastAsia="zh-CN"/>
              </w:rPr>
            </w:pPr>
          </w:p>
          <w:p w14:paraId="47FC962E">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sz w:val="24"/>
                <w:szCs w:val="24"/>
                <w:highlight w:val="none"/>
                <w:lang w:val="en-US" w:eastAsia="zh-CN"/>
              </w:rPr>
            </w:pPr>
          </w:p>
          <w:p w14:paraId="16EA82CB">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表</w:t>
            </w:r>
            <w:r>
              <w:rPr>
                <w:rFonts w:hint="eastAsia" w:ascii="Times New Roman" w:hAnsi="Times New Roman" w:eastAsia="宋体" w:cs="Times New Roman"/>
                <w:b/>
                <w:bCs/>
                <w:color w:val="000000"/>
                <w:sz w:val="24"/>
                <w:szCs w:val="24"/>
                <w:highlight w:val="none"/>
                <w:lang w:val="en-US" w:eastAsia="zh-CN"/>
              </w:rPr>
              <w:t>5-4</w:t>
            </w:r>
            <w:r>
              <w:rPr>
                <w:rFonts w:hint="default" w:ascii="Times New Roman" w:hAnsi="Times New Roman" w:eastAsia="宋体" w:cs="Times New Roman"/>
                <w:b/>
                <w:bCs/>
                <w:color w:val="000000"/>
                <w:sz w:val="24"/>
                <w:szCs w:val="24"/>
                <w:highlight w:val="none"/>
                <w:lang w:val="en-US" w:eastAsia="zh-CN"/>
              </w:rPr>
              <w:t xml:space="preserve">  </w:t>
            </w:r>
            <w:r>
              <w:rPr>
                <w:rFonts w:hint="eastAsia" w:ascii="Times New Roman" w:hAnsi="Times New Roman" w:eastAsia="宋体" w:cs="Times New Roman"/>
                <w:b/>
                <w:bCs/>
                <w:color w:val="000000"/>
                <w:sz w:val="24"/>
                <w:szCs w:val="24"/>
                <w:highlight w:val="none"/>
                <w:lang w:val="en-US" w:eastAsia="zh-CN"/>
              </w:rPr>
              <w:t>实验室</w:t>
            </w:r>
            <w:r>
              <w:rPr>
                <w:rFonts w:hint="default" w:ascii="Times New Roman" w:hAnsi="Times New Roman" w:eastAsia="宋体" w:cs="Times New Roman"/>
                <w:b/>
                <w:bCs/>
                <w:color w:val="000000"/>
                <w:sz w:val="24"/>
                <w:szCs w:val="24"/>
                <w:highlight w:val="none"/>
                <w:lang w:val="en-US" w:eastAsia="zh-CN"/>
              </w:rPr>
              <w:t>平行样检测结果表</w:t>
            </w:r>
          </w:p>
          <w:tbl>
            <w:tblPr>
              <w:tblStyle w:val="31"/>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927"/>
              <w:gridCol w:w="2766"/>
              <w:gridCol w:w="1159"/>
              <w:gridCol w:w="896"/>
              <w:gridCol w:w="1128"/>
              <w:gridCol w:w="789"/>
              <w:gridCol w:w="687"/>
            </w:tblGrid>
            <w:tr w14:paraId="361E2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jc w:val="center"/>
              </w:trPr>
              <w:tc>
                <w:tcPr>
                  <w:tcW w:w="824" w:type="dxa"/>
                  <w:tcBorders>
                    <w:tl2br w:val="nil"/>
                    <w:tr2bl w:val="nil"/>
                  </w:tcBorders>
                  <w:noWrap w:val="0"/>
                  <w:vAlign w:val="center"/>
                </w:tcPr>
                <w:p w14:paraId="33312F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eastAsia" w:ascii="Times New Roman" w:hAnsi="Times New Roman" w:eastAsia="宋体" w:cs="Times New Roman"/>
                      <w:b/>
                      <w:bCs w:val="0"/>
                      <w:color w:val="auto"/>
                      <w:kern w:val="2"/>
                      <w:sz w:val="21"/>
                      <w:szCs w:val="21"/>
                      <w:highlight w:val="none"/>
                      <w:lang w:val="en-US" w:eastAsia="zh-CN" w:bidi="ar-SA"/>
                    </w:rPr>
                    <w:t>类别</w:t>
                  </w:r>
                </w:p>
              </w:tc>
              <w:tc>
                <w:tcPr>
                  <w:tcW w:w="927" w:type="dxa"/>
                  <w:tcBorders>
                    <w:tl2br w:val="nil"/>
                    <w:tr2bl w:val="nil"/>
                  </w:tcBorders>
                  <w:noWrap w:val="0"/>
                  <w:vAlign w:val="center"/>
                </w:tcPr>
                <w:p w14:paraId="225FB43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项目</w:t>
                  </w:r>
                </w:p>
              </w:tc>
              <w:tc>
                <w:tcPr>
                  <w:tcW w:w="2766" w:type="dxa"/>
                  <w:tcBorders>
                    <w:tl2br w:val="nil"/>
                    <w:tr2bl w:val="nil"/>
                  </w:tcBorders>
                  <w:noWrap w:val="0"/>
                  <w:vAlign w:val="center"/>
                </w:tcPr>
                <w:p w14:paraId="5E68440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样品编码</w:t>
                  </w:r>
                </w:p>
              </w:tc>
              <w:tc>
                <w:tcPr>
                  <w:tcW w:w="1159" w:type="dxa"/>
                  <w:tcBorders>
                    <w:tl2br w:val="nil"/>
                    <w:tr2bl w:val="nil"/>
                  </w:tcBorders>
                  <w:noWrap w:val="0"/>
                  <w:vAlign w:val="center"/>
                </w:tcPr>
                <w:p w14:paraId="2707AE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分析结果（mg/L）</w:t>
                  </w:r>
                </w:p>
              </w:tc>
              <w:tc>
                <w:tcPr>
                  <w:tcW w:w="896" w:type="dxa"/>
                  <w:tcBorders>
                    <w:tl2br w:val="nil"/>
                    <w:tr2bl w:val="nil"/>
                  </w:tcBorders>
                  <w:noWrap w:val="0"/>
                  <w:vAlign w:val="center"/>
                </w:tcPr>
                <w:p w14:paraId="2549E47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相对偏差(%)</w:t>
                  </w:r>
                </w:p>
              </w:tc>
              <w:tc>
                <w:tcPr>
                  <w:tcW w:w="1128" w:type="dxa"/>
                  <w:tcBorders>
                    <w:tl2br w:val="nil"/>
                    <w:tr2bl w:val="nil"/>
                  </w:tcBorders>
                  <w:noWrap w:val="0"/>
                  <w:vAlign w:val="center"/>
                </w:tcPr>
                <w:p w14:paraId="1B59A70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允许相对偏差(%)</w:t>
                  </w:r>
                </w:p>
              </w:tc>
              <w:tc>
                <w:tcPr>
                  <w:tcW w:w="789" w:type="dxa"/>
                  <w:tcBorders>
                    <w:tl2br w:val="nil"/>
                    <w:tr2bl w:val="nil"/>
                  </w:tcBorders>
                  <w:noWrap w:val="0"/>
                  <w:vAlign w:val="center"/>
                </w:tcPr>
                <w:p w14:paraId="7CF81A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结果</w:t>
                  </w:r>
                </w:p>
                <w:p w14:paraId="0CA2399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评价</w:t>
                  </w:r>
                </w:p>
              </w:tc>
              <w:tc>
                <w:tcPr>
                  <w:tcW w:w="687" w:type="dxa"/>
                  <w:tcBorders>
                    <w:tl2br w:val="nil"/>
                    <w:tr2bl w:val="nil"/>
                  </w:tcBorders>
                  <w:noWrap w:val="0"/>
                  <w:vAlign w:val="center"/>
                </w:tcPr>
                <w:p w14:paraId="51E1935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bCs w:val="0"/>
                      <w:color w:val="auto"/>
                      <w:kern w:val="2"/>
                      <w:sz w:val="21"/>
                      <w:szCs w:val="21"/>
                      <w:highlight w:val="none"/>
                      <w:lang w:val="en-US" w:eastAsia="zh-CN" w:bidi="ar-SA"/>
                    </w:rPr>
                    <w:t>备注</w:t>
                  </w:r>
                </w:p>
              </w:tc>
            </w:tr>
            <w:tr w14:paraId="2C4DD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restart"/>
                  <w:tcBorders>
                    <w:tl2br w:val="nil"/>
                    <w:tr2bl w:val="nil"/>
                  </w:tcBorders>
                  <w:noWrap w:val="0"/>
                  <w:vAlign w:val="center"/>
                </w:tcPr>
                <w:p w14:paraId="5BBC041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废水</w:t>
                  </w:r>
                </w:p>
              </w:tc>
              <w:tc>
                <w:tcPr>
                  <w:tcW w:w="927" w:type="dxa"/>
                  <w:vMerge w:val="restart"/>
                  <w:tcBorders>
                    <w:tl2br w:val="nil"/>
                    <w:tr2bl w:val="nil"/>
                  </w:tcBorders>
                  <w:noWrap w:val="0"/>
                  <w:vAlign w:val="center"/>
                </w:tcPr>
                <w:p w14:paraId="5192882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化学需氧量</w:t>
                  </w:r>
                </w:p>
              </w:tc>
              <w:tc>
                <w:tcPr>
                  <w:tcW w:w="2766" w:type="dxa"/>
                  <w:tcBorders>
                    <w:tl2br w:val="nil"/>
                    <w:tr2bl w:val="nil"/>
                  </w:tcBorders>
                  <w:noWrap w:val="0"/>
                  <w:vAlign w:val="center"/>
                </w:tcPr>
                <w:p w14:paraId="7A8CB79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PST051901250523028-1</w:t>
                  </w:r>
                </w:p>
              </w:tc>
              <w:tc>
                <w:tcPr>
                  <w:tcW w:w="1159" w:type="dxa"/>
                  <w:tcBorders>
                    <w:tl2br w:val="nil"/>
                    <w:tr2bl w:val="nil"/>
                  </w:tcBorders>
                  <w:noWrap w:val="0"/>
                  <w:vAlign w:val="center"/>
                </w:tcPr>
                <w:p w14:paraId="16AB9B1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372</w:t>
                  </w:r>
                </w:p>
              </w:tc>
              <w:tc>
                <w:tcPr>
                  <w:tcW w:w="896" w:type="dxa"/>
                  <w:vMerge w:val="restart"/>
                  <w:tcBorders>
                    <w:tl2br w:val="nil"/>
                    <w:tr2bl w:val="nil"/>
                  </w:tcBorders>
                  <w:noWrap w:val="0"/>
                  <w:vAlign w:val="center"/>
                </w:tcPr>
                <w:p w14:paraId="4CEC151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0.8</w:t>
                  </w:r>
                </w:p>
              </w:tc>
              <w:tc>
                <w:tcPr>
                  <w:tcW w:w="1128" w:type="dxa"/>
                  <w:vMerge w:val="restart"/>
                  <w:tcBorders>
                    <w:tl2br w:val="nil"/>
                    <w:tr2bl w:val="nil"/>
                  </w:tcBorders>
                  <w:noWrap w:val="0"/>
                  <w:vAlign w:val="center"/>
                </w:tcPr>
                <w:p w14:paraId="190FBB2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790D050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restart"/>
                  <w:tcBorders>
                    <w:tl2br w:val="nil"/>
                    <w:tr2bl w:val="nil"/>
                  </w:tcBorders>
                  <w:noWrap w:val="0"/>
                  <w:vAlign w:val="center"/>
                </w:tcPr>
                <w:p w14:paraId="14421C7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实验室</w:t>
                  </w:r>
                  <w:r>
                    <w:rPr>
                      <w:rFonts w:hint="default" w:ascii="Times New Roman" w:hAnsi="Times New Roman" w:eastAsia="宋体" w:cs="Times New Roman"/>
                      <w:b w:val="0"/>
                      <w:bCs w:val="0"/>
                      <w:color w:val="auto"/>
                      <w:kern w:val="2"/>
                      <w:sz w:val="21"/>
                      <w:szCs w:val="21"/>
                      <w:highlight w:val="none"/>
                      <w:lang w:val="en-US" w:eastAsia="zh-CN" w:bidi="ar-SA"/>
                    </w:rPr>
                    <w:t>平行</w:t>
                  </w:r>
                </w:p>
              </w:tc>
            </w:tr>
            <w:tr w14:paraId="3B7C8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207E48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00013A8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696057D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PST051901250523028-1</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7739372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366</w:t>
                  </w:r>
                </w:p>
              </w:tc>
              <w:tc>
                <w:tcPr>
                  <w:tcW w:w="896" w:type="dxa"/>
                  <w:vMerge w:val="continue"/>
                  <w:tcBorders>
                    <w:tl2br w:val="nil"/>
                    <w:tr2bl w:val="nil"/>
                  </w:tcBorders>
                  <w:noWrap w:val="0"/>
                  <w:vAlign w:val="center"/>
                </w:tcPr>
                <w:p w14:paraId="2653D15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4F20489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5956F3F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7D76339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75D5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2C01A34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1A7AD82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5A6F286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PST051901250524028-1</w:t>
                  </w:r>
                </w:p>
              </w:tc>
              <w:tc>
                <w:tcPr>
                  <w:tcW w:w="1159" w:type="dxa"/>
                  <w:tcBorders>
                    <w:tl2br w:val="nil"/>
                    <w:tr2bl w:val="nil"/>
                  </w:tcBorders>
                  <w:noWrap w:val="0"/>
                  <w:vAlign w:val="center"/>
                </w:tcPr>
                <w:p w14:paraId="058E1CE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122</w:t>
                  </w:r>
                </w:p>
              </w:tc>
              <w:tc>
                <w:tcPr>
                  <w:tcW w:w="896" w:type="dxa"/>
                  <w:vMerge w:val="restart"/>
                  <w:tcBorders>
                    <w:tl2br w:val="nil"/>
                    <w:tr2bl w:val="nil"/>
                  </w:tcBorders>
                  <w:noWrap w:val="0"/>
                  <w:vAlign w:val="center"/>
                </w:tcPr>
                <w:p w14:paraId="33646C1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1.7</w:t>
                  </w:r>
                </w:p>
              </w:tc>
              <w:tc>
                <w:tcPr>
                  <w:tcW w:w="1128" w:type="dxa"/>
                  <w:vMerge w:val="restart"/>
                  <w:tcBorders>
                    <w:tl2br w:val="nil"/>
                    <w:tr2bl w:val="nil"/>
                  </w:tcBorders>
                  <w:noWrap w:val="0"/>
                  <w:vAlign w:val="center"/>
                </w:tcPr>
                <w:p w14:paraId="124CE0D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6E3682F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0ECD07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223F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24" w:type="dxa"/>
                  <w:vMerge w:val="continue"/>
                  <w:tcBorders>
                    <w:tl2br w:val="nil"/>
                    <w:tr2bl w:val="nil"/>
                  </w:tcBorders>
                  <w:noWrap w:val="0"/>
                  <w:vAlign w:val="center"/>
                </w:tcPr>
                <w:p w14:paraId="2D5311B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0215923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3B5A815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PST051901250524028-1</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562B66E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118</w:t>
                  </w:r>
                </w:p>
              </w:tc>
              <w:tc>
                <w:tcPr>
                  <w:tcW w:w="896" w:type="dxa"/>
                  <w:vMerge w:val="continue"/>
                  <w:tcBorders>
                    <w:tl2br w:val="nil"/>
                    <w:tr2bl w:val="nil"/>
                  </w:tcBorders>
                  <w:noWrap w:val="0"/>
                  <w:vAlign w:val="center"/>
                </w:tcPr>
                <w:p w14:paraId="0877503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48D847A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6AA9E00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60723D7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5F472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5A46B1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restart"/>
                  <w:tcBorders>
                    <w:tl2br w:val="nil"/>
                    <w:tr2bl w:val="nil"/>
                  </w:tcBorders>
                  <w:noWrap w:val="0"/>
                  <w:vAlign w:val="center"/>
                </w:tcPr>
                <w:p w14:paraId="786F334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五日生化需氧量</w:t>
                  </w:r>
                </w:p>
              </w:tc>
              <w:tc>
                <w:tcPr>
                  <w:tcW w:w="2766" w:type="dxa"/>
                  <w:tcBorders>
                    <w:tl2br w:val="nil"/>
                    <w:tr2bl w:val="nil"/>
                  </w:tcBorders>
                  <w:noWrap w:val="0"/>
                  <w:vAlign w:val="center"/>
                </w:tcPr>
                <w:p w14:paraId="2F80F8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PST051901250523025-3</w:t>
                  </w:r>
                </w:p>
              </w:tc>
              <w:tc>
                <w:tcPr>
                  <w:tcW w:w="1159" w:type="dxa"/>
                  <w:tcBorders>
                    <w:tl2br w:val="nil"/>
                    <w:tr2bl w:val="nil"/>
                  </w:tcBorders>
                  <w:noWrap w:val="0"/>
                  <w:vAlign w:val="center"/>
                </w:tcPr>
                <w:p w14:paraId="7111AE3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84.5</w:t>
                  </w:r>
                </w:p>
              </w:tc>
              <w:tc>
                <w:tcPr>
                  <w:tcW w:w="896" w:type="dxa"/>
                  <w:vMerge w:val="restart"/>
                  <w:tcBorders>
                    <w:tl2br w:val="nil"/>
                    <w:tr2bl w:val="nil"/>
                  </w:tcBorders>
                  <w:noWrap w:val="0"/>
                  <w:vAlign w:val="center"/>
                </w:tcPr>
                <w:p w14:paraId="66F62C9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0.1</w:t>
                  </w:r>
                </w:p>
              </w:tc>
              <w:tc>
                <w:tcPr>
                  <w:tcW w:w="1128" w:type="dxa"/>
                  <w:vMerge w:val="restart"/>
                  <w:tcBorders>
                    <w:tl2br w:val="nil"/>
                    <w:tr2bl w:val="nil"/>
                  </w:tcBorders>
                  <w:noWrap w:val="0"/>
                  <w:vAlign w:val="center"/>
                </w:tcPr>
                <w:p w14:paraId="1B758CD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20</w:t>
                  </w:r>
                </w:p>
              </w:tc>
              <w:tc>
                <w:tcPr>
                  <w:tcW w:w="789" w:type="dxa"/>
                  <w:vMerge w:val="restart"/>
                  <w:tcBorders>
                    <w:tl2br w:val="nil"/>
                    <w:tr2bl w:val="nil"/>
                  </w:tcBorders>
                  <w:noWrap w:val="0"/>
                  <w:vAlign w:val="center"/>
                </w:tcPr>
                <w:p w14:paraId="0F6E2BD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11B3144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1E8B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7E6DDA1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513EB2B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3EAFA3A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PST051901250523025-3</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544154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84.6</w:t>
                  </w:r>
                </w:p>
              </w:tc>
              <w:tc>
                <w:tcPr>
                  <w:tcW w:w="896" w:type="dxa"/>
                  <w:vMerge w:val="continue"/>
                  <w:tcBorders>
                    <w:tl2br w:val="nil"/>
                    <w:tr2bl w:val="nil"/>
                  </w:tcBorders>
                  <w:noWrap w:val="0"/>
                  <w:vAlign w:val="center"/>
                </w:tcPr>
                <w:p w14:paraId="3CE94B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64E5623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3909300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3558B2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062D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507F7A1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02243C1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133769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PST051901250524025-3</w:t>
                  </w:r>
                </w:p>
              </w:tc>
              <w:tc>
                <w:tcPr>
                  <w:tcW w:w="1159" w:type="dxa"/>
                  <w:tcBorders>
                    <w:tl2br w:val="nil"/>
                    <w:tr2bl w:val="nil"/>
                  </w:tcBorders>
                  <w:noWrap w:val="0"/>
                  <w:vAlign w:val="center"/>
                </w:tcPr>
                <w:p w14:paraId="0EAB6E8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78.7</w:t>
                  </w:r>
                </w:p>
              </w:tc>
              <w:tc>
                <w:tcPr>
                  <w:tcW w:w="896" w:type="dxa"/>
                  <w:vMerge w:val="restart"/>
                  <w:tcBorders>
                    <w:tl2br w:val="nil"/>
                    <w:tr2bl w:val="nil"/>
                  </w:tcBorders>
                  <w:noWrap w:val="0"/>
                  <w:vAlign w:val="center"/>
                </w:tcPr>
                <w:p w14:paraId="313AA44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0.3</w:t>
                  </w:r>
                </w:p>
              </w:tc>
              <w:tc>
                <w:tcPr>
                  <w:tcW w:w="1128" w:type="dxa"/>
                  <w:vMerge w:val="restart"/>
                  <w:tcBorders>
                    <w:tl2br w:val="nil"/>
                    <w:tr2bl w:val="nil"/>
                  </w:tcBorders>
                  <w:noWrap w:val="0"/>
                  <w:vAlign w:val="center"/>
                </w:tcPr>
                <w:p w14:paraId="13CFC23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20</w:t>
                  </w:r>
                </w:p>
              </w:tc>
              <w:tc>
                <w:tcPr>
                  <w:tcW w:w="789" w:type="dxa"/>
                  <w:vMerge w:val="restart"/>
                  <w:tcBorders>
                    <w:tl2br w:val="nil"/>
                    <w:tr2bl w:val="nil"/>
                  </w:tcBorders>
                  <w:noWrap w:val="0"/>
                  <w:vAlign w:val="center"/>
                </w:tcPr>
                <w:p w14:paraId="1400618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sz w:val="36"/>
                      <w:szCs w:val="36"/>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continue"/>
                  <w:tcBorders>
                    <w:tl2br w:val="nil"/>
                    <w:tr2bl w:val="nil"/>
                  </w:tcBorders>
                  <w:noWrap w:val="0"/>
                  <w:vAlign w:val="center"/>
                </w:tcPr>
                <w:p w14:paraId="16FED0A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320D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711835A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59DCDA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76D2F3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PST051901250524025-3</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104E48D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79.2</w:t>
                  </w:r>
                </w:p>
              </w:tc>
              <w:tc>
                <w:tcPr>
                  <w:tcW w:w="896" w:type="dxa"/>
                  <w:vMerge w:val="continue"/>
                  <w:tcBorders>
                    <w:tl2br w:val="nil"/>
                    <w:tr2bl w:val="nil"/>
                  </w:tcBorders>
                  <w:noWrap w:val="0"/>
                  <w:vAlign w:val="center"/>
                </w:tcPr>
                <w:p w14:paraId="5F49A22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7E6ECBD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79C7753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013FD26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7645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11496E1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restart"/>
                  <w:tcBorders>
                    <w:tl2br w:val="nil"/>
                    <w:tr2bl w:val="nil"/>
                  </w:tcBorders>
                  <w:noWrap w:val="0"/>
                  <w:vAlign w:val="center"/>
                </w:tcPr>
                <w:p w14:paraId="02D2E83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氨氮</w:t>
                  </w:r>
                </w:p>
              </w:tc>
              <w:tc>
                <w:tcPr>
                  <w:tcW w:w="2766" w:type="dxa"/>
                  <w:tcBorders>
                    <w:tl2br w:val="nil"/>
                    <w:tr2bl w:val="nil"/>
                  </w:tcBorders>
                  <w:noWrap w:val="0"/>
                  <w:vAlign w:val="center"/>
                </w:tcPr>
                <w:p w14:paraId="1DCBBBD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PST051901250523028-1</w:t>
                  </w:r>
                </w:p>
              </w:tc>
              <w:tc>
                <w:tcPr>
                  <w:tcW w:w="1159" w:type="dxa"/>
                  <w:tcBorders>
                    <w:tl2br w:val="nil"/>
                    <w:tr2bl w:val="nil"/>
                  </w:tcBorders>
                  <w:noWrap w:val="0"/>
                  <w:vAlign w:val="center"/>
                </w:tcPr>
                <w:p w14:paraId="1DA79F4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21.4</w:t>
                  </w:r>
                </w:p>
              </w:tc>
              <w:tc>
                <w:tcPr>
                  <w:tcW w:w="896" w:type="dxa"/>
                  <w:vMerge w:val="restart"/>
                  <w:tcBorders>
                    <w:tl2br w:val="nil"/>
                    <w:tr2bl w:val="nil"/>
                  </w:tcBorders>
                  <w:noWrap w:val="0"/>
                  <w:vAlign w:val="center"/>
                </w:tcPr>
                <w:p w14:paraId="4985229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1.2</w:t>
                  </w:r>
                </w:p>
              </w:tc>
              <w:tc>
                <w:tcPr>
                  <w:tcW w:w="1128" w:type="dxa"/>
                  <w:vMerge w:val="restart"/>
                  <w:tcBorders>
                    <w:tl2br w:val="nil"/>
                    <w:tr2bl w:val="nil"/>
                  </w:tcBorders>
                  <w:noWrap w:val="0"/>
                  <w:vAlign w:val="center"/>
                </w:tcPr>
                <w:p w14:paraId="328EBBE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6CAE5AA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sz w:val="36"/>
                      <w:szCs w:val="36"/>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continue"/>
                  <w:tcBorders>
                    <w:tl2br w:val="nil"/>
                    <w:tr2bl w:val="nil"/>
                  </w:tcBorders>
                  <w:noWrap w:val="0"/>
                  <w:vAlign w:val="center"/>
                </w:tcPr>
                <w:p w14:paraId="0349944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5E2E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185ED16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5D56ACF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65AB28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PST051901250523028-1</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6D03402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21.9</w:t>
                  </w:r>
                </w:p>
              </w:tc>
              <w:tc>
                <w:tcPr>
                  <w:tcW w:w="896" w:type="dxa"/>
                  <w:vMerge w:val="continue"/>
                  <w:tcBorders>
                    <w:tl2br w:val="nil"/>
                    <w:tr2bl w:val="nil"/>
                  </w:tcBorders>
                  <w:noWrap w:val="0"/>
                  <w:vAlign w:val="center"/>
                </w:tcPr>
                <w:p w14:paraId="54C44FF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74CCEB1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76E62D6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6715E5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7D11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49C94AC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566E98E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7019712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PST051901250524028-1</w:t>
                  </w:r>
                </w:p>
              </w:tc>
              <w:tc>
                <w:tcPr>
                  <w:tcW w:w="1159" w:type="dxa"/>
                  <w:tcBorders>
                    <w:tl2br w:val="nil"/>
                    <w:tr2bl w:val="nil"/>
                  </w:tcBorders>
                  <w:noWrap w:val="0"/>
                  <w:vAlign w:val="center"/>
                </w:tcPr>
                <w:p w14:paraId="6033DFF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17.0</w:t>
                  </w:r>
                </w:p>
              </w:tc>
              <w:tc>
                <w:tcPr>
                  <w:tcW w:w="896" w:type="dxa"/>
                  <w:vMerge w:val="restart"/>
                  <w:tcBorders>
                    <w:tl2br w:val="nil"/>
                    <w:tr2bl w:val="nil"/>
                  </w:tcBorders>
                  <w:noWrap w:val="0"/>
                  <w:vAlign w:val="center"/>
                </w:tcPr>
                <w:p w14:paraId="1B3D07C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1.8</w:t>
                  </w:r>
                </w:p>
              </w:tc>
              <w:tc>
                <w:tcPr>
                  <w:tcW w:w="1128" w:type="dxa"/>
                  <w:vMerge w:val="restart"/>
                  <w:tcBorders>
                    <w:tl2br w:val="nil"/>
                    <w:tr2bl w:val="nil"/>
                  </w:tcBorders>
                  <w:noWrap w:val="0"/>
                  <w:vAlign w:val="center"/>
                </w:tcPr>
                <w:p w14:paraId="05491D8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10</w:t>
                  </w:r>
                </w:p>
              </w:tc>
              <w:tc>
                <w:tcPr>
                  <w:tcW w:w="789" w:type="dxa"/>
                  <w:vMerge w:val="restart"/>
                  <w:tcBorders>
                    <w:tl2br w:val="nil"/>
                    <w:tr2bl w:val="nil"/>
                  </w:tcBorders>
                  <w:noWrap w:val="0"/>
                  <w:vAlign w:val="center"/>
                </w:tcPr>
                <w:p w14:paraId="6FACA1A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continue"/>
                  <w:tcBorders>
                    <w:tl2br w:val="nil"/>
                    <w:tr2bl w:val="nil"/>
                  </w:tcBorders>
                  <w:noWrap w:val="0"/>
                  <w:vAlign w:val="center"/>
                </w:tcPr>
                <w:p w14:paraId="0B0A56C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19B8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4469251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4669A22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2925FEA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PST051901250524028-1</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37677FD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16.4</w:t>
                  </w:r>
                </w:p>
              </w:tc>
              <w:tc>
                <w:tcPr>
                  <w:tcW w:w="896" w:type="dxa"/>
                  <w:vMerge w:val="continue"/>
                  <w:tcBorders>
                    <w:tl2br w:val="nil"/>
                    <w:tr2bl w:val="nil"/>
                  </w:tcBorders>
                  <w:noWrap w:val="0"/>
                  <w:vAlign w:val="center"/>
                </w:tcPr>
                <w:p w14:paraId="554CE8B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1F73578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1346708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59E129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755E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3677830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restart"/>
                  <w:tcBorders>
                    <w:tl2br w:val="nil"/>
                    <w:tr2bl w:val="nil"/>
                  </w:tcBorders>
                  <w:noWrap w:val="0"/>
                  <w:vAlign w:val="center"/>
                </w:tcPr>
                <w:p w14:paraId="3F9D639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总磷</w:t>
                  </w:r>
                </w:p>
              </w:tc>
              <w:tc>
                <w:tcPr>
                  <w:tcW w:w="2766" w:type="dxa"/>
                  <w:tcBorders>
                    <w:tl2br w:val="nil"/>
                    <w:tr2bl w:val="nil"/>
                  </w:tcBorders>
                  <w:noWrap w:val="0"/>
                  <w:vAlign w:val="center"/>
                </w:tcPr>
                <w:p w14:paraId="3C4B922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p>
              </w:tc>
              <w:tc>
                <w:tcPr>
                  <w:tcW w:w="1159" w:type="dxa"/>
                  <w:tcBorders>
                    <w:tl2br w:val="nil"/>
                    <w:tr2bl w:val="nil"/>
                  </w:tcBorders>
                  <w:noWrap w:val="0"/>
                  <w:vAlign w:val="center"/>
                </w:tcPr>
                <w:p w14:paraId="038DE83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20.5</w:t>
                  </w:r>
                </w:p>
              </w:tc>
              <w:tc>
                <w:tcPr>
                  <w:tcW w:w="896" w:type="dxa"/>
                  <w:vMerge w:val="restart"/>
                  <w:tcBorders>
                    <w:tl2br w:val="nil"/>
                    <w:tr2bl w:val="nil"/>
                  </w:tcBorders>
                  <w:noWrap w:val="0"/>
                  <w:vAlign w:val="center"/>
                </w:tcPr>
                <w:p w14:paraId="2CFA51A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1.5</w:t>
                  </w:r>
                </w:p>
              </w:tc>
              <w:tc>
                <w:tcPr>
                  <w:tcW w:w="1128" w:type="dxa"/>
                  <w:vMerge w:val="restart"/>
                  <w:tcBorders>
                    <w:tl2br w:val="nil"/>
                    <w:tr2bl w:val="nil"/>
                  </w:tcBorders>
                  <w:noWrap w:val="0"/>
                  <w:vAlign w:val="center"/>
                </w:tcPr>
                <w:p w14:paraId="5C00DC2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5</w:t>
                  </w:r>
                </w:p>
              </w:tc>
              <w:tc>
                <w:tcPr>
                  <w:tcW w:w="789" w:type="dxa"/>
                  <w:vMerge w:val="restart"/>
                  <w:tcBorders>
                    <w:tl2br w:val="nil"/>
                    <w:tr2bl w:val="nil"/>
                  </w:tcBorders>
                  <w:noWrap w:val="0"/>
                  <w:vAlign w:val="center"/>
                </w:tcPr>
                <w:p w14:paraId="36385C5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continue"/>
                  <w:tcBorders>
                    <w:tl2br w:val="nil"/>
                    <w:tr2bl w:val="nil"/>
                  </w:tcBorders>
                  <w:noWrap w:val="0"/>
                  <w:vAlign w:val="center"/>
                </w:tcPr>
                <w:p w14:paraId="7FD1C8E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15A4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464869C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2F6FBF7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00ECBD0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PST051901250523025-1</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4E262A4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19.9</w:t>
                  </w:r>
                </w:p>
              </w:tc>
              <w:tc>
                <w:tcPr>
                  <w:tcW w:w="896" w:type="dxa"/>
                  <w:vMerge w:val="continue"/>
                  <w:tcBorders>
                    <w:tl2br w:val="nil"/>
                    <w:tr2bl w:val="nil"/>
                  </w:tcBorders>
                  <w:noWrap w:val="0"/>
                  <w:vAlign w:val="center"/>
                </w:tcPr>
                <w:p w14:paraId="1A8F321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75B295B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2E5B275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628A944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66998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4" w:type="dxa"/>
                  <w:vMerge w:val="continue"/>
                  <w:tcBorders>
                    <w:tl2br w:val="nil"/>
                    <w:tr2bl w:val="nil"/>
                  </w:tcBorders>
                  <w:noWrap w:val="0"/>
                  <w:vAlign w:val="center"/>
                </w:tcPr>
                <w:p w14:paraId="25CBC05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53902DD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44B4369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p>
              </w:tc>
              <w:tc>
                <w:tcPr>
                  <w:tcW w:w="1159" w:type="dxa"/>
                  <w:tcBorders>
                    <w:tl2br w:val="nil"/>
                    <w:tr2bl w:val="nil"/>
                  </w:tcBorders>
                  <w:noWrap w:val="0"/>
                  <w:vAlign w:val="center"/>
                </w:tcPr>
                <w:p w14:paraId="0C73FAC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18.2</w:t>
                  </w:r>
                </w:p>
              </w:tc>
              <w:tc>
                <w:tcPr>
                  <w:tcW w:w="896" w:type="dxa"/>
                  <w:vMerge w:val="restart"/>
                  <w:tcBorders>
                    <w:tl2br w:val="nil"/>
                    <w:tr2bl w:val="nil"/>
                  </w:tcBorders>
                  <w:noWrap w:val="0"/>
                  <w:vAlign w:val="center"/>
                </w:tcPr>
                <w:p w14:paraId="07B7086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2.2</w:t>
                  </w:r>
                </w:p>
              </w:tc>
              <w:tc>
                <w:tcPr>
                  <w:tcW w:w="1128" w:type="dxa"/>
                  <w:vMerge w:val="restart"/>
                  <w:tcBorders>
                    <w:tl2br w:val="nil"/>
                    <w:tr2bl w:val="nil"/>
                  </w:tcBorders>
                  <w:noWrap w:val="0"/>
                  <w:vAlign w:val="center"/>
                </w:tcPr>
                <w:p w14:paraId="28D5F5D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5</w:t>
                  </w:r>
                </w:p>
              </w:tc>
              <w:tc>
                <w:tcPr>
                  <w:tcW w:w="789" w:type="dxa"/>
                  <w:vMerge w:val="restart"/>
                  <w:tcBorders>
                    <w:tl2br w:val="nil"/>
                    <w:tr2bl w:val="nil"/>
                  </w:tcBorders>
                  <w:noWrap w:val="0"/>
                  <w:vAlign w:val="center"/>
                </w:tcPr>
                <w:p w14:paraId="38C3A0E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continue"/>
                  <w:tcBorders>
                    <w:tl2br w:val="nil"/>
                    <w:tr2bl w:val="nil"/>
                  </w:tcBorders>
                  <w:noWrap w:val="0"/>
                  <w:vAlign w:val="center"/>
                </w:tcPr>
                <w:p w14:paraId="2B215DC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3FE1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24" w:type="dxa"/>
                  <w:vMerge w:val="continue"/>
                  <w:tcBorders>
                    <w:tl2br w:val="nil"/>
                    <w:tr2bl w:val="nil"/>
                  </w:tcBorders>
                  <w:noWrap w:val="0"/>
                  <w:vAlign w:val="center"/>
                </w:tcPr>
                <w:p w14:paraId="77D4D67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0B90585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4B0EFCA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PST051901250524025-1</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033B35F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eastAsia" w:ascii="Times New Roman" w:hAnsi="Times New Roman" w:eastAsia="宋体" w:cs="Times New Roman"/>
                      <w:b w:val="0"/>
                      <w:bCs w:val="0"/>
                      <w:color w:val="auto"/>
                      <w:kern w:val="2"/>
                      <w:sz w:val="21"/>
                      <w:szCs w:val="21"/>
                      <w:highlight w:val="none"/>
                      <w:lang w:val="en-US" w:eastAsia="zh-CN"/>
                    </w:rPr>
                    <w:t>17.4</w:t>
                  </w:r>
                </w:p>
              </w:tc>
              <w:tc>
                <w:tcPr>
                  <w:tcW w:w="896" w:type="dxa"/>
                  <w:vMerge w:val="continue"/>
                  <w:tcBorders>
                    <w:tl2br w:val="nil"/>
                    <w:tr2bl w:val="nil"/>
                  </w:tcBorders>
                  <w:noWrap w:val="0"/>
                  <w:vAlign w:val="center"/>
                </w:tcPr>
                <w:p w14:paraId="2EC0D83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62E1E56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55A0952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29DB30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7F65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restart"/>
                  <w:tcBorders>
                    <w:tl2br w:val="nil"/>
                    <w:tr2bl w:val="nil"/>
                  </w:tcBorders>
                  <w:noWrap w:val="0"/>
                  <w:vAlign w:val="center"/>
                </w:tcPr>
                <w:p w14:paraId="5C229C9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有组织废气</w:t>
                  </w:r>
                </w:p>
              </w:tc>
              <w:tc>
                <w:tcPr>
                  <w:tcW w:w="927" w:type="dxa"/>
                  <w:vMerge w:val="restart"/>
                  <w:tcBorders>
                    <w:tl2br w:val="nil"/>
                    <w:tr2bl w:val="nil"/>
                  </w:tcBorders>
                  <w:noWrap w:val="0"/>
                  <w:vAlign w:val="center"/>
                </w:tcPr>
                <w:p w14:paraId="29B3533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非甲烷总烃</w:t>
                  </w:r>
                </w:p>
              </w:tc>
              <w:tc>
                <w:tcPr>
                  <w:tcW w:w="2766" w:type="dxa"/>
                  <w:tcBorders>
                    <w:tl2br w:val="nil"/>
                    <w:tr2bl w:val="nil"/>
                  </w:tcBorders>
                  <w:noWrap w:val="0"/>
                  <w:vAlign w:val="center"/>
                </w:tcPr>
                <w:p w14:paraId="5066F8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PST051901250523006</w:t>
                  </w:r>
                </w:p>
              </w:tc>
              <w:tc>
                <w:tcPr>
                  <w:tcW w:w="1159" w:type="dxa"/>
                  <w:tcBorders>
                    <w:tl2br w:val="nil"/>
                    <w:tr2bl w:val="nil"/>
                  </w:tcBorders>
                  <w:noWrap w:val="0"/>
                  <w:vAlign w:val="center"/>
                </w:tcPr>
                <w:p w14:paraId="71C8AA9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2.68</w:t>
                  </w:r>
                </w:p>
              </w:tc>
              <w:tc>
                <w:tcPr>
                  <w:tcW w:w="896" w:type="dxa"/>
                  <w:vMerge w:val="restart"/>
                  <w:tcBorders>
                    <w:tl2br w:val="nil"/>
                    <w:tr2bl w:val="nil"/>
                  </w:tcBorders>
                  <w:noWrap w:val="0"/>
                  <w:vAlign w:val="center"/>
                </w:tcPr>
                <w:p w14:paraId="320A503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1.1</w:t>
                  </w:r>
                </w:p>
              </w:tc>
              <w:tc>
                <w:tcPr>
                  <w:tcW w:w="1128" w:type="dxa"/>
                  <w:vMerge w:val="restart"/>
                  <w:tcBorders>
                    <w:tl2br w:val="nil"/>
                    <w:tr2bl w:val="nil"/>
                  </w:tcBorders>
                  <w:noWrap w:val="0"/>
                  <w:vAlign w:val="center"/>
                </w:tcPr>
                <w:p w14:paraId="1E89FB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15</w:t>
                  </w:r>
                </w:p>
              </w:tc>
              <w:tc>
                <w:tcPr>
                  <w:tcW w:w="789" w:type="dxa"/>
                  <w:vMerge w:val="restart"/>
                  <w:tcBorders>
                    <w:tl2br w:val="nil"/>
                    <w:tr2bl w:val="nil"/>
                  </w:tcBorders>
                  <w:noWrap w:val="0"/>
                  <w:vAlign w:val="center"/>
                </w:tcPr>
                <w:p w14:paraId="002BFB6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restart"/>
                  <w:tcBorders>
                    <w:tl2br w:val="nil"/>
                    <w:tr2bl w:val="nil"/>
                  </w:tcBorders>
                  <w:noWrap w:val="0"/>
                  <w:vAlign w:val="center"/>
                </w:tcPr>
                <w:p w14:paraId="10BEE34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实验室</w:t>
                  </w:r>
                  <w:r>
                    <w:rPr>
                      <w:rFonts w:hint="default" w:ascii="Times New Roman" w:hAnsi="Times New Roman" w:eastAsia="宋体" w:cs="Times New Roman"/>
                      <w:b w:val="0"/>
                      <w:bCs w:val="0"/>
                      <w:color w:val="auto"/>
                      <w:kern w:val="2"/>
                      <w:sz w:val="21"/>
                      <w:szCs w:val="21"/>
                      <w:highlight w:val="none"/>
                      <w:lang w:val="en-US" w:eastAsia="zh-CN" w:bidi="ar-SA"/>
                    </w:rPr>
                    <w:t>平行</w:t>
                  </w:r>
                </w:p>
              </w:tc>
            </w:tr>
            <w:tr w14:paraId="4582B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continue"/>
                  <w:tcBorders>
                    <w:tl2br w:val="nil"/>
                    <w:tr2bl w:val="nil"/>
                  </w:tcBorders>
                  <w:noWrap w:val="0"/>
                  <w:vAlign w:val="center"/>
                </w:tcPr>
                <w:p w14:paraId="5B31261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4A160AB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1892F3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PST051901250523006</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024DDD0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2.62</w:t>
                  </w:r>
                </w:p>
              </w:tc>
              <w:tc>
                <w:tcPr>
                  <w:tcW w:w="896" w:type="dxa"/>
                  <w:vMerge w:val="continue"/>
                  <w:tcBorders>
                    <w:tl2br w:val="nil"/>
                    <w:tr2bl w:val="nil"/>
                  </w:tcBorders>
                  <w:noWrap w:val="0"/>
                  <w:vAlign w:val="center"/>
                </w:tcPr>
                <w:p w14:paraId="1F6263C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313FA36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3CE70FE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7692090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493D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continue"/>
                  <w:tcBorders>
                    <w:tl2br w:val="nil"/>
                    <w:tr2bl w:val="nil"/>
                  </w:tcBorders>
                  <w:noWrap w:val="0"/>
                  <w:vAlign w:val="center"/>
                </w:tcPr>
                <w:p w14:paraId="519870A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4D22C83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5E83C2E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PST051901250524004</w:t>
                  </w:r>
                </w:p>
              </w:tc>
              <w:tc>
                <w:tcPr>
                  <w:tcW w:w="1159" w:type="dxa"/>
                  <w:tcBorders>
                    <w:tl2br w:val="nil"/>
                    <w:tr2bl w:val="nil"/>
                  </w:tcBorders>
                  <w:noWrap w:val="0"/>
                  <w:vAlign w:val="center"/>
                </w:tcPr>
                <w:p w14:paraId="1EBE85D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3.25</w:t>
                  </w:r>
                </w:p>
              </w:tc>
              <w:tc>
                <w:tcPr>
                  <w:tcW w:w="896" w:type="dxa"/>
                  <w:vMerge w:val="restart"/>
                  <w:tcBorders>
                    <w:tl2br w:val="nil"/>
                    <w:tr2bl w:val="nil"/>
                  </w:tcBorders>
                  <w:noWrap w:val="0"/>
                  <w:vAlign w:val="center"/>
                </w:tcPr>
                <w:p w14:paraId="2F4DA6C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0.3</w:t>
                  </w:r>
                </w:p>
              </w:tc>
              <w:tc>
                <w:tcPr>
                  <w:tcW w:w="1128" w:type="dxa"/>
                  <w:vMerge w:val="restart"/>
                  <w:tcBorders>
                    <w:tl2br w:val="nil"/>
                    <w:tr2bl w:val="nil"/>
                  </w:tcBorders>
                  <w:noWrap w:val="0"/>
                  <w:vAlign w:val="center"/>
                </w:tcPr>
                <w:p w14:paraId="7215CE2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15</w:t>
                  </w:r>
                </w:p>
              </w:tc>
              <w:tc>
                <w:tcPr>
                  <w:tcW w:w="789" w:type="dxa"/>
                  <w:vMerge w:val="restart"/>
                  <w:tcBorders>
                    <w:tl2br w:val="nil"/>
                    <w:tr2bl w:val="nil"/>
                  </w:tcBorders>
                  <w:noWrap w:val="0"/>
                  <w:vAlign w:val="center"/>
                </w:tcPr>
                <w:p w14:paraId="7F0165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60B4D24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2E08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continue"/>
                  <w:tcBorders>
                    <w:tl2br w:val="nil"/>
                    <w:tr2bl w:val="nil"/>
                  </w:tcBorders>
                  <w:noWrap w:val="0"/>
                  <w:vAlign w:val="center"/>
                </w:tcPr>
                <w:p w14:paraId="13FCC7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3FA6A5A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3C4F780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PST051901250524004</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0141324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3.23</w:t>
                  </w:r>
                </w:p>
              </w:tc>
              <w:tc>
                <w:tcPr>
                  <w:tcW w:w="896" w:type="dxa"/>
                  <w:vMerge w:val="continue"/>
                  <w:tcBorders>
                    <w:tl2br w:val="nil"/>
                    <w:tr2bl w:val="nil"/>
                  </w:tcBorders>
                  <w:noWrap w:val="0"/>
                  <w:vAlign w:val="center"/>
                </w:tcPr>
                <w:p w14:paraId="78BA7F6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01DFFDE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5DBFC22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10C4D2D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488F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restart"/>
                  <w:tcBorders>
                    <w:tl2br w:val="nil"/>
                    <w:tr2bl w:val="nil"/>
                  </w:tcBorders>
                  <w:noWrap w:val="0"/>
                  <w:vAlign w:val="center"/>
                </w:tcPr>
                <w:p w14:paraId="48C5406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无组织废气</w:t>
                  </w:r>
                </w:p>
              </w:tc>
              <w:tc>
                <w:tcPr>
                  <w:tcW w:w="927" w:type="dxa"/>
                  <w:vMerge w:val="restart"/>
                  <w:tcBorders>
                    <w:tl2br w:val="nil"/>
                    <w:tr2bl w:val="nil"/>
                  </w:tcBorders>
                  <w:noWrap w:val="0"/>
                  <w:vAlign w:val="center"/>
                </w:tcPr>
                <w:p w14:paraId="7A22469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非甲烷总烃</w:t>
                  </w:r>
                </w:p>
              </w:tc>
              <w:tc>
                <w:tcPr>
                  <w:tcW w:w="2766" w:type="dxa"/>
                  <w:tcBorders>
                    <w:tl2br w:val="nil"/>
                    <w:tr2bl w:val="nil"/>
                  </w:tcBorders>
                  <w:noWrap w:val="0"/>
                  <w:vAlign w:val="center"/>
                </w:tcPr>
                <w:p w14:paraId="7B97B0F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PST051901250523010</w:t>
                  </w:r>
                </w:p>
              </w:tc>
              <w:tc>
                <w:tcPr>
                  <w:tcW w:w="1159" w:type="dxa"/>
                  <w:tcBorders>
                    <w:tl2br w:val="nil"/>
                    <w:tr2bl w:val="nil"/>
                  </w:tcBorders>
                  <w:noWrap w:val="0"/>
                  <w:vAlign w:val="center"/>
                </w:tcPr>
                <w:p w14:paraId="08F3EF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0.56</w:t>
                  </w:r>
                </w:p>
              </w:tc>
              <w:tc>
                <w:tcPr>
                  <w:tcW w:w="896" w:type="dxa"/>
                  <w:vMerge w:val="restart"/>
                  <w:tcBorders>
                    <w:tl2br w:val="nil"/>
                    <w:tr2bl w:val="nil"/>
                  </w:tcBorders>
                  <w:noWrap w:val="0"/>
                  <w:vAlign w:val="center"/>
                </w:tcPr>
                <w:p w14:paraId="0882C5E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1.8</w:t>
                  </w:r>
                </w:p>
              </w:tc>
              <w:tc>
                <w:tcPr>
                  <w:tcW w:w="1128" w:type="dxa"/>
                  <w:vMerge w:val="restart"/>
                  <w:tcBorders>
                    <w:tl2br w:val="nil"/>
                    <w:tr2bl w:val="nil"/>
                  </w:tcBorders>
                  <w:noWrap w:val="0"/>
                  <w:vAlign w:val="center"/>
                </w:tcPr>
                <w:p w14:paraId="377FFD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20</w:t>
                  </w:r>
                </w:p>
              </w:tc>
              <w:tc>
                <w:tcPr>
                  <w:tcW w:w="789" w:type="dxa"/>
                  <w:vMerge w:val="restart"/>
                  <w:tcBorders>
                    <w:tl2br w:val="nil"/>
                    <w:tr2bl w:val="nil"/>
                  </w:tcBorders>
                  <w:noWrap w:val="0"/>
                  <w:vAlign w:val="center"/>
                </w:tcPr>
                <w:p w14:paraId="3C913E8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合格</w:t>
                  </w:r>
                </w:p>
              </w:tc>
              <w:tc>
                <w:tcPr>
                  <w:tcW w:w="687" w:type="dxa"/>
                  <w:vMerge w:val="continue"/>
                  <w:tcBorders>
                    <w:tl2br w:val="nil"/>
                    <w:tr2bl w:val="nil"/>
                  </w:tcBorders>
                  <w:noWrap w:val="0"/>
                  <w:vAlign w:val="center"/>
                </w:tcPr>
                <w:p w14:paraId="30E22CC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5B01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continue"/>
                  <w:tcBorders>
                    <w:tl2br w:val="nil"/>
                    <w:tr2bl w:val="nil"/>
                  </w:tcBorders>
                  <w:noWrap w:val="0"/>
                  <w:vAlign w:val="center"/>
                </w:tcPr>
                <w:p w14:paraId="3DA5637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443166C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6F08B19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PST051901250523010</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335CE19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0.54</w:t>
                  </w:r>
                </w:p>
              </w:tc>
              <w:tc>
                <w:tcPr>
                  <w:tcW w:w="896" w:type="dxa"/>
                  <w:vMerge w:val="continue"/>
                  <w:tcBorders>
                    <w:tl2br w:val="nil"/>
                    <w:tr2bl w:val="nil"/>
                  </w:tcBorders>
                  <w:noWrap w:val="0"/>
                  <w:vAlign w:val="center"/>
                </w:tcPr>
                <w:p w14:paraId="582ECE4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797134E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642757C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718D6F4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53604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24" w:type="dxa"/>
                  <w:vMerge w:val="continue"/>
                  <w:tcBorders>
                    <w:tl2br w:val="nil"/>
                    <w:tr2bl w:val="nil"/>
                  </w:tcBorders>
                  <w:noWrap w:val="0"/>
                  <w:vAlign w:val="center"/>
                </w:tcPr>
                <w:p w14:paraId="416C7A2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6CF8858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3320AA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PST051901250524012</w:t>
                  </w:r>
                </w:p>
              </w:tc>
              <w:tc>
                <w:tcPr>
                  <w:tcW w:w="1159" w:type="dxa"/>
                  <w:tcBorders>
                    <w:tl2br w:val="nil"/>
                    <w:tr2bl w:val="nil"/>
                  </w:tcBorders>
                  <w:noWrap w:val="0"/>
                  <w:vAlign w:val="center"/>
                </w:tcPr>
                <w:p w14:paraId="3830A72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0.52</w:t>
                  </w:r>
                </w:p>
              </w:tc>
              <w:tc>
                <w:tcPr>
                  <w:tcW w:w="896" w:type="dxa"/>
                  <w:vMerge w:val="restart"/>
                  <w:tcBorders>
                    <w:tl2br w:val="nil"/>
                    <w:tr2bl w:val="nil"/>
                  </w:tcBorders>
                  <w:noWrap w:val="0"/>
                  <w:vAlign w:val="center"/>
                </w:tcPr>
                <w:p w14:paraId="6ABC3F6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0.0</w:t>
                  </w:r>
                </w:p>
              </w:tc>
              <w:tc>
                <w:tcPr>
                  <w:tcW w:w="1128" w:type="dxa"/>
                  <w:vMerge w:val="restart"/>
                  <w:tcBorders>
                    <w:tl2br w:val="nil"/>
                    <w:tr2bl w:val="nil"/>
                  </w:tcBorders>
                  <w:noWrap w:val="0"/>
                  <w:vAlign w:val="center"/>
                </w:tcPr>
                <w:p w14:paraId="6101E0B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20</w:t>
                  </w:r>
                </w:p>
              </w:tc>
              <w:tc>
                <w:tcPr>
                  <w:tcW w:w="789" w:type="dxa"/>
                  <w:vMerge w:val="restart"/>
                  <w:tcBorders>
                    <w:tl2br w:val="nil"/>
                    <w:tr2bl w:val="nil"/>
                  </w:tcBorders>
                  <w:noWrap w:val="0"/>
                  <w:vAlign w:val="center"/>
                </w:tcPr>
                <w:p w14:paraId="7EB3967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合格</w:t>
                  </w:r>
                </w:p>
              </w:tc>
              <w:tc>
                <w:tcPr>
                  <w:tcW w:w="687" w:type="dxa"/>
                  <w:vMerge w:val="continue"/>
                  <w:tcBorders>
                    <w:tl2br w:val="nil"/>
                    <w:tr2bl w:val="nil"/>
                  </w:tcBorders>
                  <w:noWrap w:val="0"/>
                  <w:vAlign w:val="center"/>
                </w:tcPr>
                <w:p w14:paraId="03E2BA7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r w14:paraId="7DF5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24" w:type="dxa"/>
                  <w:vMerge w:val="continue"/>
                  <w:tcBorders>
                    <w:tl2br w:val="nil"/>
                    <w:tr2bl w:val="nil"/>
                  </w:tcBorders>
                  <w:noWrap w:val="0"/>
                  <w:vAlign w:val="center"/>
                </w:tcPr>
                <w:p w14:paraId="6A8A565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p>
              </w:tc>
              <w:tc>
                <w:tcPr>
                  <w:tcW w:w="927" w:type="dxa"/>
                  <w:vMerge w:val="continue"/>
                  <w:tcBorders>
                    <w:tl2br w:val="nil"/>
                    <w:tr2bl w:val="nil"/>
                  </w:tcBorders>
                  <w:noWrap w:val="0"/>
                  <w:vAlign w:val="center"/>
                </w:tcPr>
                <w:p w14:paraId="6943C2C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2766" w:type="dxa"/>
                  <w:tcBorders>
                    <w:tl2br w:val="nil"/>
                    <w:tr2bl w:val="nil"/>
                  </w:tcBorders>
                  <w:noWrap w:val="0"/>
                  <w:vAlign w:val="center"/>
                </w:tcPr>
                <w:p w14:paraId="438AA86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宋体" w:eastAsia="宋体" w:cs="Times New Roman"/>
                      <w:b w:val="0"/>
                      <w:bCs w:val="0"/>
                      <w:color w:val="auto"/>
                      <w:kern w:val="2"/>
                      <w:sz w:val="21"/>
                      <w:szCs w:val="21"/>
                      <w:highlight w:val="none"/>
                      <w:lang w:val="en-US" w:eastAsia="zh-CN" w:bidi="ar-SA"/>
                    </w:rPr>
                  </w:pPr>
                  <w:r>
                    <w:rPr>
                      <w:rFonts w:hint="eastAsia" w:ascii="Times New Roman" w:hAnsi="宋体" w:eastAsia="宋体" w:cs="Times New Roman"/>
                      <w:b w:val="0"/>
                      <w:bCs w:val="0"/>
                      <w:color w:val="auto"/>
                      <w:kern w:val="2"/>
                      <w:sz w:val="21"/>
                      <w:szCs w:val="21"/>
                      <w:highlight w:val="none"/>
                      <w:lang w:val="en-US" w:eastAsia="zh-CN" w:bidi="ar-SA"/>
                    </w:rPr>
                    <w:t>PST051901250524012</w:t>
                  </w:r>
                  <w:r>
                    <w:rPr>
                      <w:rFonts w:hint="default" w:ascii="Times New Roman" w:hAnsi="Times New Roman" w:eastAsia="宋体" w:cs="Times New Roman"/>
                      <w:b w:val="0"/>
                      <w:bCs w:val="0"/>
                      <w:color w:val="auto"/>
                      <w:kern w:val="2"/>
                      <w:sz w:val="21"/>
                      <w:szCs w:val="21"/>
                      <w:highlight w:val="none"/>
                      <w:lang w:val="en-US" w:eastAsia="zh-CN" w:bidi="ar-SA"/>
                    </w:rPr>
                    <w:t>′</w:t>
                  </w:r>
                </w:p>
              </w:tc>
              <w:tc>
                <w:tcPr>
                  <w:tcW w:w="1159" w:type="dxa"/>
                  <w:tcBorders>
                    <w:tl2br w:val="nil"/>
                    <w:tr2bl w:val="nil"/>
                  </w:tcBorders>
                  <w:noWrap w:val="0"/>
                  <w:vAlign w:val="center"/>
                </w:tcPr>
                <w:p w14:paraId="7E90FC4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0.52</w:t>
                  </w:r>
                </w:p>
              </w:tc>
              <w:tc>
                <w:tcPr>
                  <w:tcW w:w="896" w:type="dxa"/>
                  <w:vMerge w:val="continue"/>
                  <w:tcBorders>
                    <w:tl2br w:val="nil"/>
                    <w:tr2bl w:val="nil"/>
                  </w:tcBorders>
                  <w:noWrap w:val="0"/>
                  <w:vAlign w:val="center"/>
                </w:tcPr>
                <w:p w14:paraId="5941CDA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1128" w:type="dxa"/>
                  <w:vMerge w:val="continue"/>
                  <w:tcBorders>
                    <w:tl2br w:val="nil"/>
                    <w:tr2bl w:val="nil"/>
                  </w:tcBorders>
                  <w:noWrap w:val="0"/>
                  <w:vAlign w:val="center"/>
                </w:tcPr>
                <w:p w14:paraId="74D8E03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789" w:type="dxa"/>
                  <w:vMerge w:val="continue"/>
                  <w:tcBorders>
                    <w:tl2br w:val="nil"/>
                    <w:tr2bl w:val="nil"/>
                  </w:tcBorders>
                  <w:noWrap w:val="0"/>
                  <w:vAlign w:val="center"/>
                </w:tcPr>
                <w:p w14:paraId="60D5616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c>
                <w:tcPr>
                  <w:tcW w:w="687" w:type="dxa"/>
                  <w:vMerge w:val="continue"/>
                  <w:tcBorders>
                    <w:tl2br w:val="nil"/>
                    <w:tr2bl w:val="nil"/>
                  </w:tcBorders>
                  <w:noWrap w:val="0"/>
                  <w:vAlign w:val="center"/>
                </w:tcPr>
                <w:p w14:paraId="1BF7689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p>
              </w:tc>
            </w:tr>
          </w:tbl>
          <w:p w14:paraId="1AB8DC73">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color w:val="000000"/>
                <w:kern w:val="2"/>
                <w:sz w:val="24"/>
                <w:szCs w:val="24"/>
                <w:highlight w:val="none"/>
                <w:lang w:val="en-US" w:eastAsia="zh-CN" w:bidi="ar-SA"/>
              </w:rPr>
            </w:pPr>
          </w:p>
          <w:p w14:paraId="0431DA35">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color w:val="000000"/>
                <w:kern w:val="2"/>
                <w:sz w:val="24"/>
                <w:szCs w:val="24"/>
                <w:highlight w:val="none"/>
                <w:lang w:val="en-US" w:eastAsia="zh-CN" w:bidi="ar-SA"/>
              </w:rPr>
            </w:pPr>
          </w:p>
          <w:p w14:paraId="386BB6F6">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eastAsia" w:ascii="Times New Roman" w:hAnsi="Times New Roman" w:eastAsia="宋体" w:cs="Times New Roman"/>
                <w:b/>
                <w:bCs w:val="0"/>
                <w:kern w:val="2"/>
                <w:sz w:val="24"/>
                <w:szCs w:val="24"/>
                <w:highlight w:val="none"/>
                <w:lang w:val="en-US" w:eastAsia="zh-CN" w:bidi="ar-SA"/>
              </w:rPr>
            </w:pPr>
            <w:r>
              <w:rPr>
                <w:rFonts w:hint="default" w:ascii="Times New Roman" w:hAnsi="Times New Roman" w:eastAsia="宋体" w:cs="Times New Roman"/>
                <w:b/>
                <w:bCs/>
                <w:color w:val="000000"/>
                <w:kern w:val="2"/>
                <w:sz w:val="24"/>
                <w:szCs w:val="24"/>
                <w:highlight w:val="none"/>
                <w:lang w:val="en-US" w:eastAsia="zh-CN" w:bidi="ar-SA"/>
              </w:rPr>
              <w:t>表</w:t>
            </w:r>
            <w:r>
              <w:rPr>
                <w:rFonts w:hint="eastAsia" w:ascii="Times New Roman" w:hAnsi="Times New Roman" w:eastAsia="宋体" w:cs="Times New Roman"/>
                <w:b/>
                <w:bCs/>
                <w:color w:val="000000"/>
                <w:kern w:val="2"/>
                <w:sz w:val="24"/>
                <w:szCs w:val="24"/>
                <w:highlight w:val="none"/>
                <w:lang w:val="en-US" w:eastAsia="zh-CN" w:bidi="ar-SA"/>
              </w:rPr>
              <w:t xml:space="preserve">5-5  </w:t>
            </w:r>
            <w:r>
              <w:rPr>
                <w:rFonts w:ascii="Times New Roman" w:hAnsi="Times New Roman" w:eastAsia="宋体" w:cs="Times New Roman"/>
                <w:b/>
                <w:bCs w:val="0"/>
                <w:kern w:val="2"/>
                <w:sz w:val="24"/>
                <w:szCs w:val="24"/>
                <w:highlight w:val="none"/>
                <w:lang w:val="en-US" w:eastAsia="zh-CN" w:bidi="ar-SA"/>
              </w:rPr>
              <w:t>质控样检测结果</w:t>
            </w:r>
            <w:r>
              <w:rPr>
                <w:rFonts w:hint="eastAsia" w:ascii="Times New Roman" w:hAnsi="Times New Roman" w:eastAsia="宋体" w:cs="Times New Roman"/>
                <w:b/>
                <w:bCs w:val="0"/>
                <w:kern w:val="2"/>
                <w:sz w:val="24"/>
                <w:szCs w:val="24"/>
                <w:highlight w:val="none"/>
                <w:lang w:val="en-US" w:eastAsia="zh-CN" w:bidi="ar-SA"/>
              </w:rPr>
              <w:t>（废水）</w:t>
            </w:r>
          </w:p>
          <w:tbl>
            <w:tblPr>
              <w:tblStyle w:val="31"/>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6"/>
              <w:gridCol w:w="1858"/>
              <w:gridCol w:w="1615"/>
              <w:gridCol w:w="2597"/>
              <w:gridCol w:w="1132"/>
            </w:tblGrid>
            <w:tr w14:paraId="205C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956" w:type="dxa"/>
                  <w:noWrap w:val="0"/>
                  <w:vAlign w:val="center"/>
                </w:tcPr>
                <w:p w14:paraId="103D4E6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spacing w:val="-6"/>
                      <w:sz w:val="21"/>
                      <w:szCs w:val="21"/>
                      <w:highlight w:val="none"/>
                    </w:rPr>
                    <w:t>检测项目</w:t>
                  </w:r>
                </w:p>
              </w:tc>
              <w:tc>
                <w:tcPr>
                  <w:tcW w:w="1858" w:type="dxa"/>
                  <w:noWrap w:val="0"/>
                  <w:vAlign w:val="center"/>
                </w:tcPr>
                <w:p w14:paraId="3E8A59E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spacing w:val="-6"/>
                      <w:sz w:val="21"/>
                      <w:szCs w:val="21"/>
                      <w:highlight w:val="none"/>
                    </w:rPr>
                    <w:t>批号</w:t>
                  </w:r>
                </w:p>
              </w:tc>
              <w:tc>
                <w:tcPr>
                  <w:tcW w:w="1615" w:type="dxa"/>
                  <w:noWrap w:val="0"/>
                  <w:vAlign w:val="center"/>
                </w:tcPr>
                <w:p w14:paraId="0034A4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分析结果（mg/L）</w:t>
                  </w:r>
                </w:p>
              </w:tc>
              <w:tc>
                <w:tcPr>
                  <w:tcW w:w="2597" w:type="dxa"/>
                  <w:noWrap w:val="0"/>
                  <w:vAlign w:val="center"/>
                </w:tcPr>
                <w:p w14:paraId="4D0BC5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标准值及不确定度（mg/L）</w:t>
                  </w:r>
                </w:p>
              </w:tc>
              <w:tc>
                <w:tcPr>
                  <w:tcW w:w="1132" w:type="dxa"/>
                  <w:noWrap w:val="0"/>
                  <w:vAlign w:val="center"/>
                </w:tcPr>
                <w:p w14:paraId="199B27A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color w:val="000000"/>
                      <w:spacing w:val="-6"/>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结果评价</w:t>
                  </w:r>
                </w:p>
              </w:tc>
            </w:tr>
            <w:tr w14:paraId="0C25C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restart"/>
                  <w:noWrap w:val="0"/>
                  <w:vAlign w:val="center"/>
                </w:tcPr>
                <w:p w14:paraId="5F0A0B5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pacing w:val="-6"/>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化学需氧量</w:t>
                  </w:r>
                </w:p>
              </w:tc>
              <w:tc>
                <w:tcPr>
                  <w:tcW w:w="1858" w:type="dxa"/>
                  <w:noWrap w:val="0"/>
                  <w:vAlign w:val="center"/>
                </w:tcPr>
                <w:p w14:paraId="533CFE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H3009382</w:t>
                  </w:r>
                </w:p>
              </w:tc>
              <w:tc>
                <w:tcPr>
                  <w:tcW w:w="1615" w:type="dxa"/>
                  <w:noWrap w:val="0"/>
                  <w:vAlign w:val="center"/>
                </w:tcPr>
                <w:p w14:paraId="6B0D64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256</w:t>
                  </w:r>
                </w:p>
              </w:tc>
              <w:tc>
                <w:tcPr>
                  <w:tcW w:w="2597" w:type="dxa"/>
                  <w:noWrap w:val="0"/>
                  <w:vAlign w:val="center"/>
                </w:tcPr>
                <w:p w14:paraId="43F09B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250</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13</w:t>
                  </w:r>
                </w:p>
              </w:tc>
              <w:tc>
                <w:tcPr>
                  <w:tcW w:w="1132" w:type="dxa"/>
                  <w:noWrap w:val="0"/>
                  <w:vAlign w:val="center"/>
                </w:tcPr>
                <w:p w14:paraId="7A80154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sz w:val="21"/>
                      <w:szCs w:val="21"/>
                      <w:highlight w:val="none"/>
                    </w:rPr>
                    <w:t>合格</w:t>
                  </w:r>
                </w:p>
              </w:tc>
            </w:tr>
            <w:tr w14:paraId="040D3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continue"/>
                  <w:noWrap w:val="0"/>
                  <w:vAlign w:val="center"/>
                </w:tcPr>
                <w:p w14:paraId="3130ED5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spacing w:val="-6"/>
                      <w:sz w:val="21"/>
                      <w:szCs w:val="21"/>
                      <w:highlight w:val="none"/>
                    </w:rPr>
                  </w:pPr>
                </w:p>
              </w:tc>
              <w:tc>
                <w:tcPr>
                  <w:tcW w:w="1858" w:type="dxa"/>
                  <w:noWrap w:val="0"/>
                  <w:vAlign w:val="center"/>
                </w:tcPr>
                <w:p w14:paraId="3FF5C5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H3009382</w:t>
                  </w:r>
                </w:p>
              </w:tc>
              <w:tc>
                <w:tcPr>
                  <w:tcW w:w="1615" w:type="dxa"/>
                  <w:noWrap w:val="0"/>
                  <w:vAlign w:val="center"/>
                </w:tcPr>
                <w:p w14:paraId="2D3769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249</w:t>
                  </w:r>
                </w:p>
              </w:tc>
              <w:tc>
                <w:tcPr>
                  <w:tcW w:w="2597" w:type="dxa"/>
                  <w:noWrap w:val="0"/>
                  <w:vAlign w:val="center"/>
                </w:tcPr>
                <w:p w14:paraId="666E00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250</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13</w:t>
                  </w:r>
                </w:p>
              </w:tc>
              <w:tc>
                <w:tcPr>
                  <w:tcW w:w="1132" w:type="dxa"/>
                  <w:noWrap w:val="0"/>
                  <w:vAlign w:val="center"/>
                </w:tcPr>
                <w:p w14:paraId="791C034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sz w:val="21"/>
                      <w:szCs w:val="21"/>
                      <w:highlight w:val="none"/>
                    </w:rPr>
                    <w:t>合格</w:t>
                  </w:r>
                </w:p>
              </w:tc>
            </w:tr>
            <w:tr w14:paraId="6643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restart"/>
                  <w:noWrap w:val="0"/>
                  <w:vAlign w:val="center"/>
                </w:tcPr>
                <w:p w14:paraId="7E28EC9A">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五日生化需氧量</w:t>
                  </w:r>
                </w:p>
              </w:tc>
              <w:tc>
                <w:tcPr>
                  <w:tcW w:w="1858" w:type="dxa"/>
                  <w:noWrap w:val="0"/>
                  <w:vAlign w:val="center"/>
                </w:tcPr>
                <w:p w14:paraId="260980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B</w:t>
                  </w:r>
                  <w:r>
                    <w:rPr>
                      <w:rFonts w:hint="eastAsia" w:ascii="Times New Roman" w:hAnsi="Times New Roman" w:eastAsia="宋体" w:cs="Times New Roman"/>
                      <w:b w:val="0"/>
                      <w:color w:val="auto"/>
                      <w:kern w:val="2"/>
                      <w:sz w:val="21"/>
                      <w:szCs w:val="21"/>
                      <w:highlight w:val="none"/>
                      <w:lang w:val="en-US" w:eastAsia="zh-CN" w:bidi="ar-SA"/>
                    </w:rPr>
                    <w:t>22080101</w:t>
                  </w:r>
                </w:p>
              </w:tc>
              <w:tc>
                <w:tcPr>
                  <w:tcW w:w="1615" w:type="dxa"/>
                  <w:noWrap w:val="0"/>
                  <w:vAlign w:val="center"/>
                </w:tcPr>
                <w:p w14:paraId="0DC2F5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116</w:t>
                  </w:r>
                </w:p>
              </w:tc>
              <w:tc>
                <w:tcPr>
                  <w:tcW w:w="2597" w:type="dxa"/>
                  <w:noWrap w:val="0"/>
                  <w:vAlign w:val="center"/>
                </w:tcPr>
                <w:p w14:paraId="70D02B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115</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5</w:t>
                  </w:r>
                </w:p>
              </w:tc>
              <w:tc>
                <w:tcPr>
                  <w:tcW w:w="1132" w:type="dxa"/>
                  <w:noWrap w:val="0"/>
                  <w:vAlign w:val="center"/>
                </w:tcPr>
                <w:p w14:paraId="71E984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r w14:paraId="1936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continue"/>
                  <w:noWrap w:val="0"/>
                  <w:vAlign w:val="center"/>
                </w:tcPr>
                <w:p w14:paraId="430D697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eastAsia" w:ascii="Times New Roman" w:hAnsi="Times New Roman" w:eastAsia="宋体" w:cs="Times New Roman"/>
                      <w:b w:val="0"/>
                      <w:bCs w:val="0"/>
                      <w:color w:val="auto"/>
                      <w:spacing w:val="-6"/>
                      <w:kern w:val="2"/>
                      <w:sz w:val="21"/>
                      <w:szCs w:val="21"/>
                      <w:highlight w:val="none"/>
                      <w:lang w:val="en-US" w:eastAsia="zh-CN" w:bidi="ar-SA"/>
                    </w:rPr>
                  </w:pPr>
                </w:p>
              </w:tc>
              <w:tc>
                <w:tcPr>
                  <w:tcW w:w="1858" w:type="dxa"/>
                  <w:noWrap w:val="0"/>
                  <w:vAlign w:val="center"/>
                </w:tcPr>
                <w:p w14:paraId="6C20A9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B</w:t>
                  </w:r>
                  <w:r>
                    <w:rPr>
                      <w:rFonts w:hint="eastAsia" w:ascii="Times New Roman" w:hAnsi="Times New Roman" w:eastAsia="宋体" w:cs="Times New Roman"/>
                      <w:b w:val="0"/>
                      <w:color w:val="auto"/>
                      <w:kern w:val="2"/>
                      <w:sz w:val="21"/>
                      <w:szCs w:val="21"/>
                      <w:highlight w:val="none"/>
                      <w:lang w:val="en-US" w:eastAsia="zh-CN" w:bidi="ar-SA"/>
                    </w:rPr>
                    <w:t>22080101</w:t>
                  </w:r>
                </w:p>
              </w:tc>
              <w:tc>
                <w:tcPr>
                  <w:tcW w:w="1615" w:type="dxa"/>
                  <w:noWrap w:val="0"/>
                  <w:vAlign w:val="center"/>
                </w:tcPr>
                <w:p w14:paraId="0ECE57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114</w:t>
                  </w:r>
                </w:p>
              </w:tc>
              <w:tc>
                <w:tcPr>
                  <w:tcW w:w="2597" w:type="dxa"/>
                  <w:noWrap w:val="0"/>
                  <w:vAlign w:val="center"/>
                </w:tcPr>
                <w:p w14:paraId="70A7E5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115</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5</w:t>
                  </w:r>
                </w:p>
              </w:tc>
              <w:tc>
                <w:tcPr>
                  <w:tcW w:w="1132" w:type="dxa"/>
                  <w:noWrap w:val="0"/>
                  <w:vAlign w:val="center"/>
                </w:tcPr>
                <w:p w14:paraId="3FB327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r w14:paraId="66A7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restart"/>
                  <w:noWrap w:val="0"/>
                  <w:vAlign w:val="center"/>
                </w:tcPr>
                <w:p w14:paraId="423E403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氨氮</w:t>
                  </w:r>
                </w:p>
              </w:tc>
              <w:tc>
                <w:tcPr>
                  <w:tcW w:w="1858" w:type="dxa"/>
                  <w:noWrap w:val="0"/>
                  <w:vAlign w:val="center"/>
                </w:tcPr>
                <w:p w14:paraId="1C526B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23DA0334</w:t>
                  </w:r>
                </w:p>
              </w:tc>
              <w:tc>
                <w:tcPr>
                  <w:tcW w:w="1615" w:type="dxa"/>
                  <w:noWrap w:val="0"/>
                  <w:vAlign w:val="center"/>
                </w:tcPr>
                <w:p w14:paraId="7936D2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7.11</w:t>
                  </w:r>
                </w:p>
              </w:tc>
              <w:tc>
                <w:tcPr>
                  <w:tcW w:w="2597" w:type="dxa"/>
                  <w:noWrap w:val="0"/>
                  <w:vAlign w:val="center"/>
                </w:tcPr>
                <w:p w14:paraId="0083AB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7.25</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0.39</w:t>
                  </w:r>
                </w:p>
              </w:tc>
              <w:tc>
                <w:tcPr>
                  <w:tcW w:w="1132" w:type="dxa"/>
                  <w:noWrap w:val="0"/>
                  <w:vAlign w:val="center"/>
                </w:tcPr>
                <w:p w14:paraId="6FEA2C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r w14:paraId="3E59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continue"/>
                  <w:noWrap w:val="0"/>
                  <w:vAlign w:val="center"/>
                </w:tcPr>
                <w:p w14:paraId="0DB312F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6"/>
                      <w:kern w:val="2"/>
                      <w:sz w:val="21"/>
                      <w:szCs w:val="21"/>
                      <w:highlight w:val="none"/>
                      <w:lang w:val="en-US" w:eastAsia="zh-CN" w:bidi="ar-SA"/>
                    </w:rPr>
                  </w:pPr>
                </w:p>
              </w:tc>
              <w:tc>
                <w:tcPr>
                  <w:tcW w:w="1858" w:type="dxa"/>
                  <w:noWrap w:val="0"/>
                  <w:vAlign w:val="center"/>
                </w:tcPr>
                <w:p w14:paraId="044A45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23DA0334</w:t>
                  </w:r>
                </w:p>
              </w:tc>
              <w:tc>
                <w:tcPr>
                  <w:tcW w:w="1615" w:type="dxa"/>
                  <w:noWrap w:val="0"/>
                  <w:vAlign w:val="center"/>
                </w:tcPr>
                <w:p w14:paraId="40C1B7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7.11</w:t>
                  </w:r>
                </w:p>
              </w:tc>
              <w:tc>
                <w:tcPr>
                  <w:tcW w:w="2597" w:type="dxa"/>
                  <w:noWrap w:val="0"/>
                  <w:vAlign w:val="center"/>
                </w:tcPr>
                <w:p w14:paraId="4CEF6E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7.25</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0.39</w:t>
                  </w:r>
                </w:p>
              </w:tc>
              <w:tc>
                <w:tcPr>
                  <w:tcW w:w="1132" w:type="dxa"/>
                  <w:noWrap w:val="0"/>
                  <w:vAlign w:val="center"/>
                </w:tcPr>
                <w:p w14:paraId="50ED48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r w14:paraId="0166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restart"/>
                  <w:noWrap w:val="0"/>
                  <w:vAlign w:val="center"/>
                </w:tcPr>
                <w:p w14:paraId="03E2C3B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总磷</w:t>
                  </w:r>
                </w:p>
              </w:tc>
              <w:tc>
                <w:tcPr>
                  <w:tcW w:w="1858" w:type="dxa"/>
                  <w:noWrap w:val="0"/>
                  <w:vAlign w:val="center"/>
                </w:tcPr>
                <w:p w14:paraId="38C6F6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2039133</w:t>
                  </w:r>
                </w:p>
              </w:tc>
              <w:tc>
                <w:tcPr>
                  <w:tcW w:w="1615" w:type="dxa"/>
                  <w:noWrap w:val="0"/>
                  <w:vAlign w:val="center"/>
                </w:tcPr>
                <w:p w14:paraId="3CD339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0.259</w:t>
                  </w:r>
                </w:p>
              </w:tc>
              <w:tc>
                <w:tcPr>
                  <w:tcW w:w="2597" w:type="dxa"/>
                  <w:noWrap w:val="0"/>
                  <w:vAlign w:val="center"/>
                </w:tcPr>
                <w:p w14:paraId="28A442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0.263</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0.012</w:t>
                  </w:r>
                </w:p>
              </w:tc>
              <w:tc>
                <w:tcPr>
                  <w:tcW w:w="1132" w:type="dxa"/>
                  <w:noWrap w:val="0"/>
                  <w:vAlign w:val="center"/>
                </w:tcPr>
                <w:p w14:paraId="60CDFD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r w14:paraId="630AB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56" w:type="dxa"/>
                  <w:vMerge w:val="continue"/>
                  <w:noWrap w:val="0"/>
                  <w:vAlign w:val="center"/>
                </w:tcPr>
                <w:p w14:paraId="4693D0C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6"/>
                      <w:kern w:val="2"/>
                      <w:sz w:val="21"/>
                      <w:szCs w:val="21"/>
                      <w:highlight w:val="none"/>
                      <w:lang w:val="en-US" w:eastAsia="zh-CN" w:bidi="ar-SA"/>
                    </w:rPr>
                  </w:pPr>
                </w:p>
              </w:tc>
              <w:tc>
                <w:tcPr>
                  <w:tcW w:w="1858" w:type="dxa"/>
                  <w:noWrap w:val="0"/>
                  <w:vAlign w:val="center"/>
                </w:tcPr>
                <w:p w14:paraId="101B3D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2039133</w:t>
                  </w:r>
                </w:p>
              </w:tc>
              <w:tc>
                <w:tcPr>
                  <w:tcW w:w="1615" w:type="dxa"/>
                  <w:noWrap w:val="0"/>
                  <w:vAlign w:val="center"/>
                </w:tcPr>
                <w:p w14:paraId="786112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0.266</w:t>
                  </w:r>
                </w:p>
              </w:tc>
              <w:tc>
                <w:tcPr>
                  <w:tcW w:w="2597" w:type="dxa"/>
                  <w:noWrap w:val="0"/>
                  <w:vAlign w:val="center"/>
                </w:tcPr>
                <w:p w14:paraId="082CB2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0.263</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0.012</w:t>
                  </w:r>
                </w:p>
              </w:tc>
              <w:tc>
                <w:tcPr>
                  <w:tcW w:w="1132" w:type="dxa"/>
                  <w:noWrap w:val="0"/>
                  <w:vAlign w:val="center"/>
                </w:tcPr>
                <w:p w14:paraId="412FD7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r w14:paraId="49BB6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956" w:type="dxa"/>
                  <w:noWrap w:val="0"/>
                  <w:vAlign w:val="center"/>
                </w:tcPr>
                <w:p w14:paraId="3B60680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石油类</w:t>
                  </w:r>
                </w:p>
              </w:tc>
              <w:tc>
                <w:tcPr>
                  <w:tcW w:w="1858" w:type="dxa"/>
                  <w:noWrap w:val="0"/>
                  <w:vAlign w:val="center"/>
                </w:tcPr>
                <w:p w14:paraId="7586DA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A2404050</w:t>
                  </w:r>
                </w:p>
              </w:tc>
              <w:tc>
                <w:tcPr>
                  <w:tcW w:w="1615" w:type="dxa"/>
                  <w:noWrap w:val="0"/>
                  <w:vAlign w:val="center"/>
                </w:tcPr>
                <w:p w14:paraId="045FBD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11.2（</w:t>
                  </w:r>
                  <w:r>
                    <w:rPr>
                      <w:rFonts w:hint="default" w:ascii="Times New Roman" w:hAnsi="Times New Roman" w:eastAsia="宋体" w:cs="Times New Roman"/>
                      <w:b w:val="0"/>
                      <w:color w:val="000000"/>
                      <w:kern w:val="2"/>
                      <w:sz w:val="21"/>
                      <w:szCs w:val="21"/>
                      <w:highlight w:val="none"/>
                      <w:lang w:val="en-US" w:eastAsia="zh-CN" w:bidi="ar-SA"/>
                    </w:rPr>
                    <w:t>μg</w:t>
                  </w:r>
                  <w:r>
                    <w:rPr>
                      <w:rFonts w:hint="eastAsia" w:ascii="Times New Roman" w:hAnsi="Times New Roman" w:eastAsia="宋体" w:cs="Times New Roman"/>
                      <w:b w:val="0"/>
                      <w:color w:val="000000"/>
                      <w:kern w:val="2"/>
                      <w:sz w:val="21"/>
                      <w:szCs w:val="21"/>
                      <w:highlight w:val="none"/>
                      <w:lang w:val="en-US" w:eastAsia="zh-CN" w:bidi="ar-SA"/>
                    </w:rPr>
                    <w:t>/mL</w:t>
                  </w:r>
                  <w:r>
                    <w:rPr>
                      <w:rFonts w:hint="eastAsia" w:ascii="Times New Roman" w:hAnsi="Times New Roman" w:eastAsia="宋体" w:cs="Times New Roman"/>
                      <w:b w:val="0"/>
                      <w:bCs w:val="0"/>
                      <w:color w:val="auto"/>
                      <w:spacing w:val="-6"/>
                      <w:kern w:val="2"/>
                      <w:sz w:val="21"/>
                      <w:szCs w:val="21"/>
                      <w:highlight w:val="none"/>
                      <w:lang w:val="en-US" w:eastAsia="zh-CN" w:bidi="ar-SA"/>
                    </w:rPr>
                    <w:t>）</w:t>
                  </w:r>
                </w:p>
              </w:tc>
              <w:tc>
                <w:tcPr>
                  <w:tcW w:w="2597" w:type="dxa"/>
                  <w:noWrap w:val="0"/>
                  <w:vAlign w:val="center"/>
                </w:tcPr>
                <w:p w14:paraId="42E271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10.5</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0.9</w:t>
                  </w:r>
                  <w:r>
                    <w:rPr>
                      <w:rFonts w:hint="eastAsia" w:ascii="Times New Roman" w:hAnsi="Times New Roman" w:eastAsia="宋体" w:cs="Times New Roman"/>
                      <w:b w:val="0"/>
                      <w:bCs w:val="0"/>
                      <w:color w:val="auto"/>
                      <w:spacing w:val="-6"/>
                      <w:kern w:val="2"/>
                      <w:sz w:val="21"/>
                      <w:szCs w:val="21"/>
                      <w:highlight w:val="none"/>
                      <w:lang w:val="en-US" w:eastAsia="zh-CN" w:bidi="ar-SA"/>
                    </w:rPr>
                    <w:t>（</w:t>
                  </w:r>
                  <w:r>
                    <w:rPr>
                      <w:rFonts w:hint="default" w:ascii="Times New Roman" w:hAnsi="Times New Roman" w:eastAsia="宋体" w:cs="Times New Roman"/>
                      <w:b w:val="0"/>
                      <w:color w:val="000000"/>
                      <w:kern w:val="2"/>
                      <w:sz w:val="21"/>
                      <w:szCs w:val="21"/>
                      <w:highlight w:val="none"/>
                      <w:lang w:val="en-US" w:eastAsia="zh-CN" w:bidi="ar-SA"/>
                    </w:rPr>
                    <w:t>μg</w:t>
                  </w:r>
                  <w:r>
                    <w:rPr>
                      <w:rFonts w:hint="eastAsia" w:ascii="Times New Roman" w:hAnsi="Times New Roman" w:eastAsia="宋体" w:cs="Times New Roman"/>
                      <w:b w:val="0"/>
                      <w:color w:val="000000"/>
                      <w:kern w:val="2"/>
                      <w:sz w:val="21"/>
                      <w:szCs w:val="21"/>
                      <w:highlight w:val="none"/>
                      <w:lang w:val="en-US" w:eastAsia="zh-CN" w:bidi="ar-SA"/>
                    </w:rPr>
                    <w:t>/mL</w:t>
                  </w:r>
                  <w:r>
                    <w:rPr>
                      <w:rFonts w:hint="eastAsia" w:ascii="Times New Roman" w:hAnsi="Times New Roman" w:eastAsia="宋体" w:cs="Times New Roman"/>
                      <w:b w:val="0"/>
                      <w:bCs w:val="0"/>
                      <w:color w:val="auto"/>
                      <w:spacing w:val="-6"/>
                      <w:kern w:val="2"/>
                      <w:sz w:val="21"/>
                      <w:szCs w:val="21"/>
                      <w:highlight w:val="none"/>
                      <w:lang w:val="en-US" w:eastAsia="zh-CN" w:bidi="ar-SA"/>
                    </w:rPr>
                    <w:t>）</w:t>
                  </w:r>
                </w:p>
              </w:tc>
              <w:tc>
                <w:tcPr>
                  <w:tcW w:w="1132" w:type="dxa"/>
                  <w:noWrap w:val="0"/>
                  <w:vAlign w:val="center"/>
                </w:tcPr>
                <w:p w14:paraId="6007B8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合格</w:t>
                  </w:r>
                </w:p>
              </w:tc>
            </w:tr>
          </w:tbl>
          <w:p w14:paraId="1C8D89C7">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eastAsia" w:ascii="Times New Roman" w:hAnsi="Times New Roman" w:eastAsia="宋体" w:cs="Times New Roman"/>
                <w:b/>
                <w:bCs w:val="0"/>
                <w:kern w:val="2"/>
                <w:sz w:val="24"/>
                <w:szCs w:val="24"/>
                <w:highlight w:val="none"/>
                <w:lang w:val="en-US" w:eastAsia="zh-CN" w:bidi="ar-SA"/>
              </w:rPr>
            </w:pPr>
            <w:r>
              <w:rPr>
                <w:rFonts w:hint="default" w:ascii="Times New Roman" w:hAnsi="Times New Roman" w:eastAsia="宋体" w:cs="Times New Roman"/>
                <w:b/>
                <w:bCs/>
                <w:color w:val="000000"/>
                <w:kern w:val="2"/>
                <w:sz w:val="24"/>
                <w:szCs w:val="24"/>
                <w:highlight w:val="none"/>
                <w:lang w:val="en-US" w:eastAsia="zh-CN" w:bidi="ar-SA"/>
              </w:rPr>
              <w:t>表</w:t>
            </w:r>
            <w:r>
              <w:rPr>
                <w:rFonts w:hint="eastAsia" w:ascii="Times New Roman" w:hAnsi="Times New Roman" w:eastAsia="宋体" w:cs="Times New Roman"/>
                <w:b/>
                <w:bCs/>
                <w:color w:val="000000"/>
                <w:kern w:val="2"/>
                <w:sz w:val="24"/>
                <w:szCs w:val="24"/>
                <w:highlight w:val="none"/>
                <w:lang w:val="en-US" w:eastAsia="zh-CN" w:bidi="ar-SA"/>
              </w:rPr>
              <w:t xml:space="preserve">5-6  </w:t>
            </w:r>
            <w:r>
              <w:rPr>
                <w:rFonts w:ascii="Times New Roman" w:hAnsi="Times New Roman" w:eastAsia="宋体" w:cs="Times New Roman"/>
                <w:b/>
                <w:bCs w:val="0"/>
                <w:kern w:val="2"/>
                <w:sz w:val="24"/>
                <w:szCs w:val="24"/>
                <w:highlight w:val="none"/>
                <w:lang w:val="en-US" w:eastAsia="zh-CN" w:bidi="ar-SA"/>
              </w:rPr>
              <w:t>质控样检测结果</w:t>
            </w:r>
            <w:r>
              <w:rPr>
                <w:rFonts w:hint="eastAsia" w:ascii="Times New Roman" w:hAnsi="Times New Roman" w:eastAsia="宋体" w:cs="Times New Roman"/>
                <w:b/>
                <w:bCs w:val="0"/>
                <w:kern w:val="2"/>
                <w:sz w:val="24"/>
                <w:szCs w:val="24"/>
                <w:highlight w:val="none"/>
                <w:lang w:val="en-US" w:eastAsia="zh-CN" w:bidi="ar-SA"/>
              </w:rPr>
              <w:t>（有组织废气）</w:t>
            </w:r>
          </w:p>
          <w:tbl>
            <w:tblPr>
              <w:tblStyle w:val="31"/>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6"/>
              <w:gridCol w:w="1858"/>
              <w:gridCol w:w="1615"/>
              <w:gridCol w:w="2596"/>
              <w:gridCol w:w="1132"/>
            </w:tblGrid>
            <w:tr w14:paraId="0E99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956" w:type="dxa"/>
                  <w:noWrap w:val="0"/>
                  <w:vAlign w:val="center"/>
                </w:tcPr>
                <w:p w14:paraId="37E92FF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spacing w:val="-6"/>
                      <w:sz w:val="21"/>
                      <w:szCs w:val="21"/>
                      <w:highlight w:val="none"/>
                    </w:rPr>
                    <w:t>检测项目</w:t>
                  </w:r>
                </w:p>
              </w:tc>
              <w:tc>
                <w:tcPr>
                  <w:tcW w:w="1858" w:type="dxa"/>
                  <w:noWrap w:val="0"/>
                  <w:vAlign w:val="center"/>
                </w:tcPr>
                <w:p w14:paraId="4921C7C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spacing w:val="-6"/>
                      <w:sz w:val="21"/>
                      <w:szCs w:val="21"/>
                      <w:highlight w:val="none"/>
                    </w:rPr>
                    <w:t>批号</w:t>
                  </w:r>
                </w:p>
              </w:tc>
              <w:tc>
                <w:tcPr>
                  <w:tcW w:w="1615" w:type="dxa"/>
                  <w:noWrap w:val="0"/>
                  <w:vAlign w:val="center"/>
                </w:tcPr>
                <w:p w14:paraId="1DF596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分析结果（mg/m</w:t>
                  </w:r>
                  <w:r>
                    <w:rPr>
                      <w:rFonts w:hint="default" w:ascii="Times New Roman" w:hAnsi="Times New Roman" w:eastAsia="宋体" w:cs="Times New Roman"/>
                      <w:b/>
                      <w:bCs/>
                      <w:color w:val="auto"/>
                      <w:kern w:val="2"/>
                      <w:sz w:val="21"/>
                      <w:szCs w:val="21"/>
                      <w:highlight w:val="none"/>
                      <w:vertAlign w:val="superscript"/>
                      <w:lang w:val="en-US" w:eastAsia="zh-CN" w:bidi="ar-SA"/>
                    </w:rPr>
                    <w:t>3</w:t>
                  </w:r>
                  <w:r>
                    <w:rPr>
                      <w:rFonts w:hint="default" w:ascii="Times New Roman" w:hAnsi="Times New Roman" w:eastAsia="宋体" w:cs="Times New Roman"/>
                      <w:b/>
                      <w:bCs/>
                      <w:color w:val="auto"/>
                      <w:kern w:val="2"/>
                      <w:sz w:val="21"/>
                      <w:szCs w:val="21"/>
                      <w:highlight w:val="none"/>
                      <w:lang w:val="en-US" w:eastAsia="zh-CN" w:bidi="ar-SA"/>
                    </w:rPr>
                    <w:t>）</w:t>
                  </w:r>
                </w:p>
              </w:tc>
              <w:tc>
                <w:tcPr>
                  <w:tcW w:w="2596" w:type="dxa"/>
                  <w:noWrap w:val="0"/>
                  <w:vAlign w:val="center"/>
                </w:tcPr>
                <w:p w14:paraId="664E8E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标准值及不确定度（mg/m</w:t>
                  </w:r>
                  <w:r>
                    <w:rPr>
                      <w:rFonts w:hint="default" w:ascii="Times New Roman" w:hAnsi="Times New Roman" w:eastAsia="宋体" w:cs="Times New Roman"/>
                      <w:b/>
                      <w:bCs/>
                      <w:color w:val="auto"/>
                      <w:kern w:val="2"/>
                      <w:sz w:val="21"/>
                      <w:szCs w:val="21"/>
                      <w:highlight w:val="none"/>
                      <w:vertAlign w:val="superscript"/>
                      <w:lang w:val="en-US" w:eastAsia="zh-CN" w:bidi="ar-SA"/>
                    </w:rPr>
                    <w:t>3</w:t>
                  </w:r>
                  <w:r>
                    <w:rPr>
                      <w:rFonts w:hint="default" w:ascii="Times New Roman" w:hAnsi="Times New Roman" w:eastAsia="宋体" w:cs="Times New Roman"/>
                      <w:b/>
                      <w:bCs/>
                      <w:color w:val="auto"/>
                      <w:kern w:val="2"/>
                      <w:sz w:val="21"/>
                      <w:szCs w:val="21"/>
                      <w:highlight w:val="none"/>
                      <w:lang w:val="en-US" w:eastAsia="zh-CN" w:bidi="ar-SA"/>
                    </w:rPr>
                    <w:t>）</w:t>
                  </w:r>
                </w:p>
              </w:tc>
              <w:tc>
                <w:tcPr>
                  <w:tcW w:w="1132" w:type="dxa"/>
                  <w:noWrap w:val="0"/>
                  <w:vAlign w:val="center"/>
                </w:tcPr>
                <w:p w14:paraId="0FAD21B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color w:val="000000"/>
                      <w:spacing w:val="-6"/>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结果评价</w:t>
                  </w:r>
                </w:p>
              </w:tc>
            </w:tr>
            <w:tr w14:paraId="78173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956" w:type="dxa"/>
                  <w:vMerge w:val="restart"/>
                  <w:noWrap w:val="0"/>
                  <w:vAlign w:val="center"/>
                </w:tcPr>
                <w:p w14:paraId="79EB911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非甲烷总烃</w:t>
                  </w:r>
                </w:p>
              </w:tc>
              <w:tc>
                <w:tcPr>
                  <w:tcW w:w="1858" w:type="dxa"/>
                  <w:noWrap w:val="0"/>
                  <w:vAlign w:val="center"/>
                </w:tcPr>
                <w:p w14:paraId="3DA737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6"/>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21004017</w:t>
                  </w:r>
                </w:p>
              </w:tc>
              <w:tc>
                <w:tcPr>
                  <w:tcW w:w="1615" w:type="dxa"/>
                  <w:noWrap w:val="0"/>
                  <w:vAlign w:val="center"/>
                </w:tcPr>
                <w:p w14:paraId="7F7551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36.0</w:t>
                  </w:r>
                </w:p>
              </w:tc>
              <w:tc>
                <w:tcPr>
                  <w:tcW w:w="2596" w:type="dxa"/>
                  <w:noWrap w:val="0"/>
                  <w:vAlign w:val="center"/>
                </w:tcPr>
                <w:p w14:paraId="523BF9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36.3</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0.73</w:t>
                  </w:r>
                </w:p>
              </w:tc>
              <w:tc>
                <w:tcPr>
                  <w:tcW w:w="1132" w:type="dxa"/>
                  <w:noWrap w:val="0"/>
                  <w:vAlign w:val="center"/>
                </w:tcPr>
                <w:p w14:paraId="7D914D4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sz w:val="21"/>
                      <w:szCs w:val="21"/>
                      <w:highlight w:val="none"/>
                    </w:rPr>
                    <w:t>合格</w:t>
                  </w:r>
                </w:p>
              </w:tc>
            </w:tr>
            <w:tr w14:paraId="26E4F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56" w:type="dxa"/>
                  <w:vMerge w:val="continue"/>
                  <w:noWrap w:val="0"/>
                  <w:vAlign w:val="center"/>
                </w:tcPr>
                <w:p w14:paraId="1C79E8E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pacing w:val="-6"/>
                      <w:kern w:val="2"/>
                      <w:sz w:val="21"/>
                      <w:szCs w:val="21"/>
                      <w:highlight w:val="none"/>
                      <w:lang w:val="en-US" w:eastAsia="zh-CN" w:bidi="ar-SA"/>
                    </w:rPr>
                  </w:pPr>
                </w:p>
              </w:tc>
              <w:tc>
                <w:tcPr>
                  <w:tcW w:w="1858" w:type="dxa"/>
                  <w:noWrap w:val="0"/>
                  <w:vAlign w:val="center"/>
                </w:tcPr>
                <w:p w14:paraId="416ADA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6"/>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21004017</w:t>
                  </w:r>
                </w:p>
              </w:tc>
              <w:tc>
                <w:tcPr>
                  <w:tcW w:w="1615" w:type="dxa"/>
                  <w:noWrap w:val="0"/>
                  <w:vAlign w:val="center"/>
                </w:tcPr>
                <w:p w14:paraId="752482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36.3</w:t>
                  </w:r>
                </w:p>
              </w:tc>
              <w:tc>
                <w:tcPr>
                  <w:tcW w:w="2596" w:type="dxa"/>
                  <w:noWrap w:val="0"/>
                  <w:vAlign w:val="center"/>
                </w:tcPr>
                <w:p w14:paraId="08477C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36.3</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0.73</w:t>
                  </w:r>
                </w:p>
              </w:tc>
              <w:tc>
                <w:tcPr>
                  <w:tcW w:w="1132" w:type="dxa"/>
                  <w:noWrap w:val="0"/>
                  <w:vAlign w:val="center"/>
                </w:tcPr>
                <w:p w14:paraId="653887C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sz w:val="21"/>
                      <w:szCs w:val="21"/>
                      <w:highlight w:val="none"/>
                    </w:rPr>
                    <w:t>合格</w:t>
                  </w:r>
                </w:p>
              </w:tc>
            </w:tr>
          </w:tbl>
          <w:p w14:paraId="31C21035">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eastAsia" w:ascii="Times New Roman" w:hAnsi="Times New Roman" w:eastAsia="宋体" w:cs="Times New Roman"/>
                <w:b/>
                <w:bCs w:val="0"/>
                <w:kern w:val="2"/>
                <w:sz w:val="24"/>
                <w:szCs w:val="24"/>
                <w:highlight w:val="none"/>
                <w:lang w:val="en-US" w:eastAsia="zh-CN" w:bidi="ar-SA"/>
              </w:rPr>
            </w:pPr>
            <w:r>
              <w:rPr>
                <w:rFonts w:hint="default" w:ascii="Times New Roman" w:hAnsi="Times New Roman" w:eastAsia="宋体" w:cs="Times New Roman"/>
                <w:b/>
                <w:bCs/>
                <w:color w:val="000000"/>
                <w:kern w:val="2"/>
                <w:sz w:val="24"/>
                <w:szCs w:val="24"/>
                <w:highlight w:val="none"/>
                <w:lang w:val="en-US" w:eastAsia="zh-CN" w:bidi="ar-SA"/>
              </w:rPr>
              <w:t>表</w:t>
            </w:r>
            <w:r>
              <w:rPr>
                <w:rFonts w:hint="eastAsia" w:ascii="Times New Roman" w:hAnsi="Times New Roman" w:eastAsia="宋体" w:cs="Times New Roman"/>
                <w:b/>
                <w:bCs/>
                <w:color w:val="000000"/>
                <w:kern w:val="2"/>
                <w:sz w:val="24"/>
                <w:szCs w:val="24"/>
                <w:highlight w:val="none"/>
                <w:lang w:val="en-US" w:eastAsia="zh-CN" w:bidi="ar-SA"/>
              </w:rPr>
              <w:t xml:space="preserve">5-7  </w:t>
            </w:r>
            <w:r>
              <w:rPr>
                <w:rFonts w:ascii="Times New Roman" w:hAnsi="Times New Roman" w:eastAsia="宋体" w:cs="Times New Roman"/>
                <w:b/>
                <w:bCs w:val="0"/>
                <w:kern w:val="2"/>
                <w:sz w:val="24"/>
                <w:szCs w:val="24"/>
                <w:highlight w:val="none"/>
                <w:lang w:val="en-US" w:eastAsia="zh-CN" w:bidi="ar-SA"/>
              </w:rPr>
              <w:t>质控样检测结果</w:t>
            </w:r>
            <w:r>
              <w:rPr>
                <w:rFonts w:hint="eastAsia" w:ascii="Times New Roman" w:hAnsi="Times New Roman" w:eastAsia="宋体" w:cs="Times New Roman"/>
                <w:b/>
                <w:bCs w:val="0"/>
                <w:kern w:val="2"/>
                <w:sz w:val="24"/>
                <w:szCs w:val="24"/>
                <w:highlight w:val="none"/>
                <w:lang w:val="en-US" w:eastAsia="zh-CN" w:bidi="ar-SA"/>
              </w:rPr>
              <w:t>（无组织废气）</w:t>
            </w:r>
          </w:p>
          <w:tbl>
            <w:tblPr>
              <w:tblStyle w:val="31"/>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1838"/>
              <w:gridCol w:w="1720"/>
              <w:gridCol w:w="2585"/>
              <w:gridCol w:w="1128"/>
            </w:tblGrid>
            <w:tr w14:paraId="5DB0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847" w:type="dxa"/>
                  <w:noWrap w:val="0"/>
                  <w:vAlign w:val="center"/>
                </w:tcPr>
                <w:p w14:paraId="4DBFC40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spacing w:val="-6"/>
                      <w:sz w:val="21"/>
                      <w:szCs w:val="21"/>
                      <w:highlight w:val="none"/>
                    </w:rPr>
                    <w:t>检测项目</w:t>
                  </w:r>
                </w:p>
              </w:tc>
              <w:tc>
                <w:tcPr>
                  <w:tcW w:w="1838" w:type="dxa"/>
                  <w:noWrap w:val="0"/>
                  <w:vAlign w:val="center"/>
                </w:tcPr>
                <w:p w14:paraId="039BB2D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pacing w:val="-6"/>
                      <w:sz w:val="21"/>
                      <w:szCs w:val="21"/>
                      <w:highlight w:val="none"/>
                    </w:rPr>
                  </w:pPr>
                  <w:r>
                    <w:rPr>
                      <w:rFonts w:hint="default" w:ascii="Times New Roman" w:hAnsi="Times New Roman" w:eastAsia="宋体" w:cs="Times New Roman"/>
                      <w:b/>
                      <w:bCs/>
                      <w:spacing w:val="-6"/>
                      <w:sz w:val="21"/>
                      <w:szCs w:val="21"/>
                      <w:highlight w:val="none"/>
                    </w:rPr>
                    <w:t>批号</w:t>
                  </w:r>
                </w:p>
              </w:tc>
              <w:tc>
                <w:tcPr>
                  <w:tcW w:w="1720" w:type="dxa"/>
                  <w:noWrap w:val="0"/>
                  <w:vAlign w:val="center"/>
                </w:tcPr>
                <w:p w14:paraId="084E6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分析结果（mg/m</w:t>
                  </w:r>
                  <w:r>
                    <w:rPr>
                      <w:rFonts w:hint="default" w:ascii="Times New Roman" w:hAnsi="Times New Roman" w:eastAsia="宋体" w:cs="Times New Roman"/>
                      <w:b/>
                      <w:bCs/>
                      <w:color w:val="auto"/>
                      <w:kern w:val="2"/>
                      <w:sz w:val="21"/>
                      <w:szCs w:val="21"/>
                      <w:highlight w:val="none"/>
                      <w:vertAlign w:val="superscript"/>
                      <w:lang w:val="en-US" w:eastAsia="zh-CN" w:bidi="ar-SA"/>
                    </w:rPr>
                    <w:t>3</w:t>
                  </w:r>
                  <w:r>
                    <w:rPr>
                      <w:rFonts w:hint="default" w:ascii="Times New Roman" w:hAnsi="Times New Roman" w:eastAsia="宋体" w:cs="Times New Roman"/>
                      <w:b/>
                      <w:bCs/>
                      <w:color w:val="auto"/>
                      <w:kern w:val="2"/>
                      <w:sz w:val="21"/>
                      <w:szCs w:val="21"/>
                      <w:highlight w:val="none"/>
                      <w:lang w:val="en-US" w:eastAsia="zh-CN" w:bidi="ar-SA"/>
                    </w:rPr>
                    <w:t>）</w:t>
                  </w:r>
                </w:p>
              </w:tc>
              <w:tc>
                <w:tcPr>
                  <w:tcW w:w="2585" w:type="dxa"/>
                  <w:noWrap w:val="0"/>
                  <w:vAlign w:val="center"/>
                </w:tcPr>
                <w:p w14:paraId="6C30E3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标准值及不确定度（mg/m</w:t>
                  </w:r>
                  <w:r>
                    <w:rPr>
                      <w:rFonts w:hint="default" w:ascii="Times New Roman" w:hAnsi="Times New Roman" w:eastAsia="宋体" w:cs="Times New Roman"/>
                      <w:b/>
                      <w:bCs/>
                      <w:color w:val="auto"/>
                      <w:kern w:val="2"/>
                      <w:sz w:val="21"/>
                      <w:szCs w:val="21"/>
                      <w:highlight w:val="none"/>
                      <w:vertAlign w:val="superscript"/>
                      <w:lang w:val="en-US" w:eastAsia="zh-CN" w:bidi="ar-SA"/>
                    </w:rPr>
                    <w:t>3</w:t>
                  </w:r>
                  <w:r>
                    <w:rPr>
                      <w:rFonts w:hint="default" w:ascii="Times New Roman" w:hAnsi="Times New Roman" w:eastAsia="宋体" w:cs="Times New Roman"/>
                      <w:b/>
                      <w:bCs/>
                      <w:color w:val="auto"/>
                      <w:kern w:val="2"/>
                      <w:sz w:val="21"/>
                      <w:szCs w:val="21"/>
                      <w:highlight w:val="none"/>
                      <w:lang w:val="en-US" w:eastAsia="zh-CN" w:bidi="ar-SA"/>
                    </w:rPr>
                    <w:t>）</w:t>
                  </w:r>
                </w:p>
              </w:tc>
              <w:tc>
                <w:tcPr>
                  <w:tcW w:w="1128" w:type="dxa"/>
                  <w:noWrap w:val="0"/>
                  <w:vAlign w:val="center"/>
                </w:tcPr>
                <w:p w14:paraId="5171DAB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bCs/>
                      <w:color w:val="000000"/>
                      <w:spacing w:val="-6"/>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结果评价</w:t>
                  </w:r>
                </w:p>
              </w:tc>
            </w:tr>
            <w:tr w14:paraId="73CB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847" w:type="dxa"/>
                  <w:vMerge w:val="restart"/>
                  <w:noWrap w:val="0"/>
                  <w:vAlign w:val="center"/>
                </w:tcPr>
                <w:p w14:paraId="0B7E0B7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pacing w:val="-6"/>
                      <w:kern w:val="2"/>
                      <w:sz w:val="21"/>
                      <w:szCs w:val="21"/>
                      <w:highlight w:val="none"/>
                      <w:lang w:val="en-US" w:eastAsia="zh-CN" w:bidi="ar-SA"/>
                    </w:rPr>
                  </w:pPr>
                  <w:r>
                    <w:rPr>
                      <w:rFonts w:hint="eastAsia" w:ascii="Times New Roman" w:hAnsi="Times New Roman" w:eastAsia="宋体" w:cs="Times New Roman"/>
                      <w:b w:val="0"/>
                      <w:bCs w:val="0"/>
                      <w:color w:val="auto"/>
                      <w:spacing w:val="-6"/>
                      <w:kern w:val="2"/>
                      <w:sz w:val="21"/>
                      <w:szCs w:val="21"/>
                      <w:highlight w:val="none"/>
                      <w:lang w:val="en-US" w:eastAsia="zh-CN" w:bidi="ar-SA"/>
                    </w:rPr>
                    <w:t>非甲烷总烃</w:t>
                  </w:r>
                </w:p>
              </w:tc>
              <w:tc>
                <w:tcPr>
                  <w:tcW w:w="1838" w:type="dxa"/>
                  <w:noWrap w:val="0"/>
                  <w:vAlign w:val="center"/>
                </w:tcPr>
                <w:p w14:paraId="02CF68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6"/>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21004017</w:t>
                  </w:r>
                </w:p>
              </w:tc>
              <w:tc>
                <w:tcPr>
                  <w:tcW w:w="1720" w:type="dxa"/>
                  <w:noWrap w:val="0"/>
                  <w:vAlign w:val="center"/>
                </w:tcPr>
                <w:p w14:paraId="1FE81A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36.0</w:t>
                  </w:r>
                </w:p>
              </w:tc>
              <w:tc>
                <w:tcPr>
                  <w:tcW w:w="2585" w:type="dxa"/>
                  <w:noWrap w:val="0"/>
                  <w:vAlign w:val="center"/>
                </w:tcPr>
                <w:p w14:paraId="776874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36.3</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0.73</w:t>
                  </w:r>
                </w:p>
              </w:tc>
              <w:tc>
                <w:tcPr>
                  <w:tcW w:w="1128" w:type="dxa"/>
                  <w:noWrap w:val="0"/>
                  <w:vAlign w:val="center"/>
                </w:tcPr>
                <w:p w14:paraId="408C529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sz w:val="21"/>
                      <w:szCs w:val="21"/>
                      <w:highlight w:val="none"/>
                    </w:rPr>
                    <w:t>合格</w:t>
                  </w:r>
                </w:p>
              </w:tc>
            </w:tr>
            <w:tr w14:paraId="1F23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847" w:type="dxa"/>
                  <w:vMerge w:val="continue"/>
                  <w:noWrap w:val="0"/>
                  <w:vAlign w:val="center"/>
                </w:tcPr>
                <w:p w14:paraId="646646D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pacing w:val="-6"/>
                      <w:kern w:val="2"/>
                      <w:sz w:val="21"/>
                      <w:szCs w:val="21"/>
                      <w:highlight w:val="none"/>
                      <w:lang w:val="en-US" w:eastAsia="zh-CN" w:bidi="ar-SA"/>
                    </w:rPr>
                  </w:pPr>
                </w:p>
              </w:tc>
              <w:tc>
                <w:tcPr>
                  <w:tcW w:w="1838" w:type="dxa"/>
                  <w:noWrap w:val="0"/>
                  <w:vAlign w:val="center"/>
                </w:tcPr>
                <w:p w14:paraId="02341C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6"/>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21004017</w:t>
                  </w:r>
                </w:p>
              </w:tc>
              <w:tc>
                <w:tcPr>
                  <w:tcW w:w="1720" w:type="dxa"/>
                  <w:noWrap w:val="0"/>
                  <w:vAlign w:val="center"/>
                </w:tcPr>
                <w:p w14:paraId="3BBD8B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36.3</w:t>
                  </w:r>
                </w:p>
              </w:tc>
              <w:tc>
                <w:tcPr>
                  <w:tcW w:w="2585" w:type="dxa"/>
                  <w:noWrap w:val="0"/>
                  <w:vAlign w:val="center"/>
                </w:tcPr>
                <w:p w14:paraId="301D15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36.3</w:t>
                  </w:r>
                  <w:r>
                    <w:rPr>
                      <w:rFonts w:hint="default" w:ascii="Times New Roman" w:hAnsi="Times New Roman" w:eastAsia="宋体" w:cs="Times New Roman"/>
                      <w:b w:val="0"/>
                      <w:color w:val="auto"/>
                      <w:kern w:val="2"/>
                      <w:sz w:val="21"/>
                      <w:szCs w:val="21"/>
                      <w:highlight w:val="none"/>
                      <w:lang w:val="en-US" w:eastAsia="zh-CN" w:bidi="ar-SA"/>
                    </w:rPr>
                    <w:t>±</w:t>
                  </w:r>
                  <w:r>
                    <w:rPr>
                      <w:rFonts w:hint="eastAsia" w:ascii="Times New Roman" w:hAnsi="Times New Roman" w:eastAsia="宋体" w:cs="Times New Roman"/>
                      <w:b w:val="0"/>
                      <w:color w:val="auto"/>
                      <w:kern w:val="2"/>
                      <w:sz w:val="21"/>
                      <w:szCs w:val="21"/>
                      <w:highlight w:val="none"/>
                      <w:lang w:val="en-US" w:eastAsia="zh-CN" w:bidi="ar-SA"/>
                    </w:rPr>
                    <w:t>0.73</w:t>
                  </w:r>
                </w:p>
              </w:tc>
              <w:tc>
                <w:tcPr>
                  <w:tcW w:w="1128" w:type="dxa"/>
                  <w:noWrap w:val="0"/>
                  <w:vAlign w:val="center"/>
                </w:tcPr>
                <w:p w14:paraId="0DFEB2E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sz w:val="21"/>
                      <w:szCs w:val="21"/>
                      <w:highlight w:val="none"/>
                    </w:rPr>
                    <w:t>合格</w:t>
                  </w:r>
                </w:p>
              </w:tc>
            </w:tr>
          </w:tbl>
          <w:p w14:paraId="65F49F15">
            <w:pPr>
              <w:widowControl w:val="0"/>
              <w:jc w:val="both"/>
              <w:rPr>
                <w:rFonts w:hint="default" w:ascii="Times New Roman" w:hAnsi="Times New Roman" w:eastAsia="宋体" w:cs="Times New Roman"/>
                <w:b/>
                <w:bCs/>
                <w:kern w:val="2"/>
                <w:sz w:val="24"/>
                <w:szCs w:val="36"/>
                <w:highlight w:val="none"/>
                <w:lang w:val="en-US" w:eastAsia="zh-CN" w:bidi="ar-SA"/>
              </w:rPr>
            </w:pPr>
          </w:p>
          <w:tbl>
            <w:tblPr>
              <w:tblStyle w:val="32"/>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119"/>
              <w:gridCol w:w="1247"/>
              <w:gridCol w:w="1615"/>
              <w:gridCol w:w="1407"/>
              <w:gridCol w:w="1135"/>
              <w:gridCol w:w="787"/>
            </w:tblGrid>
            <w:tr w14:paraId="46555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6" w:hRule="atLeast"/>
                <w:jc w:val="center"/>
              </w:trPr>
              <w:tc>
                <w:tcPr>
                  <w:tcW w:w="1826" w:type="dxa"/>
                  <w:noWrap w:val="0"/>
                  <w:vAlign w:val="center"/>
                </w:tcPr>
                <w:p w14:paraId="19876A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项目</w:t>
                  </w:r>
                </w:p>
              </w:tc>
              <w:tc>
                <w:tcPr>
                  <w:tcW w:w="1119" w:type="dxa"/>
                  <w:noWrap w:val="0"/>
                  <w:vAlign w:val="center"/>
                </w:tcPr>
                <w:p w14:paraId="25455C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标准滤膜编号</w:t>
                  </w:r>
                </w:p>
              </w:tc>
              <w:tc>
                <w:tcPr>
                  <w:tcW w:w="1247" w:type="dxa"/>
                  <w:noWrap w:val="0"/>
                  <w:vAlign w:val="center"/>
                </w:tcPr>
                <w:p w14:paraId="761455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标准滤膜初称重量（g）</w:t>
                  </w:r>
                </w:p>
              </w:tc>
              <w:tc>
                <w:tcPr>
                  <w:tcW w:w="1615" w:type="dxa"/>
                  <w:noWrap w:val="0"/>
                  <w:vAlign w:val="center"/>
                </w:tcPr>
                <w:p w14:paraId="3A35A1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标准滤膜现称重量（g）</w:t>
                  </w:r>
                </w:p>
              </w:tc>
              <w:tc>
                <w:tcPr>
                  <w:tcW w:w="1407" w:type="dxa"/>
                  <w:noWrap w:val="0"/>
                  <w:vAlign w:val="center"/>
                </w:tcPr>
                <w:p w14:paraId="120550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标准滤膜重量差（g）</w:t>
                  </w:r>
                </w:p>
              </w:tc>
              <w:tc>
                <w:tcPr>
                  <w:tcW w:w="1135" w:type="dxa"/>
                  <w:noWrap w:val="0"/>
                  <w:vAlign w:val="center"/>
                </w:tcPr>
                <w:p w14:paraId="20070F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sz w:val="21"/>
                      <w:szCs w:val="21"/>
                      <w:highlight w:val="none"/>
                      <w:vertAlign w:val="baseline"/>
                      <w:lang w:val="en-US" w:eastAsia="zh-CN"/>
                    </w:rPr>
                    <w:t>重量差</w:t>
                  </w:r>
                  <w:r>
                    <w:rPr>
                      <w:rFonts w:hint="eastAsia" w:ascii="Times New Roman" w:hAnsi="Times New Roman" w:eastAsia="宋体" w:cs="Times New Roman"/>
                      <w:b/>
                      <w:bCs w:val="0"/>
                      <w:sz w:val="21"/>
                      <w:szCs w:val="21"/>
                      <w:highlight w:val="none"/>
                      <w:vertAlign w:val="baseline"/>
                      <w:lang w:val="en-US" w:eastAsia="zh-CN"/>
                    </w:rPr>
                    <w:t>允许</w:t>
                  </w:r>
                  <w:r>
                    <w:rPr>
                      <w:rFonts w:hint="default" w:ascii="Times New Roman" w:hAnsi="Times New Roman" w:eastAsia="宋体" w:cs="Times New Roman"/>
                      <w:b/>
                      <w:bCs w:val="0"/>
                      <w:sz w:val="21"/>
                      <w:szCs w:val="21"/>
                      <w:highlight w:val="none"/>
                      <w:vertAlign w:val="baseline"/>
                      <w:lang w:val="en-US" w:eastAsia="zh-CN"/>
                    </w:rPr>
                    <w:t>范围（g）</w:t>
                  </w:r>
                </w:p>
              </w:tc>
              <w:tc>
                <w:tcPr>
                  <w:tcW w:w="787" w:type="dxa"/>
                  <w:noWrap w:val="0"/>
                  <w:vAlign w:val="center"/>
                </w:tcPr>
                <w:p w14:paraId="1CA8F0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val="0"/>
                      <w:sz w:val="21"/>
                      <w:szCs w:val="21"/>
                      <w:highlight w:val="none"/>
                      <w:vertAlign w:val="baseline"/>
                      <w:lang w:val="en-US" w:eastAsia="zh-CN"/>
                    </w:rPr>
                  </w:pPr>
                  <w:r>
                    <w:rPr>
                      <w:rFonts w:hint="default" w:ascii="Times New Roman" w:hAnsi="Times New Roman" w:eastAsia="宋体" w:cs="Times New Roman"/>
                      <w:b/>
                      <w:bCs w:val="0"/>
                      <w:color w:val="auto"/>
                      <w:kern w:val="2"/>
                      <w:sz w:val="21"/>
                      <w:szCs w:val="21"/>
                      <w:highlight w:val="none"/>
                      <w:lang w:val="en-US" w:eastAsia="zh-CN"/>
                    </w:rPr>
                    <w:t>结果评价</w:t>
                  </w:r>
                </w:p>
              </w:tc>
            </w:tr>
            <w:tr w14:paraId="6D51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826" w:type="dxa"/>
                  <w:noWrap w:val="0"/>
                  <w:vAlign w:val="center"/>
                </w:tcPr>
                <w:p w14:paraId="6717C0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ascii="Times New Roman" w:hAnsi="Times New Roman" w:eastAsia="宋体" w:cs="Times New Roman"/>
                      <w:b w:val="0"/>
                      <w:bCs/>
                      <w:sz w:val="21"/>
                      <w:szCs w:val="21"/>
                      <w:highlight w:val="none"/>
                      <w:vertAlign w:val="baseline"/>
                      <w:lang w:val="en-US" w:eastAsia="zh-CN"/>
                    </w:rPr>
                    <w:t>总悬浮</w:t>
                  </w:r>
                  <w:r>
                    <w:rPr>
                      <w:rFonts w:hint="default" w:ascii="Times New Roman" w:hAnsi="Times New Roman" w:eastAsia="宋体" w:cs="Times New Roman"/>
                      <w:b w:val="0"/>
                      <w:bCs/>
                      <w:sz w:val="21"/>
                      <w:szCs w:val="21"/>
                      <w:highlight w:val="none"/>
                      <w:vertAlign w:val="baseline"/>
                      <w:lang w:val="en-US" w:eastAsia="zh-CN"/>
                    </w:rPr>
                    <w:t>颗粒物</w:t>
                  </w:r>
                </w:p>
              </w:tc>
              <w:tc>
                <w:tcPr>
                  <w:tcW w:w="1119" w:type="dxa"/>
                  <w:noWrap w:val="0"/>
                  <w:vAlign w:val="center"/>
                </w:tcPr>
                <w:p w14:paraId="57D358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ascii="Times New Roman" w:hAnsi="Times New Roman" w:eastAsia="宋体" w:cs="Times New Roman"/>
                      <w:b w:val="0"/>
                      <w:bCs/>
                      <w:sz w:val="21"/>
                      <w:szCs w:val="21"/>
                      <w:highlight w:val="none"/>
                      <w:vertAlign w:val="baseline"/>
                      <w:lang w:val="en-US" w:eastAsia="zh-CN"/>
                    </w:rPr>
                    <w:t>Z-202505</w:t>
                  </w:r>
                </w:p>
              </w:tc>
              <w:tc>
                <w:tcPr>
                  <w:tcW w:w="1247" w:type="dxa"/>
                  <w:noWrap w:val="0"/>
                  <w:vAlign w:val="center"/>
                </w:tcPr>
                <w:p w14:paraId="6D45A1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ascii="Times New Roman" w:hAnsi="Times New Roman" w:eastAsia="宋体" w:cs="Times New Roman"/>
                      <w:b w:val="0"/>
                      <w:bCs/>
                      <w:sz w:val="21"/>
                      <w:szCs w:val="21"/>
                      <w:highlight w:val="none"/>
                      <w:vertAlign w:val="baseline"/>
                      <w:lang w:val="en-US" w:eastAsia="zh-CN"/>
                    </w:rPr>
                    <w:t>0.37884</w:t>
                  </w:r>
                </w:p>
              </w:tc>
              <w:tc>
                <w:tcPr>
                  <w:tcW w:w="1615" w:type="dxa"/>
                  <w:noWrap w:val="0"/>
                  <w:vAlign w:val="center"/>
                </w:tcPr>
                <w:p w14:paraId="0E0474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ascii="Times New Roman" w:hAnsi="Times New Roman" w:eastAsia="宋体" w:cs="Times New Roman"/>
                      <w:b w:val="0"/>
                      <w:bCs/>
                      <w:sz w:val="21"/>
                      <w:szCs w:val="21"/>
                      <w:highlight w:val="none"/>
                      <w:vertAlign w:val="baseline"/>
                      <w:lang w:val="en-US" w:eastAsia="zh-CN"/>
                    </w:rPr>
                    <w:t>0.37885</w:t>
                  </w:r>
                </w:p>
              </w:tc>
              <w:tc>
                <w:tcPr>
                  <w:tcW w:w="1407" w:type="dxa"/>
                  <w:noWrap w:val="0"/>
                  <w:vAlign w:val="center"/>
                </w:tcPr>
                <w:p w14:paraId="443DC8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eastAsia" w:ascii="Times New Roman" w:hAnsi="Times New Roman" w:eastAsia="宋体" w:cs="Times New Roman"/>
                      <w:b w:val="0"/>
                      <w:bCs/>
                      <w:sz w:val="21"/>
                      <w:szCs w:val="21"/>
                      <w:highlight w:val="none"/>
                      <w:vertAlign w:val="baseline"/>
                      <w:lang w:val="en-US" w:eastAsia="zh-CN"/>
                    </w:rPr>
                    <w:t>0.00001</w:t>
                  </w:r>
                </w:p>
              </w:tc>
              <w:tc>
                <w:tcPr>
                  <w:tcW w:w="1135" w:type="dxa"/>
                  <w:noWrap w:val="0"/>
                  <w:vAlign w:val="center"/>
                </w:tcPr>
                <w:p w14:paraId="3D5271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rPr>
                    <w:t>±</w:t>
                  </w:r>
                  <w:r>
                    <w:rPr>
                      <w:rFonts w:hint="default" w:ascii="Times New Roman" w:hAnsi="Times New Roman" w:eastAsia="宋体" w:cs="Times New Roman"/>
                      <w:b w:val="0"/>
                      <w:bCs/>
                      <w:sz w:val="21"/>
                      <w:szCs w:val="21"/>
                      <w:highlight w:val="none"/>
                      <w:lang w:val="en-US" w:eastAsia="zh-CN"/>
                    </w:rPr>
                    <w:t>0.0005</w:t>
                  </w:r>
                </w:p>
              </w:tc>
              <w:tc>
                <w:tcPr>
                  <w:tcW w:w="787" w:type="dxa"/>
                  <w:noWrap w:val="0"/>
                  <w:vAlign w:val="center"/>
                </w:tcPr>
                <w:p w14:paraId="373771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vertAlign w:val="baseline"/>
                      <w:lang w:val="en-US" w:eastAsia="zh-CN"/>
                    </w:rPr>
                  </w:pPr>
                  <w:r>
                    <w:rPr>
                      <w:rFonts w:hint="default" w:ascii="Times New Roman" w:hAnsi="Times New Roman" w:eastAsia="宋体" w:cs="Times New Roman"/>
                      <w:b w:val="0"/>
                      <w:bCs/>
                      <w:sz w:val="21"/>
                      <w:szCs w:val="21"/>
                      <w:highlight w:val="none"/>
                      <w:vertAlign w:val="baseline"/>
                      <w:lang w:val="en-US" w:eastAsia="zh-CN"/>
                    </w:rPr>
                    <w:t>合格</w:t>
                  </w:r>
                </w:p>
              </w:tc>
            </w:tr>
          </w:tbl>
          <w:p w14:paraId="135407F3">
            <w:pPr>
              <w:pStyle w:val="56"/>
              <w:numPr>
                <w:ilvl w:val="0"/>
                <w:numId w:val="0"/>
              </w:numPr>
              <w:ind w:firstLine="480" w:firstLineChars="200"/>
              <w:rPr>
                <w:rFonts w:hint="default" w:ascii="Times New Roman" w:hAnsi="Times New Roman" w:cs="Times New Roman"/>
                <w:color w:val="auto"/>
                <w:lang w:val="en-US" w:eastAsia="zh-CN"/>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5</w:t>
            </w:r>
            <w:r>
              <w:rPr>
                <w:rFonts w:hint="default" w:ascii="Times New Roman" w:hAnsi="Times New Roman" w:cs="Times New Roman"/>
                <w:color w:val="auto"/>
                <w:lang w:eastAsia="zh-CN"/>
              </w:rPr>
              <w:t>）</w:t>
            </w:r>
            <w:r>
              <w:rPr>
                <w:rFonts w:hint="default" w:ascii="Times New Roman" w:hAnsi="Times New Roman" w:cs="Times New Roman"/>
                <w:color w:val="auto"/>
              </w:rPr>
              <w:t>监测、分析人员经过持证上岗考核。</w:t>
            </w:r>
          </w:p>
          <w:p w14:paraId="4DFD6463">
            <w:pPr>
              <w:pStyle w:val="56"/>
              <w:numPr>
                <w:ilvl w:val="0"/>
                <w:numId w:val="0"/>
              </w:numPr>
              <w:ind w:firstLine="480" w:firstLineChars="200"/>
              <w:rPr>
                <w:rFonts w:hint="default" w:ascii="Times New Roman" w:hAnsi="Times New Roman" w:cs="Times New Roman"/>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6</w:t>
            </w:r>
            <w:r>
              <w:rPr>
                <w:rFonts w:hint="default" w:ascii="Times New Roman" w:hAnsi="Times New Roman" w:cs="Times New Roman"/>
                <w:color w:val="auto"/>
                <w:lang w:eastAsia="zh-CN"/>
              </w:rPr>
              <w:t>）</w:t>
            </w:r>
            <w:r>
              <w:rPr>
                <w:rFonts w:hint="default" w:ascii="Times New Roman" w:hAnsi="Times New Roman" w:cs="Times New Roman"/>
                <w:color w:val="auto"/>
              </w:rPr>
              <w:t>监测数据和报告严</w:t>
            </w:r>
            <w:r>
              <w:rPr>
                <w:rFonts w:hint="default" w:ascii="Times New Roman" w:hAnsi="Times New Roman" w:cs="Times New Roman"/>
              </w:rPr>
              <w:t>格按照三级审核制度进行审核。</w:t>
            </w:r>
          </w:p>
        </w:tc>
      </w:tr>
    </w:tbl>
    <w:p w14:paraId="3CA2B3A3">
      <w:pPr>
        <w:widowControl/>
        <w:spacing w:line="240" w:lineRule="auto"/>
        <w:ind w:firstLine="0" w:firstLineChars="0"/>
        <w:jc w:val="left"/>
        <w:rPr>
          <w:rFonts w:hint="default" w:ascii="Times New Roman" w:hAnsi="Times New Roman" w:cs="Times New Roman"/>
          <w:color w:val="FF0000"/>
        </w:rPr>
      </w:pPr>
      <w:r>
        <w:rPr>
          <w:rFonts w:hint="default" w:ascii="Times New Roman" w:hAnsi="Times New Roman" w:cs="Times New Roman"/>
          <w:color w:val="FF0000"/>
        </w:rPr>
        <w:br w:type="page"/>
      </w:r>
    </w:p>
    <w:p w14:paraId="278E6E09">
      <w:pPr>
        <w:pStyle w:val="2"/>
        <w:rPr>
          <w:rFonts w:hint="default" w:ascii="Times New Roman" w:hAnsi="Times New Roman" w:eastAsia="黑体" w:cs="Times New Roman"/>
          <w:lang w:val="en-US" w:eastAsia="zh-CN"/>
        </w:rPr>
      </w:pPr>
      <w:bookmarkStart w:id="22" w:name="_Toc8156"/>
      <w:r>
        <w:rPr>
          <w:rFonts w:hint="default" w:ascii="Times New Roman" w:hAnsi="Times New Roman" w:cs="Times New Roman"/>
        </w:rPr>
        <w:t>表六</w:t>
      </w:r>
      <w:r>
        <w:rPr>
          <w:rFonts w:hint="default" w:ascii="Times New Roman" w:hAnsi="Times New Roman" w:cs="Times New Roman"/>
          <w:lang w:eastAsia="zh-CN"/>
        </w:rPr>
        <w:t>：</w:t>
      </w:r>
      <w:r>
        <w:rPr>
          <w:rFonts w:hint="default" w:ascii="Times New Roman" w:hAnsi="Times New Roman" w:cs="Times New Roman"/>
          <w:lang w:val="en-US" w:eastAsia="zh-CN"/>
        </w:rPr>
        <w:t>验收监测内容</w:t>
      </w:r>
      <w:bookmarkEnd w:id="22"/>
    </w:p>
    <w:tbl>
      <w:tblPr>
        <w:tblStyle w:val="32"/>
        <w:tblW w:w="928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286"/>
      </w:tblGrid>
      <w:tr w14:paraId="4B8113F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855" w:hRule="atLeast"/>
        </w:trPr>
        <w:tc>
          <w:tcPr>
            <w:tcW w:w="9286" w:type="dxa"/>
            <w:vAlign w:val="center"/>
          </w:tcPr>
          <w:p w14:paraId="1525F46B">
            <w:pPr>
              <w:spacing w:line="360" w:lineRule="auto"/>
              <w:ind w:firstLine="0" w:firstLineChars="0"/>
              <w:rPr>
                <w:rFonts w:hint="default" w:ascii="Times New Roman" w:hAnsi="Times New Roman" w:cs="Times New Roman"/>
              </w:rPr>
            </w:pPr>
            <w:r>
              <w:rPr>
                <w:rFonts w:hint="default" w:ascii="Times New Roman" w:hAnsi="Times New Roman" w:cs="Times New Roman"/>
              </w:rPr>
              <w:t>验收</w:t>
            </w:r>
            <w:r>
              <w:rPr>
                <w:rFonts w:hint="default" w:ascii="Times New Roman" w:hAnsi="Times New Roman" w:cs="Times New Roman"/>
                <w:lang w:eastAsia="zh-CN"/>
              </w:rPr>
              <w:t>监</w:t>
            </w:r>
            <w:r>
              <w:rPr>
                <w:rFonts w:hint="default" w:ascii="Times New Roman" w:hAnsi="Times New Roman" w:cs="Times New Roman"/>
              </w:rPr>
              <w:t>测内容：</w:t>
            </w:r>
          </w:p>
          <w:p w14:paraId="7EDD4D49">
            <w:pPr>
              <w:pStyle w:val="3"/>
              <w:spacing w:line="360" w:lineRule="auto"/>
              <w:rPr>
                <w:rFonts w:hint="default" w:ascii="Times New Roman" w:hAnsi="Times New Roman" w:cs="Times New Roman"/>
                <w:lang w:val="en-US" w:eastAsia="zh-CN"/>
              </w:rPr>
            </w:pPr>
            <w:r>
              <w:rPr>
                <w:rFonts w:hint="default" w:ascii="Times New Roman" w:hAnsi="Times New Roman" w:cs="Times New Roman"/>
                <w:lang w:val="en-US" w:eastAsia="zh-CN"/>
              </w:rPr>
              <w:t>6.1 验收监测期间气象条件</w:t>
            </w:r>
          </w:p>
          <w:p w14:paraId="07751B3B">
            <w:pPr>
              <w:spacing w:line="360" w:lineRule="auto"/>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表6-1 验收监测期间气象条件</w:t>
            </w:r>
          </w:p>
          <w:tbl>
            <w:tblPr>
              <w:tblStyle w:val="32"/>
              <w:tblW w:w="914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206"/>
              <w:gridCol w:w="1459"/>
              <w:gridCol w:w="1541"/>
              <w:gridCol w:w="1500"/>
              <w:gridCol w:w="1913"/>
            </w:tblGrid>
            <w:tr w14:paraId="2A16D2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526" w:type="dxa"/>
                  <w:tcBorders>
                    <w:tl2br w:val="nil"/>
                    <w:tr2bl w:val="nil"/>
                  </w:tcBorders>
                  <w:vAlign w:val="center"/>
                </w:tcPr>
                <w:p w14:paraId="739EB8B9">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监测时间</w:t>
                  </w:r>
                </w:p>
              </w:tc>
              <w:tc>
                <w:tcPr>
                  <w:tcW w:w="1206" w:type="dxa"/>
                  <w:tcBorders>
                    <w:tl2br w:val="nil"/>
                    <w:tr2bl w:val="nil"/>
                  </w:tcBorders>
                  <w:vAlign w:val="center"/>
                </w:tcPr>
                <w:p w14:paraId="541E1FA4">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天气</w:t>
                  </w:r>
                </w:p>
              </w:tc>
              <w:tc>
                <w:tcPr>
                  <w:tcW w:w="1459" w:type="dxa"/>
                  <w:tcBorders>
                    <w:tl2br w:val="nil"/>
                    <w:tr2bl w:val="nil"/>
                  </w:tcBorders>
                  <w:vAlign w:val="center"/>
                </w:tcPr>
                <w:p w14:paraId="6F8CC8B3">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风向</w:t>
                  </w:r>
                </w:p>
              </w:tc>
              <w:tc>
                <w:tcPr>
                  <w:tcW w:w="1541" w:type="dxa"/>
                  <w:tcBorders>
                    <w:tl2br w:val="nil"/>
                    <w:tr2bl w:val="nil"/>
                  </w:tcBorders>
                  <w:vAlign w:val="center"/>
                </w:tcPr>
                <w:p w14:paraId="5E3870F1">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风速</w:t>
                  </w:r>
                </w:p>
              </w:tc>
              <w:tc>
                <w:tcPr>
                  <w:tcW w:w="1500" w:type="dxa"/>
                  <w:tcBorders>
                    <w:tl2br w:val="nil"/>
                    <w:tr2bl w:val="nil"/>
                  </w:tcBorders>
                  <w:vAlign w:val="center"/>
                </w:tcPr>
                <w:p w14:paraId="1F6FA808">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气温</w:t>
                  </w:r>
                </w:p>
              </w:tc>
              <w:tc>
                <w:tcPr>
                  <w:tcW w:w="1913" w:type="dxa"/>
                  <w:tcBorders>
                    <w:tl2br w:val="nil"/>
                    <w:tr2bl w:val="nil"/>
                  </w:tcBorders>
                  <w:vAlign w:val="center"/>
                </w:tcPr>
                <w:p w14:paraId="67C80562">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气压</w:t>
                  </w:r>
                </w:p>
              </w:tc>
            </w:tr>
            <w:tr w14:paraId="0B65F0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526" w:type="dxa"/>
                  <w:tcBorders>
                    <w:tl2br w:val="nil"/>
                    <w:tr2bl w:val="nil"/>
                  </w:tcBorders>
                  <w:vAlign w:val="center"/>
                </w:tcPr>
                <w:p w14:paraId="29F7654B">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2025.0</w:t>
                  </w:r>
                  <w:r>
                    <w:rPr>
                      <w:rFonts w:hint="eastAsia" w:ascii="Times New Roman" w:hAnsi="Times New Roman" w:cs="Times New Roman"/>
                      <w:sz w:val="21"/>
                      <w:szCs w:val="21"/>
                      <w:lang w:val="en-US" w:eastAsia="zh-CN"/>
                    </w:rPr>
                    <w:t>5.2</w:t>
                  </w:r>
                  <w:r>
                    <w:rPr>
                      <w:rFonts w:hint="eastAsia" w:cs="Times New Roman"/>
                      <w:sz w:val="21"/>
                      <w:szCs w:val="21"/>
                      <w:lang w:val="en-US" w:eastAsia="zh-CN"/>
                    </w:rPr>
                    <w:t>3</w:t>
                  </w:r>
                </w:p>
              </w:tc>
              <w:tc>
                <w:tcPr>
                  <w:tcW w:w="1206" w:type="dxa"/>
                  <w:tcBorders>
                    <w:tl2br w:val="nil"/>
                    <w:tr2bl w:val="nil"/>
                  </w:tcBorders>
                  <w:vAlign w:val="center"/>
                </w:tcPr>
                <w:p w14:paraId="4FE8A166">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晴</w:t>
                  </w:r>
                </w:p>
              </w:tc>
              <w:tc>
                <w:tcPr>
                  <w:tcW w:w="1459" w:type="dxa"/>
                  <w:tcBorders>
                    <w:tl2br w:val="nil"/>
                    <w:tr2bl w:val="nil"/>
                  </w:tcBorders>
                  <w:vAlign w:val="center"/>
                </w:tcPr>
                <w:p w14:paraId="434C7BAB">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西北</w:t>
                  </w:r>
                </w:p>
              </w:tc>
              <w:tc>
                <w:tcPr>
                  <w:tcW w:w="1541" w:type="dxa"/>
                  <w:tcBorders>
                    <w:tl2br w:val="nil"/>
                    <w:tr2bl w:val="nil"/>
                  </w:tcBorders>
                  <w:vAlign w:val="center"/>
                </w:tcPr>
                <w:p w14:paraId="2CD26AF5">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w:t>
                  </w:r>
                  <w:r>
                    <w:rPr>
                      <w:rFonts w:hint="eastAsia" w:cs="Times New Roman"/>
                      <w:sz w:val="21"/>
                      <w:szCs w:val="21"/>
                      <w:vertAlign w:val="baseline"/>
                      <w:lang w:val="en-US" w:eastAsia="zh-CN"/>
                    </w:rPr>
                    <w:t>8</w:t>
                  </w: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1.9</w:t>
                  </w:r>
                  <w:r>
                    <w:rPr>
                      <w:rFonts w:hint="default" w:ascii="Times New Roman" w:hAnsi="Times New Roman" w:cs="Times New Roman"/>
                      <w:sz w:val="21"/>
                      <w:szCs w:val="21"/>
                      <w:vertAlign w:val="baseline"/>
                      <w:lang w:val="en-US" w:eastAsia="zh-CN"/>
                    </w:rPr>
                    <w:t xml:space="preserve"> m/s</w:t>
                  </w:r>
                </w:p>
              </w:tc>
              <w:tc>
                <w:tcPr>
                  <w:tcW w:w="1500" w:type="dxa"/>
                  <w:tcBorders>
                    <w:tl2br w:val="nil"/>
                    <w:tr2bl w:val="nil"/>
                  </w:tcBorders>
                  <w:vAlign w:val="center"/>
                </w:tcPr>
                <w:p w14:paraId="1D59CA1A">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25.2-27.5℃</w:t>
                  </w:r>
                </w:p>
              </w:tc>
              <w:tc>
                <w:tcPr>
                  <w:tcW w:w="1913" w:type="dxa"/>
                  <w:tcBorders>
                    <w:tl2br w:val="nil"/>
                    <w:tr2bl w:val="nil"/>
                  </w:tcBorders>
                  <w:vAlign w:val="center"/>
                </w:tcPr>
                <w:p w14:paraId="691FEDBA">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97.5-97.7kPa</w:t>
                  </w:r>
                </w:p>
              </w:tc>
            </w:tr>
            <w:tr w14:paraId="161D09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526" w:type="dxa"/>
                  <w:tcBorders>
                    <w:tl2br w:val="nil"/>
                    <w:tr2bl w:val="nil"/>
                  </w:tcBorders>
                  <w:vAlign w:val="center"/>
                </w:tcPr>
                <w:p w14:paraId="47D27A6A">
                  <w:pPr>
                    <w:bidi w:val="0"/>
                    <w:spacing w:line="240" w:lineRule="auto"/>
                    <w:ind w:left="0" w:leftChars="0"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2025.</w:t>
                  </w:r>
                  <w:r>
                    <w:rPr>
                      <w:rFonts w:hint="eastAsia" w:ascii="Times New Roman" w:hAnsi="Times New Roman" w:cs="Times New Roman"/>
                      <w:sz w:val="21"/>
                      <w:szCs w:val="21"/>
                      <w:lang w:val="en-US" w:eastAsia="zh-CN"/>
                    </w:rPr>
                    <w:t>05.</w:t>
                  </w:r>
                  <w:r>
                    <w:rPr>
                      <w:rFonts w:hint="eastAsia" w:cs="Times New Roman"/>
                      <w:sz w:val="21"/>
                      <w:szCs w:val="21"/>
                      <w:lang w:val="en-US" w:eastAsia="zh-CN"/>
                    </w:rPr>
                    <w:t>24</w:t>
                  </w:r>
                </w:p>
              </w:tc>
              <w:tc>
                <w:tcPr>
                  <w:tcW w:w="1206" w:type="dxa"/>
                  <w:tcBorders>
                    <w:tl2br w:val="nil"/>
                    <w:tr2bl w:val="nil"/>
                  </w:tcBorders>
                  <w:vAlign w:val="center"/>
                </w:tcPr>
                <w:p w14:paraId="0CAABEDD">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晴</w:t>
                  </w:r>
                </w:p>
              </w:tc>
              <w:tc>
                <w:tcPr>
                  <w:tcW w:w="1459" w:type="dxa"/>
                  <w:tcBorders>
                    <w:tl2br w:val="nil"/>
                    <w:tr2bl w:val="nil"/>
                  </w:tcBorders>
                  <w:vAlign w:val="center"/>
                </w:tcPr>
                <w:p w14:paraId="64713E4F">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西北</w:t>
                  </w:r>
                </w:p>
              </w:tc>
              <w:tc>
                <w:tcPr>
                  <w:tcW w:w="1541" w:type="dxa"/>
                  <w:tcBorders>
                    <w:tl2br w:val="nil"/>
                    <w:tr2bl w:val="nil"/>
                  </w:tcBorders>
                  <w:vAlign w:val="center"/>
                </w:tcPr>
                <w:p w14:paraId="2329B863">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b w:val="0"/>
                      <w:bCs/>
                      <w:sz w:val="21"/>
                      <w:szCs w:val="21"/>
                      <w:highlight w:val="none"/>
                      <w:lang w:val="en-US" w:eastAsia="zh-CN"/>
                    </w:rPr>
                    <w:t>1.</w:t>
                  </w:r>
                  <w:r>
                    <w:rPr>
                      <w:rFonts w:hint="eastAsia" w:cs="Times New Roman"/>
                      <w:b w:val="0"/>
                      <w:bCs/>
                      <w:sz w:val="21"/>
                      <w:szCs w:val="21"/>
                      <w:highlight w:val="none"/>
                      <w:lang w:val="en-US" w:eastAsia="zh-CN"/>
                    </w:rPr>
                    <w:t>9</w:t>
                  </w:r>
                  <w:r>
                    <w:rPr>
                      <w:rFonts w:hint="default" w:ascii="Times New Roman" w:hAnsi="Times New Roman" w:cs="Times New Roman"/>
                      <w:b w:val="0"/>
                      <w:bCs/>
                      <w:sz w:val="21"/>
                      <w:szCs w:val="21"/>
                      <w:highlight w:val="none"/>
                      <w:lang w:val="en-US" w:eastAsia="zh-CN"/>
                    </w:rPr>
                    <w:t>-</w:t>
                  </w:r>
                  <w:r>
                    <w:rPr>
                      <w:rFonts w:hint="eastAsia" w:cs="Times New Roman"/>
                      <w:b w:val="0"/>
                      <w:bCs/>
                      <w:sz w:val="21"/>
                      <w:szCs w:val="21"/>
                      <w:highlight w:val="none"/>
                      <w:lang w:val="en-US" w:eastAsia="zh-CN"/>
                    </w:rPr>
                    <w:t>2.0</w:t>
                  </w:r>
                  <w:r>
                    <w:rPr>
                      <w:rFonts w:hint="default" w:ascii="Times New Roman" w:hAnsi="Times New Roman" w:cs="Times New Roman"/>
                      <w:b w:val="0"/>
                      <w:bCs/>
                      <w:sz w:val="21"/>
                      <w:szCs w:val="21"/>
                      <w:highlight w:val="none"/>
                    </w:rPr>
                    <w:t>m/s</w:t>
                  </w:r>
                </w:p>
              </w:tc>
              <w:tc>
                <w:tcPr>
                  <w:tcW w:w="1500" w:type="dxa"/>
                  <w:tcBorders>
                    <w:tl2br w:val="nil"/>
                    <w:tr2bl w:val="nil"/>
                  </w:tcBorders>
                  <w:vAlign w:val="center"/>
                </w:tcPr>
                <w:p w14:paraId="6FC4F069">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27.7-29.8℃</w:t>
                  </w:r>
                </w:p>
              </w:tc>
              <w:tc>
                <w:tcPr>
                  <w:tcW w:w="1913" w:type="dxa"/>
                  <w:tcBorders>
                    <w:tl2br w:val="nil"/>
                    <w:tr2bl w:val="nil"/>
                  </w:tcBorders>
                  <w:vAlign w:val="center"/>
                </w:tcPr>
                <w:p w14:paraId="758FF6DF">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98.2-98.3kPa</w:t>
                  </w:r>
                </w:p>
              </w:tc>
            </w:tr>
          </w:tbl>
          <w:p w14:paraId="6FC06848">
            <w:pPr>
              <w:pStyle w:val="3"/>
              <w:spacing w:line="360" w:lineRule="auto"/>
              <w:rPr>
                <w:rFonts w:hint="default" w:ascii="Times New Roman" w:hAnsi="Times New Roman" w:cs="Times New Roman"/>
              </w:rPr>
            </w:pPr>
            <w:bookmarkStart w:id="23" w:name="_Toc4440"/>
            <w:bookmarkStart w:id="24" w:name="_Toc29290"/>
            <w:r>
              <w:rPr>
                <w:rFonts w:hint="default" w:ascii="Times New Roman" w:hAnsi="Times New Roman" w:cs="Times New Roman"/>
              </w:rPr>
              <w:t>6.</w:t>
            </w:r>
            <w:r>
              <w:rPr>
                <w:rFonts w:hint="default" w:ascii="Times New Roman" w:hAnsi="Times New Roman" w:cs="Times New Roman"/>
                <w:lang w:val="en-US" w:eastAsia="zh-CN"/>
              </w:rPr>
              <w:t>2</w:t>
            </w:r>
            <w:r>
              <w:rPr>
                <w:rFonts w:hint="default" w:ascii="Times New Roman" w:hAnsi="Times New Roman" w:cs="Times New Roman"/>
              </w:rPr>
              <w:t xml:space="preserve"> 废气排放</w:t>
            </w:r>
            <w:r>
              <w:rPr>
                <w:rFonts w:hint="default" w:ascii="Times New Roman" w:hAnsi="Times New Roman" w:cs="Times New Roman"/>
                <w:lang w:eastAsia="zh-CN"/>
              </w:rPr>
              <w:t>监测</w:t>
            </w:r>
            <w:r>
              <w:rPr>
                <w:rFonts w:hint="default" w:ascii="Times New Roman" w:hAnsi="Times New Roman" w:cs="Times New Roman"/>
              </w:rPr>
              <w:t>内容</w:t>
            </w:r>
            <w:bookmarkEnd w:id="23"/>
            <w:bookmarkEnd w:id="24"/>
          </w:p>
          <w:p w14:paraId="142294F6">
            <w:pPr>
              <w:spacing w:line="360" w:lineRule="auto"/>
              <w:ind w:firstLine="480"/>
              <w:rPr>
                <w:rFonts w:hint="default" w:ascii="Times New Roman" w:hAnsi="Times New Roman" w:cs="Times New Roman"/>
              </w:rPr>
            </w:pPr>
            <w:r>
              <w:rPr>
                <w:rFonts w:hint="default" w:ascii="Times New Roman" w:hAnsi="Times New Roman" w:cs="Times New Roman"/>
              </w:rPr>
              <w:t>该项目废气排放为</w:t>
            </w:r>
            <w:r>
              <w:rPr>
                <w:rFonts w:hint="default" w:ascii="Times New Roman" w:hAnsi="Times New Roman" w:cs="Times New Roman"/>
                <w:lang w:val="en-US" w:eastAsia="zh-CN"/>
              </w:rPr>
              <w:t>分为有组织排放和无</w:t>
            </w:r>
            <w:r>
              <w:rPr>
                <w:rFonts w:hint="default" w:ascii="Times New Roman" w:hAnsi="Times New Roman" w:cs="Times New Roman"/>
              </w:rPr>
              <w:t>组织</w:t>
            </w:r>
            <w:r>
              <w:rPr>
                <w:rFonts w:hint="default" w:ascii="Times New Roman" w:hAnsi="Times New Roman" w:cs="Times New Roman"/>
                <w:lang w:val="en-US" w:eastAsia="zh-CN"/>
              </w:rPr>
              <w:t>排放</w:t>
            </w:r>
            <w:r>
              <w:rPr>
                <w:rFonts w:hint="default" w:ascii="Times New Roman" w:hAnsi="Times New Roman" w:cs="Times New Roman"/>
              </w:rPr>
              <w:t>，</w:t>
            </w:r>
            <w:r>
              <w:rPr>
                <w:rFonts w:hint="default" w:ascii="Times New Roman" w:hAnsi="Times New Roman" w:cs="Times New Roman"/>
                <w:lang w:val="en-US" w:eastAsia="zh-CN"/>
              </w:rPr>
              <w:t>其中</w:t>
            </w:r>
            <w:r>
              <w:rPr>
                <w:rFonts w:hint="eastAsia" w:cs="Times New Roman"/>
                <w:lang w:val="en-US" w:eastAsia="zh-CN"/>
              </w:rPr>
              <w:t>挤出</w:t>
            </w:r>
            <w:r>
              <w:rPr>
                <w:rFonts w:hint="default" w:ascii="Times New Roman" w:hAnsi="Times New Roman" w:cs="Times New Roman"/>
                <w:lang w:val="en-US" w:eastAsia="zh-CN"/>
              </w:rPr>
              <w:t>工序废气为有组织排放，其余为无组织排放。监测</w:t>
            </w:r>
            <w:r>
              <w:rPr>
                <w:rFonts w:hint="default" w:ascii="Times New Roman" w:hAnsi="Times New Roman" w:cs="Times New Roman"/>
              </w:rPr>
              <w:t>内容见表6-</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监测</w:t>
            </w:r>
            <w:r>
              <w:rPr>
                <w:rFonts w:hint="default" w:ascii="Times New Roman" w:hAnsi="Times New Roman" w:cs="Times New Roman"/>
              </w:rPr>
              <w:t>点位见附件</w:t>
            </w:r>
            <w:r>
              <w:rPr>
                <w:rFonts w:hint="default" w:ascii="Times New Roman" w:hAnsi="Times New Roman" w:cs="Times New Roman"/>
                <w:lang w:val="en-US" w:eastAsia="zh-CN"/>
              </w:rPr>
              <w:t>10</w:t>
            </w:r>
            <w:r>
              <w:rPr>
                <w:rFonts w:hint="default" w:ascii="Times New Roman" w:hAnsi="Times New Roman" w:cs="Times New Roman"/>
              </w:rPr>
              <w:t>。</w:t>
            </w:r>
          </w:p>
          <w:p w14:paraId="5ECBD7FD">
            <w:pPr>
              <w:adjustRightInd w:val="0"/>
              <w:spacing w:line="36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表6-</w:t>
            </w:r>
            <w:r>
              <w:rPr>
                <w:rFonts w:hint="default" w:ascii="Times New Roman" w:hAnsi="Times New Roman" w:cs="Times New Roman"/>
                <w:b/>
                <w:bCs/>
                <w:sz w:val="21"/>
                <w:szCs w:val="21"/>
                <w:lang w:val="en-US" w:eastAsia="zh-CN"/>
              </w:rPr>
              <w:t>2</w:t>
            </w:r>
            <w:r>
              <w:rPr>
                <w:rFonts w:hint="default" w:ascii="Times New Roman" w:hAnsi="Times New Roman" w:cs="Times New Roman"/>
                <w:b/>
                <w:bCs/>
                <w:sz w:val="21"/>
                <w:szCs w:val="21"/>
              </w:rPr>
              <w:t xml:space="preserve">  废气检测内容</w:t>
            </w:r>
          </w:p>
          <w:tbl>
            <w:tblPr>
              <w:tblStyle w:val="31"/>
              <w:tblW w:w="911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7"/>
              <w:gridCol w:w="3640"/>
              <w:gridCol w:w="1088"/>
              <w:gridCol w:w="2008"/>
              <w:gridCol w:w="1446"/>
            </w:tblGrid>
            <w:tr w14:paraId="0BDEE2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37" w:type="dxa"/>
                  <w:vAlign w:val="center"/>
                </w:tcPr>
                <w:p w14:paraId="5ACA1CF4">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类别</w:t>
                  </w:r>
                </w:p>
              </w:tc>
              <w:tc>
                <w:tcPr>
                  <w:tcW w:w="3640" w:type="dxa"/>
                  <w:vAlign w:val="center"/>
                </w:tcPr>
                <w:p w14:paraId="13FA3905">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检测点位置</w:t>
                  </w:r>
                </w:p>
              </w:tc>
              <w:tc>
                <w:tcPr>
                  <w:tcW w:w="1088" w:type="dxa"/>
                  <w:vAlign w:val="center"/>
                </w:tcPr>
                <w:p w14:paraId="0429134C">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测点编号</w:t>
                  </w:r>
                </w:p>
              </w:tc>
              <w:tc>
                <w:tcPr>
                  <w:tcW w:w="2008" w:type="dxa"/>
                  <w:vAlign w:val="center"/>
                </w:tcPr>
                <w:p w14:paraId="5AA0CFFE">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监 测 因 子</w:t>
                  </w:r>
                </w:p>
              </w:tc>
              <w:tc>
                <w:tcPr>
                  <w:tcW w:w="1446" w:type="dxa"/>
                  <w:vAlign w:val="center"/>
                </w:tcPr>
                <w:p w14:paraId="4CDE3D7B">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检测频次</w:t>
                  </w:r>
                </w:p>
              </w:tc>
            </w:tr>
            <w:tr w14:paraId="3B3BB8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37" w:type="dxa"/>
                  <w:vAlign w:val="center"/>
                </w:tcPr>
                <w:p w14:paraId="708A11A1">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有组织废气</w:t>
                  </w:r>
                </w:p>
              </w:tc>
              <w:tc>
                <w:tcPr>
                  <w:tcW w:w="3640" w:type="dxa"/>
                  <w:vAlign w:val="center"/>
                </w:tcPr>
                <w:p w14:paraId="0245743E">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G1</w:t>
                  </w:r>
                  <w:r>
                    <w:rPr>
                      <w:rFonts w:hint="eastAsia" w:cs="Times New Roman"/>
                      <w:sz w:val="21"/>
                      <w:szCs w:val="21"/>
                      <w:vertAlign w:val="baseline"/>
                      <w:lang w:val="en-US" w:eastAsia="zh-CN"/>
                    </w:rPr>
                    <w:t>挤出</w:t>
                  </w:r>
                  <w:r>
                    <w:rPr>
                      <w:rFonts w:hint="default" w:ascii="Times New Roman" w:hAnsi="Times New Roman" w:cs="Times New Roman"/>
                      <w:sz w:val="21"/>
                      <w:szCs w:val="21"/>
                      <w:vertAlign w:val="baseline"/>
                      <w:lang w:val="en-US" w:eastAsia="zh-CN"/>
                    </w:rPr>
                    <w:t>工序废气检测口</w:t>
                  </w:r>
                </w:p>
              </w:tc>
              <w:tc>
                <w:tcPr>
                  <w:tcW w:w="1088" w:type="dxa"/>
                  <w:vAlign w:val="center"/>
                </w:tcPr>
                <w:p w14:paraId="73A750BF">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◎G</w:t>
                  </w:r>
                  <w:r>
                    <w:rPr>
                      <w:rFonts w:hint="default" w:ascii="Times New Roman" w:hAnsi="Times New Roman" w:cs="Times New Roman"/>
                      <w:sz w:val="21"/>
                      <w:szCs w:val="21"/>
                      <w:vertAlign w:val="baseline"/>
                      <w:lang w:val="en-US" w:eastAsia="zh-CN"/>
                    </w:rPr>
                    <w:t>1</w:t>
                  </w:r>
                </w:p>
              </w:tc>
              <w:tc>
                <w:tcPr>
                  <w:tcW w:w="2008" w:type="dxa"/>
                  <w:vAlign w:val="center"/>
                </w:tcPr>
                <w:p w14:paraId="4EE0482E">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颗粒物</w:t>
                  </w:r>
                  <w:r>
                    <w:rPr>
                      <w:rFonts w:hint="eastAsia" w:cs="Times New Roman"/>
                      <w:sz w:val="21"/>
                      <w:szCs w:val="21"/>
                      <w:vertAlign w:val="baseline"/>
                      <w:lang w:val="en-US" w:eastAsia="zh-CN"/>
                    </w:rPr>
                    <w:t>、非甲烷总烃</w:t>
                  </w:r>
                </w:p>
              </w:tc>
              <w:tc>
                <w:tcPr>
                  <w:tcW w:w="1446" w:type="dxa"/>
                  <w:vAlign w:val="center"/>
                </w:tcPr>
                <w:p w14:paraId="7EE8BA37">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3次/天，2天</w:t>
                  </w:r>
                </w:p>
              </w:tc>
            </w:tr>
            <w:tr w14:paraId="352FE5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7" w:type="dxa"/>
                  <w:vMerge w:val="restart"/>
                  <w:vAlign w:val="center"/>
                </w:tcPr>
                <w:p w14:paraId="307AF709">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无组织废气</w:t>
                  </w:r>
                </w:p>
              </w:tc>
              <w:tc>
                <w:tcPr>
                  <w:tcW w:w="3640" w:type="dxa"/>
                  <w:shd w:val="clear" w:color="auto" w:fill="auto"/>
                  <w:vAlign w:val="center"/>
                </w:tcPr>
                <w:p w14:paraId="2178566A">
                  <w:pPr>
                    <w:ind w:firstLine="396" w:firstLineChars="200"/>
                    <w:jc w:val="center"/>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spacing w:val="-6"/>
                      <w:sz w:val="21"/>
                      <w:szCs w:val="21"/>
                      <w:highlight w:val="none"/>
                      <w:lang w:val="en-US" w:eastAsia="zh-CN"/>
                    </w:rPr>
                    <w:t>G2厂界西北侧外3m处（上风向）</w:t>
                  </w:r>
                </w:p>
              </w:tc>
              <w:tc>
                <w:tcPr>
                  <w:tcW w:w="1088" w:type="dxa"/>
                  <w:vAlign w:val="center"/>
                </w:tcPr>
                <w:p w14:paraId="22114CD0">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Ο</w:t>
                  </w:r>
                  <w:r>
                    <w:rPr>
                      <w:rFonts w:hint="eastAsia" w:ascii="Times New Roman" w:hAnsi="Times New Roman" w:cs="Times New Roman"/>
                      <w:sz w:val="21"/>
                      <w:szCs w:val="21"/>
                      <w:vertAlign w:val="baseline"/>
                      <w:lang w:val="en-US" w:eastAsia="zh-CN"/>
                    </w:rPr>
                    <w:t>G</w:t>
                  </w:r>
                  <w:r>
                    <w:rPr>
                      <w:rFonts w:hint="eastAsia" w:cs="Times New Roman"/>
                      <w:sz w:val="21"/>
                      <w:szCs w:val="21"/>
                      <w:vertAlign w:val="baseline"/>
                      <w:lang w:val="en-US" w:eastAsia="zh-CN"/>
                    </w:rPr>
                    <w:t>2</w:t>
                  </w:r>
                </w:p>
              </w:tc>
              <w:tc>
                <w:tcPr>
                  <w:tcW w:w="2008" w:type="dxa"/>
                  <w:vMerge w:val="restart"/>
                  <w:vAlign w:val="center"/>
                </w:tcPr>
                <w:p w14:paraId="1FD6ABE4">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总悬浮颗粒物、</w:t>
                  </w:r>
                  <w:r>
                    <w:rPr>
                      <w:rFonts w:hint="eastAsia" w:cs="Times New Roman"/>
                      <w:sz w:val="21"/>
                      <w:szCs w:val="21"/>
                      <w:vertAlign w:val="baseline"/>
                      <w:lang w:val="en-US" w:eastAsia="zh-CN"/>
                    </w:rPr>
                    <w:t>非甲烷总烃</w:t>
                  </w:r>
                </w:p>
              </w:tc>
              <w:tc>
                <w:tcPr>
                  <w:tcW w:w="1446" w:type="dxa"/>
                  <w:vMerge w:val="restart"/>
                  <w:vAlign w:val="center"/>
                </w:tcPr>
                <w:p w14:paraId="06259B08">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3次/天，2天</w:t>
                  </w:r>
                </w:p>
              </w:tc>
            </w:tr>
            <w:tr w14:paraId="123A18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7" w:type="dxa"/>
                  <w:vMerge w:val="continue"/>
                  <w:vAlign w:val="center"/>
                </w:tcPr>
                <w:p w14:paraId="710EF115">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c>
                <w:tcPr>
                  <w:tcW w:w="3640" w:type="dxa"/>
                  <w:shd w:val="clear" w:color="auto" w:fill="auto"/>
                  <w:vAlign w:val="center"/>
                </w:tcPr>
                <w:p w14:paraId="15119BB0">
                  <w:pPr>
                    <w:ind w:firstLine="396" w:firstLineChars="200"/>
                    <w:jc w:val="center"/>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spacing w:val="-6"/>
                      <w:sz w:val="21"/>
                      <w:szCs w:val="21"/>
                      <w:highlight w:val="none"/>
                      <w:lang w:val="en-US" w:eastAsia="zh-CN"/>
                    </w:rPr>
                    <w:t>G3厂界南侧外3m处（下风向）</w:t>
                  </w:r>
                </w:p>
              </w:tc>
              <w:tc>
                <w:tcPr>
                  <w:tcW w:w="1088" w:type="dxa"/>
                  <w:vAlign w:val="center"/>
                </w:tcPr>
                <w:p w14:paraId="49843196">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Ο</w:t>
                  </w:r>
                  <w:r>
                    <w:rPr>
                      <w:rFonts w:hint="eastAsia" w:ascii="Times New Roman" w:hAnsi="Times New Roman" w:cs="Times New Roman"/>
                      <w:sz w:val="21"/>
                      <w:szCs w:val="21"/>
                      <w:vertAlign w:val="baseline"/>
                      <w:lang w:val="en-US" w:eastAsia="zh-CN"/>
                    </w:rPr>
                    <w:t>G</w:t>
                  </w:r>
                  <w:r>
                    <w:rPr>
                      <w:rFonts w:hint="eastAsia" w:cs="Times New Roman"/>
                      <w:sz w:val="21"/>
                      <w:szCs w:val="21"/>
                      <w:vertAlign w:val="baseline"/>
                      <w:lang w:val="en-US" w:eastAsia="zh-CN"/>
                    </w:rPr>
                    <w:t>3</w:t>
                  </w:r>
                </w:p>
              </w:tc>
              <w:tc>
                <w:tcPr>
                  <w:tcW w:w="2008" w:type="dxa"/>
                  <w:vMerge w:val="continue"/>
                  <w:vAlign w:val="center"/>
                </w:tcPr>
                <w:p w14:paraId="3A3602FA">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c>
                <w:tcPr>
                  <w:tcW w:w="1446" w:type="dxa"/>
                  <w:vMerge w:val="continue"/>
                  <w:vAlign w:val="center"/>
                </w:tcPr>
                <w:p w14:paraId="1FB57A0F">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r>
            <w:tr w14:paraId="5A0D84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7" w:type="dxa"/>
                  <w:vMerge w:val="continue"/>
                </w:tcPr>
                <w:p w14:paraId="4DFED030">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bookmarkStart w:id="25" w:name="_Toc2698"/>
                </w:p>
              </w:tc>
              <w:tc>
                <w:tcPr>
                  <w:tcW w:w="0" w:type="auto"/>
                  <w:shd w:val="clear" w:color="auto" w:fill="auto"/>
                  <w:vAlign w:val="center"/>
                </w:tcPr>
                <w:p w14:paraId="13F7CF1D">
                  <w:pPr>
                    <w:ind w:firstLine="396" w:firstLineChars="200"/>
                    <w:jc w:val="center"/>
                    <w:rPr>
                      <w:rFonts w:hint="default" w:ascii="Times New Roman" w:hAnsi="Times New Roman" w:eastAsia="宋体" w:cs="Times New Roman"/>
                      <w:b w:val="0"/>
                      <w:spacing w:val="-6"/>
                      <w:kern w:val="2"/>
                      <w:sz w:val="21"/>
                      <w:szCs w:val="21"/>
                      <w:highlight w:val="none"/>
                      <w:lang w:val="en-US" w:eastAsia="zh-CN" w:bidi="ar-SA"/>
                    </w:rPr>
                  </w:pPr>
                  <w:r>
                    <w:rPr>
                      <w:rFonts w:hint="eastAsia" w:ascii="Times New Roman" w:hAnsi="Times New Roman" w:eastAsia="宋体" w:cs="Times New Roman"/>
                      <w:b w:val="0"/>
                      <w:spacing w:val="-6"/>
                      <w:sz w:val="21"/>
                      <w:szCs w:val="21"/>
                      <w:highlight w:val="none"/>
                      <w:lang w:val="en-US" w:eastAsia="zh-CN"/>
                    </w:rPr>
                    <w:t>G4厂界东南侧外3m处（下风向）</w:t>
                  </w:r>
                </w:p>
              </w:tc>
              <w:tc>
                <w:tcPr>
                  <w:tcW w:w="0" w:type="auto"/>
                </w:tcPr>
                <w:p w14:paraId="55D5BBCB">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ΟG</w:t>
                  </w:r>
                  <w:r>
                    <w:rPr>
                      <w:rFonts w:hint="eastAsia" w:cs="Times New Roman"/>
                      <w:sz w:val="21"/>
                      <w:szCs w:val="21"/>
                      <w:vertAlign w:val="baseline"/>
                      <w:lang w:val="en-US" w:eastAsia="zh-CN"/>
                    </w:rPr>
                    <w:t>4</w:t>
                  </w:r>
                </w:p>
              </w:tc>
              <w:tc>
                <w:tcPr>
                  <w:tcW w:w="2008" w:type="dxa"/>
                  <w:vMerge w:val="continue"/>
                </w:tcPr>
                <w:p w14:paraId="22931540">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c>
                <w:tcPr>
                  <w:tcW w:w="1446" w:type="dxa"/>
                  <w:vMerge w:val="continue"/>
                </w:tcPr>
                <w:p w14:paraId="36DC0F69">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r>
          </w:tbl>
          <w:p w14:paraId="1439A7AC">
            <w:pPr>
              <w:pStyle w:val="3"/>
              <w:spacing w:line="360" w:lineRule="auto"/>
              <w:rPr>
                <w:rFonts w:hint="default" w:ascii="Times New Roman" w:hAnsi="Times New Roman" w:cs="Times New Roman"/>
              </w:rPr>
            </w:pPr>
            <w:r>
              <w:rPr>
                <w:rFonts w:hint="default" w:ascii="Times New Roman" w:hAnsi="Times New Roman" w:cs="Times New Roman"/>
              </w:rPr>
              <w:t>6.</w:t>
            </w:r>
            <w:r>
              <w:rPr>
                <w:rFonts w:hint="default" w:ascii="Times New Roman" w:hAnsi="Times New Roman" w:cs="Times New Roman"/>
                <w:lang w:val="en-US" w:eastAsia="zh-CN"/>
              </w:rPr>
              <w:t>3废水排放监测内容</w:t>
            </w:r>
          </w:p>
          <w:p w14:paraId="2AAA1291">
            <w:pPr>
              <w:spacing w:line="360" w:lineRule="auto"/>
              <w:ind w:firstLine="480"/>
              <w:rPr>
                <w:rFonts w:hint="default" w:ascii="Times New Roman" w:hAnsi="Times New Roman" w:cs="Times New Roman"/>
              </w:rPr>
            </w:pPr>
            <w:r>
              <w:rPr>
                <w:rFonts w:hint="eastAsia" w:ascii="Times New Roman" w:hAnsi="Times New Roman" w:cs="Times New Roman"/>
                <w:lang w:val="en-US" w:eastAsia="zh-CN"/>
              </w:rPr>
              <w:t>本</w:t>
            </w:r>
            <w:r>
              <w:rPr>
                <w:rFonts w:hint="default" w:ascii="Times New Roman" w:hAnsi="Times New Roman" w:cs="Times New Roman"/>
              </w:rPr>
              <w:t>项目</w:t>
            </w:r>
            <w:r>
              <w:rPr>
                <w:rFonts w:hint="eastAsia" w:ascii="Times New Roman" w:hAnsi="Times New Roman" w:cs="Times New Roman"/>
                <w:lang w:val="en-US" w:eastAsia="zh-CN"/>
              </w:rPr>
              <w:t>仅有生活污水外排</w:t>
            </w:r>
            <w:r>
              <w:rPr>
                <w:rFonts w:hint="default" w:ascii="Times New Roman" w:hAnsi="Times New Roman" w:cs="Times New Roman"/>
                <w:lang w:val="en-US" w:eastAsia="zh-CN"/>
              </w:rPr>
              <w:t>。监测</w:t>
            </w:r>
            <w:r>
              <w:rPr>
                <w:rFonts w:hint="default" w:ascii="Times New Roman" w:hAnsi="Times New Roman" w:cs="Times New Roman"/>
              </w:rPr>
              <w:t>内容见表6-</w:t>
            </w:r>
            <w:r>
              <w:rPr>
                <w:rFonts w:hint="eastAsia" w:ascii="Times New Roman" w:hAnsi="Times New Roman" w:cs="Times New Roman"/>
                <w:lang w:val="en-US" w:eastAsia="zh-CN"/>
              </w:rPr>
              <w:t>3</w:t>
            </w:r>
            <w:r>
              <w:rPr>
                <w:rFonts w:hint="default" w:ascii="Times New Roman" w:hAnsi="Times New Roman" w:cs="Times New Roman"/>
              </w:rPr>
              <w:t>，</w:t>
            </w:r>
            <w:r>
              <w:rPr>
                <w:rFonts w:hint="default" w:ascii="Times New Roman" w:hAnsi="Times New Roman" w:cs="Times New Roman"/>
                <w:lang w:val="en-US" w:eastAsia="zh-CN"/>
              </w:rPr>
              <w:t>监测</w:t>
            </w:r>
            <w:r>
              <w:rPr>
                <w:rFonts w:hint="default" w:ascii="Times New Roman" w:hAnsi="Times New Roman" w:cs="Times New Roman"/>
              </w:rPr>
              <w:t>点位见附件</w:t>
            </w:r>
            <w:r>
              <w:rPr>
                <w:rFonts w:hint="default" w:ascii="Times New Roman" w:hAnsi="Times New Roman" w:cs="Times New Roman"/>
                <w:lang w:val="en-US" w:eastAsia="zh-CN"/>
              </w:rPr>
              <w:t>10</w:t>
            </w:r>
            <w:r>
              <w:rPr>
                <w:rFonts w:hint="default" w:ascii="Times New Roman" w:hAnsi="Times New Roman" w:cs="Times New Roman"/>
              </w:rPr>
              <w:t>。</w:t>
            </w:r>
          </w:p>
          <w:p w14:paraId="640477FE">
            <w:pPr>
              <w:adjustRightInd w:val="0"/>
              <w:spacing w:line="36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表6-</w:t>
            </w:r>
            <w:r>
              <w:rPr>
                <w:rFonts w:hint="eastAsia" w:ascii="Times New Roman" w:hAnsi="Times New Roman" w:cs="Times New Roman"/>
                <w:b/>
                <w:bCs/>
                <w:sz w:val="21"/>
                <w:szCs w:val="21"/>
                <w:lang w:val="en-US" w:eastAsia="zh-CN"/>
              </w:rPr>
              <w:t>3</w:t>
            </w:r>
            <w:r>
              <w:rPr>
                <w:rFonts w:hint="default" w:ascii="Times New Roman" w:hAnsi="Times New Roman" w:cs="Times New Roman"/>
                <w:b/>
                <w:bCs/>
                <w:sz w:val="21"/>
                <w:szCs w:val="21"/>
              </w:rPr>
              <w:t xml:space="preserve">  </w:t>
            </w:r>
            <w:r>
              <w:rPr>
                <w:rFonts w:hint="eastAsia" w:ascii="Times New Roman" w:hAnsi="Times New Roman" w:cs="Times New Roman"/>
                <w:b/>
                <w:bCs/>
                <w:sz w:val="21"/>
                <w:szCs w:val="21"/>
                <w:lang w:val="en-US" w:eastAsia="zh-CN"/>
              </w:rPr>
              <w:t>生活污水</w:t>
            </w:r>
            <w:r>
              <w:rPr>
                <w:rFonts w:hint="default" w:ascii="Times New Roman" w:hAnsi="Times New Roman" w:cs="Times New Roman"/>
                <w:b/>
                <w:bCs/>
                <w:sz w:val="21"/>
                <w:szCs w:val="21"/>
              </w:rPr>
              <w:t>检测内容</w:t>
            </w:r>
          </w:p>
          <w:tbl>
            <w:tblPr>
              <w:tblStyle w:val="31"/>
              <w:tblW w:w="911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7"/>
              <w:gridCol w:w="2907"/>
              <w:gridCol w:w="1821"/>
              <w:gridCol w:w="2008"/>
              <w:gridCol w:w="1446"/>
            </w:tblGrid>
            <w:tr w14:paraId="675B2E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37" w:type="dxa"/>
                  <w:vAlign w:val="center"/>
                </w:tcPr>
                <w:p w14:paraId="3119099A">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类别</w:t>
                  </w:r>
                </w:p>
              </w:tc>
              <w:tc>
                <w:tcPr>
                  <w:tcW w:w="2907" w:type="dxa"/>
                  <w:vAlign w:val="center"/>
                </w:tcPr>
                <w:p w14:paraId="38BE9C37">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检测点位置</w:t>
                  </w:r>
                </w:p>
              </w:tc>
              <w:tc>
                <w:tcPr>
                  <w:tcW w:w="1821" w:type="dxa"/>
                  <w:vAlign w:val="center"/>
                </w:tcPr>
                <w:p w14:paraId="0B0B59C3">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测点编号</w:t>
                  </w:r>
                </w:p>
              </w:tc>
              <w:tc>
                <w:tcPr>
                  <w:tcW w:w="2008" w:type="dxa"/>
                  <w:vAlign w:val="center"/>
                </w:tcPr>
                <w:p w14:paraId="50D25ECB">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监 测 因 子</w:t>
                  </w:r>
                </w:p>
              </w:tc>
              <w:tc>
                <w:tcPr>
                  <w:tcW w:w="1446" w:type="dxa"/>
                  <w:vAlign w:val="center"/>
                </w:tcPr>
                <w:p w14:paraId="62BC6F1E">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检测频次</w:t>
                  </w:r>
                </w:p>
              </w:tc>
            </w:tr>
            <w:tr w14:paraId="51D2BF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37" w:type="dxa"/>
                  <w:vAlign w:val="center"/>
                </w:tcPr>
                <w:p w14:paraId="2664C421">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生活污水</w:t>
                  </w:r>
                </w:p>
              </w:tc>
              <w:tc>
                <w:tcPr>
                  <w:tcW w:w="2907" w:type="dxa"/>
                  <w:vAlign w:val="center"/>
                </w:tcPr>
                <w:p w14:paraId="38A5718A">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W</w:t>
                  </w:r>
                  <w:r>
                    <w:rPr>
                      <w:rFonts w:hint="default" w:ascii="Times New Roman" w:hAnsi="Times New Roman" w:cs="Times New Roman"/>
                      <w:sz w:val="21"/>
                      <w:szCs w:val="21"/>
                      <w:vertAlign w:val="baseline"/>
                      <w:lang w:val="en-US" w:eastAsia="zh-CN"/>
                    </w:rPr>
                    <w:t>1</w:t>
                  </w:r>
                  <w:r>
                    <w:rPr>
                      <w:rFonts w:hint="eastAsia" w:ascii="Times New Roman" w:hAnsi="Times New Roman" w:cs="Times New Roman"/>
                      <w:sz w:val="21"/>
                      <w:szCs w:val="21"/>
                      <w:vertAlign w:val="baseline"/>
                      <w:lang w:val="en-US" w:eastAsia="zh-CN"/>
                    </w:rPr>
                    <w:t>生活污水排口</w:t>
                  </w:r>
                </w:p>
              </w:tc>
              <w:tc>
                <w:tcPr>
                  <w:tcW w:w="1821" w:type="dxa"/>
                  <w:vAlign w:val="center"/>
                </w:tcPr>
                <w:p w14:paraId="6E370DF1">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sz w:val="21"/>
                    </w:rPr>
                    <mc:AlternateContent>
                      <mc:Choice Requires="wps">
                        <w:drawing>
                          <wp:anchor distT="0" distB="0" distL="114300" distR="114300" simplePos="0" relativeHeight="251666432" behindDoc="0" locked="0" layoutInCell="1" allowOverlap="1">
                            <wp:simplePos x="0" y="0"/>
                            <wp:positionH relativeFrom="column">
                              <wp:posOffset>283210</wp:posOffset>
                            </wp:positionH>
                            <wp:positionV relativeFrom="paragraph">
                              <wp:posOffset>59690</wp:posOffset>
                            </wp:positionV>
                            <wp:extent cx="205740" cy="223520"/>
                            <wp:effectExtent l="12700" t="12700" r="29210" b="30480"/>
                            <wp:wrapNone/>
                            <wp:docPr id="7" name="五角星 7"/>
                            <wp:cNvGraphicFramePr/>
                            <a:graphic xmlns:a="http://schemas.openxmlformats.org/drawingml/2006/main">
                              <a:graphicData uri="http://schemas.microsoft.com/office/word/2010/wordprocessingShape">
                                <wps:wsp>
                                  <wps:cNvSpPr/>
                                  <wps:spPr>
                                    <a:xfrm>
                                      <a:off x="3677285" y="8792845"/>
                                      <a:ext cx="205740" cy="223520"/>
                                    </a:xfrm>
                                    <a:prstGeom prst="star5">
                                      <a:avLst/>
                                    </a:prstGeom>
                                    <a:solidFill>
                                      <a:schemeClr val="tx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2.3pt;margin-top:4.7pt;height:17.6pt;width:16.2pt;z-index:251666432;v-text-anchor:middle;mso-width-relative:page;mso-height-relative:page;" fillcolor="#000000 [3213]" filled="t" stroked="t" coordsize="205740,223520" o:gfxdata="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EhiwBrSAAAABgEAAA8AAAAAAAAAAQAgAAAAIgAAAGRycy9kb3ducmV2&#10;LnhtbFBLAQIUABQAAAAIAIdO4kA+kd9+dAIAAOwEAAAOAAAAAAAAAAEAIAAAACEBAABkcnMvZTJv&#10;RG9jLnhtbFBLBQYAAAAABgAGAFkBAAAHBgAAAAA=&#10;" path="m0,85376l78586,85377,102870,0,127153,85377,205739,85376,142162,138142,166447,223519,102870,170752,39292,223519,63577,138142xe">
                            <v:path o:connectlocs="102870,0;0,85376;39292,223519;166447,223519;205739,85376" o:connectangles="247,164,82,82,0"/>
                            <v:fill on="t" focussize="0,0"/>
                            <v:stroke weight="2pt" color="#000000 [3213]" joinstyle="round"/>
                            <v:imagedata o:title=""/>
                            <o:lock v:ext="edit" aspectratio="f"/>
                          </v:shape>
                        </w:pict>
                      </mc:Fallback>
                    </mc:AlternateContent>
                  </w:r>
                  <w:r>
                    <w:rPr>
                      <w:rFonts w:hint="eastAsia"/>
                      <w:sz w:val="21"/>
                      <w:lang w:val="en-US" w:eastAsia="zh-CN"/>
                    </w:rPr>
                    <w:t xml:space="preserve">   </w:t>
                  </w:r>
                  <w:r>
                    <w:rPr>
                      <w:rFonts w:hint="eastAsia" w:ascii="Times New Roman" w:hAnsi="Times New Roman" w:cs="Times New Roman"/>
                      <w:sz w:val="21"/>
                      <w:szCs w:val="21"/>
                      <w:vertAlign w:val="baseline"/>
                      <w:lang w:val="en-US" w:eastAsia="zh-CN"/>
                    </w:rPr>
                    <w:t>W</w:t>
                  </w:r>
                  <w:r>
                    <w:rPr>
                      <w:rFonts w:hint="default" w:ascii="Times New Roman" w:hAnsi="Times New Roman" w:cs="Times New Roman"/>
                      <w:sz w:val="21"/>
                      <w:szCs w:val="21"/>
                      <w:vertAlign w:val="baseline"/>
                      <w:lang w:val="en-US" w:eastAsia="zh-CN"/>
                    </w:rPr>
                    <w:t>1</w:t>
                  </w:r>
                </w:p>
              </w:tc>
              <w:tc>
                <w:tcPr>
                  <w:tcW w:w="2008" w:type="dxa"/>
                  <w:shd w:val="clear" w:color="auto" w:fill="auto"/>
                  <w:vAlign w:val="center"/>
                </w:tcPr>
                <w:p w14:paraId="795D12B2">
                  <w:pPr>
                    <w:tabs>
                      <w:tab w:val="left" w:pos="357"/>
                    </w:tabs>
                    <w:spacing w:line="240" w:lineRule="auto"/>
                    <w:ind w:firstLine="0" w:firstLineChars="0"/>
                    <w:jc w:val="center"/>
                    <w:rPr>
                      <w:rFonts w:hint="default" w:ascii="Times New Roman" w:hAnsi="Times New Roman" w:cs="Times New Roman" w:eastAsiaTheme="minorEastAsia"/>
                      <w:color w:val="auto"/>
                      <w:kern w:val="2"/>
                      <w:sz w:val="21"/>
                      <w:szCs w:val="21"/>
                      <w:lang w:val="en-US" w:eastAsia="zh-CN" w:bidi="ar-SA"/>
                    </w:rPr>
                  </w:pPr>
                  <w:r>
                    <w:rPr>
                      <w:rFonts w:hint="eastAsia" w:cs="Times New Roman"/>
                      <w:color w:val="auto"/>
                      <w:sz w:val="21"/>
                      <w:szCs w:val="21"/>
                      <w:lang w:val="en-US" w:eastAsia="zh-CN"/>
                    </w:rPr>
                    <w:t>pH、悬浮物、COD、BOD</w:t>
                  </w:r>
                  <w:r>
                    <w:rPr>
                      <w:rFonts w:hint="eastAsia" w:cs="Times New Roman"/>
                      <w:color w:val="auto"/>
                      <w:sz w:val="21"/>
                      <w:szCs w:val="21"/>
                      <w:vertAlign w:val="subscript"/>
                      <w:lang w:val="en-US" w:eastAsia="zh-CN"/>
                    </w:rPr>
                    <w:t>5</w:t>
                  </w:r>
                  <w:r>
                    <w:rPr>
                      <w:rFonts w:hint="eastAsia" w:cs="Times New Roman"/>
                      <w:color w:val="auto"/>
                      <w:sz w:val="21"/>
                      <w:szCs w:val="21"/>
                      <w:lang w:val="en-US" w:eastAsia="zh-CN"/>
                    </w:rPr>
                    <w:t>、氨氮、TP、动植物油</w:t>
                  </w:r>
                </w:p>
              </w:tc>
              <w:tc>
                <w:tcPr>
                  <w:tcW w:w="1446" w:type="dxa"/>
                  <w:vAlign w:val="center"/>
                </w:tcPr>
                <w:p w14:paraId="2C46B376">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4</w:t>
                  </w:r>
                  <w:r>
                    <w:rPr>
                      <w:rFonts w:hint="default" w:ascii="Times New Roman" w:hAnsi="Times New Roman" w:cs="Times New Roman"/>
                      <w:sz w:val="21"/>
                      <w:szCs w:val="21"/>
                      <w:vertAlign w:val="baseline"/>
                      <w:lang w:val="en-US" w:eastAsia="zh-CN"/>
                    </w:rPr>
                    <w:t>次/天，2天</w:t>
                  </w:r>
                </w:p>
              </w:tc>
            </w:tr>
          </w:tbl>
          <w:p w14:paraId="2D70CEE0">
            <w:pPr>
              <w:spacing w:line="360" w:lineRule="auto"/>
              <w:ind w:firstLine="480"/>
              <w:rPr>
                <w:rFonts w:hint="default" w:ascii="Times New Roman" w:hAnsi="Times New Roman" w:cs="Times New Roman"/>
                <w:lang w:val="en-US" w:eastAsia="zh-CN"/>
              </w:rPr>
            </w:pPr>
          </w:p>
          <w:p w14:paraId="470DEDBD">
            <w:pPr>
              <w:pStyle w:val="3"/>
              <w:spacing w:line="360" w:lineRule="auto"/>
              <w:rPr>
                <w:rFonts w:hint="default" w:ascii="Times New Roman" w:hAnsi="Times New Roman" w:cs="Times New Roman"/>
              </w:rPr>
            </w:pPr>
            <w:r>
              <w:rPr>
                <w:rFonts w:hint="default" w:ascii="Times New Roman" w:hAnsi="Times New Roman" w:cs="Times New Roman"/>
              </w:rPr>
              <w:t>6.</w:t>
            </w:r>
            <w:r>
              <w:rPr>
                <w:rFonts w:hint="default" w:ascii="Times New Roman" w:hAnsi="Times New Roman" w:cs="Times New Roman"/>
                <w:lang w:val="en-US" w:eastAsia="zh-CN"/>
              </w:rPr>
              <w:t>4</w:t>
            </w:r>
            <w:r>
              <w:rPr>
                <w:rFonts w:hint="default" w:ascii="Times New Roman" w:hAnsi="Times New Roman" w:cs="Times New Roman"/>
              </w:rPr>
              <w:t xml:space="preserve"> 厂界噪声</w:t>
            </w:r>
            <w:r>
              <w:rPr>
                <w:rFonts w:hint="default" w:ascii="Times New Roman" w:hAnsi="Times New Roman" w:cs="Times New Roman"/>
                <w:lang w:val="en-US" w:eastAsia="zh-CN"/>
              </w:rPr>
              <w:t>监测</w:t>
            </w:r>
            <w:r>
              <w:rPr>
                <w:rFonts w:hint="default" w:ascii="Times New Roman" w:hAnsi="Times New Roman" w:cs="Times New Roman"/>
              </w:rPr>
              <w:t>内容</w:t>
            </w:r>
            <w:bookmarkEnd w:id="25"/>
          </w:p>
          <w:p w14:paraId="266AFD12">
            <w:pPr>
              <w:spacing w:line="360" w:lineRule="auto"/>
              <w:ind w:firstLine="480"/>
              <w:rPr>
                <w:rFonts w:hint="default" w:ascii="Times New Roman" w:hAnsi="Times New Roman" w:cs="Times New Roman"/>
                <w:b/>
                <w:bCs/>
                <w:sz w:val="21"/>
                <w:szCs w:val="21"/>
              </w:rPr>
            </w:pPr>
            <w:r>
              <w:rPr>
                <w:rFonts w:hint="default" w:ascii="Times New Roman" w:hAnsi="Times New Roman" w:cs="Times New Roman"/>
              </w:rPr>
              <w:t>厂界噪声</w:t>
            </w:r>
            <w:r>
              <w:rPr>
                <w:rFonts w:hint="default" w:ascii="Times New Roman" w:hAnsi="Times New Roman" w:cs="Times New Roman"/>
                <w:lang w:val="en-US" w:eastAsia="zh-CN"/>
              </w:rPr>
              <w:t>监测</w:t>
            </w:r>
            <w:r>
              <w:rPr>
                <w:rFonts w:hint="default" w:ascii="Times New Roman" w:hAnsi="Times New Roman" w:cs="Times New Roman"/>
              </w:rPr>
              <w:t>内容见表6-</w:t>
            </w:r>
            <w:r>
              <w:rPr>
                <w:rFonts w:hint="eastAsia" w:cs="Times New Roman"/>
                <w:lang w:val="en-US" w:eastAsia="zh-CN"/>
              </w:rPr>
              <w:t>4</w:t>
            </w:r>
            <w:r>
              <w:rPr>
                <w:rFonts w:hint="default" w:ascii="Times New Roman" w:hAnsi="Times New Roman" w:cs="Times New Roman"/>
              </w:rPr>
              <w:t>，具体</w:t>
            </w:r>
            <w:r>
              <w:rPr>
                <w:rFonts w:hint="default" w:ascii="Times New Roman" w:hAnsi="Times New Roman" w:cs="Times New Roman"/>
                <w:lang w:val="en-US" w:eastAsia="zh-CN"/>
              </w:rPr>
              <w:t>监测</w:t>
            </w:r>
            <w:r>
              <w:rPr>
                <w:rFonts w:hint="default" w:ascii="Times New Roman" w:hAnsi="Times New Roman" w:cs="Times New Roman"/>
              </w:rPr>
              <w:t>点位见附件</w:t>
            </w:r>
            <w:r>
              <w:rPr>
                <w:rFonts w:hint="default" w:ascii="Times New Roman" w:hAnsi="Times New Roman" w:cs="Times New Roman"/>
                <w:lang w:val="en-US" w:eastAsia="zh-CN"/>
              </w:rPr>
              <w:t>10</w:t>
            </w:r>
            <w:r>
              <w:rPr>
                <w:rFonts w:hint="default" w:ascii="Times New Roman" w:hAnsi="Times New Roman" w:cs="Times New Roman"/>
              </w:rPr>
              <w:t>。</w:t>
            </w:r>
          </w:p>
          <w:p w14:paraId="28736FA9">
            <w:pPr>
              <w:adjustRightInd w:val="0"/>
              <w:spacing w:line="360" w:lineRule="auto"/>
              <w:ind w:firstLine="422"/>
              <w:jc w:val="center"/>
              <w:rPr>
                <w:rFonts w:hint="default" w:ascii="Times New Roman" w:hAnsi="Times New Roman" w:cs="Times New Roman"/>
              </w:rPr>
            </w:pPr>
            <w:r>
              <w:rPr>
                <w:rFonts w:hint="default" w:ascii="Times New Roman" w:hAnsi="Times New Roman" w:cs="Times New Roman"/>
                <w:b/>
                <w:bCs/>
                <w:sz w:val="21"/>
                <w:szCs w:val="21"/>
              </w:rPr>
              <w:t>表6-</w:t>
            </w:r>
            <w:r>
              <w:rPr>
                <w:rFonts w:hint="eastAsia" w:cs="Times New Roman"/>
                <w:b/>
                <w:bCs/>
                <w:sz w:val="21"/>
                <w:szCs w:val="21"/>
                <w:lang w:val="en-US" w:eastAsia="zh-CN"/>
              </w:rPr>
              <w:t>4</w:t>
            </w:r>
            <w:r>
              <w:rPr>
                <w:rFonts w:hint="default" w:ascii="Times New Roman" w:hAnsi="Times New Roman" w:cs="Times New Roman"/>
                <w:b/>
                <w:bCs/>
                <w:sz w:val="21"/>
                <w:szCs w:val="21"/>
              </w:rPr>
              <w:t xml:space="preserve">  噪声检测工作内容</w:t>
            </w:r>
          </w:p>
          <w:tbl>
            <w:tblPr>
              <w:tblStyle w:val="31"/>
              <w:tblW w:w="906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35"/>
              <w:gridCol w:w="2845"/>
              <w:gridCol w:w="1275"/>
              <w:gridCol w:w="3514"/>
            </w:tblGrid>
            <w:tr w14:paraId="0A8FA1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435" w:type="dxa"/>
                  <w:vAlign w:val="center"/>
                </w:tcPr>
                <w:p w14:paraId="39F5EB17">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检测项目</w:t>
                  </w:r>
                </w:p>
              </w:tc>
              <w:tc>
                <w:tcPr>
                  <w:tcW w:w="2845" w:type="dxa"/>
                  <w:vAlign w:val="center"/>
                </w:tcPr>
                <w:p w14:paraId="37A975D9">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检测点位</w:t>
                  </w:r>
                </w:p>
              </w:tc>
              <w:tc>
                <w:tcPr>
                  <w:tcW w:w="1275" w:type="dxa"/>
                  <w:vAlign w:val="center"/>
                </w:tcPr>
                <w:p w14:paraId="3329166C">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测点编号</w:t>
                  </w:r>
                </w:p>
              </w:tc>
              <w:tc>
                <w:tcPr>
                  <w:tcW w:w="3514" w:type="dxa"/>
                  <w:vAlign w:val="center"/>
                </w:tcPr>
                <w:p w14:paraId="4F5B3F24">
                  <w:pPr>
                    <w:bidi w:val="0"/>
                    <w:spacing w:line="360" w:lineRule="auto"/>
                    <w:ind w:left="0" w:leftChars="0" w:firstLine="0" w:firstLineChars="0"/>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检测频次</w:t>
                  </w:r>
                </w:p>
              </w:tc>
            </w:tr>
            <w:tr w14:paraId="7D20C3A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435" w:type="dxa"/>
                  <w:vMerge w:val="restart"/>
                  <w:vAlign w:val="center"/>
                </w:tcPr>
                <w:p w14:paraId="0590C860">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厂界噪声</w:t>
                  </w:r>
                </w:p>
              </w:tc>
              <w:tc>
                <w:tcPr>
                  <w:tcW w:w="2845" w:type="dxa"/>
                  <w:vAlign w:val="center"/>
                </w:tcPr>
                <w:p w14:paraId="20EF4DE9">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N1厂界东侧外1m处</w:t>
                  </w:r>
                </w:p>
              </w:tc>
              <w:tc>
                <w:tcPr>
                  <w:tcW w:w="1275" w:type="dxa"/>
                  <w:vAlign w:val="center"/>
                </w:tcPr>
                <w:p w14:paraId="40BF5080">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N</w:t>
                  </w:r>
                  <w:r>
                    <w:rPr>
                      <w:rFonts w:hint="default" w:ascii="Times New Roman" w:hAnsi="Times New Roman" w:cs="Times New Roman"/>
                      <w:sz w:val="21"/>
                      <w:szCs w:val="21"/>
                      <w:vertAlign w:val="baseline"/>
                      <w:lang w:val="en-US" w:eastAsia="zh-CN"/>
                    </w:rPr>
                    <w:t>1</w:t>
                  </w:r>
                </w:p>
              </w:tc>
              <w:tc>
                <w:tcPr>
                  <w:tcW w:w="3514" w:type="dxa"/>
                  <w:vAlign w:val="center"/>
                </w:tcPr>
                <w:p w14:paraId="11350AB5">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每天昼、夜各测一次，连续2天</w:t>
                  </w:r>
                </w:p>
              </w:tc>
            </w:tr>
            <w:tr w14:paraId="463E29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35" w:type="dxa"/>
                  <w:vMerge w:val="continue"/>
                  <w:vAlign w:val="center"/>
                </w:tcPr>
                <w:p w14:paraId="24C60B61">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c>
                <w:tcPr>
                  <w:tcW w:w="2845" w:type="dxa"/>
                  <w:vAlign w:val="center"/>
                </w:tcPr>
                <w:p w14:paraId="25EB1BE9">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N2厂界南侧外1m处</w:t>
                  </w:r>
                </w:p>
              </w:tc>
              <w:tc>
                <w:tcPr>
                  <w:tcW w:w="1275" w:type="dxa"/>
                  <w:vAlign w:val="center"/>
                </w:tcPr>
                <w:p w14:paraId="4BFFD0B7">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N</w:t>
                  </w:r>
                  <w:r>
                    <w:rPr>
                      <w:rFonts w:hint="default" w:ascii="Times New Roman" w:hAnsi="Times New Roman" w:cs="Times New Roman"/>
                      <w:sz w:val="21"/>
                      <w:szCs w:val="21"/>
                      <w:vertAlign w:val="baseline"/>
                      <w:lang w:val="en-US" w:eastAsia="zh-CN"/>
                    </w:rPr>
                    <w:t>2</w:t>
                  </w:r>
                </w:p>
              </w:tc>
              <w:tc>
                <w:tcPr>
                  <w:tcW w:w="3514" w:type="dxa"/>
                  <w:vAlign w:val="center"/>
                </w:tcPr>
                <w:p w14:paraId="7EA8BB56">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每天昼、夜各测一次，连续2天</w:t>
                  </w:r>
                </w:p>
              </w:tc>
            </w:tr>
            <w:tr w14:paraId="3F844A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435" w:type="dxa"/>
                  <w:vMerge w:val="continue"/>
                  <w:vAlign w:val="center"/>
                </w:tcPr>
                <w:p w14:paraId="6D88AC08">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c>
                <w:tcPr>
                  <w:tcW w:w="2845" w:type="dxa"/>
                  <w:vAlign w:val="center"/>
                </w:tcPr>
                <w:p w14:paraId="4A83FDBB">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N3厂界西侧外1m处</w:t>
                  </w:r>
                </w:p>
              </w:tc>
              <w:tc>
                <w:tcPr>
                  <w:tcW w:w="1275" w:type="dxa"/>
                  <w:vAlign w:val="center"/>
                </w:tcPr>
                <w:p w14:paraId="617FFF63">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N</w:t>
                  </w:r>
                  <w:r>
                    <w:rPr>
                      <w:rFonts w:hint="default" w:ascii="Times New Roman" w:hAnsi="Times New Roman" w:cs="Times New Roman"/>
                      <w:sz w:val="21"/>
                      <w:szCs w:val="21"/>
                      <w:vertAlign w:val="baseline"/>
                      <w:lang w:val="en-US" w:eastAsia="zh-CN"/>
                    </w:rPr>
                    <w:t>3</w:t>
                  </w:r>
                </w:p>
              </w:tc>
              <w:tc>
                <w:tcPr>
                  <w:tcW w:w="3514" w:type="dxa"/>
                  <w:vAlign w:val="center"/>
                </w:tcPr>
                <w:p w14:paraId="76D954F7">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每天昼、夜各测一次，连续2天</w:t>
                  </w:r>
                </w:p>
              </w:tc>
            </w:tr>
            <w:tr w14:paraId="640AB9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435" w:type="dxa"/>
                  <w:vMerge w:val="continue"/>
                  <w:vAlign w:val="center"/>
                </w:tcPr>
                <w:p w14:paraId="4F1DC311">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p>
              </w:tc>
              <w:tc>
                <w:tcPr>
                  <w:tcW w:w="2845" w:type="dxa"/>
                  <w:vAlign w:val="center"/>
                </w:tcPr>
                <w:p w14:paraId="233DF387">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N4厂界北侧外1m处</w:t>
                  </w:r>
                </w:p>
              </w:tc>
              <w:tc>
                <w:tcPr>
                  <w:tcW w:w="1275" w:type="dxa"/>
                  <w:vAlign w:val="center"/>
                </w:tcPr>
                <w:p w14:paraId="3F3171A9">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w:t>
                  </w:r>
                  <w:r>
                    <w:rPr>
                      <w:rFonts w:hint="eastAsia" w:ascii="Times New Roman" w:hAnsi="Times New Roman" w:cs="Times New Roman"/>
                      <w:sz w:val="21"/>
                      <w:szCs w:val="21"/>
                      <w:vertAlign w:val="baseline"/>
                      <w:lang w:val="en-US" w:eastAsia="zh-CN"/>
                    </w:rPr>
                    <w:t>N</w:t>
                  </w:r>
                  <w:r>
                    <w:rPr>
                      <w:rFonts w:hint="default" w:ascii="Times New Roman" w:hAnsi="Times New Roman" w:cs="Times New Roman"/>
                      <w:sz w:val="21"/>
                      <w:szCs w:val="21"/>
                      <w:vertAlign w:val="baseline"/>
                      <w:lang w:val="en-US" w:eastAsia="zh-CN"/>
                    </w:rPr>
                    <w:t>4</w:t>
                  </w:r>
                </w:p>
              </w:tc>
              <w:tc>
                <w:tcPr>
                  <w:tcW w:w="3514" w:type="dxa"/>
                  <w:vAlign w:val="center"/>
                </w:tcPr>
                <w:p w14:paraId="0419CBBC">
                  <w:pPr>
                    <w:bidi w:val="0"/>
                    <w:spacing w:line="360" w:lineRule="auto"/>
                    <w:ind w:left="0" w:leftChars="0"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每天昼、夜各测一次，连续2天</w:t>
                  </w:r>
                </w:p>
              </w:tc>
            </w:tr>
          </w:tbl>
          <w:p w14:paraId="055D760A">
            <w:pPr>
              <w:pStyle w:val="3"/>
              <w:rPr>
                <w:rFonts w:hint="default" w:ascii="Times New Roman" w:hAnsi="Times New Roman" w:cs="Times New Roman"/>
                <w:lang w:val="en-US" w:eastAsia="zh-CN"/>
              </w:rPr>
            </w:pPr>
            <w:r>
              <w:rPr>
                <w:rFonts w:hint="default" w:ascii="Times New Roman" w:hAnsi="Times New Roman" w:cs="Times New Roman"/>
                <w:lang w:val="en-US" w:eastAsia="zh-CN"/>
              </w:rPr>
              <w:t>6.5 固废处置调查内容</w:t>
            </w:r>
          </w:p>
          <w:p w14:paraId="0179427C">
            <w:pPr>
              <w:rPr>
                <w:rFonts w:hint="default" w:ascii="Times New Roman" w:hAnsi="Times New Roman" w:cs="Times New Roman"/>
                <w:lang w:val="en-US" w:eastAsia="zh-CN"/>
              </w:rPr>
            </w:pPr>
            <w:r>
              <w:rPr>
                <w:rFonts w:hint="eastAsia" w:cs="Times New Roman"/>
                <w:lang w:val="en-US" w:eastAsia="zh-CN"/>
              </w:rPr>
              <w:t>是否</w:t>
            </w:r>
            <w:r>
              <w:rPr>
                <w:rFonts w:hint="default" w:ascii="Times New Roman" w:hAnsi="Times New Roman" w:cs="Times New Roman"/>
                <w:lang w:val="en-US" w:eastAsia="zh-CN"/>
              </w:rPr>
              <w:t>按照“减量化、资源化、无害化”原则妥善处置固体废物。废包装材料</w:t>
            </w:r>
            <w:r>
              <w:rPr>
                <w:rFonts w:hint="eastAsia" w:cs="Times New Roman"/>
                <w:lang w:val="en-US" w:eastAsia="zh-CN"/>
              </w:rPr>
              <w:t>是否</w:t>
            </w:r>
            <w:r>
              <w:rPr>
                <w:rFonts w:hint="default" w:ascii="Times New Roman" w:hAnsi="Times New Roman" w:cs="Times New Roman"/>
                <w:lang w:val="en-US" w:eastAsia="zh-CN"/>
              </w:rPr>
              <w:t>收集后由原料生产厂家回收利用；车间清扫收集的粉尘</w:t>
            </w:r>
            <w:r>
              <w:rPr>
                <w:rFonts w:hint="eastAsia" w:cs="Times New Roman"/>
                <w:lang w:val="en-US" w:eastAsia="zh-CN"/>
              </w:rPr>
              <w:t>是否</w:t>
            </w:r>
            <w:r>
              <w:rPr>
                <w:rFonts w:hint="default" w:ascii="Times New Roman" w:hAnsi="Times New Roman" w:cs="Times New Roman"/>
                <w:lang w:val="en-US" w:eastAsia="zh-CN"/>
              </w:rPr>
              <w:t>全部回用于生产；</w:t>
            </w:r>
            <w:r>
              <w:rPr>
                <w:rFonts w:hint="eastAsia" w:cs="Times New Roman"/>
                <w:lang w:val="en-US" w:eastAsia="zh-CN"/>
              </w:rPr>
              <w:t>喷淋沉渣</w:t>
            </w:r>
            <w:r>
              <w:rPr>
                <w:rFonts w:hint="default" w:ascii="Times New Roman" w:hAnsi="Times New Roman" w:cs="Times New Roman"/>
                <w:lang w:val="en-US" w:eastAsia="zh-CN"/>
              </w:rPr>
              <w:t>、废吸油纸、废活性炭、废润滑油、废UV灯管等</w:t>
            </w:r>
            <w:r>
              <w:rPr>
                <w:rFonts w:hint="eastAsia" w:cs="Times New Roman"/>
                <w:lang w:val="en-US" w:eastAsia="zh-CN"/>
              </w:rPr>
              <w:t>是否</w:t>
            </w:r>
            <w:r>
              <w:rPr>
                <w:rFonts w:hint="default" w:ascii="Times New Roman" w:hAnsi="Times New Roman" w:cs="Times New Roman"/>
                <w:lang w:val="en-US" w:eastAsia="zh-CN"/>
              </w:rPr>
              <w:t>分类收集于危废暂存间储存，</w:t>
            </w:r>
            <w:r>
              <w:rPr>
                <w:rFonts w:hint="eastAsia" w:cs="Times New Roman"/>
                <w:lang w:val="en-US" w:eastAsia="zh-CN"/>
              </w:rPr>
              <w:t>并</w:t>
            </w:r>
            <w:r>
              <w:rPr>
                <w:rFonts w:hint="default" w:ascii="Times New Roman" w:hAnsi="Times New Roman" w:cs="Times New Roman"/>
                <w:lang w:val="en-US" w:eastAsia="zh-CN"/>
              </w:rPr>
              <w:t>委托有资质单位规范处置；废油泥</w:t>
            </w:r>
            <w:r>
              <w:rPr>
                <w:rFonts w:hint="eastAsia" w:cs="Times New Roman"/>
                <w:lang w:val="en-US" w:eastAsia="zh-CN"/>
              </w:rPr>
              <w:t>是否</w:t>
            </w:r>
            <w:r>
              <w:rPr>
                <w:rFonts w:hint="default" w:ascii="Times New Roman" w:hAnsi="Times New Roman" w:cs="Times New Roman"/>
                <w:lang w:val="en-US" w:eastAsia="zh-CN"/>
              </w:rPr>
              <w:t>经定期清捞后回用于生产。</w:t>
            </w:r>
          </w:p>
          <w:p w14:paraId="2F5F22E8">
            <w:pPr>
              <w:pStyle w:val="9"/>
              <w:rPr>
                <w:rFonts w:hint="default" w:ascii="Times New Roman" w:hAnsi="Times New Roman" w:cs="Times New Roman"/>
                <w:lang w:val="en-US" w:eastAsia="zh-CN"/>
              </w:rPr>
            </w:pPr>
          </w:p>
          <w:p w14:paraId="65DD2B57">
            <w:pPr>
              <w:bidi w:val="0"/>
              <w:rPr>
                <w:rFonts w:hint="default" w:ascii="Times New Roman" w:hAnsi="Times New Roman" w:cs="Times New Roman"/>
                <w:lang w:val="en-US" w:eastAsia="zh-CN"/>
              </w:rPr>
            </w:pPr>
          </w:p>
          <w:p w14:paraId="5F3935D6">
            <w:pPr>
              <w:bidi w:val="0"/>
              <w:rPr>
                <w:rFonts w:hint="default" w:ascii="Times New Roman" w:hAnsi="Times New Roman" w:cs="Times New Roman"/>
                <w:lang w:val="en-US" w:eastAsia="zh-CN"/>
              </w:rPr>
            </w:pPr>
          </w:p>
          <w:p w14:paraId="3C1CDEE0">
            <w:pPr>
              <w:bidi w:val="0"/>
              <w:rPr>
                <w:rFonts w:hint="default" w:ascii="Times New Roman" w:hAnsi="Times New Roman" w:cs="Times New Roman"/>
                <w:lang w:val="en-US" w:eastAsia="zh-CN"/>
              </w:rPr>
            </w:pPr>
          </w:p>
          <w:p w14:paraId="22F8BB20">
            <w:pPr>
              <w:bidi w:val="0"/>
              <w:rPr>
                <w:rFonts w:hint="default" w:ascii="Times New Roman" w:hAnsi="Times New Roman" w:cs="Times New Roman"/>
                <w:lang w:val="en-US" w:eastAsia="zh-CN"/>
              </w:rPr>
            </w:pPr>
          </w:p>
          <w:p w14:paraId="45EAE5C4">
            <w:pPr>
              <w:bidi w:val="0"/>
              <w:rPr>
                <w:rFonts w:hint="default" w:ascii="Times New Roman" w:hAnsi="Times New Roman" w:cs="Times New Roman"/>
                <w:lang w:val="en-US" w:eastAsia="zh-CN"/>
              </w:rPr>
            </w:pPr>
          </w:p>
          <w:p w14:paraId="40D18A1B">
            <w:pPr>
              <w:bidi w:val="0"/>
              <w:rPr>
                <w:rFonts w:hint="default" w:ascii="Times New Roman" w:hAnsi="Times New Roman" w:cs="Times New Roman"/>
                <w:lang w:val="en-US" w:eastAsia="zh-CN"/>
              </w:rPr>
            </w:pPr>
          </w:p>
          <w:p w14:paraId="69588BC5">
            <w:pPr>
              <w:bidi w:val="0"/>
              <w:rPr>
                <w:rFonts w:hint="default" w:ascii="Times New Roman" w:hAnsi="Times New Roman" w:cs="Times New Roman"/>
                <w:lang w:val="en-US" w:eastAsia="zh-CN"/>
              </w:rPr>
            </w:pPr>
          </w:p>
          <w:p w14:paraId="4E1AD2A7">
            <w:pPr>
              <w:tabs>
                <w:tab w:val="left" w:pos="1569"/>
              </w:tabs>
              <w:bidi w:val="0"/>
              <w:jc w:val="left"/>
              <w:rPr>
                <w:rFonts w:hint="default" w:ascii="Times New Roman" w:hAnsi="Times New Roman" w:cs="Times New Roman"/>
                <w:lang w:val="en-US" w:eastAsia="zh-CN"/>
              </w:rPr>
            </w:pPr>
            <w:r>
              <w:rPr>
                <w:rFonts w:hint="default" w:ascii="Times New Roman" w:hAnsi="Times New Roman" w:cs="Times New Roman"/>
                <w:lang w:val="en-US" w:eastAsia="zh-CN"/>
              </w:rPr>
              <w:tab/>
            </w:r>
          </w:p>
          <w:p w14:paraId="01763C1D">
            <w:pPr>
              <w:pStyle w:val="9"/>
              <w:rPr>
                <w:rFonts w:hint="default" w:ascii="Times New Roman" w:hAnsi="Times New Roman" w:cs="Times New Roman"/>
                <w:lang w:val="en-US" w:eastAsia="zh-CN"/>
              </w:rPr>
            </w:pPr>
          </w:p>
          <w:p w14:paraId="60E5ED71">
            <w:pPr>
              <w:tabs>
                <w:tab w:val="left" w:pos="1226"/>
              </w:tabs>
              <w:bidi w:val="0"/>
              <w:ind w:left="0" w:leftChars="0" w:firstLine="0" w:firstLineChars="0"/>
              <w:jc w:val="left"/>
              <w:rPr>
                <w:rFonts w:hint="default" w:ascii="Times New Roman" w:hAnsi="Times New Roman" w:cs="Times New Roman"/>
                <w:lang w:val="en-US" w:eastAsia="zh-CN"/>
              </w:rPr>
            </w:pPr>
          </w:p>
        </w:tc>
      </w:tr>
    </w:tbl>
    <w:p w14:paraId="5BA053C7">
      <w:pPr>
        <w:widowControl/>
        <w:spacing w:line="240" w:lineRule="auto"/>
        <w:ind w:firstLine="0" w:firstLineChars="0"/>
        <w:jc w:val="left"/>
        <w:rPr>
          <w:rFonts w:hint="default" w:ascii="Times New Roman" w:hAnsi="Times New Roman" w:cs="Times New Roman"/>
          <w:color w:val="FF0000"/>
        </w:rPr>
      </w:pPr>
    </w:p>
    <w:p w14:paraId="0F830789">
      <w:pPr>
        <w:pStyle w:val="2"/>
        <w:rPr>
          <w:rFonts w:hint="default" w:ascii="Times New Roman" w:hAnsi="Times New Roman" w:eastAsia="黑体" w:cs="Times New Roman"/>
          <w:lang w:val="en-US" w:eastAsia="zh-CN"/>
        </w:rPr>
      </w:pPr>
      <w:bookmarkStart w:id="26" w:name="_Toc6468"/>
      <w:r>
        <w:rPr>
          <w:rFonts w:hint="default" w:ascii="Times New Roman" w:hAnsi="Times New Roman" w:cs="Times New Roman"/>
        </w:rPr>
        <w:t>表七</w:t>
      </w:r>
      <w:r>
        <w:rPr>
          <w:rFonts w:hint="default" w:ascii="Times New Roman" w:hAnsi="Times New Roman" w:cs="Times New Roman"/>
          <w:lang w:eastAsia="zh-CN"/>
        </w:rPr>
        <w:t>：</w:t>
      </w:r>
      <w:r>
        <w:rPr>
          <w:rFonts w:hint="default" w:ascii="Times New Roman" w:hAnsi="Times New Roman" w:cs="Times New Roman"/>
          <w:lang w:val="en-US" w:eastAsia="zh-CN"/>
        </w:rPr>
        <w:t>验收监测结果</w:t>
      </w:r>
      <w:bookmarkEnd w:id="26"/>
    </w:p>
    <w:tbl>
      <w:tblPr>
        <w:tblStyle w:val="32"/>
        <w:tblW w:w="928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286"/>
      </w:tblGrid>
      <w:tr w14:paraId="1C2B13E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877" w:hRule="atLeast"/>
        </w:trPr>
        <w:tc>
          <w:tcPr>
            <w:tcW w:w="9286" w:type="dxa"/>
            <w:vAlign w:val="center"/>
          </w:tcPr>
          <w:p w14:paraId="0E3B2DFA">
            <w:pPr>
              <w:ind w:firstLine="0" w:firstLineChars="0"/>
              <w:rPr>
                <w:rFonts w:hint="default" w:ascii="Times New Roman" w:hAnsi="Times New Roman" w:cs="Times New Roman"/>
                <w:b/>
              </w:rPr>
            </w:pPr>
            <w:r>
              <w:rPr>
                <w:rFonts w:hint="default" w:ascii="Times New Roman" w:hAnsi="Times New Roman" w:cs="Times New Roman"/>
                <w:b/>
              </w:rPr>
              <w:t>验收</w:t>
            </w:r>
            <w:r>
              <w:rPr>
                <w:rFonts w:hint="default" w:ascii="Times New Roman" w:hAnsi="Times New Roman" w:cs="Times New Roman"/>
                <w:b/>
                <w:color w:val="auto"/>
                <w:lang w:eastAsia="zh-CN"/>
              </w:rPr>
              <w:t>监</w:t>
            </w:r>
            <w:r>
              <w:rPr>
                <w:rFonts w:hint="default" w:ascii="Times New Roman" w:hAnsi="Times New Roman" w:cs="Times New Roman"/>
                <w:b/>
                <w:color w:val="auto"/>
              </w:rPr>
              <w:t>测期</w:t>
            </w:r>
            <w:r>
              <w:rPr>
                <w:rFonts w:hint="default" w:ascii="Times New Roman" w:hAnsi="Times New Roman" w:cs="Times New Roman"/>
                <w:b/>
              </w:rPr>
              <w:t>间生产工况记录：</w:t>
            </w:r>
          </w:p>
          <w:p w14:paraId="7ACCA85E">
            <w:pPr>
              <w:ind w:firstLine="480"/>
              <w:rPr>
                <w:rFonts w:hint="default" w:ascii="Times New Roman" w:hAnsi="Times New Roman" w:cs="Times New Roman"/>
              </w:rPr>
            </w:pPr>
            <w:r>
              <w:rPr>
                <w:rFonts w:hint="default" w:ascii="Times New Roman" w:hAnsi="Times New Roman" w:cs="Times New Roman"/>
              </w:rPr>
              <w:t>20</w:t>
            </w:r>
            <w:r>
              <w:rPr>
                <w:rFonts w:hint="default" w:ascii="Times New Roman" w:hAnsi="Times New Roman" w:cs="Times New Roman"/>
                <w:lang w:val="en-US" w:eastAsia="zh-CN"/>
              </w:rPr>
              <w:t>25</w:t>
            </w:r>
            <w:r>
              <w:rPr>
                <w:rFonts w:hint="default" w:ascii="Times New Roman" w:hAnsi="Times New Roman" w:cs="Times New Roman"/>
              </w:rPr>
              <w:t>年</w:t>
            </w:r>
            <w:r>
              <w:rPr>
                <w:rFonts w:hint="eastAsia" w:ascii="Times New Roman" w:hAnsi="Times New Roman" w:cs="Times New Roman"/>
                <w:lang w:val="en-US" w:eastAsia="zh-CN"/>
              </w:rPr>
              <w:t>5</w:t>
            </w:r>
            <w:r>
              <w:rPr>
                <w:rFonts w:hint="default" w:ascii="Times New Roman" w:hAnsi="Times New Roman" w:cs="Times New Roman"/>
              </w:rPr>
              <w:t>月</w:t>
            </w:r>
            <w:r>
              <w:rPr>
                <w:rFonts w:hint="default" w:ascii="Times New Roman" w:hAnsi="Times New Roman" w:cs="Times New Roman"/>
                <w:lang w:val="en-US" w:eastAsia="zh-CN"/>
              </w:rPr>
              <w:t>2</w:t>
            </w:r>
            <w:r>
              <w:rPr>
                <w:rFonts w:hint="eastAsia" w:cs="Times New Roman"/>
                <w:lang w:val="en-US" w:eastAsia="zh-CN"/>
              </w:rPr>
              <w:t>3</w:t>
            </w:r>
            <w:r>
              <w:rPr>
                <w:rFonts w:hint="default" w:ascii="Times New Roman" w:hAnsi="Times New Roman" w:cs="Times New Roman"/>
              </w:rPr>
              <w:t>日至</w:t>
            </w:r>
            <w:r>
              <w:rPr>
                <w:rFonts w:hint="eastAsia" w:cs="Times New Roman"/>
                <w:lang w:val="en-US" w:eastAsia="zh-CN"/>
              </w:rPr>
              <w:t>24</w:t>
            </w:r>
            <w:r>
              <w:rPr>
                <w:rFonts w:hint="default" w:ascii="Times New Roman" w:hAnsi="Times New Roman" w:cs="Times New Roman"/>
              </w:rPr>
              <w:t>日，</w:t>
            </w:r>
            <w:r>
              <w:rPr>
                <w:rFonts w:hint="eastAsia" w:ascii="Times New Roman" w:hAnsi="Times New Roman" w:cs="Times New Roman"/>
                <w:lang w:val="en-US" w:eastAsia="zh-CN"/>
              </w:rPr>
              <w:t>湖南谱实检测技术有限公司</w:t>
            </w:r>
            <w:r>
              <w:rPr>
                <w:rFonts w:hint="default" w:ascii="Times New Roman" w:hAnsi="Times New Roman" w:cs="Times New Roman"/>
              </w:rPr>
              <w:t>对</w:t>
            </w:r>
            <w:r>
              <w:rPr>
                <w:rFonts w:hint="eastAsia" w:cs="Times New Roman"/>
                <w:lang w:val="en" w:eastAsia="zh-CN"/>
              </w:rPr>
              <w:t>邵阳市鑫腾阻燃新材料科技有限公司红磷阻燃剂建设项目</w:t>
            </w:r>
            <w:r>
              <w:rPr>
                <w:rFonts w:hint="default" w:ascii="Times New Roman" w:hAnsi="Times New Roman" w:cs="Times New Roman"/>
              </w:rPr>
              <w:t>开展了验收</w:t>
            </w:r>
            <w:r>
              <w:rPr>
                <w:rFonts w:hint="default" w:ascii="Times New Roman" w:hAnsi="Times New Roman" w:cs="Times New Roman"/>
                <w:color w:val="auto"/>
                <w:lang w:eastAsia="zh-CN"/>
              </w:rPr>
              <w:t>监</w:t>
            </w:r>
            <w:r>
              <w:rPr>
                <w:rFonts w:hint="default" w:ascii="Times New Roman" w:hAnsi="Times New Roman" w:cs="Times New Roman"/>
                <w:color w:val="auto"/>
              </w:rPr>
              <w:t>测。</w:t>
            </w:r>
            <w:r>
              <w:rPr>
                <w:rFonts w:hint="default" w:ascii="Times New Roman" w:hAnsi="Times New Roman" w:cs="Times New Roman"/>
              </w:rPr>
              <w:t>监测期间，主体工程工况稳定，各污染防治设施运转正常。其验收监测期间生产工况情况如下：</w:t>
            </w:r>
          </w:p>
          <w:p w14:paraId="1CC5DECA">
            <w:pPr>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表7-1  项目验收</w:t>
            </w:r>
            <w:r>
              <w:rPr>
                <w:rFonts w:hint="default" w:ascii="Times New Roman" w:hAnsi="Times New Roman" w:cs="Times New Roman"/>
                <w:b/>
                <w:color w:val="auto"/>
                <w:sz w:val="21"/>
                <w:szCs w:val="21"/>
                <w:lang w:eastAsia="zh-CN"/>
              </w:rPr>
              <w:t>监</w:t>
            </w:r>
            <w:r>
              <w:rPr>
                <w:rFonts w:hint="default" w:ascii="Times New Roman" w:hAnsi="Times New Roman" w:cs="Times New Roman"/>
                <w:b/>
                <w:color w:val="auto"/>
                <w:sz w:val="21"/>
                <w:szCs w:val="21"/>
              </w:rPr>
              <w:t>测</w:t>
            </w:r>
            <w:r>
              <w:rPr>
                <w:rFonts w:hint="default" w:ascii="Times New Roman" w:hAnsi="Times New Roman" w:cs="Times New Roman"/>
                <w:b/>
                <w:sz w:val="21"/>
                <w:szCs w:val="21"/>
              </w:rPr>
              <w:t>期间工况一览表</w:t>
            </w:r>
          </w:p>
          <w:tbl>
            <w:tblPr>
              <w:tblStyle w:val="32"/>
              <w:tblW w:w="9296"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251"/>
              <w:gridCol w:w="2370"/>
              <w:gridCol w:w="1345"/>
              <w:gridCol w:w="2010"/>
              <w:gridCol w:w="1320"/>
            </w:tblGrid>
            <w:tr w14:paraId="6BD132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5" w:hRule="atLeast"/>
                <w:tblHeader/>
              </w:trPr>
              <w:tc>
                <w:tcPr>
                  <w:tcW w:w="2251" w:type="dxa"/>
                  <w:vAlign w:val="center"/>
                </w:tcPr>
                <w:p w14:paraId="5A04C659">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检测时间</w:t>
                  </w:r>
                </w:p>
              </w:tc>
              <w:tc>
                <w:tcPr>
                  <w:tcW w:w="2370" w:type="dxa"/>
                  <w:vAlign w:val="center"/>
                </w:tcPr>
                <w:p w14:paraId="75340B29">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项目</w:t>
                  </w:r>
                </w:p>
              </w:tc>
              <w:tc>
                <w:tcPr>
                  <w:tcW w:w="1345" w:type="dxa"/>
                  <w:vAlign w:val="center"/>
                </w:tcPr>
                <w:p w14:paraId="6F624528">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设计规模</w:t>
                  </w:r>
                </w:p>
              </w:tc>
              <w:tc>
                <w:tcPr>
                  <w:tcW w:w="2010" w:type="dxa"/>
                  <w:vAlign w:val="center"/>
                </w:tcPr>
                <w:p w14:paraId="51452426">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实际运行规模</w:t>
                  </w:r>
                </w:p>
              </w:tc>
              <w:tc>
                <w:tcPr>
                  <w:tcW w:w="1320" w:type="dxa"/>
                  <w:vAlign w:val="center"/>
                </w:tcPr>
                <w:p w14:paraId="09F46894">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运行负荷</w:t>
                  </w:r>
                </w:p>
              </w:tc>
            </w:tr>
            <w:tr w14:paraId="153DDD8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2251" w:type="dxa"/>
                  <w:vAlign w:val="center"/>
                </w:tcPr>
                <w:p w14:paraId="3F8F2C42">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2025年</w:t>
                  </w:r>
                  <w:r>
                    <w:rPr>
                      <w:rFonts w:hint="eastAsia" w:ascii="Times New Roman" w:hAnsi="Times New Roman" w:cs="Times New Roman"/>
                      <w:color w:val="auto"/>
                      <w:sz w:val="21"/>
                      <w:szCs w:val="21"/>
                      <w:lang w:val="en-US" w:eastAsia="zh-CN"/>
                    </w:rPr>
                    <w:t>5</w:t>
                  </w:r>
                  <w:r>
                    <w:rPr>
                      <w:rFonts w:hint="default" w:ascii="Times New Roman" w:hAnsi="Times New Roman" w:cs="Times New Roman"/>
                      <w:color w:val="auto"/>
                      <w:sz w:val="21"/>
                      <w:szCs w:val="21"/>
                      <w:lang w:val="en-US" w:eastAsia="zh-CN"/>
                    </w:rPr>
                    <w:t>月2</w:t>
                  </w:r>
                  <w:r>
                    <w:rPr>
                      <w:rFonts w:hint="eastAsia" w:cs="Times New Roman"/>
                      <w:color w:val="auto"/>
                      <w:sz w:val="21"/>
                      <w:szCs w:val="21"/>
                      <w:lang w:val="en-US" w:eastAsia="zh-CN"/>
                    </w:rPr>
                    <w:t>3</w:t>
                  </w:r>
                  <w:r>
                    <w:rPr>
                      <w:rFonts w:hint="default" w:ascii="Times New Roman" w:hAnsi="Times New Roman" w:cs="Times New Roman"/>
                      <w:color w:val="auto"/>
                      <w:sz w:val="21"/>
                      <w:szCs w:val="21"/>
                      <w:lang w:val="en-US" w:eastAsia="zh-CN"/>
                    </w:rPr>
                    <w:t>日</w:t>
                  </w:r>
                </w:p>
              </w:tc>
              <w:tc>
                <w:tcPr>
                  <w:tcW w:w="2370" w:type="dxa"/>
                  <w:vMerge w:val="restart"/>
                  <w:vAlign w:val="center"/>
                </w:tcPr>
                <w:p w14:paraId="1752677A">
                  <w:pPr>
                    <w:spacing w:line="240" w:lineRule="auto"/>
                    <w:ind w:firstLine="0" w:firstLineChars="0"/>
                    <w:jc w:val="center"/>
                    <w:rPr>
                      <w:rFonts w:hint="default" w:ascii="Times New Roman" w:hAnsi="Times New Roman" w:cs="Times New Roman" w:eastAsiaTheme="minorEastAsia"/>
                      <w:color w:val="auto"/>
                      <w:sz w:val="21"/>
                      <w:szCs w:val="21"/>
                      <w:lang w:val="en" w:eastAsia="zh-CN"/>
                    </w:rPr>
                  </w:pPr>
                  <w:r>
                    <w:rPr>
                      <w:rFonts w:hint="eastAsia" w:cs="Times New Roman"/>
                      <w:sz w:val="21"/>
                      <w:szCs w:val="21"/>
                      <w:lang w:val="en" w:eastAsia="zh-CN"/>
                    </w:rPr>
                    <w:t>邵阳市鑫腾阻燃新材料科技有限公司红磷阻燃剂建设项目</w:t>
                  </w:r>
                </w:p>
              </w:tc>
              <w:tc>
                <w:tcPr>
                  <w:tcW w:w="1345" w:type="dxa"/>
                  <w:vMerge w:val="restart"/>
                  <w:shd w:val="clear" w:color="auto" w:fill="auto"/>
                  <w:vAlign w:val="center"/>
                </w:tcPr>
                <w:p w14:paraId="63CA9EC7">
                  <w:pPr>
                    <w:spacing w:line="240" w:lineRule="auto"/>
                    <w:ind w:firstLine="0" w:firstLineChars="0"/>
                    <w:jc w:val="center"/>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eastAsia="zh-CN"/>
                    </w:rPr>
                    <w:t>油相超细红磷阻燃剂</w:t>
                  </w:r>
                  <w:r>
                    <w:rPr>
                      <w:rFonts w:hint="eastAsia" w:cs="Times New Roman"/>
                      <w:color w:val="auto"/>
                      <w:sz w:val="21"/>
                      <w:szCs w:val="21"/>
                      <w:lang w:val="en-US" w:eastAsia="zh-CN"/>
                    </w:rPr>
                    <w:t>13.33</w:t>
                  </w:r>
                  <w:r>
                    <w:rPr>
                      <w:rFonts w:hint="default" w:ascii="Times New Roman" w:hAnsi="Times New Roman" w:cs="Times New Roman"/>
                      <w:color w:val="auto"/>
                      <w:sz w:val="21"/>
                      <w:szCs w:val="21"/>
                      <w:lang w:val="en-US" w:eastAsia="zh-CN"/>
                    </w:rPr>
                    <w:t>吨、红磷阻燃母粒</w:t>
                  </w:r>
                  <w:r>
                    <w:rPr>
                      <w:rFonts w:hint="eastAsia" w:cs="Times New Roman"/>
                      <w:color w:val="auto"/>
                      <w:sz w:val="21"/>
                      <w:szCs w:val="21"/>
                      <w:lang w:val="en-US" w:eastAsia="zh-CN"/>
                    </w:rPr>
                    <w:t>13.33</w:t>
                  </w:r>
                  <w:r>
                    <w:rPr>
                      <w:rFonts w:hint="default" w:ascii="Times New Roman" w:hAnsi="Times New Roman" w:cs="Times New Roman"/>
                      <w:color w:val="auto"/>
                      <w:sz w:val="21"/>
                      <w:szCs w:val="21"/>
                      <w:lang w:val="en-US" w:eastAsia="zh-CN"/>
                    </w:rPr>
                    <w:t>吨/d</w:t>
                  </w:r>
                </w:p>
              </w:tc>
              <w:tc>
                <w:tcPr>
                  <w:tcW w:w="2010" w:type="dxa"/>
                  <w:shd w:val="clear" w:color="auto" w:fill="auto"/>
                  <w:vAlign w:val="center"/>
                </w:tcPr>
                <w:p w14:paraId="65116950">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油相超细红磷阻燃剂</w:t>
                  </w:r>
                  <w:r>
                    <w:rPr>
                      <w:rFonts w:hint="eastAsia" w:cs="Times New Roman"/>
                      <w:color w:val="auto"/>
                      <w:sz w:val="21"/>
                      <w:szCs w:val="21"/>
                      <w:lang w:val="en-US" w:eastAsia="zh-CN"/>
                    </w:rPr>
                    <w:t>12.67</w:t>
                  </w:r>
                  <w:r>
                    <w:rPr>
                      <w:rFonts w:hint="default" w:ascii="Times New Roman" w:hAnsi="Times New Roman" w:cs="Times New Roman"/>
                      <w:color w:val="auto"/>
                      <w:sz w:val="21"/>
                      <w:szCs w:val="21"/>
                      <w:lang w:val="en-US" w:eastAsia="zh-CN"/>
                    </w:rPr>
                    <w:t>吨、红磷阻燃母粒</w:t>
                  </w:r>
                  <w:r>
                    <w:rPr>
                      <w:rFonts w:hint="eastAsia" w:cs="Times New Roman"/>
                      <w:color w:val="auto"/>
                      <w:sz w:val="21"/>
                      <w:szCs w:val="21"/>
                      <w:lang w:val="en-US" w:eastAsia="zh-CN"/>
                    </w:rPr>
                    <w:t>12.67</w:t>
                  </w:r>
                  <w:r>
                    <w:rPr>
                      <w:rFonts w:hint="default" w:ascii="Times New Roman" w:hAnsi="Times New Roman" w:cs="Times New Roman"/>
                      <w:color w:val="auto"/>
                      <w:sz w:val="21"/>
                      <w:szCs w:val="21"/>
                      <w:lang w:val="en-US" w:eastAsia="zh-CN"/>
                    </w:rPr>
                    <w:t>吨</w:t>
                  </w:r>
                </w:p>
              </w:tc>
              <w:tc>
                <w:tcPr>
                  <w:tcW w:w="1320" w:type="dxa"/>
                  <w:shd w:val="clear" w:color="auto" w:fill="auto"/>
                  <w:vAlign w:val="center"/>
                </w:tcPr>
                <w:p w14:paraId="0BDAF8C2">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9</w:t>
                  </w:r>
                  <w:r>
                    <w:rPr>
                      <w:rFonts w:hint="eastAsia" w:cs="Times New Roman"/>
                      <w:color w:val="auto"/>
                      <w:sz w:val="21"/>
                      <w:szCs w:val="21"/>
                      <w:lang w:val="en-US" w:eastAsia="zh-CN"/>
                    </w:rPr>
                    <w:t>5</w:t>
                  </w:r>
                  <w:r>
                    <w:rPr>
                      <w:rFonts w:hint="default" w:ascii="Times New Roman" w:hAnsi="Times New Roman" w:cs="Times New Roman"/>
                      <w:color w:val="auto"/>
                      <w:sz w:val="21"/>
                      <w:szCs w:val="21"/>
                      <w:lang w:val="en-US" w:eastAsia="zh-CN"/>
                    </w:rPr>
                    <w:t>.00</w:t>
                  </w:r>
                  <w:r>
                    <w:rPr>
                      <w:rFonts w:hint="default" w:ascii="Times New Roman" w:hAnsi="Times New Roman" w:cs="Times New Roman"/>
                      <w:color w:val="auto"/>
                      <w:sz w:val="21"/>
                      <w:szCs w:val="21"/>
                    </w:rPr>
                    <w:t>%</w:t>
                  </w:r>
                </w:p>
              </w:tc>
            </w:tr>
            <w:tr w14:paraId="4339762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2251" w:type="dxa"/>
                  <w:vAlign w:val="center"/>
                </w:tcPr>
                <w:p w14:paraId="109ABEBE">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20</w:t>
                  </w:r>
                  <w:r>
                    <w:rPr>
                      <w:rFonts w:hint="default" w:ascii="Times New Roman" w:hAnsi="Times New Roman" w:cs="Times New Roman"/>
                      <w:color w:val="auto"/>
                      <w:sz w:val="21"/>
                      <w:szCs w:val="21"/>
                      <w:lang w:val="en-US" w:eastAsia="zh-CN"/>
                    </w:rPr>
                    <w:t>25</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5</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lang w:val="en-US" w:eastAsia="zh-CN"/>
                    </w:rPr>
                    <w:t>2</w:t>
                  </w:r>
                  <w:r>
                    <w:rPr>
                      <w:rFonts w:hint="eastAsia" w:cs="Times New Roman"/>
                      <w:color w:val="auto"/>
                      <w:sz w:val="21"/>
                      <w:szCs w:val="21"/>
                      <w:lang w:val="en-US" w:eastAsia="zh-CN"/>
                    </w:rPr>
                    <w:t>4</w:t>
                  </w:r>
                  <w:r>
                    <w:rPr>
                      <w:rFonts w:hint="default" w:ascii="Times New Roman" w:hAnsi="Times New Roman" w:cs="Times New Roman"/>
                      <w:color w:val="auto"/>
                      <w:sz w:val="21"/>
                      <w:szCs w:val="21"/>
                    </w:rPr>
                    <w:t>日</w:t>
                  </w:r>
                </w:p>
              </w:tc>
              <w:tc>
                <w:tcPr>
                  <w:tcW w:w="2370" w:type="dxa"/>
                  <w:vMerge w:val="continue"/>
                  <w:vAlign w:val="center"/>
                </w:tcPr>
                <w:p w14:paraId="1085E37F">
                  <w:pPr>
                    <w:spacing w:line="240" w:lineRule="auto"/>
                    <w:ind w:firstLine="0" w:firstLineChars="0"/>
                    <w:jc w:val="center"/>
                    <w:rPr>
                      <w:rFonts w:hint="default" w:ascii="Times New Roman" w:hAnsi="Times New Roman" w:cs="Times New Roman"/>
                      <w:color w:val="auto"/>
                      <w:sz w:val="21"/>
                      <w:szCs w:val="21"/>
                    </w:rPr>
                  </w:pPr>
                </w:p>
              </w:tc>
              <w:tc>
                <w:tcPr>
                  <w:tcW w:w="1345" w:type="dxa"/>
                  <w:vMerge w:val="continue"/>
                  <w:shd w:val="clear" w:color="auto" w:fill="auto"/>
                  <w:vAlign w:val="center"/>
                </w:tcPr>
                <w:p w14:paraId="5003BEC9">
                  <w:pPr>
                    <w:spacing w:line="240" w:lineRule="auto"/>
                    <w:ind w:firstLine="0" w:firstLineChars="0"/>
                    <w:jc w:val="center"/>
                    <w:rPr>
                      <w:rFonts w:hint="default" w:ascii="Times New Roman" w:hAnsi="Times New Roman" w:cs="Times New Roman"/>
                      <w:color w:val="auto"/>
                      <w:sz w:val="21"/>
                      <w:szCs w:val="21"/>
                    </w:rPr>
                  </w:pPr>
                </w:p>
              </w:tc>
              <w:tc>
                <w:tcPr>
                  <w:tcW w:w="2010" w:type="dxa"/>
                  <w:shd w:val="clear" w:color="auto" w:fill="auto"/>
                  <w:vAlign w:val="center"/>
                </w:tcPr>
                <w:p w14:paraId="2FD98B5B">
                  <w:pPr>
                    <w:spacing w:line="240" w:lineRule="auto"/>
                    <w:ind w:firstLine="0" w:firstLineChars="0"/>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val="en-US" w:eastAsia="zh-CN"/>
                    </w:rPr>
                    <w:t>油相超细红磷阻燃剂</w:t>
                  </w:r>
                  <w:r>
                    <w:rPr>
                      <w:rFonts w:hint="eastAsia" w:cs="Times New Roman"/>
                      <w:color w:val="auto"/>
                      <w:sz w:val="21"/>
                      <w:szCs w:val="21"/>
                      <w:lang w:val="en-US" w:eastAsia="zh-CN"/>
                    </w:rPr>
                    <w:t>12.67</w:t>
                  </w:r>
                  <w:r>
                    <w:rPr>
                      <w:rFonts w:hint="default" w:ascii="Times New Roman" w:hAnsi="Times New Roman" w:cs="Times New Roman"/>
                      <w:color w:val="auto"/>
                      <w:sz w:val="21"/>
                      <w:szCs w:val="21"/>
                      <w:lang w:val="en-US" w:eastAsia="zh-CN"/>
                    </w:rPr>
                    <w:t>吨、红磷阻燃母粒</w:t>
                  </w:r>
                  <w:r>
                    <w:rPr>
                      <w:rFonts w:hint="eastAsia" w:cs="Times New Roman"/>
                      <w:color w:val="auto"/>
                      <w:sz w:val="21"/>
                      <w:szCs w:val="21"/>
                      <w:lang w:val="en-US" w:eastAsia="zh-CN"/>
                    </w:rPr>
                    <w:t>12.67</w:t>
                  </w:r>
                  <w:r>
                    <w:rPr>
                      <w:rFonts w:hint="default" w:ascii="Times New Roman" w:hAnsi="Times New Roman" w:cs="Times New Roman"/>
                      <w:color w:val="auto"/>
                      <w:sz w:val="21"/>
                      <w:szCs w:val="21"/>
                      <w:lang w:val="en-US" w:eastAsia="zh-CN"/>
                    </w:rPr>
                    <w:t>吨</w:t>
                  </w:r>
                </w:p>
              </w:tc>
              <w:tc>
                <w:tcPr>
                  <w:tcW w:w="1320" w:type="dxa"/>
                  <w:shd w:val="clear" w:color="auto" w:fill="auto"/>
                  <w:vAlign w:val="center"/>
                </w:tcPr>
                <w:p w14:paraId="617C8077">
                  <w:pPr>
                    <w:spacing w:line="240" w:lineRule="auto"/>
                    <w:ind w:firstLine="0" w:firstLineChars="0"/>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val="en-US" w:eastAsia="zh-CN"/>
                    </w:rPr>
                    <w:t>9</w:t>
                  </w:r>
                  <w:r>
                    <w:rPr>
                      <w:rFonts w:hint="eastAsia" w:cs="Times New Roman"/>
                      <w:color w:val="auto"/>
                      <w:sz w:val="21"/>
                      <w:szCs w:val="21"/>
                      <w:lang w:val="en-US" w:eastAsia="zh-CN"/>
                    </w:rPr>
                    <w:t>5</w:t>
                  </w:r>
                  <w:r>
                    <w:rPr>
                      <w:rFonts w:hint="default" w:ascii="Times New Roman" w:hAnsi="Times New Roman" w:cs="Times New Roman"/>
                      <w:color w:val="auto"/>
                      <w:sz w:val="21"/>
                      <w:szCs w:val="21"/>
                      <w:lang w:val="en-US" w:eastAsia="zh-CN"/>
                    </w:rPr>
                    <w:t>.00</w:t>
                  </w:r>
                  <w:r>
                    <w:rPr>
                      <w:rFonts w:hint="default" w:ascii="Times New Roman" w:hAnsi="Times New Roman" w:cs="Times New Roman"/>
                      <w:color w:val="auto"/>
                      <w:sz w:val="21"/>
                      <w:szCs w:val="21"/>
                    </w:rPr>
                    <w:t>%</w:t>
                  </w:r>
                </w:p>
              </w:tc>
            </w:tr>
          </w:tbl>
          <w:p w14:paraId="3FC3574C">
            <w:pPr>
              <w:ind w:firstLine="480"/>
              <w:rPr>
                <w:rFonts w:hint="default" w:ascii="Times New Roman" w:hAnsi="Times New Roman" w:cs="Times New Roman"/>
              </w:rPr>
            </w:pPr>
          </w:p>
        </w:tc>
      </w:tr>
      <w:tr w14:paraId="04C9E6B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21" w:hRule="atLeast"/>
        </w:trPr>
        <w:tc>
          <w:tcPr>
            <w:tcW w:w="9286" w:type="dxa"/>
            <w:tcBorders>
              <w:bottom w:val="single" w:color="auto" w:sz="4" w:space="0"/>
            </w:tcBorders>
            <w:vAlign w:val="center"/>
          </w:tcPr>
          <w:p w14:paraId="642F71AB">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default" w:ascii="Times New Roman" w:hAnsi="Times New Roman" w:cs="Times New Roman"/>
                <w:b/>
              </w:rPr>
            </w:pPr>
            <w:r>
              <w:rPr>
                <w:rFonts w:hint="default" w:ascii="Times New Roman" w:hAnsi="Times New Roman" w:cs="Times New Roman"/>
                <w:b/>
              </w:rPr>
              <w:t>验收</w:t>
            </w:r>
            <w:r>
              <w:rPr>
                <w:rFonts w:hint="default" w:ascii="Times New Roman" w:hAnsi="Times New Roman" w:cs="Times New Roman"/>
                <w:b/>
                <w:color w:val="auto"/>
                <w:lang w:eastAsia="zh-CN"/>
              </w:rPr>
              <w:t>监</w:t>
            </w:r>
            <w:r>
              <w:rPr>
                <w:rFonts w:hint="default" w:ascii="Times New Roman" w:hAnsi="Times New Roman" w:cs="Times New Roman"/>
                <w:b/>
                <w:color w:val="auto"/>
              </w:rPr>
              <w:t>测</w:t>
            </w:r>
            <w:r>
              <w:rPr>
                <w:rFonts w:hint="default" w:ascii="Times New Roman" w:hAnsi="Times New Roman" w:cs="Times New Roman"/>
                <w:b/>
              </w:rPr>
              <w:t>结果：</w:t>
            </w:r>
          </w:p>
          <w:p w14:paraId="37A4AE24">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default" w:ascii="Times New Roman" w:hAnsi="Times New Roman" w:cs="Times New Roman"/>
                <w:b/>
                <w:bCs/>
              </w:rPr>
            </w:pPr>
            <w:r>
              <w:rPr>
                <w:rFonts w:hint="default" w:ascii="Times New Roman" w:hAnsi="Times New Roman" w:cs="Times New Roman"/>
                <w:b/>
                <w:bCs/>
              </w:rPr>
              <w:t>1、废气</w:t>
            </w:r>
            <w:r>
              <w:rPr>
                <w:rFonts w:hint="default" w:ascii="Times New Roman" w:hAnsi="Times New Roman" w:cs="Times New Roman"/>
                <w:b/>
                <w:bCs/>
                <w:color w:val="auto"/>
                <w:lang w:eastAsia="zh-CN"/>
              </w:rPr>
              <w:t>监</w:t>
            </w:r>
            <w:r>
              <w:rPr>
                <w:rFonts w:hint="default" w:ascii="Times New Roman" w:hAnsi="Times New Roman" w:cs="Times New Roman"/>
                <w:b/>
                <w:bCs/>
                <w:color w:val="auto"/>
              </w:rPr>
              <w:t>测</w:t>
            </w:r>
            <w:r>
              <w:rPr>
                <w:rFonts w:hint="default" w:ascii="Times New Roman" w:hAnsi="Times New Roman" w:cs="Times New Roman"/>
                <w:b/>
                <w:bCs/>
              </w:rPr>
              <w:t>结果</w:t>
            </w:r>
          </w:p>
          <w:p w14:paraId="76E50F2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有</w:t>
            </w:r>
            <w:r>
              <w:rPr>
                <w:rFonts w:hint="default" w:ascii="Times New Roman" w:hAnsi="Times New Roman" w:cs="Times New Roman"/>
              </w:rPr>
              <w:t>组织废气</w:t>
            </w:r>
            <w:r>
              <w:rPr>
                <w:rFonts w:hint="default" w:ascii="Times New Roman" w:hAnsi="Times New Roman" w:cs="Times New Roman"/>
                <w:lang w:eastAsia="zh-CN"/>
              </w:rPr>
              <w:t>——</w:t>
            </w:r>
            <w:r>
              <w:rPr>
                <w:rFonts w:hint="eastAsia" w:cs="Times New Roman"/>
                <w:lang w:val="en-US" w:eastAsia="zh-CN"/>
              </w:rPr>
              <w:t>挤出工序废气</w:t>
            </w:r>
            <w:r>
              <w:rPr>
                <w:rFonts w:hint="default" w:ascii="Times New Roman" w:hAnsi="Times New Roman" w:cs="Times New Roman"/>
                <w:lang w:val="en-US" w:eastAsia="zh-CN"/>
              </w:rPr>
              <w:t>检测口</w:t>
            </w:r>
            <w:r>
              <w:rPr>
                <w:rFonts w:hint="default" w:ascii="Times New Roman" w:hAnsi="Times New Roman" w:cs="Times New Roman"/>
                <w:color w:val="auto"/>
                <w:lang w:eastAsia="zh-CN"/>
              </w:rPr>
              <w:t>监</w:t>
            </w:r>
            <w:r>
              <w:rPr>
                <w:rFonts w:hint="default" w:ascii="Times New Roman" w:hAnsi="Times New Roman" w:cs="Times New Roman"/>
                <w:color w:val="auto"/>
              </w:rPr>
              <w:t>测</w:t>
            </w:r>
            <w:r>
              <w:rPr>
                <w:rFonts w:hint="default" w:ascii="Times New Roman" w:hAnsi="Times New Roman" w:cs="Times New Roman"/>
              </w:rPr>
              <w:t>结果见表7-</w:t>
            </w:r>
            <w:r>
              <w:rPr>
                <w:rFonts w:hint="default" w:ascii="Times New Roman" w:hAnsi="Times New Roman" w:cs="Times New Roman"/>
                <w:lang w:val="en-US" w:eastAsia="zh-CN"/>
              </w:rPr>
              <w:t>2</w:t>
            </w:r>
            <w:r>
              <w:rPr>
                <w:rFonts w:hint="default" w:ascii="Times New Roman" w:hAnsi="Times New Roman" w:cs="Times New Roman"/>
                <w:lang w:eastAsia="zh-CN"/>
              </w:rPr>
              <w:t>。</w:t>
            </w:r>
          </w:p>
          <w:p w14:paraId="271660B9">
            <w:pPr>
              <w:ind w:firstLine="0" w:firstLineChars="0"/>
              <w:jc w:val="right"/>
              <w:rPr>
                <w:rFonts w:hint="default" w:ascii="Times New Roman" w:hAnsi="Times New Roman" w:cs="Times New Roman" w:eastAsiaTheme="minorEastAsia"/>
                <w:b/>
                <w:color w:val="auto"/>
                <w:sz w:val="21"/>
                <w:szCs w:val="21"/>
                <w:lang w:val="en-US" w:eastAsia="zh-CN"/>
              </w:rPr>
            </w:pPr>
            <w:r>
              <w:rPr>
                <w:rFonts w:hint="default" w:ascii="Times New Roman" w:hAnsi="Times New Roman" w:cs="Times New Roman"/>
                <w:b/>
                <w:color w:val="auto"/>
                <w:sz w:val="21"/>
                <w:szCs w:val="21"/>
              </w:rPr>
              <w:t>表7-</w:t>
            </w:r>
            <w:r>
              <w:rPr>
                <w:rFonts w:hint="default" w:ascii="Times New Roman" w:hAnsi="Times New Roman" w:cs="Times New Roman"/>
                <w:b/>
                <w:color w:val="auto"/>
                <w:sz w:val="21"/>
                <w:szCs w:val="21"/>
                <w:lang w:val="en-US" w:eastAsia="zh-CN"/>
              </w:rPr>
              <w:t>2</w:t>
            </w:r>
            <w:r>
              <w:rPr>
                <w:rFonts w:hint="default" w:ascii="Times New Roman" w:hAnsi="Times New Roman" w:cs="Times New Roman"/>
                <w:b/>
                <w:color w:val="auto"/>
                <w:sz w:val="21"/>
                <w:szCs w:val="21"/>
              </w:rPr>
              <w:t xml:space="preserve">   </w:t>
            </w:r>
            <w:r>
              <w:rPr>
                <w:rFonts w:hint="eastAsia" w:cs="Times New Roman"/>
                <w:b/>
                <w:color w:val="auto"/>
                <w:sz w:val="21"/>
                <w:szCs w:val="21"/>
                <w:lang w:val="en-US" w:eastAsia="zh-CN"/>
              </w:rPr>
              <w:t>挤出工序</w:t>
            </w:r>
            <w:r>
              <w:rPr>
                <w:rFonts w:hint="default" w:ascii="Times New Roman" w:hAnsi="Times New Roman" w:cs="Times New Roman"/>
                <w:b/>
                <w:color w:val="auto"/>
                <w:sz w:val="21"/>
                <w:szCs w:val="21"/>
                <w:lang w:val="en-US" w:eastAsia="zh-CN"/>
              </w:rPr>
              <w:t>废气检测口</w:t>
            </w:r>
            <w:r>
              <w:rPr>
                <w:rFonts w:hint="default" w:ascii="Times New Roman" w:hAnsi="Times New Roman" w:cs="Times New Roman"/>
                <w:b/>
                <w:color w:val="auto"/>
                <w:sz w:val="21"/>
                <w:szCs w:val="21"/>
                <w:lang w:val="zh-CN"/>
              </w:rPr>
              <w:t>检测结果</w:t>
            </w:r>
            <w:r>
              <w:rPr>
                <w:rFonts w:hint="default" w:ascii="Times New Roman" w:hAnsi="Times New Roman" w:cs="Times New Roman"/>
                <w:b/>
                <w:color w:val="auto"/>
                <w:sz w:val="21"/>
                <w:szCs w:val="21"/>
                <w:lang w:val="en-US" w:eastAsia="zh-CN"/>
              </w:rPr>
              <w:t xml:space="preserve">                    </w:t>
            </w:r>
            <w:r>
              <w:rPr>
                <w:rFonts w:hint="default" w:ascii="Times New Roman" w:hAnsi="Times New Roman" w:cs="Times New Roman"/>
                <w:b/>
                <w:bCs w:val="0"/>
                <w:sz w:val="21"/>
                <w:szCs w:val="21"/>
                <w:lang w:val="en-US" w:eastAsia="zh-CN"/>
              </w:rPr>
              <w:t>单位：</w:t>
            </w:r>
            <w:r>
              <w:rPr>
                <w:rFonts w:hint="default" w:ascii="Times New Roman" w:hAnsi="Times New Roman" w:eastAsia="宋体" w:cs="Times New Roman"/>
                <w:b/>
                <w:bCs w:val="0"/>
                <w:color w:val="auto"/>
                <w:sz w:val="21"/>
                <w:szCs w:val="21"/>
              </w:rPr>
              <w:t>mg/m</w:t>
            </w:r>
            <w:r>
              <w:rPr>
                <w:rFonts w:hint="default" w:ascii="Times New Roman" w:hAnsi="Times New Roman" w:eastAsia="宋体" w:cs="Times New Roman"/>
                <w:b/>
                <w:bCs w:val="0"/>
                <w:color w:val="auto"/>
                <w:sz w:val="21"/>
                <w:szCs w:val="21"/>
                <w:vertAlign w:val="superscript"/>
              </w:rPr>
              <w:t>3</w:t>
            </w:r>
          </w:p>
          <w:tbl>
            <w:tblPr>
              <w:tblStyle w:val="31"/>
              <w:tblW w:w="9058"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813"/>
              <w:gridCol w:w="1113"/>
              <w:gridCol w:w="927"/>
              <w:gridCol w:w="927"/>
              <w:gridCol w:w="928"/>
              <w:gridCol w:w="927"/>
              <w:gridCol w:w="927"/>
              <w:gridCol w:w="933"/>
              <w:gridCol w:w="666"/>
            </w:tblGrid>
            <w:tr w14:paraId="2E55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97" w:type="dxa"/>
                  <w:vMerge w:val="restart"/>
                  <w:tcBorders>
                    <w:tl2br w:val="nil"/>
                    <w:tr2bl w:val="nil"/>
                  </w:tcBorders>
                  <w:noWrap w:val="0"/>
                  <w:vAlign w:val="center"/>
                </w:tcPr>
                <w:p w14:paraId="4CEEB1B4">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采样</w:t>
                  </w:r>
                </w:p>
                <w:p w14:paraId="1CFAE2FF">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点位</w:t>
                  </w:r>
                </w:p>
              </w:tc>
              <w:tc>
                <w:tcPr>
                  <w:tcW w:w="1926" w:type="dxa"/>
                  <w:gridSpan w:val="2"/>
                  <w:vMerge w:val="restart"/>
                  <w:tcBorders>
                    <w:tl2br w:val="nil"/>
                    <w:tr2bl w:val="nil"/>
                  </w:tcBorders>
                  <w:noWrap w:val="0"/>
                  <w:vAlign w:val="center"/>
                </w:tcPr>
                <w:p w14:paraId="3F51A4CB">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检测项目</w:t>
                  </w:r>
                </w:p>
              </w:tc>
              <w:tc>
                <w:tcPr>
                  <w:tcW w:w="5569" w:type="dxa"/>
                  <w:gridSpan w:val="6"/>
                  <w:tcBorders>
                    <w:tl2br w:val="nil"/>
                    <w:tr2bl w:val="nil"/>
                  </w:tcBorders>
                  <w:noWrap w:val="0"/>
                  <w:vAlign w:val="center"/>
                </w:tcPr>
                <w:p w14:paraId="3D3D3D37">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检测结果</w:t>
                  </w:r>
                </w:p>
              </w:tc>
              <w:tc>
                <w:tcPr>
                  <w:tcW w:w="666" w:type="dxa"/>
                  <w:vMerge w:val="restart"/>
                  <w:tcBorders>
                    <w:tl2br w:val="nil"/>
                    <w:tr2bl w:val="nil"/>
                  </w:tcBorders>
                  <w:noWrap w:val="0"/>
                  <w:vAlign w:val="center"/>
                </w:tcPr>
                <w:p w14:paraId="601CE43B">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标准限值</w:t>
                  </w:r>
                </w:p>
              </w:tc>
            </w:tr>
            <w:tr w14:paraId="7C29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7" w:type="dxa"/>
                  <w:vMerge w:val="continue"/>
                  <w:tcBorders>
                    <w:tl2br w:val="nil"/>
                    <w:tr2bl w:val="nil"/>
                  </w:tcBorders>
                  <w:noWrap w:val="0"/>
                  <w:vAlign w:val="center"/>
                </w:tcPr>
                <w:p w14:paraId="2AE96C70">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926" w:type="dxa"/>
                  <w:gridSpan w:val="2"/>
                  <w:vMerge w:val="continue"/>
                  <w:tcBorders>
                    <w:tl2br w:val="nil"/>
                    <w:tr2bl w:val="nil"/>
                  </w:tcBorders>
                  <w:noWrap w:val="0"/>
                  <w:vAlign w:val="center"/>
                </w:tcPr>
                <w:p w14:paraId="5BBF7902">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2782" w:type="dxa"/>
                  <w:gridSpan w:val="3"/>
                  <w:tcBorders>
                    <w:tl2br w:val="nil"/>
                    <w:tr2bl w:val="nil"/>
                  </w:tcBorders>
                  <w:noWrap w:val="0"/>
                  <w:vAlign w:val="center"/>
                </w:tcPr>
                <w:p w14:paraId="3E5D26AA">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5月23日</w:t>
                  </w:r>
                </w:p>
              </w:tc>
              <w:tc>
                <w:tcPr>
                  <w:tcW w:w="2787" w:type="dxa"/>
                  <w:gridSpan w:val="3"/>
                  <w:tcBorders>
                    <w:tl2br w:val="nil"/>
                    <w:tr2bl w:val="nil"/>
                  </w:tcBorders>
                  <w:noWrap w:val="0"/>
                  <w:vAlign w:val="center"/>
                </w:tcPr>
                <w:p w14:paraId="65D8C2E3">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5月24日</w:t>
                  </w:r>
                </w:p>
              </w:tc>
              <w:tc>
                <w:tcPr>
                  <w:tcW w:w="666" w:type="dxa"/>
                  <w:vMerge w:val="continue"/>
                  <w:tcBorders>
                    <w:tl2br w:val="nil"/>
                    <w:tr2bl w:val="nil"/>
                  </w:tcBorders>
                  <w:noWrap w:val="0"/>
                  <w:vAlign w:val="center"/>
                </w:tcPr>
                <w:p w14:paraId="48E1D5E3">
                  <w:pPr>
                    <w:spacing w:line="240" w:lineRule="auto"/>
                    <w:ind w:firstLine="0" w:firstLineChars="0"/>
                    <w:jc w:val="center"/>
                    <w:rPr>
                      <w:rFonts w:hint="default" w:ascii="Times New Roman" w:hAnsi="Times New Roman" w:cs="Times New Roman"/>
                      <w:color w:val="auto"/>
                      <w:sz w:val="21"/>
                      <w:szCs w:val="21"/>
                      <w:lang w:val="en-US" w:eastAsia="zh-CN"/>
                    </w:rPr>
                  </w:pPr>
                </w:p>
              </w:tc>
            </w:tr>
            <w:tr w14:paraId="4545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97" w:type="dxa"/>
                  <w:vMerge w:val="continue"/>
                  <w:tcBorders>
                    <w:tl2br w:val="nil"/>
                    <w:tr2bl w:val="nil"/>
                  </w:tcBorders>
                  <w:noWrap w:val="0"/>
                  <w:vAlign w:val="center"/>
                </w:tcPr>
                <w:p w14:paraId="52BF267E">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926" w:type="dxa"/>
                  <w:gridSpan w:val="2"/>
                  <w:vMerge w:val="continue"/>
                  <w:tcBorders>
                    <w:tl2br w:val="nil"/>
                    <w:tr2bl w:val="nil"/>
                  </w:tcBorders>
                  <w:noWrap w:val="0"/>
                  <w:vAlign w:val="center"/>
                </w:tcPr>
                <w:p w14:paraId="6D019CEA">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927" w:type="dxa"/>
                  <w:tcBorders>
                    <w:tl2br w:val="nil"/>
                    <w:tr2bl w:val="nil"/>
                  </w:tcBorders>
                  <w:noWrap w:val="0"/>
                  <w:vAlign w:val="center"/>
                </w:tcPr>
                <w:p w14:paraId="5E70F490">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第一次</w:t>
                  </w:r>
                </w:p>
              </w:tc>
              <w:tc>
                <w:tcPr>
                  <w:tcW w:w="927" w:type="dxa"/>
                  <w:tcBorders>
                    <w:tl2br w:val="nil"/>
                    <w:tr2bl w:val="nil"/>
                  </w:tcBorders>
                  <w:noWrap w:val="0"/>
                  <w:vAlign w:val="center"/>
                </w:tcPr>
                <w:p w14:paraId="3B0D9A95">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第二次</w:t>
                  </w:r>
                </w:p>
              </w:tc>
              <w:tc>
                <w:tcPr>
                  <w:tcW w:w="928" w:type="dxa"/>
                  <w:tcBorders>
                    <w:tl2br w:val="nil"/>
                    <w:tr2bl w:val="nil"/>
                  </w:tcBorders>
                  <w:noWrap w:val="0"/>
                  <w:vAlign w:val="center"/>
                </w:tcPr>
                <w:p w14:paraId="36ED1F01">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第三次</w:t>
                  </w:r>
                </w:p>
              </w:tc>
              <w:tc>
                <w:tcPr>
                  <w:tcW w:w="927" w:type="dxa"/>
                  <w:tcBorders>
                    <w:tl2br w:val="nil"/>
                    <w:tr2bl w:val="nil"/>
                  </w:tcBorders>
                  <w:noWrap w:val="0"/>
                  <w:vAlign w:val="center"/>
                </w:tcPr>
                <w:p w14:paraId="2B7A69DE">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第一次</w:t>
                  </w:r>
                </w:p>
              </w:tc>
              <w:tc>
                <w:tcPr>
                  <w:tcW w:w="927" w:type="dxa"/>
                  <w:tcBorders>
                    <w:tl2br w:val="nil"/>
                    <w:tr2bl w:val="nil"/>
                  </w:tcBorders>
                  <w:noWrap w:val="0"/>
                  <w:vAlign w:val="center"/>
                </w:tcPr>
                <w:p w14:paraId="6A0BF5C3">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第二次</w:t>
                  </w:r>
                </w:p>
              </w:tc>
              <w:tc>
                <w:tcPr>
                  <w:tcW w:w="933" w:type="dxa"/>
                  <w:tcBorders>
                    <w:tl2br w:val="nil"/>
                    <w:tr2bl w:val="nil"/>
                  </w:tcBorders>
                  <w:noWrap w:val="0"/>
                  <w:vAlign w:val="center"/>
                </w:tcPr>
                <w:p w14:paraId="24B1ABAE">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第三次</w:t>
                  </w:r>
                </w:p>
              </w:tc>
              <w:tc>
                <w:tcPr>
                  <w:tcW w:w="666" w:type="dxa"/>
                  <w:vMerge w:val="continue"/>
                  <w:tcBorders>
                    <w:tl2br w:val="nil"/>
                    <w:tr2bl w:val="nil"/>
                  </w:tcBorders>
                  <w:noWrap w:val="0"/>
                  <w:vAlign w:val="center"/>
                </w:tcPr>
                <w:p w14:paraId="56F5F35D">
                  <w:pPr>
                    <w:spacing w:line="240" w:lineRule="auto"/>
                    <w:ind w:firstLine="0" w:firstLineChars="0"/>
                    <w:jc w:val="center"/>
                    <w:rPr>
                      <w:rFonts w:hint="eastAsia" w:ascii="Times New Roman" w:hAnsi="Times New Roman" w:cs="Times New Roman"/>
                      <w:color w:val="auto"/>
                      <w:sz w:val="21"/>
                      <w:szCs w:val="21"/>
                      <w:lang w:val="en-US" w:eastAsia="zh-CN"/>
                    </w:rPr>
                  </w:pPr>
                </w:p>
              </w:tc>
            </w:tr>
            <w:tr w14:paraId="29F5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97" w:type="dxa"/>
                  <w:vMerge w:val="restart"/>
                  <w:tcBorders>
                    <w:tl2br w:val="nil"/>
                    <w:tr2bl w:val="nil"/>
                  </w:tcBorders>
                  <w:noWrap w:val="0"/>
                  <w:vAlign w:val="center"/>
                </w:tcPr>
                <w:p w14:paraId="7A490CF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G1废气检测口</w:t>
                  </w:r>
                </w:p>
              </w:tc>
              <w:tc>
                <w:tcPr>
                  <w:tcW w:w="1926" w:type="dxa"/>
                  <w:gridSpan w:val="2"/>
                  <w:tcBorders>
                    <w:tl2br w:val="nil"/>
                    <w:tr2bl w:val="nil"/>
                  </w:tcBorders>
                  <w:noWrap w:val="0"/>
                  <w:vAlign w:val="center"/>
                </w:tcPr>
                <w:p w14:paraId="3727FFC2">
                  <w:pPr>
                    <w:spacing w:line="240" w:lineRule="auto"/>
                    <w:ind w:firstLine="0" w:firstLineChars="0"/>
                    <w:jc w:val="center"/>
                    <w:rPr>
                      <w:rFonts w:hint="eastAsia"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标况流量</w:t>
                  </w:r>
                  <w:r>
                    <w:rPr>
                      <w:rFonts w:hint="eastAsia"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/h）</w:t>
                  </w:r>
                </w:p>
              </w:tc>
              <w:tc>
                <w:tcPr>
                  <w:tcW w:w="927" w:type="dxa"/>
                  <w:tcBorders>
                    <w:tl2br w:val="nil"/>
                    <w:tr2bl w:val="nil"/>
                  </w:tcBorders>
                  <w:noWrap w:val="0"/>
                  <w:vAlign w:val="center"/>
                </w:tcPr>
                <w:p w14:paraId="693655A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4304</w:t>
                  </w:r>
                </w:p>
              </w:tc>
              <w:tc>
                <w:tcPr>
                  <w:tcW w:w="927" w:type="dxa"/>
                  <w:tcBorders>
                    <w:tl2br w:val="nil"/>
                    <w:tr2bl w:val="nil"/>
                  </w:tcBorders>
                  <w:noWrap w:val="0"/>
                  <w:vAlign w:val="center"/>
                </w:tcPr>
                <w:p w14:paraId="0FA1710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4332</w:t>
                  </w:r>
                </w:p>
              </w:tc>
              <w:tc>
                <w:tcPr>
                  <w:tcW w:w="928" w:type="dxa"/>
                  <w:tcBorders>
                    <w:tl2br w:val="nil"/>
                    <w:tr2bl w:val="nil"/>
                  </w:tcBorders>
                  <w:noWrap w:val="0"/>
                  <w:vAlign w:val="center"/>
                </w:tcPr>
                <w:p w14:paraId="5F6ECC62">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4373</w:t>
                  </w:r>
                </w:p>
              </w:tc>
              <w:tc>
                <w:tcPr>
                  <w:tcW w:w="927" w:type="dxa"/>
                  <w:tcBorders>
                    <w:tl2br w:val="nil"/>
                    <w:tr2bl w:val="nil"/>
                  </w:tcBorders>
                  <w:noWrap w:val="0"/>
                  <w:vAlign w:val="center"/>
                </w:tcPr>
                <w:p w14:paraId="3651C71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4358</w:t>
                  </w:r>
                </w:p>
              </w:tc>
              <w:tc>
                <w:tcPr>
                  <w:tcW w:w="927" w:type="dxa"/>
                  <w:tcBorders>
                    <w:tl2br w:val="nil"/>
                    <w:tr2bl w:val="nil"/>
                  </w:tcBorders>
                  <w:noWrap w:val="0"/>
                  <w:vAlign w:val="center"/>
                </w:tcPr>
                <w:p w14:paraId="662F35C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4398</w:t>
                  </w:r>
                </w:p>
              </w:tc>
              <w:tc>
                <w:tcPr>
                  <w:tcW w:w="933" w:type="dxa"/>
                  <w:tcBorders>
                    <w:tl2br w:val="nil"/>
                    <w:tr2bl w:val="nil"/>
                  </w:tcBorders>
                  <w:noWrap w:val="0"/>
                  <w:vAlign w:val="center"/>
                </w:tcPr>
                <w:p w14:paraId="41B6643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4422</w:t>
                  </w:r>
                </w:p>
              </w:tc>
              <w:tc>
                <w:tcPr>
                  <w:tcW w:w="666" w:type="dxa"/>
                  <w:tcBorders>
                    <w:tl2br w:val="nil"/>
                    <w:tr2bl w:val="nil"/>
                  </w:tcBorders>
                  <w:noWrap w:val="0"/>
                  <w:vAlign w:val="center"/>
                </w:tcPr>
                <w:p w14:paraId="7279126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47E74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97" w:type="dxa"/>
                  <w:vMerge w:val="continue"/>
                  <w:tcBorders>
                    <w:tl2br w:val="nil"/>
                    <w:tr2bl w:val="nil"/>
                  </w:tcBorders>
                  <w:noWrap w:val="0"/>
                  <w:vAlign w:val="center"/>
                </w:tcPr>
                <w:p w14:paraId="5993D84A">
                  <w:pPr>
                    <w:spacing w:line="240" w:lineRule="auto"/>
                    <w:ind w:firstLine="0" w:firstLineChars="0"/>
                    <w:jc w:val="center"/>
                    <w:rPr>
                      <w:rFonts w:hint="default" w:ascii="Times New Roman" w:hAnsi="Times New Roman" w:cs="Times New Roman"/>
                      <w:color w:val="auto"/>
                      <w:sz w:val="21"/>
                      <w:szCs w:val="21"/>
                      <w:lang w:val="en-US" w:eastAsia="zh-CN"/>
                    </w:rPr>
                  </w:pPr>
                </w:p>
              </w:tc>
              <w:tc>
                <w:tcPr>
                  <w:tcW w:w="813" w:type="dxa"/>
                  <w:vMerge w:val="restart"/>
                  <w:tcBorders>
                    <w:tl2br w:val="nil"/>
                    <w:tr2bl w:val="nil"/>
                  </w:tcBorders>
                  <w:noWrap w:val="0"/>
                  <w:vAlign w:val="center"/>
                </w:tcPr>
                <w:p w14:paraId="0380934F">
                  <w:pPr>
                    <w:spacing w:line="240" w:lineRule="auto"/>
                    <w:ind w:firstLine="0" w:firstLineChars="0"/>
                    <w:jc w:val="center"/>
                    <w:rPr>
                      <w:rFonts w:hint="eastAsia"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颗粒物</w:t>
                  </w:r>
                </w:p>
              </w:tc>
              <w:tc>
                <w:tcPr>
                  <w:tcW w:w="1113" w:type="dxa"/>
                  <w:tcBorders>
                    <w:tl2br w:val="nil"/>
                    <w:tr2bl w:val="nil"/>
                  </w:tcBorders>
                  <w:noWrap w:val="0"/>
                  <w:vAlign w:val="center"/>
                </w:tcPr>
                <w:p w14:paraId="0BA767A2">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排放浓度（mg/m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w:t>
                  </w:r>
                </w:p>
              </w:tc>
              <w:tc>
                <w:tcPr>
                  <w:tcW w:w="927" w:type="dxa"/>
                  <w:tcBorders>
                    <w:tl2br w:val="nil"/>
                    <w:tr2bl w:val="nil"/>
                  </w:tcBorders>
                  <w:noWrap w:val="0"/>
                  <w:vAlign w:val="center"/>
                </w:tcPr>
                <w:p w14:paraId="438E628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7.0</w:t>
                  </w:r>
                </w:p>
              </w:tc>
              <w:tc>
                <w:tcPr>
                  <w:tcW w:w="927" w:type="dxa"/>
                  <w:tcBorders>
                    <w:tl2br w:val="nil"/>
                    <w:tr2bl w:val="nil"/>
                  </w:tcBorders>
                  <w:noWrap w:val="0"/>
                  <w:vAlign w:val="center"/>
                </w:tcPr>
                <w:p w14:paraId="0A38BD5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6.6</w:t>
                  </w:r>
                </w:p>
              </w:tc>
              <w:tc>
                <w:tcPr>
                  <w:tcW w:w="928" w:type="dxa"/>
                  <w:tcBorders>
                    <w:tl2br w:val="nil"/>
                    <w:tr2bl w:val="nil"/>
                  </w:tcBorders>
                  <w:noWrap w:val="0"/>
                  <w:vAlign w:val="center"/>
                </w:tcPr>
                <w:p w14:paraId="7AB0DCD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8.6</w:t>
                  </w:r>
                </w:p>
              </w:tc>
              <w:tc>
                <w:tcPr>
                  <w:tcW w:w="927" w:type="dxa"/>
                  <w:tcBorders>
                    <w:tl2br w:val="nil"/>
                    <w:tr2bl w:val="nil"/>
                  </w:tcBorders>
                  <w:noWrap w:val="0"/>
                  <w:vAlign w:val="center"/>
                </w:tcPr>
                <w:p w14:paraId="2892952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7.5</w:t>
                  </w:r>
                </w:p>
              </w:tc>
              <w:tc>
                <w:tcPr>
                  <w:tcW w:w="927" w:type="dxa"/>
                  <w:tcBorders>
                    <w:tl2br w:val="nil"/>
                    <w:tr2bl w:val="nil"/>
                  </w:tcBorders>
                  <w:noWrap w:val="0"/>
                  <w:vAlign w:val="center"/>
                </w:tcPr>
                <w:p w14:paraId="51619B8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8.7</w:t>
                  </w:r>
                </w:p>
              </w:tc>
              <w:tc>
                <w:tcPr>
                  <w:tcW w:w="933" w:type="dxa"/>
                  <w:tcBorders>
                    <w:tl2br w:val="nil"/>
                    <w:tr2bl w:val="nil"/>
                  </w:tcBorders>
                  <w:noWrap w:val="0"/>
                  <w:vAlign w:val="center"/>
                </w:tcPr>
                <w:p w14:paraId="32D8538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8.3</w:t>
                  </w:r>
                </w:p>
              </w:tc>
              <w:tc>
                <w:tcPr>
                  <w:tcW w:w="666" w:type="dxa"/>
                  <w:tcBorders>
                    <w:tl2br w:val="nil"/>
                    <w:tr2bl w:val="nil"/>
                  </w:tcBorders>
                  <w:noWrap w:val="0"/>
                  <w:vAlign w:val="center"/>
                </w:tcPr>
                <w:p w14:paraId="111D839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120</w:t>
                  </w:r>
                </w:p>
              </w:tc>
            </w:tr>
            <w:tr w14:paraId="7AE94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97" w:type="dxa"/>
                  <w:vMerge w:val="continue"/>
                  <w:tcBorders>
                    <w:tl2br w:val="nil"/>
                    <w:tr2bl w:val="nil"/>
                  </w:tcBorders>
                  <w:noWrap w:val="0"/>
                  <w:vAlign w:val="center"/>
                </w:tcPr>
                <w:p w14:paraId="71AB96B2">
                  <w:pPr>
                    <w:spacing w:line="240" w:lineRule="auto"/>
                    <w:ind w:firstLine="0" w:firstLineChars="0"/>
                    <w:jc w:val="center"/>
                    <w:rPr>
                      <w:rFonts w:hint="default" w:ascii="Times New Roman" w:hAnsi="Times New Roman" w:cs="Times New Roman"/>
                      <w:color w:val="auto"/>
                      <w:sz w:val="21"/>
                      <w:szCs w:val="21"/>
                      <w:lang w:val="en-US" w:eastAsia="zh-CN"/>
                    </w:rPr>
                  </w:pPr>
                </w:p>
              </w:tc>
              <w:tc>
                <w:tcPr>
                  <w:tcW w:w="813" w:type="dxa"/>
                  <w:vMerge w:val="continue"/>
                  <w:tcBorders>
                    <w:tl2br w:val="nil"/>
                    <w:tr2bl w:val="nil"/>
                  </w:tcBorders>
                  <w:noWrap w:val="0"/>
                  <w:vAlign w:val="center"/>
                </w:tcPr>
                <w:p w14:paraId="13940F94">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113" w:type="dxa"/>
                  <w:tcBorders>
                    <w:tl2br w:val="nil"/>
                    <w:tr2bl w:val="nil"/>
                  </w:tcBorders>
                  <w:noWrap w:val="0"/>
                  <w:vAlign w:val="center"/>
                </w:tcPr>
                <w:p w14:paraId="20878CEA">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排放速率（kg/h）</w:t>
                  </w:r>
                </w:p>
              </w:tc>
              <w:tc>
                <w:tcPr>
                  <w:tcW w:w="927" w:type="dxa"/>
                  <w:tcBorders>
                    <w:tl2br w:val="nil"/>
                    <w:tr2bl w:val="nil"/>
                  </w:tcBorders>
                  <w:noWrap w:val="0"/>
                  <w:vAlign w:val="center"/>
                </w:tcPr>
                <w:p w14:paraId="168E938D">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0.0301</w:t>
                  </w:r>
                </w:p>
              </w:tc>
              <w:tc>
                <w:tcPr>
                  <w:tcW w:w="927" w:type="dxa"/>
                  <w:tcBorders>
                    <w:tl2br w:val="nil"/>
                    <w:tr2bl w:val="nil"/>
                  </w:tcBorders>
                  <w:noWrap w:val="0"/>
                  <w:vAlign w:val="center"/>
                </w:tcPr>
                <w:p w14:paraId="22D618E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0.0286</w:t>
                  </w:r>
                </w:p>
              </w:tc>
              <w:tc>
                <w:tcPr>
                  <w:tcW w:w="928" w:type="dxa"/>
                  <w:tcBorders>
                    <w:tl2br w:val="nil"/>
                    <w:tr2bl w:val="nil"/>
                  </w:tcBorders>
                  <w:noWrap w:val="0"/>
                  <w:vAlign w:val="center"/>
                </w:tcPr>
                <w:p w14:paraId="406C61D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0.0376</w:t>
                  </w:r>
                </w:p>
              </w:tc>
              <w:tc>
                <w:tcPr>
                  <w:tcW w:w="927" w:type="dxa"/>
                  <w:tcBorders>
                    <w:tl2br w:val="nil"/>
                    <w:tr2bl w:val="nil"/>
                  </w:tcBorders>
                  <w:noWrap w:val="0"/>
                  <w:vAlign w:val="center"/>
                </w:tcPr>
                <w:p w14:paraId="2CDF2A6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0.0327</w:t>
                  </w:r>
                </w:p>
              </w:tc>
              <w:tc>
                <w:tcPr>
                  <w:tcW w:w="927" w:type="dxa"/>
                  <w:tcBorders>
                    <w:tl2br w:val="nil"/>
                    <w:tr2bl w:val="nil"/>
                  </w:tcBorders>
                  <w:noWrap w:val="0"/>
                  <w:vAlign w:val="center"/>
                </w:tcPr>
                <w:p w14:paraId="37F10C35">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0.0383</w:t>
                  </w:r>
                </w:p>
              </w:tc>
              <w:tc>
                <w:tcPr>
                  <w:tcW w:w="933" w:type="dxa"/>
                  <w:tcBorders>
                    <w:tl2br w:val="nil"/>
                    <w:tr2bl w:val="nil"/>
                  </w:tcBorders>
                  <w:noWrap w:val="0"/>
                  <w:vAlign w:val="center"/>
                </w:tcPr>
                <w:p w14:paraId="7C18831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0.0367</w:t>
                  </w:r>
                </w:p>
              </w:tc>
              <w:tc>
                <w:tcPr>
                  <w:tcW w:w="666" w:type="dxa"/>
                  <w:tcBorders>
                    <w:tl2br w:val="nil"/>
                    <w:tr2bl w:val="nil"/>
                  </w:tcBorders>
                  <w:noWrap w:val="0"/>
                  <w:vAlign w:val="center"/>
                </w:tcPr>
                <w:p w14:paraId="452F616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3.5</w:t>
                  </w:r>
                </w:p>
              </w:tc>
            </w:tr>
            <w:tr w14:paraId="5731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97" w:type="dxa"/>
                  <w:vMerge w:val="continue"/>
                  <w:tcBorders>
                    <w:tl2br w:val="nil"/>
                    <w:tr2bl w:val="nil"/>
                  </w:tcBorders>
                  <w:noWrap w:val="0"/>
                  <w:vAlign w:val="center"/>
                </w:tcPr>
                <w:p w14:paraId="0987E821">
                  <w:pPr>
                    <w:spacing w:line="240" w:lineRule="auto"/>
                    <w:ind w:firstLine="0" w:firstLineChars="0"/>
                    <w:jc w:val="center"/>
                    <w:rPr>
                      <w:rFonts w:hint="default" w:ascii="Times New Roman" w:hAnsi="Times New Roman" w:cs="Times New Roman"/>
                      <w:color w:val="auto"/>
                      <w:sz w:val="21"/>
                      <w:szCs w:val="21"/>
                      <w:lang w:val="en-US" w:eastAsia="zh-CN"/>
                    </w:rPr>
                  </w:pPr>
                </w:p>
              </w:tc>
              <w:tc>
                <w:tcPr>
                  <w:tcW w:w="813" w:type="dxa"/>
                  <w:vMerge w:val="restart"/>
                  <w:tcBorders>
                    <w:tl2br w:val="nil"/>
                    <w:tr2bl w:val="nil"/>
                  </w:tcBorders>
                  <w:noWrap w:val="0"/>
                  <w:vAlign w:val="center"/>
                </w:tcPr>
                <w:p w14:paraId="54D03054">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非甲烷总烃</w:t>
                  </w:r>
                </w:p>
              </w:tc>
              <w:tc>
                <w:tcPr>
                  <w:tcW w:w="1113" w:type="dxa"/>
                  <w:tcBorders>
                    <w:tl2br w:val="nil"/>
                    <w:tr2bl w:val="nil"/>
                  </w:tcBorders>
                  <w:noWrap w:val="0"/>
                  <w:vAlign w:val="center"/>
                </w:tcPr>
                <w:p w14:paraId="1824A36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排放浓度（mg/m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w:t>
                  </w:r>
                </w:p>
              </w:tc>
              <w:tc>
                <w:tcPr>
                  <w:tcW w:w="927" w:type="dxa"/>
                  <w:tcBorders>
                    <w:tl2br w:val="nil"/>
                    <w:tr2bl w:val="nil"/>
                  </w:tcBorders>
                  <w:noWrap w:val="0"/>
                  <w:vAlign w:val="center"/>
                </w:tcPr>
                <w:p w14:paraId="1E1DE36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2.84</w:t>
                  </w:r>
                </w:p>
              </w:tc>
              <w:tc>
                <w:tcPr>
                  <w:tcW w:w="927" w:type="dxa"/>
                  <w:tcBorders>
                    <w:tl2br w:val="nil"/>
                    <w:tr2bl w:val="nil"/>
                  </w:tcBorders>
                  <w:noWrap w:val="0"/>
                  <w:vAlign w:val="center"/>
                </w:tcPr>
                <w:p w14:paraId="28E7A0D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3.53</w:t>
                  </w:r>
                </w:p>
              </w:tc>
              <w:tc>
                <w:tcPr>
                  <w:tcW w:w="928" w:type="dxa"/>
                  <w:tcBorders>
                    <w:tl2br w:val="nil"/>
                    <w:tr2bl w:val="nil"/>
                  </w:tcBorders>
                  <w:noWrap w:val="0"/>
                  <w:vAlign w:val="center"/>
                </w:tcPr>
                <w:p w14:paraId="33DFF30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2.65</w:t>
                  </w:r>
                </w:p>
              </w:tc>
              <w:tc>
                <w:tcPr>
                  <w:tcW w:w="927" w:type="dxa"/>
                  <w:tcBorders>
                    <w:tl2br w:val="nil"/>
                    <w:tr2bl w:val="nil"/>
                  </w:tcBorders>
                  <w:noWrap w:val="0"/>
                  <w:vAlign w:val="center"/>
                </w:tcPr>
                <w:p w14:paraId="268BD58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3.24</w:t>
                  </w:r>
                </w:p>
              </w:tc>
              <w:tc>
                <w:tcPr>
                  <w:tcW w:w="927" w:type="dxa"/>
                  <w:tcBorders>
                    <w:tl2br w:val="nil"/>
                    <w:tr2bl w:val="nil"/>
                  </w:tcBorders>
                  <w:noWrap w:val="0"/>
                  <w:vAlign w:val="center"/>
                </w:tcPr>
                <w:p w14:paraId="34295032">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3.52</w:t>
                  </w:r>
                </w:p>
              </w:tc>
              <w:tc>
                <w:tcPr>
                  <w:tcW w:w="933" w:type="dxa"/>
                  <w:tcBorders>
                    <w:tl2br w:val="nil"/>
                    <w:tr2bl w:val="nil"/>
                  </w:tcBorders>
                  <w:noWrap w:val="0"/>
                  <w:vAlign w:val="center"/>
                </w:tcPr>
                <w:p w14:paraId="7EDEA57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3.73</w:t>
                  </w:r>
                </w:p>
              </w:tc>
              <w:tc>
                <w:tcPr>
                  <w:tcW w:w="666" w:type="dxa"/>
                  <w:tcBorders>
                    <w:tl2br w:val="nil"/>
                    <w:tr2bl w:val="nil"/>
                  </w:tcBorders>
                  <w:noWrap w:val="0"/>
                  <w:vAlign w:val="center"/>
                </w:tcPr>
                <w:p w14:paraId="28E1D79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120</w:t>
                  </w:r>
                </w:p>
              </w:tc>
            </w:tr>
            <w:tr w14:paraId="622F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97" w:type="dxa"/>
                  <w:vMerge w:val="continue"/>
                  <w:tcBorders>
                    <w:tl2br w:val="nil"/>
                    <w:tr2bl w:val="nil"/>
                  </w:tcBorders>
                  <w:noWrap w:val="0"/>
                  <w:vAlign w:val="center"/>
                </w:tcPr>
                <w:p w14:paraId="075EFD6C">
                  <w:pPr>
                    <w:spacing w:line="240" w:lineRule="auto"/>
                    <w:ind w:firstLine="0" w:firstLineChars="0"/>
                    <w:jc w:val="center"/>
                    <w:rPr>
                      <w:rFonts w:hint="default" w:ascii="Times New Roman" w:hAnsi="Times New Roman" w:cs="Times New Roman"/>
                      <w:color w:val="auto"/>
                      <w:sz w:val="21"/>
                      <w:szCs w:val="21"/>
                      <w:lang w:val="en-US" w:eastAsia="zh-CN"/>
                    </w:rPr>
                  </w:pPr>
                </w:p>
              </w:tc>
              <w:tc>
                <w:tcPr>
                  <w:tcW w:w="813" w:type="dxa"/>
                  <w:vMerge w:val="continue"/>
                  <w:tcBorders>
                    <w:tl2br w:val="nil"/>
                    <w:tr2bl w:val="nil"/>
                  </w:tcBorders>
                  <w:noWrap w:val="0"/>
                  <w:vAlign w:val="center"/>
                </w:tcPr>
                <w:p w14:paraId="2BC7ADEE">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113" w:type="dxa"/>
                  <w:tcBorders>
                    <w:tl2br w:val="nil"/>
                    <w:tr2bl w:val="nil"/>
                  </w:tcBorders>
                  <w:noWrap w:val="0"/>
                  <w:vAlign w:val="center"/>
                </w:tcPr>
                <w:p w14:paraId="0303678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排放速率（kg/h）</w:t>
                  </w:r>
                </w:p>
              </w:tc>
              <w:tc>
                <w:tcPr>
                  <w:tcW w:w="927" w:type="dxa"/>
                  <w:tcBorders>
                    <w:tl2br w:val="nil"/>
                    <w:tr2bl w:val="nil"/>
                  </w:tcBorders>
                  <w:noWrap w:val="0"/>
                  <w:vAlign w:val="center"/>
                </w:tcPr>
                <w:p w14:paraId="6F90FA5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0.0122</w:t>
                  </w:r>
                </w:p>
              </w:tc>
              <w:tc>
                <w:tcPr>
                  <w:tcW w:w="927" w:type="dxa"/>
                  <w:tcBorders>
                    <w:tl2br w:val="nil"/>
                    <w:tr2bl w:val="nil"/>
                  </w:tcBorders>
                  <w:noWrap w:val="0"/>
                  <w:vAlign w:val="center"/>
                </w:tcPr>
                <w:p w14:paraId="30EE225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0.0153</w:t>
                  </w:r>
                </w:p>
              </w:tc>
              <w:tc>
                <w:tcPr>
                  <w:tcW w:w="928" w:type="dxa"/>
                  <w:tcBorders>
                    <w:tl2br w:val="nil"/>
                    <w:tr2bl w:val="nil"/>
                  </w:tcBorders>
                  <w:noWrap w:val="0"/>
                  <w:vAlign w:val="center"/>
                </w:tcPr>
                <w:p w14:paraId="48845D9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0.0116</w:t>
                  </w:r>
                </w:p>
              </w:tc>
              <w:tc>
                <w:tcPr>
                  <w:tcW w:w="927" w:type="dxa"/>
                  <w:tcBorders>
                    <w:tl2br w:val="nil"/>
                    <w:tr2bl w:val="nil"/>
                  </w:tcBorders>
                  <w:noWrap w:val="0"/>
                  <w:vAlign w:val="center"/>
                </w:tcPr>
                <w:p w14:paraId="0EEA79B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0.0141</w:t>
                  </w:r>
                </w:p>
              </w:tc>
              <w:tc>
                <w:tcPr>
                  <w:tcW w:w="927" w:type="dxa"/>
                  <w:tcBorders>
                    <w:tl2br w:val="nil"/>
                    <w:tr2bl w:val="nil"/>
                  </w:tcBorders>
                  <w:noWrap w:val="0"/>
                  <w:vAlign w:val="center"/>
                </w:tcPr>
                <w:p w14:paraId="12A92AC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0.0155</w:t>
                  </w:r>
                </w:p>
              </w:tc>
              <w:tc>
                <w:tcPr>
                  <w:tcW w:w="933" w:type="dxa"/>
                  <w:tcBorders>
                    <w:tl2br w:val="nil"/>
                    <w:tr2bl w:val="nil"/>
                  </w:tcBorders>
                  <w:noWrap w:val="0"/>
                  <w:vAlign w:val="center"/>
                </w:tcPr>
                <w:p w14:paraId="0E03275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0.0165</w:t>
                  </w:r>
                </w:p>
              </w:tc>
              <w:tc>
                <w:tcPr>
                  <w:tcW w:w="666" w:type="dxa"/>
                  <w:tcBorders>
                    <w:tl2br w:val="nil"/>
                    <w:tr2bl w:val="nil"/>
                  </w:tcBorders>
                  <w:noWrap w:val="0"/>
                  <w:vAlign w:val="center"/>
                </w:tcPr>
                <w:p w14:paraId="4874B68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r>
          </w:tbl>
          <w:p w14:paraId="493A9B48">
            <w:pPr>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表7-2监测结果表明，验收监测期间，</w:t>
            </w:r>
            <w:r>
              <w:rPr>
                <w:rFonts w:hint="eastAsia" w:cs="Times New Roman"/>
                <w:color w:val="auto"/>
                <w:lang w:val="en-US" w:eastAsia="zh-CN"/>
              </w:rPr>
              <w:t>挤出废气</w:t>
            </w:r>
            <w:r>
              <w:rPr>
                <w:rFonts w:hint="default" w:ascii="Times New Roman" w:hAnsi="Times New Roman" w:cs="Times New Roman"/>
                <w:color w:val="auto"/>
                <w:lang w:val="en-US" w:eastAsia="zh-CN"/>
              </w:rPr>
              <w:t>检测口处监测点位处的颗粒物、</w:t>
            </w:r>
            <w:r>
              <w:rPr>
                <w:rFonts w:hint="eastAsia" w:cs="Times New Roman"/>
                <w:color w:val="auto"/>
                <w:lang w:val="en-US" w:eastAsia="zh-CN"/>
              </w:rPr>
              <w:t>非甲烷总烃</w:t>
            </w:r>
            <w:r>
              <w:rPr>
                <w:rFonts w:hint="default" w:ascii="Times New Roman" w:hAnsi="Times New Roman" w:cs="Times New Roman"/>
                <w:color w:val="auto"/>
                <w:lang w:val="en-US" w:eastAsia="zh-CN"/>
              </w:rPr>
              <w:t>浓度符合《大气污染物综合排放标准》（GB16297-1996）表2中二级标准限值。</w:t>
            </w:r>
          </w:p>
          <w:p w14:paraId="3DFB48F7">
            <w:pPr>
              <w:spacing w:line="360" w:lineRule="auto"/>
              <w:ind w:firstLine="480" w:firstLineChars="0"/>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color w:val="000000"/>
                <w:szCs w:val="24"/>
              </w:rPr>
              <w:t>根据本次验收监测实测值计算，</w:t>
            </w:r>
            <w:r>
              <w:rPr>
                <w:rFonts w:hint="default" w:ascii="Times New Roman" w:hAnsi="Times New Roman" w:eastAsia="宋体" w:cs="Times New Roman"/>
                <w:szCs w:val="24"/>
                <w:lang w:val="en-US" w:eastAsia="zh-CN"/>
              </w:rPr>
              <w:t>公司</w:t>
            </w:r>
            <w:r>
              <w:rPr>
                <w:rFonts w:hint="default" w:ascii="Times New Roman" w:hAnsi="Times New Roman" w:eastAsia="宋体" w:cs="Times New Roman"/>
                <w:color w:val="000000"/>
                <w:szCs w:val="24"/>
              </w:rPr>
              <w:t>实际排放量指标比较详见表</w:t>
            </w:r>
            <w:r>
              <w:rPr>
                <w:rFonts w:hint="default" w:ascii="Times New Roman" w:hAnsi="Times New Roman" w:eastAsia="宋体" w:cs="Times New Roman"/>
                <w:color w:val="000000"/>
                <w:szCs w:val="24"/>
                <w:lang w:val="en-US" w:eastAsia="zh-CN"/>
              </w:rPr>
              <w:t>7-</w:t>
            </w:r>
            <w:r>
              <w:rPr>
                <w:rFonts w:hint="eastAsia" w:eastAsia="宋体" w:cs="Times New Roman"/>
                <w:color w:val="000000"/>
                <w:szCs w:val="24"/>
                <w:lang w:val="en-US" w:eastAsia="zh-CN"/>
              </w:rPr>
              <w:t>3</w:t>
            </w:r>
            <w:r>
              <w:rPr>
                <w:rFonts w:hint="default" w:ascii="Times New Roman" w:hAnsi="Times New Roman" w:eastAsia="宋体" w:cs="Times New Roman"/>
                <w:color w:val="000000"/>
                <w:szCs w:val="24"/>
              </w:rPr>
              <w:t>。</w:t>
            </w:r>
          </w:p>
          <w:p w14:paraId="27CBE962">
            <w:pPr>
              <w:widowControl w:val="0"/>
              <w:spacing w:after="120" w:afterLines="0" w:line="240" w:lineRule="auto"/>
              <w:ind w:left="0" w:leftChars="0" w:firstLine="0" w:firstLineChars="0"/>
              <w:jc w:val="right"/>
              <w:rPr>
                <w:rFonts w:hint="default" w:ascii="Times New Roman" w:hAnsi="Times New Roman" w:eastAsia="宋体" w:cs="Times New Roman"/>
                <w:b/>
                <w:color w:val="000000"/>
                <w:kern w:val="2"/>
                <w:sz w:val="21"/>
                <w:szCs w:val="21"/>
                <w:lang w:val="en-US" w:eastAsia="zh-CN" w:bidi="ar-SA"/>
              </w:rPr>
            </w:pPr>
            <w:r>
              <w:rPr>
                <w:rFonts w:hint="default" w:ascii="Times New Roman" w:hAnsi="Times New Roman" w:eastAsia="宋体" w:cs="Times New Roman"/>
                <w:b/>
                <w:color w:val="000000"/>
                <w:kern w:val="2"/>
                <w:sz w:val="21"/>
                <w:szCs w:val="21"/>
                <w:lang w:val="en-US" w:eastAsia="zh-CN" w:bidi="ar-SA"/>
              </w:rPr>
              <w:t>表7-</w:t>
            </w:r>
            <w:r>
              <w:rPr>
                <w:rFonts w:hint="eastAsia" w:eastAsia="宋体" w:cs="Times New Roman"/>
                <w:b/>
                <w:color w:val="000000"/>
                <w:kern w:val="2"/>
                <w:sz w:val="21"/>
                <w:szCs w:val="21"/>
                <w:lang w:val="en-US" w:eastAsia="zh-CN" w:bidi="ar-SA"/>
              </w:rPr>
              <w:t>3</w:t>
            </w:r>
            <w:r>
              <w:rPr>
                <w:rFonts w:hint="default" w:ascii="Times New Roman" w:hAnsi="Times New Roman" w:eastAsia="宋体" w:cs="Times New Roman"/>
                <w:b/>
                <w:color w:val="000000"/>
                <w:kern w:val="2"/>
                <w:sz w:val="21"/>
                <w:szCs w:val="21"/>
                <w:lang w:val="en-US" w:eastAsia="zh-CN" w:bidi="ar-SA"/>
              </w:rPr>
              <w:t xml:space="preserve">  验收实测值与总量控制指标对比一览表                单位：t/a</w:t>
            </w:r>
          </w:p>
          <w:tbl>
            <w:tblPr>
              <w:tblStyle w:val="31"/>
              <w:tblW w:w="910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32"/>
              <w:gridCol w:w="814"/>
              <w:gridCol w:w="1486"/>
              <w:gridCol w:w="1322"/>
              <w:gridCol w:w="2568"/>
              <w:gridCol w:w="1785"/>
            </w:tblGrid>
            <w:tr w14:paraId="54287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blHeader/>
                <w:jc w:val="center"/>
              </w:trPr>
              <w:tc>
                <w:tcPr>
                  <w:tcW w:w="1132" w:type="dxa"/>
                  <w:vMerge w:val="restart"/>
                  <w:noWrap w:val="0"/>
                  <w:vAlign w:val="center"/>
                </w:tcPr>
                <w:p w14:paraId="47596348">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27" w:name="_Toc11569"/>
                  <w:bookmarkStart w:id="28" w:name="_Toc10350"/>
                  <w:bookmarkStart w:id="29" w:name="_Toc12582"/>
                  <w:bookmarkStart w:id="30" w:name="_Toc31720"/>
                  <w:bookmarkStart w:id="31" w:name="_Toc13434"/>
                  <w:bookmarkStart w:id="32" w:name="_Toc13663"/>
                  <w:r>
                    <w:rPr>
                      <w:rFonts w:hint="default" w:ascii="Times New Roman" w:hAnsi="Times New Roman" w:cs="Times New Roman"/>
                      <w:b/>
                      <w:bCs/>
                      <w:color w:val="auto"/>
                      <w:sz w:val="21"/>
                      <w:szCs w:val="21"/>
                      <w:lang w:val="en-US" w:eastAsia="zh-CN"/>
                    </w:rPr>
                    <w:t>污染物质类别</w:t>
                  </w:r>
                  <w:bookmarkEnd w:id="27"/>
                  <w:bookmarkEnd w:id="28"/>
                  <w:bookmarkEnd w:id="29"/>
                  <w:bookmarkEnd w:id="30"/>
                  <w:bookmarkEnd w:id="31"/>
                  <w:bookmarkEnd w:id="32"/>
                </w:p>
              </w:tc>
              <w:tc>
                <w:tcPr>
                  <w:tcW w:w="814" w:type="dxa"/>
                  <w:vMerge w:val="restart"/>
                  <w:noWrap w:val="0"/>
                  <w:vAlign w:val="center"/>
                </w:tcPr>
                <w:p w14:paraId="7FEDB436">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33" w:name="_Toc282"/>
                  <w:bookmarkStart w:id="34" w:name="_Toc16434"/>
                  <w:bookmarkStart w:id="35" w:name="_Toc25131"/>
                  <w:bookmarkStart w:id="36" w:name="_Toc6199"/>
                  <w:bookmarkStart w:id="37" w:name="_Toc20179"/>
                  <w:bookmarkStart w:id="38" w:name="_Toc21017"/>
                  <w:r>
                    <w:rPr>
                      <w:rFonts w:hint="default" w:ascii="Times New Roman" w:hAnsi="Times New Roman" w:cs="Times New Roman"/>
                      <w:b/>
                      <w:bCs/>
                      <w:color w:val="auto"/>
                      <w:sz w:val="21"/>
                      <w:szCs w:val="21"/>
                      <w:lang w:val="en-US" w:eastAsia="zh-CN"/>
                    </w:rPr>
                    <w:t>序号</w:t>
                  </w:r>
                  <w:bookmarkEnd w:id="33"/>
                  <w:bookmarkEnd w:id="34"/>
                  <w:bookmarkEnd w:id="35"/>
                  <w:bookmarkEnd w:id="36"/>
                  <w:bookmarkEnd w:id="37"/>
                  <w:bookmarkEnd w:id="38"/>
                </w:p>
              </w:tc>
              <w:tc>
                <w:tcPr>
                  <w:tcW w:w="1486" w:type="dxa"/>
                  <w:vMerge w:val="restart"/>
                  <w:noWrap w:val="0"/>
                  <w:vAlign w:val="center"/>
                </w:tcPr>
                <w:p w14:paraId="598DE9C1">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39" w:name="_Toc24362"/>
                  <w:bookmarkStart w:id="40" w:name="_Toc31760"/>
                  <w:bookmarkStart w:id="41" w:name="_Toc11956"/>
                  <w:bookmarkStart w:id="42" w:name="_Toc15708"/>
                  <w:bookmarkStart w:id="43" w:name="_Toc13272"/>
                  <w:bookmarkStart w:id="44" w:name="_Toc9359"/>
                  <w:r>
                    <w:rPr>
                      <w:rFonts w:hint="default" w:ascii="Times New Roman" w:hAnsi="Times New Roman" w:cs="Times New Roman"/>
                      <w:b/>
                      <w:bCs/>
                      <w:color w:val="auto"/>
                      <w:sz w:val="21"/>
                      <w:szCs w:val="21"/>
                      <w:lang w:val="en-US" w:eastAsia="zh-CN"/>
                    </w:rPr>
                    <w:t>污染物名称</w:t>
                  </w:r>
                  <w:bookmarkEnd w:id="39"/>
                  <w:bookmarkEnd w:id="40"/>
                  <w:bookmarkEnd w:id="41"/>
                  <w:bookmarkEnd w:id="42"/>
                  <w:bookmarkEnd w:id="43"/>
                  <w:bookmarkEnd w:id="44"/>
                </w:p>
              </w:tc>
              <w:tc>
                <w:tcPr>
                  <w:tcW w:w="1322" w:type="dxa"/>
                  <w:vMerge w:val="restart"/>
                  <w:noWrap w:val="0"/>
                  <w:vAlign w:val="center"/>
                </w:tcPr>
                <w:p w14:paraId="68656315">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45" w:name="_Toc12537"/>
                  <w:bookmarkStart w:id="46" w:name="_Toc28023"/>
                  <w:bookmarkStart w:id="47" w:name="_Toc21194"/>
                  <w:bookmarkStart w:id="48" w:name="_Toc14145"/>
                  <w:bookmarkStart w:id="49" w:name="_Toc19065"/>
                  <w:bookmarkStart w:id="50" w:name="_Toc24409"/>
                  <w:r>
                    <w:rPr>
                      <w:rFonts w:hint="default" w:ascii="Times New Roman" w:hAnsi="Times New Roman" w:cs="Times New Roman"/>
                      <w:b/>
                      <w:bCs/>
                      <w:color w:val="auto"/>
                      <w:sz w:val="21"/>
                      <w:szCs w:val="21"/>
                      <w:lang w:val="en-US" w:eastAsia="zh-CN"/>
                    </w:rPr>
                    <w:t>总量控制指标</w:t>
                  </w:r>
                  <w:bookmarkEnd w:id="45"/>
                  <w:bookmarkEnd w:id="46"/>
                  <w:bookmarkEnd w:id="47"/>
                  <w:bookmarkEnd w:id="48"/>
                  <w:bookmarkEnd w:id="49"/>
                  <w:bookmarkEnd w:id="50"/>
                </w:p>
              </w:tc>
              <w:tc>
                <w:tcPr>
                  <w:tcW w:w="2568" w:type="dxa"/>
                  <w:noWrap w:val="0"/>
                  <w:vAlign w:val="center"/>
                </w:tcPr>
                <w:p w14:paraId="5F519FF0">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51" w:name="_Toc27081"/>
                  <w:bookmarkStart w:id="52" w:name="_Toc29321"/>
                  <w:bookmarkStart w:id="53" w:name="_Toc20500"/>
                  <w:bookmarkStart w:id="54" w:name="_Toc25105"/>
                  <w:bookmarkStart w:id="55" w:name="_Toc24022"/>
                  <w:bookmarkStart w:id="56" w:name="_Toc14560"/>
                  <w:r>
                    <w:rPr>
                      <w:rFonts w:hint="default" w:ascii="Times New Roman" w:hAnsi="Times New Roman" w:cs="Times New Roman"/>
                      <w:b/>
                      <w:bCs/>
                      <w:color w:val="auto"/>
                      <w:sz w:val="21"/>
                      <w:szCs w:val="21"/>
                      <w:lang w:val="en-US" w:eastAsia="zh-CN"/>
                    </w:rPr>
                    <w:t>本次监测结果核算的总量</w:t>
                  </w:r>
                  <w:bookmarkEnd w:id="51"/>
                  <w:bookmarkEnd w:id="52"/>
                  <w:bookmarkEnd w:id="53"/>
                  <w:bookmarkEnd w:id="54"/>
                  <w:bookmarkEnd w:id="55"/>
                  <w:bookmarkEnd w:id="56"/>
                </w:p>
              </w:tc>
              <w:tc>
                <w:tcPr>
                  <w:tcW w:w="1785" w:type="dxa"/>
                  <w:vMerge w:val="restart"/>
                  <w:noWrap w:val="0"/>
                  <w:vAlign w:val="center"/>
                </w:tcPr>
                <w:p w14:paraId="5AF5E933">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57" w:name="_Toc17220"/>
                  <w:bookmarkStart w:id="58" w:name="_Toc8004"/>
                  <w:bookmarkStart w:id="59" w:name="_Toc31864"/>
                  <w:bookmarkStart w:id="60" w:name="_Toc30521"/>
                  <w:r>
                    <w:rPr>
                      <w:rFonts w:hint="default" w:ascii="Times New Roman" w:hAnsi="Times New Roman" w:cs="Times New Roman"/>
                      <w:b/>
                      <w:bCs/>
                      <w:color w:val="auto"/>
                      <w:sz w:val="21"/>
                      <w:szCs w:val="21"/>
                      <w:lang w:val="en-US" w:eastAsia="zh-CN"/>
                    </w:rPr>
                    <w:t>是否符合排放总量控制要求</w:t>
                  </w:r>
                  <w:bookmarkEnd w:id="57"/>
                  <w:bookmarkEnd w:id="58"/>
                  <w:bookmarkEnd w:id="59"/>
                  <w:bookmarkEnd w:id="60"/>
                </w:p>
              </w:tc>
            </w:tr>
            <w:tr w14:paraId="3C7473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0" w:hRule="atLeast"/>
                <w:tblHeader/>
                <w:jc w:val="center"/>
              </w:trPr>
              <w:tc>
                <w:tcPr>
                  <w:tcW w:w="1132" w:type="dxa"/>
                  <w:vMerge w:val="continue"/>
                  <w:noWrap w:val="0"/>
                  <w:vAlign w:val="center"/>
                </w:tcPr>
                <w:p w14:paraId="2013BFFB">
                  <w:pPr>
                    <w:spacing w:line="240" w:lineRule="auto"/>
                    <w:ind w:firstLine="0" w:firstLineChars="0"/>
                    <w:jc w:val="center"/>
                    <w:rPr>
                      <w:rFonts w:hint="default" w:ascii="Times New Roman" w:hAnsi="Times New Roman" w:cs="Times New Roman"/>
                      <w:color w:val="auto"/>
                      <w:sz w:val="21"/>
                      <w:szCs w:val="21"/>
                      <w:lang w:val="en-US" w:eastAsia="zh-CN"/>
                    </w:rPr>
                  </w:pPr>
                </w:p>
              </w:tc>
              <w:tc>
                <w:tcPr>
                  <w:tcW w:w="814" w:type="dxa"/>
                  <w:vMerge w:val="continue"/>
                  <w:noWrap w:val="0"/>
                  <w:vAlign w:val="center"/>
                </w:tcPr>
                <w:p w14:paraId="74214AD4">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486" w:type="dxa"/>
                  <w:vMerge w:val="continue"/>
                  <w:noWrap w:val="0"/>
                  <w:vAlign w:val="center"/>
                </w:tcPr>
                <w:p w14:paraId="438735D2">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322" w:type="dxa"/>
                  <w:vMerge w:val="continue"/>
                  <w:noWrap w:val="0"/>
                  <w:vAlign w:val="center"/>
                </w:tcPr>
                <w:p w14:paraId="31DDC49B">
                  <w:pPr>
                    <w:spacing w:line="240" w:lineRule="auto"/>
                    <w:ind w:firstLine="0" w:firstLineChars="0"/>
                    <w:jc w:val="center"/>
                    <w:rPr>
                      <w:rFonts w:hint="default" w:ascii="Times New Roman" w:hAnsi="Times New Roman" w:cs="Times New Roman"/>
                      <w:color w:val="auto"/>
                      <w:sz w:val="21"/>
                      <w:szCs w:val="21"/>
                      <w:lang w:val="en-US" w:eastAsia="zh-CN"/>
                    </w:rPr>
                  </w:pPr>
                </w:p>
              </w:tc>
              <w:tc>
                <w:tcPr>
                  <w:tcW w:w="2568" w:type="dxa"/>
                  <w:noWrap w:val="0"/>
                  <w:vAlign w:val="center"/>
                </w:tcPr>
                <w:p w14:paraId="402DCB93">
                  <w:pPr>
                    <w:spacing w:line="240" w:lineRule="auto"/>
                    <w:ind w:firstLine="0" w:firstLineChars="0"/>
                    <w:jc w:val="center"/>
                    <w:rPr>
                      <w:rFonts w:hint="default" w:ascii="Times New Roman" w:hAnsi="Times New Roman" w:cs="Times New Roman"/>
                      <w:b/>
                      <w:bCs/>
                      <w:color w:val="auto"/>
                      <w:sz w:val="21"/>
                      <w:szCs w:val="21"/>
                      <w:lang w:val="en-US" w:eastAsia="zh-CN"/>
                    </w:rPr>
                  </w:pPr>
                  <w:bookmarkStart w:id="61" w:name="_Toc27829"/>
                  <w:bookmarkStart w:id="62" w:name="_Toc25579"/>
                  <w:bookmarkStart w:id="63" w:name="_Toc9373"/>
                  <w:bookmarkStart w:id="64" w:name="_Toc28251"/>
                  <w:bookmarkStart w:id="65" w:name="_Toc11453"/>
                  <w:r>
                    <w:rPr>
                      <w:rFonts w:hint="eastAsia" w:cs="Times New Roman"/>
                      <w:b/>
                      <w:bCs/>
                      <w:color w:val="auto"/>
                      <w:sz w:val="21"/>
                      <w:szCs w:val="21"/>
                      <w:lang w:val="en-US" w:eastAsia="zh-CN"/>
                    </w:rPr>
                    <w:t>挤出</w:t>
                  </w:r>
                  <w:r>
                    <w:rPr>
                      <w:rFonts w:hint="default" w:ascii="Times New Roman" w:hAnsi="Times New Roman" w:cs="Times New Roman"/>
                      <w:b/>
                      <w:bCs/>
                      <w:color w:val="auto"/>
                      <w:sz w:val="21"/>
                      <w:szCs w:val="21"/>
                      <w:lang w:val="en-US" w:eastAsia="zh-CN"/>
                    </w:rPr>
                    <w:t>废气</w:t>
                  </w:r>
                  <w:bookmarkEnd w:id="61"/>
                  <w:bookmarkEnd w:id="62"/>
                  <w:bookmarkEnd w:id="63"/>
                  <w:bookmarkEnd w:id="64"/>
                  <w:bookmarkEnd w:id="65"/>
                </w:p>
              </w:tc>
              <w:tc>
                <w:tcPr>
                  <w:tcW w:w="1785" w:type="dxa"/>
                  <w:vMerge w:val="continue"/>
                  <w:noWrap w:val="0"/>
                  <w:vAlign w:val="center"/>
                </w:tcPr>
                <w:p w14:paraId="724296CE">
                  <w:pPr>
                    <w:spacing w:line="240" w:lineRule="auto"/>
                    <w:ind w:firstLine="0" w:firstLineChars="0"/>
                    <w:jc w:val="center"/>
                    <w:rPr>
                      <w:rFonts w:hint="default" w:ascii="Times New Roman" w:hAnsi="Times New Roman" w:cs="Times New Roman"/>
                      <w:color w:val="auto"/>
                      <w:sz w:val="21"/>
                      <w:szCs w:val="21"/>
                      <w:lang w:val="en-US" w:eastAsia="zh-CN"/>
                    </w:rPr>
                  </w:pPr>
                </w:p>
              </w:tc>
            </w:tr>
            <w:tr w14:paraId="7D616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tblHeader/>
                <w:jc w:val="center"/>
              </w:trPr>
              <w:tc>
                <w:tcPr>
                  <w:tcW w:w="1132" w:type="dxa"/>
                  <w:noWrap w:val="0"/>
                  <w:vAlign w:val="center"/>
                </w:tcPr>
                <w:p w14:paraId="2D1367B6">
                  <w:pPr>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气型污染物</w:t>
                  </w:r>
                </w:p>
              </w:tc>
              <w:tc>
                <w:tcPr>
                  <w:tcW w:w="814" w:type="dxa"/>
                  <w:noWrap w:val="0"/>
                  <w:vAlign w:val="center"/>
                </w:tcPr>
                <w:p w14:paraId="7425D606">
                  <w:pPr>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1486" w:type="dxa"/>
                  <w:noWrap w:val="0"/>
                  <w:vAlign w:val="center"/>
                </w:tcPr>
                <w:p w14:paraId="44CD5B7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非甲烷总烃</w:t>
                  </w:r>
                </w:p>
              </w:tc>
              <w:tc>
                <w:tcPr>
                  <w:tcW w:w="1322" w:type="dxa"/>
                  <w:noWrap w:val="0"/>
                  <w:vAlign w:val="center"/>
                </w:tcPr>
                <w:p w14:paraId="6116AA2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0.486</w:t>
                  </w:r>
                </w:p>
              </w:tc>
              <w:tc>
                <w:tcPr>
                  <w:tcW w:w="2568" w:type="dxa"/>
                  <w:noWrap w:val="0"/>
                  <w:vAlign w:val="center"/>
                </w:tcPr>
                <w:p w14:paraId="2D16311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0.1188</w:t>
                  </w:r>
                </w:p>
              </w:tc>
              <w:tc>
                <w:tcPr>
                  <w:tcW w:w="1785" w:type="dxa"/>
                  <w:noWrap w:val="0"/>
                  <w:vAlign w:val="center"/>
                </w:tcPr>
                <w:p w14:paraId="0ADA9031">
                  <w:pPr>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是</w:t>
                  </w:r>
                </w:p>
              </w:tc>
            </w:tr>
            <w:tr w14:paraId="6051F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tblHeader/>
                <w:jc w:val="center"/>
              </w:trPr>
              <w:tc>
                <w:tcPr>
                  <w:tcW w:w="9107" w:type="dxa"/>
                  <w:gridSpan w:val="6"/>
                  <w:noWrap w:val="0"/>
                  <w:vAlign w:val="center"/>
                </w:tcPr>
                <w:p w14:paraId="1AFF1523">
                  <w:pPr>
                    <w:spacing w:line="240" w:lineRule="auto"/>
                    <w:ind w:firstLine="0" w:firstLineChars="0"/>
                    <w:jc w:val="left"/>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备注：按</w:t>
                  </w:r>
                  <w:r>
                    <w:rPr>
                      <w:rFonts w:hint="eastAsia" w:cs="Times New Roman"/>
                      <w:color w:val="auto"/>
                      <w:sz w:val="21"/>
                      <w:szCs w:val="21"/>
                      <w:lang w:val="en-US" w:eastAsia="zh-CN"/>
                    </w:rPr>
                    <w:t>最大排放速率</w:t>
                  </w:r>
                  <w:r>
                    <w:rPr>
                      <w:rFonts w:hint="default" w:ascii="Times New Roman" w:hAnsi="Times New Roman" w:cs="Times New Roman"/>
                      <w:color w:val="auto"/>
                      <w:sz w:val="21"/>
                      <w:szCs w:val="21"/>
                      <w:lang w:val="en-US" w:eastAsia="zh-CN"/>
                    </w:rPr>
                    <w:t>、年天数300d、每天工作</w:t>
                  </w:r>
                  <w:r>
                    <w:rPr>
                      <w:rFonts w:hint="eastAsia" w:cs="Times New Roman"/>
                      <w:color w:val="auto"/>
                      <w:sz w:val="21"/>
                      <w:szCs w:val="21"/>
                      <w:lang w:val="en-US" w:eastAsia="zh-CN"/>
                    </w:rPr>
                    <w:t>24</w:t>
                  </w:r>
                  <w:r>
                    <w:rPr>
                      <w:rFonts w:hint="default" w:ascii="Times New Roman" w:hAnsi="Times New Roman" w:cs="Times New Roman"/>
                      <w:color w:val="auto"/>
                      <w:sz w:val="21"/>
                      <w:szCs w:val="21"/>
                      <w:lang w:val="en-US" w:eastAsia="zh-CN"/>
                    </w:rPr>
                    <w:t>h计算。</w:t>
                  </w:r>
                </w:p>
              </w:tc>
            </w:tr>
          </w:tbl>
          <w:p w14:paraId="6BF333B3">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无组织废气监测结果见表7-</w:t>
            </w:r>
            <w:r>
              <w:rPr>
                <w:rFonts w:hint="eastAsia" w:cs="Times New Roman"/>
                <w:lang w:val="en-US" w:eastAsia="zh-CN"/>
              </w:rPr>
              <w:t>4</w:t>
            </w:r>
            <w:r>
              <w:rPr>
                <w:rFonts w:hint="default" w:ascii="Times New Roman" w:hAnsi="Times New Roman" w:cs="Times New Roman"/>
                <w:lang w:val="en-US" w:eastAsia="zh-CN"/>
              </w:rPr>
              <w:t>。</w:t>
            </w:r>
          </w:p>
          <w:p w14:paraId="24D8C826">
            <w:pPr>
              <w:bidi w:val="0"/>
              <w:jc w:val="right"/>
              <w:rPr>
                <w:rFonts w:hint="default" w:ascii="Times New Roman" w:hAnsi="Times New Roman" w:cs="Times New Roman"/>
                <w:lang w:val="en-US" w:eastAsia="zh-CN"/>
              </w:rPr>
            </w:pPr>
            <w:r>
              <w:rPr>
                <w:rFonts w:hint="default" w:ascii="Times New Roman" w:hAnsi="Times New Roman" w:cs="Times New Roman"/>
                <w:b/>
                <w:color w:val="auto"/>
                <w:sz w:val="21"/>
                <w:szCs w:val="21"/>
                <w:lang w:val="en-US" w:eastAsia="zh-CN"/>
              </w:rPr>
              <w:t>表7-</w:t>
            </w:r>
            <w:r>
              <w:rPr>
                <w:rFonts w:hint="eastAsia" w:cs="Times New Roman"/>
                <w:b/>
                <w:color w:val="auto"/>
                <w:sz w:val="21"/>
                <w:szCs w:val="21"/>
                <w:lang w:val="en-US" w:eastAsia="zh-CN"/>
              </w:rPr>
              <w:t>4</w:t>
            </w:r>
            <w:r>
              <w:rPr>
                <w:rFonts w:hint="default" w:ascii="Times New Roman" w:hAnsi="Times New Roman" w:cs="Times New Roman"/>
                <w:b/>
                <w:color w:val="auto"/>
                <w:sz w:val="21"/>
                <w:szCs w:val="21"/>
                <w:lang w:val="en-US" w:eastAsia="zh-CN"/>
              </w:rPr>
              <w:t xml:space="preserve">   无组织废气监测结果                  </w:t>
            </w:r>
            <w:r>
              <w:rPr>
                <w:rFonts w:hint="default" w:ascii="Times New Roman" w:hAnsi="Times New Roman" w:cs="Times New Roman"/>
                <w:b/>
                <w:bCs w:val="0"/>
                <w:sz w:val="21"/>
                <w:szCs w:val="21"/>
                <w:lang w:val="en-US" w:eastAsia="zh-CN"/>
              </w:rPr>
              <w:t>单位：</w:t>
            </w:r>
            <w:r>
              <w:rPr>
                <w:rFonts w:hint="default" w:ascii="Times New Roman" w:hAnsi="Times New Roman" w:eastAsia="宋体" w:cs="Times New Roman"/>
                <w:b/>
                <w:bCs w:val="0"/>
                <w:color w:val="auto"/>
                <w:sz w:val="21"/>
                <w:szCs w:val="21"/>
              </w:rPr>
              <w:t>mg/m</w:t>
            </w:r>
            <w:r>
              <w:rPr>
                <w:rFonts w:hint="default" w:ascii="Times New Roman" w:hAnsi="Times New Roman" w:eastAsia="宋体" w:cs="Times New Roman"/>
                <w:b/>
                <w:bCs w:val="0"/>
                <w:color w:val="auto"/>
                <w:sz w:val="21"/>
                <w:szCs w:val="21"/>
                <w:vertAlign w:val="superscript"/>
              </w:rPr>
              <w:t>3</w:t>
            </w:r>
          </w:p>
          <w:tbl>
            <w:tblPr>
              <w:tblStyle w:val="31"/>
              <w:tblW w:w="9098"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338"/>
              <w:gridCol w:w="868"/>
              <w:gridCol w:w="868"/>
              <w:gridCol w:w="870"/>
              <w:gridCol w:w="868"/>
              <w:gridCol w:w="868"/>
              <w:gridCol w:w="870"/>
              <w:gridCol w:w="1031"/>
            </w:tblGrid>
            <w:tr w14:paraId="11AC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17" w:type="dxa"/>
                  <w:vMerge w:val="restart"/>
                  <w:tcBorders>
                    <w:tl2br w:val="nil"/>
                    <w:tr2bl w:val="nil"/>
                  </w:tcBorders>
                  <w:noWrap w:val="0"/>
                  <w:vAlign w:val="center"/>
                </w:tcPr>
                <w:p w14:paraId="2FAAC877">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采样点位</w:t>
                  </w:r>
                </w:p>
              </w:tc>
              <w:tc>
                <w:tcPr>
                  <w:tcW w:w="1338" w:type="dxa"/>
                  <w:vMerge w:val="restart"/>
                  <w:tcBorders>
                    <w:tl2br w:val="nil"/>
                    <w:tr2bl w:val="nil"/>
                  </w:tcBorders>
                  <w:noWrap w:val="0"/>
                  <w:vAlign w:val="center"/>
                </w:tcPr>
                <w:p w14:paraId="4F86DD84">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检测项目</w:t>
                  </w:r>
                </w:p>
              </w:tc>
              <w:tc>
                <w:tcPr>
                  <w:tcW w:w="5212" w:type="dxa"/>
                  <w:gridSpan w:val="6"/>
                  <w:tcBorders>
                    <w:tl2br w:val="nil"/>
                    <w:tr2bl w:val="nil"/>
                  </w:tcBorders>
                  <w:noWrap w:val="0"/>
                  <w:vAlign w:val="center"/>
                </w:tcPr>
                <w:p w14:paraId="6B5A3A16">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val="en-US" w:eastAsia="zh-CN"/>
                    </w:rPr>
                    <w:t>mg/m3</w:t>
                  </w:r>
                  <w:r>
                    <w:rPr>
                      <w:rFonts w:hint="eastAsia" w:ascii="Times New Roman" w:hAnsi="Times New Roman" w:cs="Times New Roman"/>
                      <w:b/>
                      <w:bCs/>
                      <w:color w:val="auto"/>
                      <w:sz w:val="21"/>
                      <w:szCs w:val="21"/>
                      <w:lang w:val="en-US" w:eastAsia="zh-CN"/>
                    </w:rPr>
                    <w:t>）</w:t>
                  </w:r>
                </w:p>
              </w:tc>
              <w:tc>
                <w:tcPr>
                  <w:tcW w:w="1031" w:type="dxa"/>
                  <w:vMerge w:val="restart"/>
                  <w:tcBorders>
                    <w:tl2br w:val="nil"/>
                    <w:tr2bl w:val="nil"/>
                  </w:tcBorders>
                  <w:noWrap w:val="0"/>
                  <w:vAlign w:val="center"/>
                </w:tcPr>
                <w:p w14:paraId="74CA019F">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b/>
                      <w:bCs/>
                      <w:color w:val="auto"/>
                      <w:sz w:val="21"/>
                      <w:szCs w:val="21"/>
                      <w:lang w:val="en-US" w:eastAsia="zh-CN"/>
                    </w:rPr>
                    <w:t>标准限值</w:t>
                  </w:r>
                </w:p>
              </w:tc>
            </w:tr>
            <w:tr w14:paraId="1E03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17" w:type="dxa"/>
                  <w:vMerge w:val="continue"/>
                  <w:tcBorders>
                    <w:tl2br w:val="nil"/>
                    <w:tr2bl w:val="nil"/>
                  </w:tcBorders>
                  <w:noWrap w:val="0"/>
                  <w:vAlign w:val="center"/>
                </w:tcPr>
                <w:p w14:paraId="10D98F90">
                  <w:pPr>
                    <w:spacing w:line="240" w:lineRule="auto"/>
                    <w:ind w:firstLine="0" w:firstLineChars="0"/>
                    <w:jc w:val="center"/>
                    <w:rPr>
                      <w:rFonts w:hint="eastAsia" w:ascii="Times New Roman" w:hAnsi="Times New Roman" w:cs="Times New Roman"/>
                      <w:b/>
                      <w:bCs/>
                      <w:color w:val="auto"/>
                      <w:sz w:val="21"/>
                      <w:szCs w:val="21"/>
                      <w:lang w:val="en-US" w:eastAsia="zh-CN"/>
                    </w:rPr>
                  </w:pPr>
                </w:p>
              </w:tc>
              <w:tc>
                <w:tcPr>
                  <w:tcW w:w="1338" w:type="dxa"/>
                  <w:vMerge w:val="continue"/>
                  <w:tcBorders>
                    <w:tl2br w:val="nil"/>
                    <w:tr2bl w:val="nil"/>
                  </w:tcBorders>
                  <w:noWrap w:val="0"/>
                  <w:vAlign w:val="center"/>
                </w:tcPr>
                <w:p w14:paraId="671C6DB5">
                  <w:pPr>
                    <w:spacing w:line="240" w:lineRule="auto"/>
                    <w:ind w:firstLine="0" w:firstLineChars="0"/>
                    <w:jc w:val="center"/>
                    <w:rPr>
                      <w:rFonts w:hint="default" w:ascii="Times New Roman" w:hAnsi="Times New Roman" w:cs="Times New Roman"/>
                      <w:b/>
                      <w:bCs/>
                      <w:color w:val="auto"/>
                      <w:sz w:val="21"/>
                      <w:szCs w:val="21"/>
                      <w:lang w:val="en-US" w:eastAsia="zh-CN"/>
                    </w:rPr>
                  </w:pPr>
                </w:p>
              </w:tc>
              <w:tc>
                <w:tcPr>
                  <w:tcW w:w="2606" w:type="dxa"/>
                  <w:gridSpan w:val="3"/>
                  <w:tcBorders>
                    <w:tl2br w:val="nil"/>
                    <w:tr2bl w:val="nil"/>
                  </w:tcBorders>
                  <w:noWrap w:val="0"/>
                  <w:vAlign w:val="center"/>
                </w:tcPr>
                <w:p w14:paraId="0B170818">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5月23日</w:t>
                  </w:r>
                </w:p>
              </w:tc>
              <w:tc>
                <w:tcPr>
                  <w:tcW w:w="2606" w:type="dxa"/>
                  <w:gridSpan w:val="3"/>
                  <w:tcBorders>
                    <w:tl2br w:val="nil"/>
                    <w:tr2bl w:val="nil"/>
                  </w:tcBorders>
                  <w:noWrap w:val="0"/>
                  <w:vAlign w:val="center"/>
                </w:tcPr>
                <w:p w14:paraId="2C5B5067">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5月24日</w:t>
                  </w:r>
                </w:p>
              </w:tc>
              <w:tc>
                <w:tcPr>
                  <w:tcW w:w="1031" w:type="dxa"/>
                  <w:vMerge w:val="continue"/>
                  <w:tcBorders>
                    <w:tl2br w:val="nil"/>
                    <w:tr2bl w:val="nil"/>
                  </w:tcBorders>
                  <w:noWrap w:val="0"/>
                  <w:vAlign w:val="center"/>
                </w:tcPr>
                <w:p w14:paraId="5D4CFCEC">
                  <w:pPr>
                    <w:spacing w:line="240" w:lineRule="auto"/>
                    <w:ind w:firstLine="0" w:firstLineChars="0"/>
                    <w:jc w:val="center"/>
                    <w:rPr>
                      <w:rFonts w:hint="default" w:ascii="Times New Roman" w:hAnsi="Times New Roman" w:cs="Times New Roman"/>
                      <w:color w:val="auto"/>
                      <w:sz w:val="21"/>
                      <w:szCs w:val="21"/>
                      <w:lang w:val="en-US" w:eastAsia="zh-CN"/>
                    </w:rPr>
                  </w:pPr>
                </w:p>
              </w:tc>
            </w:tr>
            <w:tr w14:paraId="7F85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17" w:type="dxa"/>
                  <w:vMerge w:val="continue"/>
                  <w:tcBorders>
                    <w:tl2br w:val="nil"/>
                    <w:tr2bl w:val="nil"/>
                  </w:tcBorders>
                  <w:noWrap w:val="0"/>
                  <w:vAlign w:val="center"/>
                </w:tcPr>
                <w:p w14:paraId="2891C54F">
                  <w:pPr>
                    <w:spacing w:line="240" w:lineRule="auto"/>
                    <w:ind w:firstLine="0" w:firstLineChars="0"/>
                    <w:jc w:val="center"/>
                    <w:rPr>
                      <w:rFonts w:hint="eastAsia" w:ascii="Times New Roman" w:hAnsi="Times New Roman" w:cs="Times New Roman"/>
                      <w:b/>
                      <w:bCs/>
                      <w:color w:val="auto"/>
                      <w:sz w:val="21"/>
                      <w:szCs w:val="21"/>
                      <w:lang w:val="en-US" w:eastAsia="zh-CN"/>
                    </w:rPr>
                  </w:pPr>
                </w:p>
              </w:tc>
              <w:tc>
                <w:tcPr>
                  <w:tcW w:w="1338" w:type="dxa"/>
                  <w:vMerge w:val="continue"/>
                  <w:tcBorders>
                    <w:tl2br w:val="nil"/>
                    <w:tr2bl w:val="nil"/>
                  </w:tcBorders>
                  <w:noWrap w:val="0"/>
                  <w:vAlign w:val="center"/>
                </w:tcPr>
                <w:p w14:paraId="444F3EAC">
                  <w:pPr>
                    <w:spacing w:line="240" w:lineRule="auto"/>
                    <w:ind w:firstLine="0" w:firstLineChars="0"/>
                    <w:jc w:val="center"/>
                    <w:rPr>
                      <w:rFonts w:hint="default" w:ascii="Times New Roman" w:hAnsi="Times New Roman" w:cs="Times New Roman"/>
                      <w:b/>
                      <w:bCs/>
                      <w:color w:val="auto"/>
                      <w:sz w:val="21"/>
                      <w:szCs w:val="21"/>
                      <w:lang w:val="en-US" w:eastAsia="zh-CN"/>
                    </w:rPr>
                  </w:pPr>
                </w:p>
              </w:tc>
              <w:tc>
                <w:tcPr>
                  <w:tcW w:w="868" w:type="dxa"/>
                  <w:tcBorders>
                    <w:tl2br w:val="nil"/>
                    <w:tr2bl w:val="nil"/>
                  </w:tcBorders>
                  <w:noWrap w:val="0"/>
                  <w:vAlign w:val="center"/>
                </w:tcPr>
                <w:p w14:paraId="2CBD5EDD">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第一次</w:t>
                  </w:r>
                </w:p>
              </w:tc>
              <w:tc>
                <w:tcPr>
                  <w:tcW w:w="868" w:type="dxa"/>
                  <w:tcBorders>
                    <w:tl2br w:val="nil"/>
                    <w:tr2bl w:val="nil"/>
                  </w:tcBorders>
                  <w:noWrap w:val="0"/>
                  <w:vAlign w:val="center"/>
                </w:tcPr>
                <w:p w14:paraId="70FF3339">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第二次</w:t>
                  </w:r>
                </w:p>
              </w:tc>
              <w:tc>
                <w:tcPr>
                  <w:tcW w:w="870" w:type="dxa"/>
                  <w:tcBorders>
                    <w:tl2br w:val="nil"/>
                    <w:tr2bl w:val="nil"/>
                  </w:tcBorders>
                  <w:noWrap w:val="0"/>
                  <w:vAlign w:val="center"/>
                </w:tcPr>
                <w:p w14:paraId="6E9C4AE2">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第三次</w:t>
                  </w:r>
                </w:p>
              </w:tc>
              <w:tc>
                <w:tcPr>
                  <w:tcW w:w="868" w:type="dxa"/>
                  <w:tcBorders>
                    <w:tl2br w:val="nil"/>
                    <w:tr2bl w:val="nil"/>
                  </w:tcBorders>
                  <w:noWrap w:val="0"/>
                  <w:vAlign w:val="center"/>
                </w:tcPr>
                <w:p w14:paraId="71580DF7">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第一次</w:t>
                  </w:r>
                </w:p>
              </w:tc>
              <w:tc>
                <w:tcPr>
                  <w:tcW w:w="868" w:type="dxa"/>
                  <w:tcBorders>
                    <w:tl2br w:val="nil"/>
                    <w:tr2bl w:val="nil"/>
                  </w:tcBorders>
                  <w:noWrap w:val="0"/>
                  <w:vAlign w:val="center"/>
                </w:tcPr>
                <w:p w14:paraId="73369DE9">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第二次</w:t>
                  </w:r>
                </w:p>
              </w:tc>
              <w:tc>
                <w:tcPr>
                  <w:tcW w:w="870" w:type="dxa"/>
                  <w:tcBorders>
                    <w:tl2br w:val="nil"/>
                    <w:tr2bl w:val="nil"/>
                  </w:tcBorders>
                  <w:noWrap w:val="0"/>
                  <w:vAlign w:val="center"/>
                </w:tcPr>
                <w:p w14:paraId="097DE676">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第三次</w:t>
                  </w:r>
                </w:p>
              </w:tc>
              <w:tc>
                <w:tcPr>
                  <w:tcW w:w="1031" w:type="dxa"/>
                  <w:vMerge w:val="continue"/>
                  <w:tcBorders>
                    <w:tl2br w:val="nil"/>
                    <w:tr2bl w:val="nil"/>
                  </w:tcBorders>
                  <w:noWrap w:val="0"/>
                  <w:vAlign w:val="center"/>
                </w:tcPr>
                <w:p w14:paraId="5D06FE59">
                  <w:pPr>
                    <w:spacing w:line="240" w:lineRule="auto"/>
                    <w:ind w:firstLine="0" w:firstLineChars="0"/>
                    <w:jc w:val="center"/>
                    <w:rPr>
                      <w:rFonts w:hint="default" w:ascii="Times New Roman" w:hAnsi="Times New Roman" w:cs="Times New Roman"/>
                      <w:color w:val="auto"/>
                      <w:sz w:val="21"/>
                      <w:szCs w:val="21"/>
                      <w:lang w:val="en-US" w:eastAsia="zh-CN"/>
                    </w:rPr>
                  </w:pPr>
                </w:p>
              </w:tc>
            </w:tr>
            <w:tr w14:paraId="0466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517" w:type="dxa"/>
                  <w:vMerge w:val="restart"/>
                  <w:tcBorders>
                    <w:tl2br w:val="nil"/>
                    <w:tr2bl w:val="nil"/>
                  </w:tcBorders>
                  <w:noWrap w:val="0"/>
                  <w:vAlign w:val="center"/>
                </w:tcPr>
                <w:p w14:paraId="0A33C74C">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G2厂界西北侧外3m处（上风向）</w:t>
                  </w:r>
                </w:p>
              </w:tc>
              <w:tc>
                <w:tcPr>
                  <w:tcW w:w="1338" w:type="dxa"/>
                  <w:tcBorders>
                    <w:tl2br w:val="nil"/>
                    <w:tr2bl w:val="nil"/>
                  </w:tcBorders>
                  <w:noWrap w:val="0"/>
                  <w:vAlign w:val="center"/>
                </w:tcPr>
                <w:p w14:paraId="0B2E46B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总悬浮</w:t>
                  </w:r>
                  <w:r>
                    <w:rPr>
                      <w:rFonts w:hint="default" w:ascii="Times New Roman" w:hAnsi="Times New Roman" w:cs="Times New Roman"/>
                      <w:color w:val="auto"/>
                      <w:sz w:val="21"/>
                      <w:szCs w:val="21"/>
                      <w:lang w:val="en-US" w:eastAsia="zh-CN"/>
                    </w:rPr>
                    <w:t>颗粒物</w:t>
                  </w:r>
                </w:p>
              </w:tc>
              <w:tc>
                <w:tcPr>
                  <w:tcW w:w="868" w:type="dxa"/>
                  <w:tcBorders>
                    <w:tl2br w:val="nil"/>
                    <w:tr2bl w:val="nil"/>
                  </w:tcBorders>
                  <w:noWrap w:val="0"/>
                  <w:vAlign w:val="center"/>
                </w:tcPr>
                <w:p w14:paraId="2C3E097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0.238</w:t>
                  </w:r>
                </w:p>
              </w:tc>
              <w:tc>
                <w:tcPr>
                  <w:tcW w:w="868" w:type="dxa"/>
                  <w:tcBorders>
                    <w:tl2br w:val="nil"/>
                    <w:tr2bl w:val="nil"/>
                  </w:tcBorders>
                  <w:noWrap w:val="0"/>
                  <w:vAlign w:val="center"/>
                </w:tcPr>
                <w:p w14:paraId="0ED6B80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0.243</w:t>
                  </w:r>
                </w:p>
              </w:tc>
              <w:tc>
                <w:tcPr>
                  <w:tcW w:w="870" w:type="dxa"/>
                  <w:tcBorders>
                    <w:tl2br w:val="nil"/>
                    <w:tr2bl w:val="nil"/>
                  </w:tcBorders>
                  <w:noWrap w:val="0"/>
                  <w:vAlign w:val="center"/>
                </w:tcPr>
                <w:p w14:paraId="7F4FB35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0.250</w:t>
                  </w:r>
                </w:p>
              </w:tc>
              <w:tc>
                <w:tcPr>
                  <w:tcW w:w="868" w:type="dxa"/>
                  <w:tcBorders>
                    <w:tl2br w:val="nil"/>
                    <w:tr2bl w:val="nil"/>
                  </w:tcBorders>
                  <w:noWrap w:val="0"/>
                  <w:vAlign w:val="center"/>
                </w:tcPr>
                <w:p w14:paraId="64351AA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0.253</w:t>
                  </w:r>
                </w:p>
              </w:tc>
              <w:tc>
                <w:tcPr>
                  <w:tcW w:w="868" w:type="dxa"/>
                  <w:tcBorders>
                    <w:tl2br w:val="nil"/>
                    <w:tr2bl w:val="nil"/>
                  </w:tcBorders>
                  <w:noWrap w:val="0"/>
                  <w:vAlign w:val="center"/>
                </w:tcPr>
                <w:p w14:paraId="798014E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0.237</w:t>
                  </w:r>
                </w:p>
              </w:tc>
              <w:tc>
                <w:tcPr>
                  <w:tcW w:w="870" w:type="dxa"/>
                  <w:tcBorders>
                    <w:tl2br w:val="nil"/>
                    <w:tr2bl w:val="nil"/>
                  </w:tcBorders>
                  <w:noWrap w:val="0"/>
                  <w:vAlign w:val="center"/>
                </w:tcPr>
                <w:p w14:paraId="75BB02D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0.246</w:t>
                  </w:r>
                </w:p>
              </w:tc>
              <w:tc>
                <w:tcPr>
                  <w:tcW w:w="1031" w:type="dxa"/>
                  <w:tcBorders>
                    <w:tl2br w:val="nil"/>
                    <w:tr2bl w:val="nil"/>
                  </w:tcBorders>
                  <w:noWrap w:val="0"/>
                  <w:vAlign w:val="center"/>
                </w:tcPr>
                <w:p w14:paraId="731884D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r>
            <w:tr w14:paraId="3C04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17" w:type="dxa"/>
                  <w:vMerge w:val="continue"/>
                  <w:tcBorders>
                    <w:tl2br w:val="nil"/>
                    <w:tr2bl w:val="nil"/>
                  </w:tcBorders>
                  <w:noWrap w:val="0"/>
                  <w:vAlign w:val="center"/>
                </w:tcPr>
                <w:p w14:paraId="58AC548A">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338" w:type="dxa"/>
                  <w:tcBorders>
                    <w:tl2br w:val="nil"/>
                    <w:tr2bl w:val="nil"/>
                  </w:tcBorders>
                  <w:noWrap w:val="0"/>
                  <w:vAlign w:val="center"/>
                </w:tcPr>
                <w:p w14:paraId="2D0B9CA8">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非甲烷总烃</w:t>
                  </w:r>
                </w:p>
              </w:tc>
              <w:tc>
                <w:tcPr>
                  <w:tcW w:w="868" w:type="dxa"/>
                  <w:tcBorders>
                    <w:tl2br w:val="nil"/>
                    <w:tr2bl w:val="nil"/>
                  </w:tcBorders>
                  <w:noWrap w:val="0"/>
                  <w:vAlign w:val="center"/>
                </w:tcPr>
                <w:p w14:paraId="78665D2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0.55</w:t>
                  </w:r>
                </w:p>
              </w:tc>
              <w:tc>
                <w:tcPr>
                  <w:tcW w:w="868" w:type="dxa"/>
                  <w:tcBorders>
                    <w:tl2br w:val="nil"/>
                    <w:tr2bl w:val="nil"/>
                  </w:tcBorders>
                  <w:noWrap w:val="0"/>
                  <w:vAlign w:val="center"/>
                </w:tcPr>
                <w:p w14:paraId="1E984F54">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0.44</w:t>
                  </w:r>
                </w:p>
              </w:tc>
              <w:tc>
                <w:tcPr>
                  <w:tcW w:w="870" w:type="dxa"/>
                  <w:tcBorders>
                    <w:tl2br w:val="nil"/>
                    <w:tr2bl w:val="nil"/>
                  </w:tcBorders>
                  <w:noWrap w:val="0"/>
                  <w:vAlign w:val="center"/>
                </w:tcPr>
                <w:p w14:paraId="4F93A76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0.49</w:t>
                  </w:r>
                </w:p>
              </w:tc>
              <w:tc>
                <w:tcPr>
                  <w:tcW w:w="868" w:type="dxa"/>
                  <w:tcBorders>
                    <w:tl2br w:val="nil"/>
                    <w:tr2bl w:val="nil"/>
                  </w:tcBorders>
                  <w:noWrap w:val="0"/>
                  <w:vAlign w:val="center"/>
                </w:tcPr>
                <w:p w14:paraId="3B79772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0.47</w:t>
                  </w:r>
                </w:p>
              </w:tc>
              <w:tc>
                <w:tcPr>
                  <w:tcW w:w="868" w:type="dxa"/>
                  <w:tcBorders>
                    <w:tl2br w:val="nil"/>
                    <w:tr2bl w:val="nil"/>
                  </w:tcBorders>
                  <w:noWrap w:val="0"/>
                  <w:vAlign w:val="center"/>
                </w:tcPr>
                <w:p w14:paraId="59C7105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0.54</w:t>
                  </w:r>
                </w:p>
              </w:tc>
              <w:tc>
                <w:tcPr>
                  <w:tcW w:w="870" w:type="dxa"/>
                  <w:tcBorders>
                    <w:tl2br w:val="nil"/>
                    <w:tr2bl w:val="nil"/>
                  </w:tcBorders>
                  <w:noWrap w:val="0"/>
                  <w:vAlign w:val="center"/>
                </w:tcPr>
                <w:p w14:paraId="6D8A555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0.52</w:t>
                  </w:r>
                </w:p>
              </w:tc>
              <w:tc>
                <w:tcPr>
                  <w:tcW w:w="1031" w:type="dxa"/>
                  <w:tcBorders>
                    <w:tl2br w:val="nil"/>
                    <w:tr2bl w:val="nil"/>
                  </w:tcBorders>
                  <w:noWrap w:val="0"/>
                  <w:vAlign w:val="center"/>
                </w:tcPr>
                <w:p w14:paraId="6DB457E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4.0</w:t>
                  </w:r>
                </w:p>
              </w:tc>
            </w:tr>
            <w:tr w14:paraId="03F4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517" w:type="dxa"/>
                  <w:vMerge w:val="restart"/>
                  <w:tcBorders>
                    <w:tl2br w:val="nil"/>
                    <w:tr2bl w:val="nil"/>
                  </w:tcBorders>
                  <w:noWrap w:val="0"/>
                  <w:vAlign w:val="center"/>
                </w:tcPr>
                <w:p w14:paraId="59F7FC67">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G3厂界南侧外3m处（下风向）</w:t>
                  </w:r>
                </w:p>
              </w:tc>
              <w:tc>
                <w:tcPr>
                  <w:tcW w:w="1338" w:type="dxa"/>
                  <w:tcBorders>
                    <w:tl2br w:val="nil"/>
                    <w:tr2bl w:val="nil"/>
                  </w:tcBorders>
                  <w:noWrap w:val="0"/>
                  <w:vAlign w:val="center"/>
                </w:tcPr>
                <w:p w14:paraId="0EB74081">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总悬浮</w:t>
                  </w:r>
                  <w:r>
                    <w:rPr>
                      <w:rFonts w:hint="default" w:ascii="Times New Roman" w:hAnsi="Times New Roman" w:cs="Times New Roman"/>
                      <w:color w:val="auto"/>
                      <w:sz w:val="21"/>
                      <w:szCs w:val="21"/>
                      <w:lang w:val="en-US" w:eastAsia="zh-CN"/>
                    </w:rPr>
                    <w:t>颗粒物</w:t>
                  </w:r>
                </w:p>
              </w:tc>
              <w:tc>
                <w:tcPr>
                  <w:tcW w:w="868" w:type="dxa"/>
                  <w:tcBorders>
                    <w:tl2br w:val="nil"/>
                    <w:tr2bl w:val="nil"/>
                  </w:tcBorders>
                  <w:noWrap w:val="0"/>
                  <w:vAlign w:val="center"/>
                </w:tcPr>
                <w:p w14:paraId="6888D25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0.334</w:t>
                  </w:r>
                </w:p>
              </w:tc>
              <w:tc>
                <w:tcPr>
                  <w:tcW w:w="868" w:type="dxa"/>
                  <w:tcBorders>
                    <w:tl2br w:val="nil"/>
                    <w:tr2bl w:val="nil"/>
                  </w:tcBorders>
                  <w:noWrap w:val="0"/>
                  <w:vAlign w:val="center"/>
                </w:tcPr>
                <w:p w14:paraId="1838BDF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0.348</w:t>
                  </w:r>
                </w:p>
              </w:tc>
              <w:tc>
                <w:tcPr>
                  <w:tcW w:w="870" w:type="dxa"/>
                  <w:tcBorders>
                    <w:tl2br w:val="nil"/>
                    <w:tr2bl w:val="nil"/>
                  </w:tcBorders>
                  <w:noWrap w:val="0"/>
                  <w:vAlign w:val="center"/>
                </w:tcPr>
                <w:p w14:paraId="148D5A15">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0.354</w:t>
                  </w:r>
                </w:p>
              </w:tc>
              <w:tc>
                <w:tcPr>
                  <w:tcW w:w="868" w:type="dxa"/>
                  <w:tcBorders>
                    <w:tl2br w:val="nil"/>
                    <w:tr2bl w:val="nil"/>
                  </w:tcBorders>
                  <w:noWrap w:val="0"/>
                  <w:vAlign w:val="center"/>
                </w:tcPr>
                <w:p w14:paraId="367A792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0.329</w:t>
                  </w:r>
                </w:p>
              </w:tc>
              <w:tc>
                <w:tcPr>
                  <w:tcW w:w="868" w:type="dxa"/>
                  <w:tcBorders>
                    <w:tl2br w:val="nil"/>
                    <w:tr2bl w:val="nil"/>
                  </w:tcBorders>
                  <w:noWrap w:val="0"/>
                  <w:vAlign w:val="center"/>
                </w:tcPr>
                <w:p w14:paraId="74A84AB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0.353</w:t>
                  </w:r>
                </w:p>
              </w:tc>
              <w:tc>
                <w:tcPr>
                  <w:tcW w:w="870" w:type="dxa"/>
                  <w:tcBorders>
                    <w:tl2br w:val="nil"/>
                    <w:tr2bl w:val="nil"/>
                  </w:tcBorders>
                  <w:noWrap w:val="0"/>
                  <w:vAlign w:val="center"/>
                </w:tcPr>
                <w:p w14:paraId="49918FF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0.337</w:t>
                  </w:r>
                </w:p>
              </w:tc>
              <w:tc>
                <w:tcPr>
                  <w:tcW w:w="1031" w:type="dxa"/>
                  <w:tcBorders>
                    <w:tl2br w:val="nil"/>
                    <w:tr2bl w:val="nil"/>
                  </w:tcBorders>
                  <w:noWrap w:val="0"/>
                  <w:vAlign w:val="center"/>
                </w:tcPr>
                <w:p w14:paraId="5213071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r>
            <w:tr w14:paraId="4D74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17" w:type="dxa"/>
                  <w:vMerge w:val="continue"/>
                  <w:tcBorders>
                    <w:tl2br w:val="nil"/>
                    <w:tr2bl w:val="nil"/>
                  </w:tcBorders>
                  <w:noWrap w:val="0"/>
                  <w:vAlign w:val="center"/>
                </w:tcPr>
                <w:p w14:paraId="515860BC">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338" w:type="dxa"/>
                  <w:tcBorders>
                    <w:tl2br w:val="nil"/>
                    <w:tr2bl w:val="nil"/>
                  </w:tcBorders>
                  <w:noWrap w:val="0"/>
                  <w:vAlign w:val="center"/>
                </w:tcPr>
                <w:p w14:paraId="102C49ED">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非甲烷总烃</w:t>
                  </w:r>
                </w:p>
              </w:tc>
              <w:tc>
                <w:tcPr>
                  <w:tcW w:w="868" w:type="dxa"/>
                  <w:tcBorders>
                    <w:tl2br w:val="nil"/>
                    <w:tr2bl w:val="nil"/>
                  </w:tcBorders>
                  <w:noWrap w:val="0"/>
                  <w:vAlign w:val="center"/>
                </w:tcPr>
                <w:p w14:paraId="58F91E6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0.65</w:t>
                  </w:r>
                </w:p>
              </w:tc>
              <w:tc>
                <w:tcPr>
                  <w:tcW w:w="868" w:type="dxa"/>
                  <w:tcBorders>
                    <w:tl2br w:val="nil"/>
                    <w:tr2bl w:val="nil"/>
                  </w:tcBorders>
                  <w:noWrap w:val="0"/>
                  <w:vAlign w:val="center"/>
                </w:tcPr>
                <w:p w14:paraId="52FA934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0.62</w:t>
                  </w:r>
                </w:p>
              </w:tc>
              <w:tc>
                <w:tcPr>
                  <w:tcW w:w="870" w:type="dxa"/>
                  <w:tcBorders>
                    <w:tl2br w:val="nil"/>
                    <w:tr2bl w:val="nil"/>
                  </w:tcBorders>
                  <w:noWrap w:val="0"/>
                  <w:vAlign w:val="center"/>
                </w:tcPr>
                <w:p w14:paraId="329F051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0.64</w:t>
                  </w:r>
                </w:p>
              </w:tc>
              <w:tc>
                <w:tcPr>
                  <w:tcW w:w="868" w:type="dxa"/>
                  <w:tcBorders>
                    <w:tl2br w:val="nil"/>
                    <w:tr2bl w:val="nil"/>
                  </w:tcBorders>
                  <w:noWrap w:val="0"/>
                  <w:vAlign w:val="center"/>
                </w:tcPr>
                <w:p w14:paraId="62A6293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0.67</w:t>
                  </w:r>
                </w:p>
              </w:tc>
              <w:tc>
                <w:tcPr>
                  <w:tcW w:w="868" w:type="dxa"/>
                  <w:tcBorders>
                    <w:tl2br w:val="nil"/>
                    <w:tr2bl w:val="nil"/>
                  </w:tcBorders>
                  <w:noWrap w:val="0"/>
                  <w:vAlign w:val="center"/>
                </w:tcPr>
                <w:p w14:paraId="420D2C2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0.71</w:t>
                  </w:r>
                </w:p>
              </w:tc>
              <w:tc>
                <w:tcPr>
                  <w:tcW w:w="870" w:type="dxa"/>
                  <w:tcBorders>
                    <w:tl2br w:val="nil"/>
                    <w:tr2bl w:val="nil"/>
                  </w:tcBorders>
                  <w:noWrap w:val="0"/>
                  <w:vAlign w:val="center"/>
                </w:tcPr>
                <w:p w14:paraId="1470693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0.76</w:t>
                  </w:r>
                </w:p>
              </w:tc>
              <w:tc>
                <w:tcPr>
                  <w:tcW w:w="1031" w:type="dxa"/>
                  <w:tcBorders>
                    <w:tl2br w:val="nil"/>
                    <w:tr2bl w:val="nil"/>
                  </w:tcBorders>
                  <w:noWrap w:val="0"/>
                  <w:vAlign w:val="center"/>
                </w:tcPr>
                <w:p w14:paraId="4EC8AA68">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4.0</w:t>
                  </w:r>
                </w:p>
              </w:tc>
            </w:tr>
            <w:tr w14:paraId="14ED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517" w:type="dxa"/>
                  <w:vMerge w:val="restart"/>
                  <w:tcBorders>
                    <w:tl2br w:val="nil"/>
                    <w:tr2bl w:val="nil"/>
                  </w:tcBorders>
                  <w:noWrap w:val="0"/>
                  <w:vAlign w:val="center"/>
                </w:tcPr>
                <w:p w14:paraId="621B291A">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G4厂界东南侧外3m处（下风向）</w:t>
                  </w:r>
                </w:p>
              </w:tc>
              <w:tc>
                <w:tcPr>
                  <w:tcW w:w="1338" w:type="dxa"/>
                  <w:tcBorders>
                    <w:tl2br w:val="nil"/>
                    <w:tr2bl w:val="nil"/>
                  </w:tcBorders>
                  <w:noWrap w:val="0"/>
                  <w:vAlign w:val="center"/>
                </w:tcPr>
                <w:p w14:paraId="34F6B9A4">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总悬浮</w:t>
                  </w:r>
                  <w:r>
                    <w:rPr>
                      <w:rFonts w:hint="default" w:ascii="Times New Roman" w:hAnsi="Times New Roman" w:cs="Times New Roman"/>
                      <w:color w:val="auto"/>
                      <w:sz w:val="21"/>
                      <w:szCs w:val="21"/>
                      <w:lang w:val="en-US" w:eastAsia="zh-CN"/>
                    </w:rPr>
                    <w:t>颗粒物</w:t>
                  </w:r>
                </w:p>
              </w:tc>
              <w:tc>
                <w:tcPr>
                  <w:tcW w:w="868" w:type="dxa"/>
                  <w:tcBorders>
                    <w:tl2br w:val="nil"/>
                    <w:tr2bl w:val="nil"/>
                  </w:tcBorders>
                  <w:noWrap w:val="0"/>
                  <w:vAlign w:val="center"/>
                </w:tcPr>
                <w:p w14:paraId="0270B41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0.342</w:t>
                  </w:r>
                </w:p>
              </w:tc>
              <w:tc>
                <w:tcPr>
                  <w:tcW w:w="868" w:type="dxa"/>
                  <w:tcBorders>
                    <w:tl2br w:val="nil"/>
                    <w:tr2bl w:val="nil"/>
                  </w:tcBorders>
                  <w:noWrap w:val="0"/>
                  <w:vAlign w:val="center"/>
                </w:tcPr>
                <w:p w14:paraId="3B1BAB6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0.334</w:t>
                  </w:r>
                </w:p>
              </w:tc>
              <w:tc>
                <w:tcPr>
                  <w:tcW w:w="870" w:type="dxa"/>
                  <w:tcBorders>
                    <w:tl2br w:val="nil"/>
                    <w:tr2bl w:val="nil"/>
                  </w:tcBorders>
                  <w:noWrap w:val="0"/>
                  <w:vAlign w:val="center"/>
                </w:tcPr>
                <w:p w14:paraId="1474834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0.334</w:t>
                  </w:r>
                </w:p>
              </w:tc>
              <w:tc>
                <w:tcPr>
                  <w:tcW w:w="868" w:type="dxa"/>
                  <w:tcBorders>
                    <w:tl2br w:val="nil"/>
                    <w:tr2bl w:val="nil"/>
                  </w:tcBorders>
                  <w:noWrap w:val="0"/>
                  <w:vAlign w:val="center"/>
                </w:tcPr>
                <w:p w14:paraId="38765A5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0.344</w:t>
                  </w:r>
                </w:p>
              </w:tc>
              <w:tc>
                <w:tcPr>
                  <w:tcW w:w="868" w:type="dxa"/>
                  <w:tcBorders>
                    <w:tl2br w:val="nil"/>
                    <w:tr2bl w:val="nil"/>
                  </w:tcBorders>
                  <w:noWrap w:val="0"/>
                  <w:vAlign w:val="center"/>
                </w:tcPr>
                <w:p w14:paraId="32B76E6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0.338</w:t>
                  </w:r>
                </w:p>
              </w:tc>
              <w:tc>
                <w:tcPr>
                  <w:tcW w:w="870" w:type="dxa"/>
                  <w:tcBorders>
                    <w:tl2br w:val="nil"/>
                    <w:tr2bl w:val="nil"/>
                  </w:tcBorders>
                  <w:noWrap w:val="0"/>
                  <w:vAlign w:val="center"/>
                </w:tcPr>
                <w:p w14:paraId="73EF483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0.341</w:t>
                  </w:r>
                </w:p>
              </w:tc>
              <w:tc>
                <w:tcPr>
                  <w:tcW w:w="1031" w:type="dxa"/>
                  <w:tcBorders>
                    <w:tl2br w:val="nil"/>
                    <w:tr2bl w:val="nil"/>
                  </w:tcBorders>
                  <w:noWrap w:val="0"/>
                  <w:vAlign w:val="center"/>
                </w:tcPr>
                <w:p w14:paraId="76FE348D">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r>
            <w:tr w14:paraId="5724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17" w:type="dxa"/>
                  <w:vMerge w:val="continue"/>
                  <w:tcBorders>
                    <w:tl2br w:val="nil"/>
                    <w:tr2bl w:val="nil"/>
                  </w:tcBorders>
                  <w:noWrap w:val="0"/>
                  <w:vAlign w:val="center"/>
                </w:tcPr>
                <w:p w14:paraId="57EDC459">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338" w:type="dxa"/>
                  <w:tcBorders>
                    <w:tl2br w:val="nil"/>
                    <w:tr2bl w:val="nil"/>
                  </w:tcBorders>
                  <w:noWrap w:val="0"/>
                  <w:vAlign w:val="center"/>
                </w:tcPr>
                <w:p w14:paraId="6FA5AF0C">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非甲烷总烃</w:t>
                  </w:r>
                </w:p>
              </w:tc>
              <w:tc>
                <w:tcPr>
                  <w:tcW w:w="868" w:type="dxa"/>
                  <w:tcBorders>
                    <w:tl2br w:val="nil"/>
                    <w:tr2bl w:val="nil"/>
                  </w:tcBorders>
                  <w:noWrap w:val="0"/>
                  <w:vAlign w:val="center"/>
                </w:tcPr>
                <w:p w14:paraId="5A1C9DE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0.75</w:t>
                  </w:r>
                </w:p>
              </w:tc>
              <w:tc>
                <w:tcPr>
                  <w:tcW w:w="868" w:type="dxa"/>
                  <w:tcBorders>
                    <w:tl2br w:val="nil"/>
                    <w:tr2bl w:val="nil"/>
                  </w:tcBorders>
                  <w:noWrap w:val="0"/>
                  <w:vAlign w:val="center"/>
                </w:tcPr>
                <w:p w14:paraId="5119D124">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0.65</w:t>
                  </w:r>
                </w:p>
              </w:tc>
              <w:tc>
                <w:tcPr>
                  <w:tcW w:w="870" w:type="dxa"/>
                  <w:tcBorders>
                    <w:tl2br w:val="nil"/>
                    <w:tr2bl w:val="nil"/>
                  </w:tcBorders>
                  <w:noWrap w:val="0"/>
                  <w:vAlign w:val="center"/>
                </w:tcPr>
                <w:p w14:paraId="1926681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0.74</w:t>
                  </w:r>
                </w:p>
              </w:tc>
              <w:tc>
                <w:tcPr>
                  <w:tcW w:w="868" w:type="dxa"/>
                  <w:tcBorders>
                    <w:tl2br w:val="nil"/>
                    <w:tr2bl w:val="nil"/>
                  </w:tcBorders>
                  <w:noWrap w:val="0"/>
                  <w:vAlign w:val="center"/>
                </w:tcPr>
                <w:p w14:paraId="00541A0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0.69</w:t>
                  </w:r>
                </w:p>
              </w:tc>
              <w:tc>
                <w:tcPr>
                  <w:tcW w:w="868" w:type="dxa"/>
                  <w:tcBorders>
                    <w:tl2br w:val="nil"/>
                    <w:tr2bl w:val="nil"/>
                  </w:tcBorders>
                  <w:noWrap w:val="0"/>
                  <w:vAlign w:val="center"/>
                </w:tcPr>
                <w:p w14:paraId="69298205">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0.71</w:t>
                  </w:r>
                </w:p>
              </w:tc>
              <w:tc>
                <w:tcPr>
                  <w:tcW w:w="870" w:type="dxa"/>
                  <w:tcBorders>
                    <w:tl2br w:val="nil"/>
                    <w:tr2bl w:val="nil"/>
                  </w:tcBorders>
                  <w:noWrap w:val="0"/>
                  <w:vAlign w:val="center"/>
                </w:tcPr>
                <w:p w14:paraId="7F5C9C0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0.70</w:t>
                  </w:r>
                </w:p>
              </w:tc>
              <w:tc>
                <w:tcPr>
                  <w:tcW w:w="1031" w:type="dxa"/>
                  <w:tcBorders>
                    <w:tl2br w:val="nil"/>
                    <w:tr2bl w:val="nil"/>
                  </w:tcBorders>
                  <w:noWrap w:val="0"/>
                  <w:vAlign w:val="center"/>
                </w:tcPr>
                <w:p w14:paraId="1D9C674D">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4.0</w:t>
                  </w:r>
                </w:p>
              </w:tc>
            </w:tr>
          </w:tbl>
          <w:p w14:paraId="2AC5D29F">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ins w:id="0" w:author="Mabye" w:date="2018-10-16T15:08:00Z"/>
                <w:rFonts w:hint="default" w:ascii="Times New Roman" w:hAnsi="Times New Roman" w:cs="Times New Roman"/>
              </w:rPr>
            </w:pPr>
            <w:r>
              <w:rPr>
                <w:rFonts w:hint="default" w:ascii="Times New Roman" w:hAnsi="Times New Roman" w:cs="Times New Roman"/>
                <w:color w:val="auto"/>
              </w:rPr>
              <w:t>表7-</w:t>
            </w:r>
            <w:r>
              <w:rPr>
                <w:rFonts w:hint="eastAsia" w:cs="Times New Roman"/>
                <w:color w:val="auto"/>
                <w:lang w:val="en-US" w:eastAsia="zh-CN"/>
              </w:rPr>
              <w:t>4</w:t>
            </w:r>
            <w:r>
              <w:rPr>
                <w:rFonts w:hint="default" w:ascii="Times New Roman" w:hAnsi="Times New Roman" w:cs="Times New Roman"/>
                <w:color w:val="auto"/>
                <w:lang w:eastAsia="zh-CN"/>
              </w:rPr>
              <w:t>监</w:t>
            </w:r>
            <w:r>
              <w:rPr>
                <w:rFonts w:hint="default" w:ascii="Times New Roman" w:hAnsi="Times New Roman" w:cs="Times New Roman"/>
                <w:color w:val="auto"/>
              </w:rPr>
              <w:t>测结果表明</w:t>
            </w:r>
            <w:bookmarkStart w:id="66" w:name="_Toc244079529"/>
            <w:bookmarkStart w:id="67" w:name="_Toc353182877"/>
            <w:bookmarkStart w:id="68" w:name="_Toc312675606"/>
            <w:bookmarkStart w:id="69" w:name="_Toc374545216"/>
            <w:bookmarkStart w:id="70" w:name="_Toc217270964"/>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验收监测期间，本</w:t>
            </w:r>
            <w:r>
              <w:rPr>
                <w:rFonts w:hint="default" w:ascii="Times New Roman" w:hAnsi="Times New Roman" w:cs="Times New Roman"/>
                <w:color w:val="auto"/>
              </w:rPr>
              <w:t>项目</w:t>
            </w:r>
            <w:r>
              <w:rPr>
                <w:rFonts w:hint="default" w:ascii="Times New Roman" w:hAnsi="Times New Roman" w:cs="Times New Roman"/>
                <w:color w:val="auto"/>
                <w:lang w:val="en-US" w:eastAsia="zh-CN"/>
              </w:rPr>
              <w:t>无</w:t>
            </w:r>
            <w:r>
              <w:rPr>
                <w:rFonts w:hint="default" w:ascii="Times New Roman" w:hAnsi="Times New Roman" w:cs="Times New Roman"/>
                <w:color w:val="auto"/>
              </w:rPr>
              <w:t>组织废气</w:t>
            </w:r>
            <w:r>
              <w:rPr>
                <w:rFonts w:hint="default" w:ascii="Times New Roman" w:hAnsi="Times New Roman" w:cs="Times New Roman"/>
                <w:color w:val="auto"/>
                <w:lang w:val="en-US" w:eastAsia="zh-CN"/>
              </w:rPr>
              <w:t>下风向</w:t>
            </w:r>
            <w:r>
              <w:rPr>
                <w:rFonts w:hint="default" w:ascii="Times New Roman" w:hAnsi="Times New Roman" w:cs="Times New Roman"/>
                <w:color w:val="auto"/>
              </w:rPr>
              <w:t>各监控点</w:t>
            </w:r>
            <w:r>
              <w:rPr>
                <w:rFonts w:hint="default" w:ascii="Times New Roman" w:hAnsi="Times New Roman" w:cs="Times New Roman"/>
                <w:color w:val="auto"/>
                <w:lang w:eastAsia="zh-CN"/>
              </w:rPr>
              <w:t>监</w:t>
            </w:r>
            <w:r>
              <w:rPr>
                <w:rFonts w:hint="default" w:ascii="Times New Roman" w:hAnsi="Times New Roman" w:cs="Times New Roman"/>
                <w:color w:val="auto"/>
              </w:rPr>
              <w:t>测因子</w:t>
            </w:r>
            <w:r>
              <w:rPr>
                <w:rFonts w:hint="default" w:ascii="Times New Roman" w:hAnsi="Times New Roman" w:cs="Times New Roman"/>
                <w:color w:val="auto"/>
                <w:lang w:val="en-US" w:eastAsia="zh-CN"/>
              </w:rPr>
              <w:t>颗粒物、</w:t>
            </w:r>
            <w:r>
              <w:rPr>
                <w:rFonts w:hint="eastAsia" w:cs="Times New Roman"/>
                <w:color w:val="auto"/>
                <w:lang w:val="en-US" w:eastAsia="zh-CN"/>
              </w:rPr>
              <w:t>非甲烷总烃</w:t>
            </w:r>
            <w:r>
              <w:rPr>
                <w:rFonts w:hint="default" w:ascii="Times New Roman" w:hAnsi="Times New Roman" w:cs="Times New Roman"/>
                <w:color w:val="auto"/>
                <w:lang w:val="en-US" w:eastAsia="zh-CN"/>
              </w:rPr>
              <w:t>浓度符合《大气污染物综合排放标准》（GB16297-1996）表2中无组织排放监控浓度限值。</w:t>
            </w:r>
          </w:p>
          <w:p w14:paraId="3AF06855">
            <w:pPr>
              <w:pStyle w:val="3"/>
              <w:pageBreakBefore w:val="0"/>
              <w:widowControl w:val="0"/>
              <w:numPr>
                <w:ilvl w:val="0"/>
                <w:numId w:val="5"/>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lang w:val="en-US" w:eastAsia="zh-CN"/>
              </w:rPr>
              <w:t>废水</w:t>
            </w:r>
            <w:r>
              <w:rPr>
                <w:rFonts w:hint="eastAsia" w:ascii="Times New Roman" w:hAnsi="Times New Roman" w:cs="Times New Roman" w:eastAsiaTheme="minorEastAsia"/>
                <w:color w:val="auto"/>
                <w:sz w:val="24"/>
                <w:szCs w:val="24"/>
                <w:lang w:val="en-US" w:eastAsia="zh-CN"/>
              </w:rPr>
              <w:t>监测</w:t>
            </w:r>
            <w:r>
              <w:rPr>
                <w:rFonts w:hint="default" w:ascii="Times New Roman" w:hAnsi="Times New Roman" w:cs="Times New Roman" w:eastAsiaTheme="minorEastAsia"/>
                <w:color w:val="auto"/>
                <w:sz w:val="24"/>
                <w:szCs w:val="24"/>
              </w:rPr>
              <w:t>结果</w:t>
            </w:r>
          </w:p>
          <w:p w14:paraId="2502B23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生产废水经混凝沉淀处理后回用，不外排</w:t>
            </w:r>
            <w:r>
              <w:rPr>
                <w:rFonts w:hint="eastAsia" w:cs="Times New Roman"/>
                <w:lang w:val="en-US" w:eastAsia="zh-CN"/>
              </w:rPr>
              <w:t>。</w:t>
            </w:r>
            <w:r>
              <w:rPr>
                <w:rFonts w:hint="eastAsia" w:ascii="Times New Roman" w:hAnsi="Times New Roman" w:cs="Times New Roman"/>
                <w:lang w:val="en-US" w:eastAsia="zh-CN"/>
              </w:rPr>
              <w:t>项目生活污水排放口</w:t>
            </w:r>
            <w:r>
              <w:rPr>
                <w:rFonts w:hint="default" w:ascii="Times New Roman" w:hAnsi="Times New Roman" w:cs="Times New Roman"/>
                <w:color w:val="auto"/>
                <w:lang w:eastAsia="zh-CN"/>
              </w:rPr>
              <w:t>监</w:t>
            </w:r>
            <w:r>
              <w:rPr>
                <w:rFonts w:hint="default" w:ascii="Times New Roman" w:hAnsi="Times New Roman" w:cs="Times New Roman"/>
                <w:color w:val="auto"/>
              </w:rPr>
              <w:t>测</w:t>
            </w:r>
            <w:r>
              <w:rPr>
                <w:rFonts w:hint="default" w:ascii="Times New Roman" w:hAnsi="Times New Roman" w:cs="Times New Roman"/>
              </w:rPr>
              <w:t>结果见表7-</w:t>
            </w:r>
            <w:r>
              <w:rPr>
                <w:rFonts w:hint="eastAsia" w:ascii="Times New Roman" w:hAnsi="Times New Roman" w:cs="Times New Roman"/>
                <w:lang w:val="en-US" w:eastAsia="zh-CN"/>
              </w:rPr>
              <w:t>5</w:t>
            </w:r>
            <w:r>
              <w:rPr>
                <w:rFonts w:hint="default" w:ascii="Times New Roman" w:hAnsi="Times New Roman" w:cs="Times New Roman"/>
                <w:lang w:eastAsia="zh-CN"/>
              </w:rPr>
              <w:t>。</w:t>
            </w:r>
          </w:p>
          <w:p w14:paraId="62518E73">
            <w:pPr>
              <w:ind w:firstLine="0" w:firstLineChars="0"/>
              <w:jc w:val="right"/>
              <w:rPr>
                <w:rFonts w:hint="default" w:ascii="Times New Roman" w:hAnsi="Times New Roman" w:cs="Times New Roman" w:eastAsiaTheme="minorEastAsia"/>
                <w:b/>
                <w:color w:val="auto"/>
                <w:sz w:val="21"/>
                <w:szCs w:val="21"/>
                <w:lang w:val="en-US" w:eastAsia="zh-CN"/>
              </w:rPr>
            </w:pPr>
            <w:r>
              <w:rPr>
                <w:rFonts w:hint="default" w:ascii="Times New Roman" w:hAnsi="Times New Roman" w:cs="Times New Roman"/>
                <w:b/>
                <w:color w:val="auto"/>
                <w:sz w:val="21"/>
                <w:szCs w:val="21"/>
              </w:rPr>
              <w:t>表7-</w:t>
            </w:r>
            <w:r>
              <w:rPr>
                <w:rFonts w:hint="eastAsia" w:ascii="Times New Roman" w:hAnsi="Times New Roman" w:cs="Times New Roman"/>
                <w:b/>
                <w:color w:val="auto"/>
                <w:sz w:val="21"/>
                <w:szCs w:val="21"/>
                <w:lang w:val="en-US" w:eastAsia="zh-CN"/>
              </w:rPr>
              <w:t>5</w:t>
            </w:r>
            <w:r>
              <w:rPr>
                <w:rFonts w:hint="default" w:ascii="Times New Roman" w:hAnsi="Times New Roman" w:cs="Times New Roman"/>
                <w:b/>
                <w:color w:val="auto"/>
                <w:sz w:val="21"/>
                <w:szCs w:val="21"/>
              </w:rPr>
              <w:t xml:space="preserve">  </w:t>
            </w:r>
            <w:r>
              <w:rPr>
                <w:rFonts w:hint="eastAsia" w:ascii="Times New Roman" w:hAnsi="Times New Roman" w:cs="Times New Roman"/>
                <w:b/>
                <w:color w:val="auto"/>
                <w:sz w:val="21"/>
                <w:szCs w:val="21"/>
                <w:lang w:val="en-US" w:eastAsia="zh-CN"/>
              </w:rPr>
              <w:t>生活污水排放口</w:t>
            </w:r>
            <w:r>
              <w:rPr>
                <w:rFonts w:hint="default" w:ascii="Times New Roman" w:hAnsi="Times New Roman" w:cs="Times New Roman"/>
                <w:b/>
                <w:color w:val="auto"/>
                <w:sz w:val="21"/>
                <w:szCs w:val="21"/>
                <w:lang w:val="zh-CN"/>
              </w:rPr>
              <w:t>检测结果</w:t>
            </w:r>
            <w:r>
              <w:rPr>
                <w:rFonts w:hint="default" w:ascii="Times New Roman" w:hAnsi="Times New Roman" w:cs="Times New Roman"/>
                <w:b/>
                <w:color w:val="auto"/>
                <w:sz w:val="21"/>
                <w:szCs w:val="21"/>
                <w:lang w:val="en-US" w:eastAsia="zh-CN"/>
              </w:rPr>
              <w:t xml:space="preserve">                    </w:t>
            </w:r>
            <w:r>
              <w:rPr>
                <w:rFonts w:hint="default" w:ascii="Times New Roman" w:hAnsi="Times New Roman" w:cs="Times New Roman"/>
                <w:b/>
                <w:bCs w:val="0"/>
                <w:sz w:val="21"/>
                <w:szCs w:val="21"/>
                <w:lang w:val="en-US" w:eastAsia="zh-CN"/>
              </w:rPr>
              <w:t>单位：</w:t>
            </w:r>
            <w:r>
              <w:rPr>
                <w:rFonts w:hint="default" w:ascii="Times New Roman" w:hAnsi="Times New Roman" w:eastAsia="宋体" w:cs="Times New Roman"/>
                <w:b/>
                <w:bCs w:val="0"/>
                <w:color w:val="auto"/>
                <w:sz w:val="21"/>
                <w:szCs w:val="21"/>
              </w:rPr>
              <w:t>mg/m</w:t>
            </w:r>
            <w:r>
              <w:rPr>
                <w:rFonts w:hint="default" w:ascii="Times New Roman" w:hAnsi="Times New Roman" w:eastAsia="宋体" w:cs="Times New Roman"/>
                <w:b/>
                <w:bCs w:val="0"/>
                <w:color w:val="auto"/>
                <w:sz w:val="21"/>
                <w:szCs w:val="21"/>
                <w:vertAlign w:val="superscript"/>
              </w:rPr>
              <w:t>3</w:t>
            </w:r>
          </w:p>
          <w:tbl>
            <w:tblPr>
              <w:tblStyle w:val="31"/>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019"/>
              <w:gridCol w:w="799"/>
              <w:gridCol w:w="799"/>
              <w:gridCol w:w="799"/>
              <w:gridCol w:w="802"/>
              <w:gridCol w:w="799"/>
              <w:gridCol w:w="799"/>
              <w:gridCol w:w="799"/>
              <w:gridCol w:w="808"/>
              <w:gridCol w:w="878"/>
            </w:tblGrid>
            <w:tr w14:paraId="02AC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restart"/>
                  <w:tcBorders>
                    <w:tl2br w:val="nil"/>
                    <w:tr2bl w:val="nil"/>
                  </w:tcBorders>
                  <w:noWrap w:val="0"/>
                  <w:vAlign w:val="center"/>
                </w:tcPr>
                <w:p w14:paraId="053AA4DE">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采样</w:t>
                  </w:r>
                </w:p>
                <w:p w14:paraId="3B72A7BC">
                  <w:pPr>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点位</w:t>
                  </w:r>
                </w:p>
              </w:tc>
              <w:tc>
                <w:tcPr>
                  <w:tcW w:w="1019" w:type="dxa"/>
                  <w:vMerge w:val="restart"/>
                  <w:tcBorders>
                    <w:tl2br w:val="nil"/>
                    <w:tr2bl w:val="nil"/>
                  </w:tcBorders>
                  <w:noWrap w:val="0"/>
                  <w:vAlign w:val="center"/>
                </w:tcPr>
                <w:p w14:paraId="3FE1383E">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检测</w:t>
                  </w:r>
                </w:p>
                <w:p w14:paraId="68CD339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项目</w:t>
                  </w:r>
                </w:p>
              </w:tc>
              <w:tc>
                <w:tcPr>
                  <w:tcW w:w="6404" w:type="dxa"/>
                  <w:gridSpan w:val="8"/>
                  <w:tcBorders>
                    <w:tl2br w:val="nil"/>
                    <w:tr2bl w:val="nil"/>
                  </w:tcBorders>
                  <w:noWrap w:val="0"/>
                  <w:vAlign w:val="center"/>
                </w:tcPr>
                <w:p w14:paraId="1601BB6F">
                  <w:pPr>
                    <w:spacing w:line="240" w:lineRule="auto"/>
                    <w:ind w:firstLine="0" w:firstLineChars="0"/>
                    <w:jc w:val="center"/>
                    <w:rPr>
                      <w:rFonts w:hint="eastAsia"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检测结果</w:t>
                  </w:r>
                  <w:r>
                    <w:rPr>
                      <w:rFonts w:hint="eastAsia" w:ascii="Times New Roman" w:hAnsi="Times New Roman" w:cs="Times New Roman"/>
                      <w:color w:val="auto"/>
                      <w:sz w:val="21"/>
                      <w:szCs w:val="21"/>
                      <w:lang w:val="en-US" w:eastAsia="zh-CN"/>
                    </w:rPr>
                    <w:t>（pH值：无量纲、</w:t>
                  </w:r>
                  <w:r>
                    <w:rPr>
                      <w:rFonts w:hint="default" w:ascii="Times New Roman" w:hAnsi="Times New Roman" w:cs="Times New Roman"/>
                      <w:color w:val="auto"/>
                      <w:sz w:val="21"/>
                      <w:szCs w:val="21"/>
                      <w:lang w:val="en-US" w:eastAsia="zh-CN"/>
                    </w:rPr>
                    <w:t>mg/L</w:t>
                  </w:r>
                  <w:r>
                    <w:rPr>
                      <w:rFonts w:hint="eastAsia" w:ascii="Times New Roman" w:hAnsi="Times New Roman" w:cs="Times New Roman"/>
                      <w:color w:val="auto"/>
                      <w:sz w:val="21"/>
                      <w:szCs w:val="21"/>
                      <w:lang w:val="en-US" w:eastAsia="zh-CN"/>
                    </w:rPr>
                    <w:t>）</w:t>
                  </w:r>
                </w:p>
              </w:tc>
              <w:tc>
                <w:tcPr>
                  <w:tcW w:w="878" w:type="dxa"/>
                  <w:vMerge w:val="restart"/>
                  <w:tcBorders>
                    <w:tl2br w:val="nil"/>
                    <w:tr2bl w:val="nil"/>
                  </w:tcBorders>
                  <w:noWrap w:val="0"/>
                  <w:vAlign w:val="center"/>
                </w:tcPr>
                <w:p w14:paraId="049B762F">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标准</w:t>
                  </w:r>
                </w:p>
                <w:p w14:paraId="68493301">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限值</w:t>
                  </w:r>
                </w:p>
              </w:tc>
            </w:tr>
            <w:tr w14:paraId="719A7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continue"/>
                  <w:tcBorders>
                    <w:tl2br w:val="nil"/>
                    <w:tr2bl w:val="nil"/>
                  </w:tcBorders>
                  <w:noWrap w:val="0"/>
                  <w:vAlign w:val="center"/>
                </w:tcPr>
                <w:p w14:paraId="10E6F232">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9" w:type="dxa"/>
                  <w:vMerge w:val="continue"/>
                  <w:tcBorders>
                    <w:tl2br w:val="nil"/>
                    <w:tr2bl w:val="nil"/>
                  </w:tcBorders>
                  <w:noWrap w:val="0"/>
                  <w:vAlign w:val="center"/>
                </w:tcPr>
                <w:p w14:paraId="6F253C8E">
                  <w:pPr>
                    <w:spacing w:line="240" w:lineRule="auto"/>
                    <w:ind w:firstLine="0" w:firstLineChars="0"/>
                    <w:jc w:val="center"/>
                    <w:rPr>
                      <w:rFonts w:hint="default" w:ascii="Times New Roman" w:hAnsi="Times New Roman" w:cs="Times New Roman"/>
                      <w:color w:val="auto"/>
                      <w:sz w:val="21"/>
                      <w:szCs w:val="21"/>
                      <w:lang w:val="en-US" w:eastAsia="zh-CN"/>
                    </w:rPr>
                  </w:pPr>
                </w:p>
              </w:tc>
              <w:tc>
                <w:tcPr>
                  <w:tcW w:w="3199" w:type="dxa"/>
                  <w:gridSpan w:val="4"/>
                  <w:tcBorders>
                    <w:tl2br w:val="nil"/>
                    <w:tr2bl w:val="nil"/>
                  </w:tcBorders>
                  <w:noWrap w:val="0"/>
                  <w:vAlign w:val="center"/>
                </w:tcPr>
                <w:p w14:paraId="6911BE8F">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5月23日</w:t>
                  </w:r>
                </w:p>
              </w:tc>
              <w:tc>
                <w:tcPr>
                  <w:tcW w:w="3205" w:type="dxa"/>
                  <w:gridSpan w:val="4"/>
                  <w:tcBorders>
                    <w:tl2br w:val="nil"/>
                    <w:tr2bl w:val="nil"/>
                  </w:tcBorders>
                  <w:noWrap w:val="0"/>
                  <w:vAlign w:val="center"/>
                </w:tcPr>
                <w:p w14:paraId="0C043382">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5月24日</w:t>
                  </w:r>
                </w:p>
              </w:tc>
              <w:tc>
                <w:tcPr>
                  <w:tcW w:w="878" w:type="dxa"/>
                  <w:vMerge w:val="continue"/>
                  <w:tcBorders>
                    <w:tl2br w:val="nil"/>
                    <w:tr2bl w:val="nil"/>
                  </w:tcBorders>
                  <w:noWrap w:val="0"/>
                  <w:vAlign w:val="center"/>
                </w:tcPr>
                <w:p w14:paraId="03EA22CA">
                  <w:pPr>
                    <w:spacing w:line="240" w:lineRule="auto"/>
                    <w:ind w:firstLine="0" w:firstLineChars="0"/>
                    <w:jc w:val="center"/>
                    <w:rPr>
                      <w:rFonts w:hint="eastAsia" w:ascii="Times New Roman" w:hAnsi="Times New Roman" w:cs="Times New Roman"/>
                      <w:color w:val="auto"/>
                      <w:sz w:val="21"/>
                      <w:szCs w:val="21"/>
                      <w:lang w:val="en-US" w:eastAsia="zh-CN"/>
                    </w:rPr>
                  </w:pPr>
                </w:p>
              </w:tc>
            </w:tr>
            <w:tr w14:paraId="3D6A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97" w:type="dxa"/>
                  <w:vMerge w:val="continue"/>
                  <w:tcBorders>
                    <w:tl2br w:val="nil"/>
                    <w:tr2bl w:val="nil"/>
                  </w:tcBorders>
                  <w:noWrap w:val="0"/>
                  <w:vAlign w:val="center"/>
                </w:tcPr>
                <w:p w14:paraId="2CEF40CF">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9" w:type="dxa"/>
                  <w:vMerge w:val="continue"/>
                  <w:tcBorders>
                    <w:tl2br w:val="nil"/>
                    <w:tr2bl w:val="nil"/>
                  </w:tcBorders>
                  <w:noWrap w:val="0"/>
                  <w:vAlign w:val="center"/>
                </w:tcPr>
                <w:p w14:paraId="00BB5360">
                  <w:pPr>
                    <w:spacing w:line="240" w:lineRule="auto"/>
                    <w:ind w:firstLine="0" w:firstLineChars="0"/>
                    <w:jc w:val="center"/>
                    <w:rPr>
                      <w:rFonts w:hint="default" w:ascii="Times New Roman" w:hAnsi="Times New Roman" w:cs="Times New Roman"/>
                      <w:color w:val="auto"/>
                      <w:sz w:val="21"/>
                      <w:szCs w:val="21"/>
                      <w:lang w:val="en-US" w:eastAsia="zh-CN"/>
                    </w:rPr>
                  </w:pPr>
                </w:p>
              </w:tc>
              <w:tc>
                <w:tcPr>
                  <w:tcW w:w="799" w:type="dxa"/>
                  <w:tcBorders>
                    <w:tl2br w:val="nil"/>
                    <w:tr2bl w:val="nil"/>
                  </w:tcBorders>
                  <w:noWrap w:val="0"/>
                  <w:vAlign w:val="center"/>
                </w:tcPr>
                <w:p w14:paraId="19CEA928">
                  <w:pPr>
                    <w:spacing w:line="240" w:lineRule="auto"/>
                    <w:ind w:firstLine="0" w:firstLineChars="0"/>
                    <w:jc w:val="center"/>
                    <w:rPr>
                      <w:rFonts w:hint="eastAsia"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第一次</w:t>
                  </w:r>
                </w:p>
              </w:tc>
              <w:tc>
                <w:tcPr>
                  <w:tcW w:w="799" w:type="dxa"/>
                  <w:tcBorders>
                    <w:tl2br w:val="nil"/>
                    <w:tr2bl w:val="nil"/>
                  </w:tcBorders>
                  <w:noWrap w:val="0"/>
                  <w:vAlign w:val="center"/>
                </w:tcPr>
                <w:p w14:paraId="34FABCAF">
                  <w:pPr>
                    <w:spacing w:line="240" w:lineRule="auto"/>
                    <w:ind w:firstLine="0" w:firstLineChars="0"/>
                    <w:jc w:val="center"/>
                    <w:rPr>
                      <w:rFonts w:hint="default"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第二次</w:t>
                  </w:r>
                </w:p>
              </w:tc>
              <w:tc>
                <w:tcPr>
                  <w:tcW w:w="799" w:type="dxa"/>
                  <w:tcBorders>
                    <w:tl2br w:val="nil"/>
                    <w:tr2bl w:val="nil"/>
                  </w:tcBorders>
                  <w:noWrap w:val="0"/>
                  <w:vAlign w:val="center"/>
                </w:tcPr>
                <w:p w14:paraId="12A13CCF">
                  <w:pPr>
                    <w:spacing w:line="240" w:lineRule="auto"/>
                    <w:ind w:firstLine="0" w:firstLineChars="0"/>
                    <w:jc w:val="center"/>
                    <w:rPr>
                      <w:rFonts w:hint="default"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第三次</w:t>
                  </w:r>
                </w:p>
              </w:tc>
              <w:tc>
                <w:tcPr>
                  <w:tcW w:w="802" w:type="dxa"/>
                  <w:tcBorders>
                    <w:tl2br w:val="nil"/>
                    <w:tr2bl w:val="nil"/>
                  </w:tcBorders>
                  <w:noWrap w:val="0"/>
                  <w:vAlign w:val="center"/>
                </w:tcPr>
                <w:p w14:paraId="16C9DD7D">
                  <w:pPr>
                    <w:spacing w:line="240" w:lineRule="auto"/>
                    <w:ind w:firstLine="0" w:firstLineChars="0"/>
                    <w:jc w:val="center"/>
                    <w:rPr>
                      <w:rFonts w:hint="eastAsia"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第四次</w:t>
                  </w:r>
                </w:p>
              </w:tc>
              <w:tc>
                <w:tcPr>
                  <w:tcW w:w="799" w:type="dxa"/>
                  <w:tcBorders>
                    <w:tl2br w:val="nil"/>
                    <w:tr2bl w:val="nil"/>
                  </w:tcBorders>
                  <w:noWrap w:val="0"/>
                  <w:vAlign w:val="center"/>
                </w:tcPr>
                <w:p w14:paraId="0E88C08E">
                  <w:pPr>
                    <w:spacing w:line="240" w:lineRule="auto"/>
                    <w:ind w:firstLine="0" w:firstLineChars="0"/>
                    <w:jc w:val="center"/>
                    <w:rPr>
                      <w:rFonts w:hint="default"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第一次</w:t>
                  </w:r>
                </w:p>
              </w:tc>
              <w:tc>
                <w:tcPr>
                  <w:tcW w:w="799" w:type="dxa"/>
                  <w:tcBorders>
                    <w:tl2br w:val="nil"/>
                    <w:tr2bl w:val="nil"/>
                  </w:tcBorders>
                  <w:noWrap w:val="0"/>
                  <w:vAlign w:val="center"/>
                </w:tcPr>
                <w:p w14:paraId="69E37347">
                  <w:pPr>
                    <w:spacing w:line="240" w:lineRule="auto"/>
                    <w:ind w:firstLine="0" w:firstLineChars="0"/>
                    <w:jc w:val="center"/>
                    <w:rPr>
                      <w:rFonts w:hint="default"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第二次</w:t>
                  </w:r>
                </w:p>
              </w:tc>
              <w:tc>
                <w:tcPr>
                  <w:tcW w:w="799" w:type="dxa"/>
                  <w:tcBorders>
                    <w:tl2br w:val="nil"/>
                    <w:tr2bl w:val="nil"/>
                  </w:tcBorders>
                  <w:noWrap w:val="0"/>
                  <w:vAlign w:val="center"/>
                </w:tcPr>
                <w:p w14:paraId="7120A7A6">
                  <w:pPr>
                    <w:spacing w:line="240" w:lineRule="auto"/>
                    <w:ind w:firstLine="0" w:firstLineChars="0"/>
                    <w:jc w:val="center"/>
                    <w:rPr>
                      <w:rFonts w:hint="eastAsia"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第三次</w:t>
                  </w:r>
                </w:p>
              </w:tc>
              <w:tc>
                <w:tcPr>
                  <w:tcW w:w="808" w:type="dxa"/>
                  <w:tcBorders>
                    <w:tl2br w:val="nil"/>
                    <w:tr2bl w:val="nil"/>
                  </w:tcBorders>
                  <w:noWrap w:val="0"/>
                  <w:vAlign w:val="center"/>
                </w:tcPr>
                <w:p w14:paraId="3C7F6544">
                  <w:pPr>
                    <w:spacing w:line="240" w:lineRule="auto"/>
                    <w:ind w:firstLine="0" w:firstLineChars="0"/>
                    <w:jc w:val="center"/>
                    <w:rPr>
                      <w:rFonts w:hint="eastAsia"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第四次</w:t>
                  </w:r>
                </w:p>
              </w:tc>
              <w:tc>
                <w:tcPr>
                  <w:tcW w:w="878" w:type="dxa"/>
                  <w:vMerge w:val="continue"/>
                  <w:tcBorders>
                    <w:tl2br w:val="nil"/>
                    <w:tr2bl w:val="nil"/>
                  </w:tcBorders>
                  <w:noWrap w:val="0"/>
                  <w:vAlign w:val="center"/>
                </w:tcPr>
                <w:p w14:paraId="6A2CDBC4">
                  <w:pPr>
                    <w:spacing w:line="240" w:lineRule="auto"/>
                    <w:ind w:firstLine="0" w:firstLineChars="0"/>
                    <w:jc w:val="center"/>
                    <w:rPr>
                      <w:rFonts w:hint="eastAsia" w:ascii="Times New Roman" w:hAnsi="Times New Roman" w:cs="Times New Roman"/>
                      <w:color w:val="auto"/>
                      <w:sz w:val="21"/>
                      <w:szCs w:val="21"/>
                      <w:lang w:val="en-US" w:eastAsia="zh-CN"/>
                    </w:rPr>
                  </w:pPr>
                </w:p>
              </w:tc>
            </w:tr>
            <w:tr w14:paraId="0AB79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restart"/>
                  <w:tcBorders>
                    <w:tl2br w:val="nil"/>
                    <w:tr2bl w:val="nil"/>
                  </w:tcBorders>
                  <w:noWrap w:val="0"/>
                  <w:vAlign w:val="center"/>
                </w:tcPr>
                <w:p w14:paraId="31E6437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W1生活污水排放口</w:t>
                  </w:r>
                </w:p>
              </w:tc>
              <w:tc>
                <w:tcPr>
                  <w:tcW w:w="1019" w:type="dxa"/>
                  <w:tcBorders>
                    <w:tl2br w:val="nil"/>
                    <w:tr2bl w:val="nil"/>
                  </w:tcBorders>
                  <w:noWrap w:val="0"/>
                  <w:vAlign w:val="center"/>
                </w:tcPr>
                <w:p w14:paraId="213EB7D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pH值</w:t>
                  </w:r>
                </w:p>
              </w:tc>
              <w:tc>
                <w:tcPr>
                  <w:tcW w:w="799" w:type="dxa"/>
                  <w:tcBorders>
                    <w:tl2br w:val="nil"/>
                    <w:tr2bl w:val="nil"/>
                  </w:tcBorders>
                  <w:noWrap w:val="0"/>
                  <w:vAlign w:val="center"/>
                </w:tcPr>
                <w:p w14:paraId="5710F482">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7.1</w:t>
                  </w:r>
                </w:p>
              </w:tc>
              <w:tc>
                <w:tcPr>
                  <w:tcW w:w="799" w:type="dxa"/>
                  <w:tcBorders>
                    <w:tl2br w:val="nil"/>
                    <w:tr2bl w:val="nil"/>
                  </w:tcBorders>
                  <w:noWrap w:val="0"/>
                  <w:vAlign w:val="center"/>
                </w:tcPr>
                <w:p w14:paraId="45AF19F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7.1</w:t>
                  </w:r>
                </w:p>
              </w:tc>
              <w:tc>
                <w:tcPr>
                  <w:tcW w:w="799" w:type="dxa"/>
                  <w:tcBorders>
                    <w:tl2br w:val="nil"/>
                    <w:tr2bl w:val="nil"/>
                  </w:tcBorders>
                  <w:noWrap w:val="0"/>
                  <w:vAlign w:val="center"/>
                </w:tcPr>
                <w:p w14:paraId="6256194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7.1</w:t>
                  </w:r>
                </w:p>
              </w:tc>
              <w:tc>
                <w:tcPr>
                  <w:tcW w:w="802" w:type="dxa"/>
                  <w:tcBorders>
                    <w:tl2br w:val="nil"/>
                    <w:tr2bl w:val="nil"/>
                  </w:tcBorders>
                  <w:noWrap w:val="0"/>
                  <w:vAlign w:val="center"/>
                </w:tcPr>
                <w:p w14:paraId="6C30F1C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7.0</w:t>
                  </w:r>
                </w:p>
              </w:tc>
              <w:tc>
                <w:tcPr>
                  <w:tcW w:w="799" w:type="dxa"/>
                  <w:tcBorders>
                    <w:tl2br w:val="nil"/>
                    <w:tr2bl w:val="nil"/>
                  </w:tcBorders>
                  <w:noWrap w:val="0"/>
                  <w:vAlign w:val="center"/>
                </w:tcPr>
                <w:p w14:paraId="0B0D3D6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7.1</w:t>
                  </w:r>
                </w:p>
              </w:tc>
              <w:tc>
                <w:tcPr>
                  <w:tcW w:w="799" w:type="dxa"/>
                  <w:tcBorders>
                    <w:tl2br w:val="nil"/>
                    <w:tr2bl w:val="nil"/>
                  </w:tcBorders>
                  <w:noWrap w:val="0"/>
                  <w:vAlign w:val="center"/>
                </w:tcPr>
                <w:p w14:paraId="1D3928D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7.0</w:t>
                  </w:r>
                </w:p>
              </w:tc>
              <w:tc>
                <w:tcPr>
                  <w:tcW w:w="799" w:type="dxa"/>
                  <w:tcBorders>
                    <w:tl2br w:val="nil"/>
                    <w:tr2bl w:val="nil"/>
                  </w:tcBorders>
                  <w:noWrap w:val="0"/>
                  <w:vAlign w:val="center"/>
                </w:tcPr>
                <w:p w14:paraId="26C4C97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7.1</w:t>
                  </w:r>
                </w:p>
              </w:tc>
              <w:tc>
                <w:tcPr>
                  <w:tcW w:w="808" w:type="dxa"/>
                  <w:tcBorders>
                    <w:tl2br w:val="nil"/>
                    <w:tr2bl w:val="nil"/>
                  </w:tcBorders>
                  <w:noWrap w:val="0"/>
                  <w:vAlign w:val="center"/>
                </w:tcPr>
                <w:p w14:paraId="13CA87C2">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7.1</w:t>
                  </w:r>
                </w:p>
              </w:tc>
              <w:tc>
                <w:tcPr>
                  <w:tcW w:w="878" w:type="dxa"/>
                  <w:tcBorders>
                    <w:tl2br w:val="nil"/>
                    <w:tr2bl w:val="nil"/>
                  </w:tcBorders>
                  <w:noWrap w:val="0"/>
                  <w:vAlign w:val="center"/>
                </w:tcPr>
                <w:p w14:paraId="4EDFEAE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6-9</w:t>
                  </w:r>
                </w:p>
              </w:tc>
            </w:tr>
            <w:tr w14:paraId="605B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continue"/>
                  <w:tcBorders>
                    <w:tl2br w:val="nil"/>
                    <w:tr2bl w:val="nil"/>
                  </w:tcBorders>
                  <w:noWrap w:val="0"/>
                  <w:vAlign w:val="center"/>
                </w:tcPr>
                <w:p w14:paraId="79DEB89A">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019" w:type="dxa"/>
                  <w:tcBorders>
                    <w:tl2br w:val="nil"/>
                    <w:tr2bl w:val="nil"/>
                  </w:tcBorders>
                  <w:noWrap w:val="0"/>
                  <w:vAlign w:val="center"/>
                </w:tcPr>
                <w:p w14:paraId="2C8EFF4F">
                  <w:pPr>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悬浮物</w:t>
                  </w:r>
                </w:p>
              </w:tc>
              <w:tc>
                <w:tcPr>
                  <w:tcW w:w="799" w:type="dxa"/>
                  <w:tcBorders>
                    <w:tl2br w:val="nil"/>
                    <w:tr2bl w:val="nil"/>
                  </w:tcBorders>
                  <w:noWrap w:val="0"/>
                  <w:vAlign w:val="center"/>
                </w:tcPr>
                <w:p w14:paraId="6E9620B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16</w:t>
                  </w:r>
                </w:p>
              </w:tc>
              <w:tc>
                <w:tcPr>
                  <w:tcW w:w="799" w:type="dxa"/>
                  <w:tcBorders>
                    <w:tl2br w:val="nil"/>
                    <w:tr2bl w:val="nil"/>
                  </w:tcBorders>
                  <w:noWrap w:val="0"/>
                  <w:vAlign w:val="center"/>
                </w:tcPr>
                <w:p w14:paraId="787FF295">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15</w:t>
                  </w:r>
                </w:p>
              </w:tc>
              <w:tc>
                <w:tcPr>
                  <w:tcW w:w="799" w:type="dxa"/>
                  <w:tcBorders>
                    <w:tl2br w:val="nil"/>
                    <w:tr2bl w:val="nil"/>
                  </w:tcBorders>
                  <w:noWrap w:val="0"/>
                  <w:vAlign w:val="center"/>
                </w:tcPr>
                <w:p w14:paraId="0DC578B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15</w:t>
                  </w:r>
                </w:p>
              </w:tc>
              <w:tc>
                <w:tcPr>
                  <w:tcW w:w="802" w:type="dxa"/>
                  <w:tcBorders>
                    <w:tl2br w:val="nil"/>
                    <w:tr2bl w:val="nil"/>
                  </w:tcBorders>
                  <w:noWrap w:val="0"/>
                  <w:vAlign w:val="center"/>
                </w:tcPr>
                <w:p w14:paraId="1FA2C21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14</w:t>
                  </w:r>
                </w:p>
              </w:tc>
              <w:tc>
                <w:tcPr>
                  <w:tcW w:w="799" w:type="dxa"/>
                  <w:tcBorders>
                    <w:tl2br w:val="nil"/>
                    <w:tr2bl w:val="nil"/>
                  </w:tcBorders>
                  <w:noWrap w:val="0"/>
                  <w:vAlign w:val="center"/>
                </w:tcPr>
                <w:p w14:paraId="64D7794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16</w:t>
                  </w:r>
                </w:p>
              </w:tc>
              <w:tc>
                <w:tcPr>
                  <w:tcW w:w="799" w:type="dxa"/>
                  <w:tcBorders>
                    <w:tl2br w:val="nil"/>
                    <w:tr2bl w:val="nil"/>
                  </w:tcBorders>
                  <w:noWrap w:val="0"/>
                  <w:vAlign w:val="center"/>
                </w:tcPr>
                <w:p w14:paraId="0FD032A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14</w:t>
                  </w:r>
                </w:p>
              </w:tc>
              <w:tc>
                <w:tcPr>
                  <w:tcW w:w="799" w:type="dxa"/>
                  <w:tcBorders>
                    <w:tl2br w:val="nil"/>
                    <w:tr2bl w:val="nil"/>
                  </w:tcBorders>
                  <w:noWrap w:val="0"/>
                  <w:vAlign w:val="center"/>
                </w:tcPr>
                <w:p w14:paraId="2BA8EA12">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16</w:t>
                  </w:r>
                </w:p>
              </w:tc>
              <w:tc>
                <w:tcPr>
                  <w:tcW w:w="808" w:type="dxa"/>
                  <w:tcBorders>
                    <w:tl2br w:val="nil"/>
                    <w:tr2bl w:val="nil"/>
                  </w:tcBorders>
                  <w:noWrap w:val="0"/>
                  <w:vAlign w:val="center"/>
                </w:tcPr>
                <w:p w14:paraId="2346A83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15</w:t>
                  </w:r>
                </w:p>
              </w:tc>
              <w:tc>
                <w:tcPr>
                  <w:tcW w:w="878" w:type="dxa"/>
                  <w:tcBorders>
                    <w:tl2br w:val="nil"/>
                    <w:tr2bl w:val="nil"/>
                  </w:tcBorders>
                  <w:noWrap w:val="0"/>
                  <w:vAlign w:val="center"/>
                </w:tcPr>
                <w:p w14:paraId="5762C47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400</w:t>
                  </w:r>
                </w:p>
              </w:tc>
            </w:tr>
            <w:tr w14:paraId="6664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97" w:type="dxa"/>
                  <w:vMerge w:val="continue"/>
                  <w:tcBorders>
                    <w:tl2br w:val="nil"/>
                    <w:tr2bl w:val="nil"/>
                  </w:tcBorders>
                  <w:noWrap w:val="0"/>
                  <w:vAlign w:val="center"/>
                </w:tcPr>
                <w:p w14:paraId="2C9B941F">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9" w:type="dxa"/>
                  <w:tcBorders>
                    <w:tl2br w:val="nil"/>
                    <w:tr2bl w:val="nil"/>
                  </w:tcBorders>
                  <w:noWrap w:val="0"/>
                  <w:vAlign w:val="center"/>
                </w:tcPr>
                <w:p w14:paraId="6E2E420D">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COD</w:t>
                  </w:r>
                </w:p>
              </w:tc>
              <w:tc>
                <w:tcPr>
                  <w:tcW w:w="799" w:type="dxa"/>
                  <w:tcBorders>
                    <w:tl2br w:val="nil"/>
                    <w:tr2bl w:val="nil"/>
                  </w:tcBorders>
                  <w:noWrap w:val="0"/>
                  <w:vAlign w:val="center"/>
                </w:tcPr>
                <w:p w14:paraId="3F5198E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254</w:t>
                  </w:r>
                </w:p>
              </w:tc>
              <w:tc>
                <w:tcPr>
                  <w:tcW w:w="799" w:type="dxa"/>
                  <w:tcBorders>
                    <w:tl2br w:val="nil"/>
                    <w:tr2bl w:val="nil"/>
                  </w:tcBorders>
                  <w:noWrap w:val="0"/>
                  <w:vAlign w:val="center"/>
                </w:tcPr>
                <w:p w14:paraId="3CE1BFB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344</w:t>
                  </w:r>
                </w:p>
              </w:tc>
              <w:tc>
                <w:tcPr>
                  <w:tcW w:w="799" w:type="dxa"/>
                  <w:tcBorders>
                    <w:tl2br w:val="nil"/>
                    <w:tr2bl w:val="nil"/>
                  </w:tcBorders>
                  <w:noWrap w:val="0"/>
                  <w:vAlign w:val="center"/>
                </w:tcPr>
                <w:p w14:paraId="79D5982D">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358</w:t>
                  </w:r>
                </w:p>
              </w:tc>
              <w:tc>
                <w:tcPr>
                  <w:tcW w:w="802" w:type="dxa"/>
                  <w:tcBorders>
                    <w:tl2br w:val="nil"/>
                    <w:tr2bl w:val="nil"/>
                  </w:tcBorders>
                  <w:noWrap w:val="0"/>
                  <w:vAlign w:val="center"/>
                </w:tcPr>
                <w:p w14:paraId="075744ED">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369</w:t>
                  </w:r>
                </w:p>
              </w:tc>
              <w:tc>
                <w:tcPr>
                  <w:tcW w:w="799" w:type="dxa"/>
                  <w:tcBorders>
                    <w:tl2br w:val="nil"/>
                    <w:tr2bl w:val="nil"/>
                  </w:tcBorders>
                  <w:noWrap w:val="0"/>
                  <w:vAlign w:val="center"/>
                </w:tcPr>
                <w:p w14:paraId="06238ED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237</w:t>
                  </w:r>
                </w:p>
              </w:tc>
              <w:tc>
                <w:tcPr>
                  <w:tcW w:w="799" w:type="dxa"/>
                  <w:tcBorders>
                    <w:tl2br w:val="nil"/>
                    <w:tr2bl w:val="nil"/>
                  </w:tcBorders>
                  <w:noWrap w:val="0"/>
                  <w:vAlign w:val="center"/>
                </w:tcPr>
                <w:p w14:paraId="71588BC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247</w:t>
                  </w:r>
                </w:p>
              </w:tc>
              <w:tc>
                <w:tcPr>
                  <w:tcW w:w="799" w:type="dxa"/>
                  <w:tcBorders>
                    <w:tl2br w:val="nil"/>
                    <w:tr2bl w:val="nil"/>
                  </w:tcBorders>
                  <w:noWrap w:val="0"/>
                  <w:vAlign w:val="center"/>
                </w:tcPr>
                <w:p w14:paraId="5865DAC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112</w:t>
                  </w:r>
                </w:p>
              </w:tc>
              <w:tc>
                <w:tcPr>
                  <w:tcW w:w="808" w:type="dxa"/>
                  <w:tcBorders>
                    <w:tl2br w:val="nil"/>
                    <w:tr2bl w:val="nil"/>
                  </w:tcBorders>
                  <w:noWrap w:val="0"/>
                  <w:vAlign w:val="center"/>
                </w:tcPr>
                <w:p w14:paraId="0C6574B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120</w:t>
                  </w:r>
                </w:p>
              </w:tc>
              <w:tc>
                <w:tcPr>
                  <w:tcW w:w="878" w:type="dxa"/>
                  <w:tcBorders>
                    <w:tl2br w:val="nil"/>
                    <w:tr2bl w:val="nil"/>
                  </w:tcBorders>
                  <w:noWrap w:val="0"/>
                  <w:vAlign w:val="center"/>
                </w:tcPr>
                <w:p w14:paraId="5924C84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500</w:t>
                  </w:r>
                </w:p>
              </w:tc>
            </w:tr>
            <w:tr w14:paraId="1B36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97" w:type="dxa"/>
                  <w:vMerge w:val="continue"/>
                  <w:tcBorders>
                    <w:tl2br w:val="nil"/>
                    <w:tr2bl w:val="nil"/>
                  </w:tcBorders>
                  <w:noWrap w:val="0"/>
                  <w:vAlign w:val="center"/>
                </w:tcPr>
                <w:p w14:paraId="44EDE82A">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9" w:type="dxa"/>
                  <w:tcBorders>
                    <w:tl2br w:val="nil"/>
                    <w:tr2bl w:val="nil"/>
                  </w:tcBorders>
                  <w:noWrap w:val="0"/>
                  <w:vAlign w:val="center"/>
                </w:tcPr>
                <w:p w14:paraId="307EC29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BOD5</w:t>
                  </w:r>
                </w:p>
              </w:tc>
              <w:tc>
                <w:tcPr>
                  <w:tcW w:w="799" w:type="dxa"/>
                  <w:tcBorders>
                    <w:tl2br w:val="nil"/>
                    <w:tr2bl w:val="nil"/>
                  </w:tcBorders>
                  <w:noWrap w:val="0"/>
                  <w:vAlign w:val="center"/>
                </w:tcPr>
                <w:p w14:paraId="61534B9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84.6</w:t>
                  </w:r>
                </w:p>
              </w:tc>
              <w:tc>
                <w:tcPr>
                  <w:tcW w:w="799" w:type="dxa"/>
                  <w:tcBorders>
                    <w:tl2br w:val="nil"/>
                    <w:tr2bl w:val="nil"/>
                  </w:tcBorders>
                  <w:noWrap w:val="0"/>
                  <w:vAlign w:val="center"/>
                </w:tcPr>
                <w:p w14:paraId="3F432A3D">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126</w:t>
                  </w:r>
                </w:p>
              </w:tc>
              <w:tc>
                <w:tcPr>
                  <w:tcW w:w="799" w:type="dxa"/>
                  <w:tcBorders>
                    <w:tl2br w:val="nil"/>
                    <w:tr2bl w:val="nil"/>
                  </w:tcBorders>
                  <w:noWrap w:val="0"/>
                  <w:vAlign w:val="center"/>
                </w:tcPr>
                <w:p w14:paraId="5C1784D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137</w:t>
                  </w:r>
                </w:p>
              </w:tc>
              <w:tc>
                <w:tcPr>
                  <w:tcW w:w="802" w:type="dxa"/>
                  <w:tcBorders>
                    <w:tl2br w:val="nil"/>
                    <w:tr2bl w:val="nil"/>
                  </w:tcBorders>
                  <w:noWrap w:val="0"/>
                  <w:vAlign w:val="center"/>
                </w:tcPr>
                <w:p w14:paraId="1828A135">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136</w:t>
                  </w:r>
                </w:p>
              </w:tc>
              <w:tc>
                <w:tcPr>
                  <w:tcW w:w="799" w:type="dxa"/>
                  <w:tcBorders>
                    <w:tl2br w:val="nil"/>
                    <w:tr2bl w:val="nil"/>
                  </w:tcBorders>
                  <w:noWrap w:val="0"/>
                  <w:vAlign w:val="center"/>
                </w:tcPr>
                <w:p w14:paraId="58C20F5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79.0</w:t>
                  </w:r>
                </w:p>
              </w:tc>
              <w:tc>
                <w:tcPr>
                  <w:tcW w:w="799" w:type="dxa"/>
                  <w:tcBorders>
                    <w:tl2br w:val="nil"/>
                    <w:tr2bl w:val="nil"/>
                  </w:tcBorders>
                  <w:noWrap w:val="0"/>
                  <w:vAlign w:val="center"/>
                </w:tcPr>
                <w:p w14:paraId="34D9BA7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81.6</w:t>
                  </w:r>
                </w:p>
              </w:tc>
              <w:tc>
                <w:tcPr>
                  <w:tcW w:w="799" w:type="dxa"/>
                  <w:tcBorders>
                    <w:tl2br w:val="nil"/>
                    <w:tr2bl w:val="nil"/>
                  </w:tcBorders>
                  <w:noWrap w:val="0"/>
                  <w:vAlign w:val="center"/>
                </w:tcPr>
                <w:p w14:paraId="61DB936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33.9</w:t>
                  </w:r>
                </w:p>
              </w:tc>
              <w:tc>
                <w:tcPr>
                  <w:tcW w:w="808" w:type="dxa"/>
                  <w:tcBorders>
                    <w:tl2br w:val="nil"/>
                    <w:tr2bl w:val="nil"/>
                  </w:tcBorders>
                  <w:noWrap w:val="0"/>
                  <w:vAlign w:val="center"/>
                </w:tcPr>
                <w:p w14:paraId="579E6E6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36.6</w:t>
                  </w:r>
                </w:p>
              </w:tc>
              <w:tc>
                <w:tcPr>
                  <w:tcW w:w="878" w:type="dxa"/>
                  <w:tcBorders>
                    <w:tl2br w:val="nil"/>
                    <w:tr2bl w:val="nil"/>
                  </w:tcBorders>
                  <w:noWrap w:val="0"/>
                  <w:vAlign w:val="center"/>
                </w:tcPr>
                <w:p w14:paraId="0D19647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300</w:t>
                  </w:r>
                </w:p>
              </w:tc>
            </w:tr>
            <w:tr w14:paraId="3E6EB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continue"/>
                  <w:tcBorders>
                    <w:tl2br w:val="nil"/>
                    <w:tr2bl w:val="nil"/>
                  </w:tcBorders>
                  <w:noWrap w:val="0"/>
                  <w:vAlign w:val="center"/>
                </w:tcPr>
                <w:p w14:paraId="21E807F5">
                  <w:pPr>
                    <w:spacing w:line="240" w:lineRule="auto"/>
                    <w:ind w:firstLine="0" w:firstLineChars="0"/>
                    <w:jc w:val="center"/>
                    <w:rPr>
                      <w:rFonts w:hint="eastAsia" w:ascii="Times New Roman" w:hAnsi="Times New Roman" w:cs="Times New Roman"/>
                      <w:color w:val="auto"/>
                      <w:sz w:val="21"/>
                      <w:szCs w:val="21"/>
                      <w:lang w:val="en-US" w:eastAsia="zh-CN"/>
                    </w:rPr>
                  </w:pPr>
                </w:p>
              </w:tc>
              <w:tc>
                <w:tcPr>
                  <w:tcW w:w="1019" w:type="dxa"/>
                  <w:tcBorders>
                    <w:tl2br w:val="nil"/>
                    <w:tr2bl w:val="nil"/>
                  </w:tcBorders>
                  <w:noWrap w:val="0"/>
                  <w:vAlign w:val="center"/>
                </w:tcPr>
                <w:p w14:paraId="7FC41A9B">
                  <w:pPr>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氨氮</w:t>
                  </w:r>
                </w:p>
              </w:tc>
              <w:tc>
                <w:tcPr>
                  <w:tcW w:w="799" w:type="dxa"/>
                  <w:tcBorders>
                    <w:tl2br w:val="nil"/>
                    <w:tr2bl w:val="nil"/>
                  </w:tcBorders>
                  <w:noWrap w:val="0"/>
                  <w:vAlign w:val="center"/>
                </w:tcPr>
                <w:p w14:paraId="44C3365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22.4</w:t>
                  </w:r>
                </w:p>
              </w:tc>
              <w:tc>
                <w:tcPr>
                  <w:tcW w:w="799" w:type="dxa"/>
                  <w:tcBorders>
                    <w:tl2br w:val="nil"/>
                    <w:tr2bl w:val="nil"/>
                  </w:tcBorders>
                  <w:noWrap w:val="0"/>
                  <w:vAlign w:val="center"/>
                </w:tcPr>
                <w:p w14:paraId="25F80BB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27.8</w:t>
                  </w:r>
                </w:p>
              </w:tc>
              <w:tc>
                <w:tcPr>
                  <w:tcW w:w="799" w:type="dxa"/>
                  <w:tcBorders>
                    <w:tl2br w:val="nil"/>
                    <w:tr2bl w:val="nil"/>
                  </w:tcBorders>
                  <w:noWrap w:val="0"/>
                  <w:vAlign w:val="center"/>
                </w:tcPr>
                <w:p w14:paraId="6E67295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21.0</w:t>
                  </w:r>
                </w:p>
              </w:tc>
              <w:tc>
                <w:tcPr>
                  <w:tcW w:w="802" w:type="dxa"/>
                  <w:tcBorders>
                    <w:tl2br w:val="nil"/>
                    <w:tr2bl w:val="nil"/>
                  </w:tcBorders>
                  <w:noWrap w:val="0"/>
                  <w:vAlign w:val="center"/>
                </w:tcPr>
                <w:p w14:paraId="5EEE3A4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21.6</w:t>
                  </w:r>
                </w:p>
              </w:tc>
              <w:tc>
                <w:tcPr>
                  <w:tcW w:w="799" w:type="dxa"/>
                  <w:tcBorders>
                    <w:tl2br w:val="nil"/>
                    <w:tr2bl w:val="nil"/>
                  </w:tcBorders>
                  <w:noWrap w:val="0"/>
                  <w:vAlign w:val="center"/>
                </w:tcPr>
                <w:p w14:paraId="0D2F850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15.2</w:t>
                  </w:r>
                </w:p>
              </w:tc>
              <w:tc>
                <w:tcPr>
                  <w:tcW w:w="799" w:type="dxa"/>
                  <w:tcBorders>
                    <w:tl2br w:val="nil"/>
                    <w:tr2bl w:val="nil"/>
                  </w:tcBorders>
                  <w:noWrap w:val="0"/>
                  <w:vAlign w:val="center"/>
                </w:tcPr>
                <w:p w14:paraId="2982C8D5">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13.2</w:t>
                  </w:r>
                </w:p>
              </w:tc>
              <w:tc>
                <w:tcPr>
                  <w:tcW w:w="799" w:type="dxa"/>
                  <w:tcBorders>
                    <w:tl2br w:val="nil"/>
                    <w:tr2bl w:val="nil"/>
                  </w:tcBorders>
                  <w:noWrap w:val="0"/>
                  <w:vAlign w:val="center"/>
                </w:tcPr>
                <w:p w14:paraId="646B1C1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14.2</w:t>
                  </w:r>
                </w:p>
              </w:tc>
              <w:tc>
                <w:tcPr>
                  <w:tcW w:w="808" w:type="dxa"/>
                  <w:tcBorders>
                    <w:tl2br w:val="nil"/>
                    <w:tr2bl w:val="nil"/>
                  </w:tcBorders>
                  <w:noWrap w:val="0"/>
                  <w:vAlign w:val="center"/>
                </w:tcPr>
                <w:p w14:paraId="3C7EDE9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16.7</w:t>
                  </w:r>
                </w:p>
              </w:tc>
              <w:tc>
                <w:tcPr>
                  <w:tcW w:w="878" w:type="dxa"/>
                  <w:tcBorders>
                    <w:tl2br w:val="nil"/>
                    <w:tr2bl w:val="nil"/>
                  </w:tcBorders>
                  <w:noWrap w:val="0"/>
                  <w:vAlign w:val="center"/>
                </w:tcPr>
                <w:p w14:paraId="2472A11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45</w:t>
                  </w:r>
                </w:p>
              </w:tc>
            </w:tr>
            <w:tr w14:paraId="4842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continue"/>
                  <w:tcBorders>
                    <w:tl2br w:val="nil"/>
                    <w:tr2bl w:val="nil"/>
                  </w:tcBorders>
                  <w:noWrap w:val="0"/>
                  <w:vAlign w:val="center"/>
                </w:tcPr>
                <w:p w14:paraId="2F442BC5">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9" w:type="dxa"/>
                  <w:tcBorders>
                    <w:tl2br w:val="nil"/>
                    <w:tr2bl w:val="nil"/>
                  </w:tcBorders>
                  <w:noWrap w:val="0"/>
                  <w:vAlign w:val="center"/>
                </w:tcPr>
                <w:p w14:paraId="09A78176">
                  <w:pPr>
                    <w:spacing w:line="240"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总磷</w:t>
                  </w:r>
                </w:p>
              </w:tc>
              <w:tc>
                <w:tcPr>
                  <w:tcW w:w="799" w:type="dxa"/>
                  <w:tcBorders>
                    <w:tl2br w:val="nil"/>
                    <w:tr2bl w:val="nil"/>
                  </w:tcBorders>
                  <w:noWrap w:val="0"/>
                  <w:vAlign w:val="center"/>
                </w:tcPr>
                <w:p w14:paraId="190175B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20.2</w:t>
                  </w:r>
                </w:p>
              </w:tc>
              <w:tc>
                <w:tcPr>
                  <w:tcW w:w="799" w:type="dxa"/>
                  <w:tcBorders>
                    <w:tl2br w:val="nil"/>
                    <w:tr2bl w:val="nil"/>
                  </w:tcBorders>
                  <w:noWrap w:val="0"/>
                  <w:vAlign w:val="center"/>
                </w:tcPr>
                <w:p w14:paraId="35FC386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20.8</w:t>
                  </w:r>
                </w:p>
              </w:tc>
              <w:tc>
                <w:tcPr>
                  <w:tcW w:w="799" w:type="dxa"/>
                  <w:tcBorders>
                    <w:tl2br w:val="nil"/>
                    <w:tr2bl w:val="nil"/>
                  </w:tcBorders>
                  <w:noWrap w:val="0"/>
                  <w:vAlign w:val="center"/>
                </w:tcPr>
                <w:p w14:paraId="601FDB6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21.0</w:t>
                  </w:r>
                </w:p>
              </w:tc>
              <w:tc>
                <w:tcPr>
                  <w:tcW w:w="802" w:type="dxa"/>
                  <w:tcBorders>
                    <w:tl2br w:val="nil"/>
                    <w:tr2bl w:val="nil"/>
                  </w:tcBorders>
                  <w:noWrap w:val="0"/>
                  <w:vAlign w:val="center"/>
                </w:tcPr>
                <w:p w14:paraId="4F58E35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20.1</w:t>
                  </w:r>
                </w:p>
              </w:tc>
              <w:tc>
                <w:tcPr>
                  <w:tcW w:w="799" w:type="dxa"/>
                  <w:tcBorders>
                    <w:tl2br w:val="nil"/>
                    <w:tr2bl w:val="nil"/>
                  </w:tcBorders>
                  <w:noWrap w:val="0"/>
                  <w:vAlign w:val="center"/>
                </w:tcPr>
                <w:p w14:paraId="6A25850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17.8</w:t>
                  </w:r>
                </w:p>
              </w:tc>
              <w:tc>
                <w:tcPr>
                  <w:tcW w:w="799" w:type="dxa"/>
                  <w:tcBorders>
                    <w:tl2br w:val="nil"/>
                    <w:tr2bl w:val="nil"/>
                  </w:tcBorders>
                  <w:noWrap w:val="0"/>
                  <w:vAlign w:val="center"/>
                </w:tcPr>
                <w:p w14:paraId="16F4F23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16.8</w:t>
                  </w:r>
                </w:p>
              </w:tc>
              <w:tc>
                <w:tcPr>
                  <w:tcW w:w="799" w:type="dxa"/>
                  <w:tcBorders>
                    <w:tl2br w:val="nil"/>
                    <w:tr2bl w:val="nil"/>
                  </w:tcBorders>
                  <w:noWrap w:val="0"/>
                  <w:vAlign w:val="center"/>
                </w:tcPr>
                <w:p w14:paraId="03FBA914">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17.4</w:t>
                  </w:r>
                </w:p>
              </w:tc>
              <w:tc>
                <w:tcPr>
                  <w:tcW w:w="808" w:type="dxa"/>
                  <w:tcBorders>
                    <w:tl2br w:val="nil"/>
                    <w:tr2bl w:val="nil"/>
                  </w:tcBorders>
                  <w:noWrap w:val="0"/>
                  <w:vAlign w:val="center"/>
                </w:tcPr>
                <w:p w14:paraId="0B2D9D0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16.5</w:t>
                  </w:r>
                </w:p>
              </w:tc>
              <w:tc>
                <w:tcPr>
                  <w:tcW w:w="878" w:type="dxa"/>
                  <w:tcBorders>
                    <w:tl2br w:val="nil"/>
                    <w:tr2bl w:val="nil"/>
                  </w:tcBorders>
                  <w:noWrap w:val="0"/>
                  <w:vAlign w:val="center"/>
                </w:tcPr>
                <w:p w14:paraId="4DA4B12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0D55B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7" w:type="dxa"/>
                  <w:vMerge w:val="continue"/>
                  <w:tcBorders>
                    <w:tl2br w:val="nil"/>
                    <w:tr2bl w:val="nil"/>
                  </w:tcBorders>
                  <w:noWrap w:val="0"/>
                  <w:vAlign w:val="center"/>
                </w:tcPr>
                <w:p w14:paraId="20360DF1">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9" w:type="dxa"/>
                  <w:tcBorders>
                    <w:tl2br w:val="nil"/>
                    <w:tr2bl w:val="nil"/>
                  </w:tcBorders>
                  <w:noWrap w:val="0"/>
                  <w:vAlign w:val="center"/>
                </w:tcPr>
                <w:p w14:paraId="17416FB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动植物油</w:t>
                  </w:r>
                </w:p>
              </w:tc>
              <w:tc>
                <w:tcPr>
                  <w:tcW w:w="799" w:type="dxa"/>
                  <w:tcBorders>
                    <w:tl2br w:val="nil"/>
                    <w:tr2bl w:val="nil"/>
                  </w:tcBorders>
                  <w:noWrap w:val="0"/>
                  <w:vAlign w:val="center"/>
                </w:tcPr>
                <w:p w14:paraId="04A5DC3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9.85</w:t>
                  </w:r>
                </w:p>
              </w:tc>
              <w:tc>
                <w:tcPr>
                  <w:tcW w:w="799" w:type="dxa"/>
                  <w:tcBorders>
                    <w:tl2br w:val="nil"/>
                    <w:tr2bl w:val="nil"/>
                  </w:tcBorders>
                  <w:noWrap w:val="0"/>
                  <w:vAlign w:val="center"/>
                </w:tcPr>
                <w:p w14:paraId="508BCFC4">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9.69</w:t>
                  </w:r>
                </w:p>
              </w:tc>
              <w:tc>
                <w:tcPr>
                  <w:tcW w:w="799" w:type="dxa"/>
                  <w:tcBorders>
                    <w:tl2br w:val="nil"/>
                    <w:tr2bl w:val="nil"/>
                  </w:tcBorders>
                  <w:noWrap w:val="0"/>
                  <w:vAlign w:val="center"/>
                </w:tcPr>
                <w:p w14:paraId="54F7E82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9.67</w:t>
                  </w:r>
                </w:p>
              </w:tc>
              <w:tc>
                <w:tcPr>
                  <w:tcW w:w="802" w:type="dxa"/>
                  <w:tcBorders>
                    <w:tl2br w:val="nil"/>
                    <w:tr2bl w:val="nil"/>
                  </w:tcBorders>
                  <w:noWrap w:val="0"/>
                  <w:vAlign w:val="center"/>
                </w:tcPr>
                <w:p w14:paraId="10C3E36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8.77</w:t>
                  </w:r>
                </w:p>
              </w:tc>
              <w:tc>
                <w:tcPr>
                  <w:tcW w:w="799" w:type="dxa"/>
                  <w:tcBorders>
                    <w:tl2br w:val="nil"/>
                    <w:tr2bl w:val="nil"/>
                  </w:tcBorders>
                  <w:noWrap w:val="0"/>
                  <w:vAlign w:val="center"/>
                </w:tcPr>
                <w:p w14:paraId="217BA3A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9.72</w:t>
                  </w:r>
                </w:p>
              </w:tc>
              <w:tc>
                <w:tcPr>
                  <w:tcW w:w="799" w:type="dxa"/>
                  <w:tcBorders>
                    <w:tl2br w:val="nil"/>
                    <w:tr2bl w:val="nil"/>
                  </w:tcBorders>
                  <w:noWrap w:val="0"/>
                  <w:vAlign w:val="center"/>
                </w:tcPr>
                <w:p w14:paraId="3D123F2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9.52</w:t>
                  </w:r>
                </w:p>
              </w:tc>
              <w:tc>
                <w:tcPr>
                  <w:tcW w:w="799" w:type="dxa"/>
                  <w:tcBorders>
                    <w:tl2br w:val="nil"/>
                    <w:tr2bl w:val="nil"/>
                  </w:tcBorders>
                  <w:noWrap w:val="0"/>
                  <w:vAlign w:val="center"/>
                </w:tcPr>
                <w:p w14:paraId="73A0B5F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8.47</w:t>
                  </w:r>
                </w:p>
              </w:tc>
              <w:tc>
                <w:tcPr>
                  <w:tcW w:w="808" w:type="dxa"/>
                  <w:tcBorders>
                    <w:tl2br w:val="nil"/>
                    <w:tr2bl w:val="nil"/>
                  </w:tcBorders>
                  <w:noWrap w:val="0"/>
                  <w:vAlign w:val="center"/>
                </w:tcPr>
                <w:p w14:paraId="0CD66AB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8.36</w:t>
                  </w:r>
                </w:p>
              </w:tc>
              <w:tc>
                <w:tcPr>
                  <w:tcW w:w="878" w:type="dxa"/>
                  <w:tcBorders>
                    <w:tl2br w:val="nil"/>
                    <w:tr2bl w:val="nil"/>
                  </w:tcBorders>
                  <w:noWrap w:val="0"/>
                  <w:vAlign w:val="center"/>
                </w:tcPr>
                <w:p w14:paraId="67D9B61F">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w:t>
                  </w:r>
                </w:p>
              </w:tc>
            </w:tr>
          </w:tbl>
          <w:p w14:paraId="33083440">
            <w:pPr>
              <w:bidi w:val="0"/>
              <w:ind w:left="0" w:leftChars="0" w:firstLine="480" w:firstLineChars="200"/>
              <w:rPr>
                <w:rFonts w:hint="default" w:ascii="Times New Roman" w:hAnsi="Times New Roman" w:cs="Times New Roman"/>
                <w:lang w:val="en-US" w:eastAsia="zh-CN"/>
              </w:rPr>
            </w:pPr>
            <w:r>
              <w:rPr>
                <w:rFonts w:hint="default" w:ascii="Times New Roman" w:hAnsi="Times New Roman" w:cs="Times New Roman"/>
                <w:color w:val="auto"/>
                <w:lang w:val="en-US" w:eastAsia="zh-CN"/>
              </w:rPr>
              <w:t>表7-</w:t>
            </w:r>
            <w:r>
              <w:rPr>
                <w:rFonts w:hint="eastAsia" w:ascii="Times New Roman" w:hAnsi="Times New Roman" w:cs="Times New Roman"/>
                <w:color w:val="auto"/>
                <w:lang w:val="en-US" w:eastAsia="zh-CN"/>
              </w:rPr>
              <w:t>5</w:t>
            </w:r>
            <w:r>
              <w:rPr>
                <w:rFonts w:hint="default" w:ascii="Times New Roman" w:hAnsi="Times New Roman" w:cs="Times New Roman"/>
                <w:color w:val="auto"/>
                <w:lang w:val="en-US" w:eastAsia="zh-CN"/>
              </w:rPr>
              <w:t>监测结果表明，验收监测期间，</w:t>
            </w:r>
            <w:r>
              <w:rPr>
                <w:rFonts w:hint="eastAsia" w:ascii="Times New Roman" w:hAnsi="Times New Roman" w:cs="Times New Roman"/>
                <w:color w:val="auto"/>
                <w:lang w:val="en-US" w:eastAsia="zh-CN"/>
              </w:rPr>
              <w:t>生活污水排放口</w:t>
            </w:r>
            <w:r>
              <w:rPr>
                <w:rFonts w:hint="default" w:ascii="Times New Roman" w:hAnsi="Times New Roman" w:cs="Times New Roman"/>
                <w:color w:val="auto"/>
                <w:lang w:val="en-US" w:eastAsia="zh-CN"/>
              </w:rPr>
              <w:t>处监测点位处的</w:t>
            </w:r>
            <w:r>
              <w:rPr>
                <w:rFonts w:hint="eastAsia" w:ascii="Times New Roman" w:hAnsi="Times New Roman" w:cs="Times New Roman"/>
                <w:color w:val="auto"/>
                <w:lang w:val="en-US" w:eastAsia="zh-CN"/>
              </w:rPr>
              <w:t>pH、悬浮物、COD、BOD5、总磷和动植物油外排</w:t>
            </w:r>
            <w:r>
              <w:rPr>
                <w:rFonts w:hint="default" w:ascii="Times New Roman" w:hAnsi="Times New Roman" w:cs="Times New Roman"/>
                <w:color w:val="auto"/>
                <w:lang w:val="en-US" w:eastAsia="zh-CN"/>
              </w:rPr>
              <w:t>浓度符合《污水综合排放标准》（GB 8978-1996 ）表4中三级标准限值；氨氮外排浓度</w:t>
            </w:r>
            <w:r>
              <w:rPr>
                <w:rFonts w:hint="eastAsia" w:ascii="Times New Roman" w:hAnsi="Times New Roman" w:cs="Times New Roman"/>
                <w:color w:val="auto"/>
                <w:lang w:val="en-US" w:eastAsia="zh-CN"/>
              </w:rPr>
              <w:t>符合</w:t>
            </w:r>
            <w:r>
              <w:rPr>
                <w:rFonts w:hint="default" w:ascii="Times New Roman" w:hAnsi="Times New Roman" w:cs="Times New Roman"/>
                <w:color w:val="auto"/>
                <w:lang w:val="en-US" w:eastAsia="zh-CN"/>
              </w:rPr>
              <w:t>《污水排入城镇下水道水质标准》（GB/T31962-2015）表1中B级标准限值。</w:t>
            </w:r>
          </w:p>
          <w:p w14:paraId="27175417">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4</w:t>
            </w:r>
            <w:r>
              <w:rPr>
                <w:rFonts w:hint="default" w:ascii="Times New Roman" w:hAnsi="Times New Roman" w:cs="Times New Roman" w:eastAsiaTheme="minorEastAsia"/>
                <w:sz w:val="24"/>
                <w:szCs w:val="24"/>
              </w:rPr>
              <w:t>、厂界噪声</w:t>
            </w:r>
            <w:r>
              <w:rPr>
                <w:rFonts w:hint="default" w:ascii="Times New Roman" w:hAnsi="Times New Roman" w:cs="Times New Roman" w:eastAsiaTheme="minorEastAsia"/>
                <w:color w:val="auto"/>
                <w:sz w:val="24"/>
                <w:szCs w:val="24"/>
                <w:lang w:eastAsia="zh-CN"/>
              </w:rPr>
              <w:t>监</w:t>
            </w:r>
            <w:r>
              <w:rPr>
                <w:rFonts w:hint="default" w:ascii="Times New Roman" w:hAnsi="Times New Roman" w:cs="Times New Roman" w:eastAsiaTheme="minorEastAsia"/>
                <w:color w:val="auto"/>
                <w:sz w:val="24"/>
                <w:szCs w:val="24"/>
              </w:rPr>
              <w:t>测</w:t>
            </w:r>
            <w:r>
              <w:rPr>
                <w:rFonts w:hint="default" w:ascii="Times New Roman" w:hAnsi="Times New Roman" w:cs="Times New Roman" w:eastAsiaTheme="minorEastAsia"/>
                <w:sz w:val="24"/>
                <w:szCs w:val="24"/>
              </w:rPr>
              <w:t>结果与评价</w:t>
            </w:r>
          </w:p>
          <w:p w14:paraId="2D27CC2C">
            <w:pPr>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sz w:val="21"/>
                <w:szCs w:val="21"/>
                <w:lang w:val="en-US" w:eastAsia="zh-CN"/>
              </w:rPr>
            </w:pPr>
            <w:r>
              <w:rPr>
                <w:rFonts w:hint="default" w:ascii="Times New Roman" w:hAnsi="Times New Roman" w:cs="Times New Roman"/>
                <w:bCs/>
                <w:color w:val="000000"/>
                <w:kern w:val="0"/>
              </w:rPr>
              <w:t>厂界噪</w:t>
            </w:r>
            <w:r>
              <w:rPr>
                <w:rFonts w:hint="default" w:ascii="Times New Roman" w:hAnsi="Times New Roman" w:cs="Times New Roman"/>
                <w:bCs/>
                <w:color w:val="auto"/>
                <w:kern w:val="0"/>
              </w:rPr>
              <w:t>声</w:t>
            </w:r>
            <w:r>
              <w:rPr>
                <w:rFonts w:hint="default" w:ascii="Times New Roman" w:hAnsi="Times New Roman" w:cs="Times New Roman"/>
                <w:bCs/>
                <w:color w:val="auto"/>
                <w:kern w:val="0"/>
                <w:lang w:eastAsia="zh-CN"/>
              </w:rPr>
              <w:t>监</w:t>
            </w:r>
            <w:r>
              <w:rPr>
                <w:rFonts w:hint="default" w:ascii="Times New Roman" w:hAnsi="Times New Roman" w:cs="Times New Roman"/>
                <w:bCs/>
                <w:color w:val="auto"/>
                <w:kern w:val="0"/>
              </w:rPr>
              <w:t>测</w:t>
            </w:r>
            <w:r>
              <w:rPr>
                <w:rFonts w:hint="default" w:ascii="Times New Roman" w:hAnsi="Times New Roman" w:cs="Times New Roman"/>
                <w:bCs/>
                <w:color w:val="000000"/>
                <w:kern w:val="0"/>
              </w:rPr>
              <w:t>结果见表</w:t>
            </w:r>
            <w:r>
              <w:rPr>
                <w:rFonts w:hint="default" w:ascii="Times New Roman" w:hAnsi="Times New Roman" w:cs="Times New Roman"/>
              </w:rPr>
              <w:t>7-</w:t>
            </w:r>
            <w:r>
              <w:rPr>
                <w:rFonts w:hint="eastAsia" w:cs="Times New Roman"/>
                <w:lang w:val="en-US" w:eastAsia="zh-CN"/>
              </w:rPr>
              <w:t>6</w:t>
            </w:r>
            <w:r>
              <w:rPr>
                <w:rFonts w:hint="default" w:ascii="Times New Roman" w:hAnsi="Times New Roman" w:cs="Times New Roman"/>
              </w:rPr>
              <w:t>。</w:t>
            </w:r>
            <w:r>
              <w:rPr>
                <w:rFonts w:hint="default" w:ascii="Times New Roman" w:hAnsi="Times New Roman" w:cs="Times New Roman"/>
                <w:b/>
                <w:sz w:val="21"/>
                <w:szCs w:val="21"/>
                <w:lang w:val="en-US" w:eastAsia="zh-CN"/>
              </w:rPr>
              <w:t xml:space="preserve">                                </w:t>
            </w:r>
          </w:p>
          <w:p w14:paraId="5DB70054">
            <w:pPr>
              <w:spacing w:line="240" w:lineRule="auto"/>
              <w:ind w:firstLine="0" w:firstLineChars="0"/>
              <w:jc w:val="right"/>
              <w:rPr>
                <w:rFonts w:hint="default" w:ascii="Times New Roman" w:hAnsi="Times New Roman" w:cs="Times New Roman"/>
                <w:color w:val="000000"/>
                <w:sz w:val="21"/>
                <w:szCs w:val="21"/>
              </w:rPr>
            </w:pPr>
            <w:r>
              <w:rPr>
                <w:rFonts w:hint="default" w:ascii="Times New Roman" w:hAnsi="Times New Roman" w:cs="Times New Roman"/>
                <w:b/>
                <w:sz w:val="21"/>
                <w:szCs w:val="21"/>
              </w:rPr>
              <w:t>表7</w:t>
            </w:r>
            <w:r>
              <w:rPr>
                <w:rFonts w:hint="eastAsia" w:cs="Times New Roman"/>
                <w:b/>
                <w:sz w:val="21"/>
                <w:szCs w:val="21"/>
                <w:lang w:val="en-US" w:eastAsia="zh-CN"/>
              </w:rPr>
              <w:t>-6</w:t>
            </w:r>
            <w:r>
              <w:rPr>
                <w:rFonts w:hint="default" w:ascii="Times New Roman" w:hAnsi="Times New Roman" w:cs="Times New Roman"/>
                <w:b/>
                <w:bCs/>
                <w:sz w:val="21"/>
                <w:szCs w:val="21"/>
              </w:rPr>
              <w:t xml:space="preserve">   厂界噪</w:t>
            </w:r>
            <w:r>
              <w:rPr>
                <w:rFonts w:hint="default" w:ascii="Times New Roman" w:hAnsi="Times New Roman" w:cs="Times New Roman"/>
                <w:b/>
                <w:bCs/>
                <w:color w:val="auto"/>
                <w:sz w:val="21"/>
                <w:szCs w:val="21"/>
              </w:rPr>
              <w:t>声</w:t>
            </w:r>
            <w:r>
              <w:rPr>
                <w:rFonts w:hint="default" w:ascii="Times New Roman" w:hAnsi="Times New Roman" w:cs="Times New Roman"/>
                <w:b/>
                <w:bCs/>
                <w:color w:val="auto"/>
                <w:sz w:val="21"/>
                <w:szCs w:val="21"/>
                <w:lang w:eastAsia="zh-CN"/>
              </w:rPr>
              <w:t>监</w:t>
            </w:r>
            <w:r>
              <w:rPr>
                <w:rFonts w:hint="default" w:ascii="Times New Roman" w:hAnsi="Times New Roman" w:cs="Times New Roman"/>
                <w:b/>
                <w:bCs/>
                <w:color w:val="auto"/>
                <w:sz w:val="21"/>
                <w:szCs w:val="21"/>
              </w:rPr>
              <w:t>测</w:t>
            </w:r>
            <w:r>
              <w:rPr>
                <w:rFonts w:hint="default" w:ascii="Times New Roman" w:hAnsi="Times New Roman" w:cs="Times New Roman"/>
                <w:b/>
                <w:bCs/>
                <w:sz w:val="21"/>
                <w:szCs w:val="21"/>
              </w:rPr>
              <w:t xml:space="preserve">结果    </w:t>
            </w: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 xml:space="preserve">     </w:t>
            </w:r>
            <w:r>
              <w:rPr>
                <w:rFonts w:hint="default" w:ascii="Times New Roman" w:hAnsi="Times New Roman" w:cs="Times New Roman"/>
                <w:b/>
                <w:bCs/>
                <w:kern w:val="0"/>
                <w:sz w:val="21"/>
                <w:szCs w:val="21"/>
              </w:rPr>
              <w:t xml:space="preserve"> </w:t>
            </w:r>
            <w:r>
              <w:rPr>
                <w:rFonts w:hint="default" w:ascii="Times New Roman" w:hAnsi="Times New Roman" w:cs="Times New Roman"/>
                <w:b/>
                <w:color w:val="000000"/>
                <w:sz w:val="21"/>
                <w:szCs w:val="21"/>
              </w:rPr>
              <w:t>单位：dB(A)</w:t>
            </w:r>
          </w:p>
          <w:tbl>
            <w:tblPr>
              <w:tblStyle w:val="31"/>
              <w:tblW w:w="8959" w:type="dxa"/>
              <w:tblInd w:w="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02"/>
              <w:gridCol w:w="1086"/>
              <w:gridCol w:w="1247"/>
              <w:gridCol w:w="1246"/>
              <w:gridCol w:w="1247"/>
              <w:gridCol w:w="1015"/>
              <w:gridCol w:w="1016"/>
            </w:tblGrid>
            <w:tr w14:paraId="74AC0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vMerge w:val="restart"/>
                  <w:tcBorders>
                    <w:top w:val="single" w:color="auto" w:sz="4" w:space="0"/>
                    <w:left w:val="single" w:color="auto" w:sz="4" w:space="0"/>
                    <w:right w:val="single" w:color="auto" w:sz="4" w:space="0"/>
                  </w:tcBorders>
                  <w:noWrap w:val="0"/>
                  <w:vAlign w:val="center"/>
                </w:tcPr>
                <w:p w14:paraId="33D26551">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检测点位</w:t>
                  </w:r>
                </w:p>
              </w:tc>
              <w:tc>
                <w:tcPr>
                  <w:tcW w:w="4826" w:type="dxa"/>
                  <w:gridSpan w:val="4"/>
                  <w:tcBorders>
                    <w:top w:val="single" w:color="auto" w:sz="4" w:space="0"/>
                    <w:left w:val="nil"/>
                    <w:bottom w:val="single" w:color="auto" w:sz="4" w:space="0"/>
                    <w:right w:val="single" w:color="auto" w:sz="4" w:space="0"/>
                  </w:tcBorders>
                  <w:noWrap w:val="0"/>
                  <w:vAlign w:val="center"/>
                </w:tcPr>
                <w:p w14:paraId="113730F8">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val="en-US" w:eastAsia="zh-CN"/>
                    </w:rPr>
                    <w:t>Leq：dB</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val="en-US" w:eastAsia="zh-CN"/>
                    </w:rPr>
                    <w:t>A</w:t>
                  </w:r>
                  <w:r>
                    <w:rPr>
                      <w:rFonts w:hint="eastAsia" w:ascii="Times New Roman" w:hAnsi="Times New Roman" w:cs="Times New Roman"/>
                      <w:b/>
                      <w:bCs/>
                      <w:color w:val="auto"/>
                      <w:sz w:val="21"/>
                      <w:szCs w:val="21"/>
                      <w:lang w:val="en-US" w:eastAsia="zh-CN"/>
                    </w:rPr>
                    <w:t>））</w:t>
                  </w:r>
                </w:p>
              </w:tc>
              <w:tc>
                <w:tcPr>
                  <w:tcW w:w="2031" w:type="dxa"/>
                  <w:gridSpan w:val="2"/>
                  <w:vMerge w:val="restart"/>
                  <w:tcBorders>
                    <w:top w:val="single" w:color="auto" w:sz="4" w:space="0"/>
                    <w:left w:val="nil"/>
                    <w:right w:val="single" w:color="auto" w:sz="4" w:space="0"/>
                  </w:tcBorders>
                  <w:noWrap w:val="0"/>
                  <w:vAlign w:val="center"/>
                </w:tcPr>
                <w:p w14:paraId="331CC83E">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标准限值</w:t>
                  </w:r>
                </w:p>
              </w:tc>
            </w:tr>
            <w:tr w14:paraId="771B4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vMerge w:val="continue"/>
                  <w:tcBorders>
                    <w:left w:val="single" w:color="auto" w:sz="4" w:space="0"/>
                    <w:right w:val="single" w:color="auto" w:sz="4" w:space="0"/>
                  </w:tcBorders>
                  <w:noWrap w:val="0"/>
                  <w:vAlign w:val="center"/>
                </w:tcPr>
                <w:p w14:paraId="3DE9D832">
                  <w:pPr>
                    <w:spacing w:line="240" w:lineRule="auto"/>
                    <w:ind w:firstLine="0" w:firstLineChars="0"/>
                    <w:jc w:val="center"/>
                    <w:rPr>
                      <w:rFonts w:hint="default" w:ascii="Times New Roman" w:hAnsi="Times New Roman" w:cs="Times New Roman"/>
                      <w:b/>
                      <w:bCs/>
                      <w:color w:val="auto"/>
                      <w:sz w:val="21"/>
                      <w:szCs w:val="21"/>
                      <w:lang w:val="en-US" w:eastAsia="zh-CN"/>
                    </w:rPr>
                  </w:pPr>
                </w:p>
              </w:tc>
              <w:tc>
                <w:tcPr>
                  <w:tcW w:w="2333" w:type="dxa"/>
                  <w:gridSpan w:val="2"/>
                  <w:tcBorders>
                    <w:top w:val="single" w:color="auto" w:sz="4" w:space="0"/>
                    <w:left w:val="nil"/>
                    <w:bottom w:val="single" w:color="auto" w:sz="4" w:space="0"/>
                    <w:right w:val="single" w:color="auto" w:sz="4" w:space="0"/>
                  </w:tcBorders>
                  <w:noWrap w:val="0"/>
                  <w:vAlign w:val="center"/>
                </w:tcPr>
                <w:p w14:paraId="56F58356">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5月23日</w:t>
                  </w:r>
                </w:p>
              </w:tc>
              <w:tc>
                <w:tcPr>
                  <w:tcW w:w="2493" w:type="dxa"/>
                  <w:gridSpan w:val="2"/>
                  <w:tcBorders>
                    <w:top w:val="single" w:color="auto" w:sz="4" w:space="0"/>
                    <w:left w:val="nil"/>
                    <w:bottom w:val="single" w:color="auto" w:sz="4" w:space="0"/>
                    <w:right w:val="single" w:color="auto" w:sz="4" w:space="0"/>
                  </w:tcBorders>
                  <w:noWrap w:val="0"/>
                  <w:vAlign w:val="center"/>
                </w:tcPr>
                <w:p w14:paraId="2481F113">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5月24日</w:t>
                  </w:r>
                </w:p>
              </w:tc>
              <w:tc>
                <w:tcPr>
                  <w:tcW w:w="2031" w:type="dxa"/>
                  <w:gridSpan w:val="2"/>
                  <w:vMerge w:val="continue"/>
                  <w:tcBorders>
                    <w:left w:val="nil"/>
                    <w:bottom w:val="single" w:color="auto" w:sz="4" w:space="0"/>
                    <w:right w:val="single" w:color="auto" w:sz="4" w:space="0"/>
                  </w:tcBorders>
                  <w:noWrap w:val="0"/>
                  <w:vAlign w:val="center"/>
                </w:tcPr>
                <w:p w14:paraId="076D5BD4">
                  <w:pPr>
                    <w:spacing w:line="240" w:lineRule="auto"/>
                    <w:ind w:firstLine="0" w:firstLineChars="0"/>
                    <w:jc w:val="center"/>
                    <w:rPr>
                      <w:rFonts w:hint="eastAsia" w:ascii="Times New Roman" w:hAnsi="Times New Roman" w:cs="Times New Roman"/>
                      <w:b/>
                      <w:bCs/>
                      <w:color w:val="auto"/>
                      <w:sz w:val="21"/>
                      <w:szCs w:val="21"/>
                      <w:lang w:val="en-US" w:eastAsia="zh-CN"/>
                    </w:rPr>
                  </w:pPr>
                </w:p>
              </w:tc>
            </w:tr>
            <w:tr w14:paraId="6E4E0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vMerge w:val="continue"/>
                  <w:tcBorders>
                    <w:left w:val="single" w:color="auto" w:sz="4" w:space="0"/>
                    <w:bottom w:val="single" w:color="auto" w:sz="4" w:space="0"/>
                    <w:right w:val="single" w:color="auto" w:sz="4" w:space="0"/>
                  </w:tcBorders>
                  <w:noWrap w:val="0"/>
                  <w:vAlign w:val="center"/>
                </w:tcPr>
                <w:p w14:paraId="36BADCFA">
                  <w:pPr>
                    <w:spacing w:line="240" w:lineRule="auto"/>
                    <w:ind w:firstLine="0" w:firstLineChars="0"/>
                    <w:jc w:val="center"/>
                    <w:rPr>
                      <w:rFonts w:hint="default" w:ascii="Times New Roman" w:hAnsi="Times New Roman" w:cs="Times New Roman"/>
                      <w:b/>
                      <w:bCs/>
                      <w:color w:val="auto"/>
                      <w:sz w:val="21"/>
                      <w:szCs w:val="21"/>
                      <w:lang w:val="en-US" w:eastAsia="zh-CN"/>
                    </w:rPr>
                  </w:pPr>
                </w:p>
              </w:tc>
              <w:tc>
                <w:tcPr>
                  <w:tcW w:w="1086" w:type="dxa"/>
                  <w:tcBorders>
                    <w:top w:val="single" w:color="auto" w:sz="4" w:space="0"/>
                    <w:left w:val="nil"/>
                    <w:bottom w:val="single" w:color="auto" w:sz="4" w:space="0"/>
                    <w:right w:val="single" w:color="auto" w:sz="4" w:space="0"/>
                  </w:tcBorders>
                  <w:noWrap w:val="0"/>
                  <w:vAlign w:val="center"/>
                </w:tcPr>
                <w:p w14:paraId="6860D098">
                  <w:pPr>
                    <w:spacing w:line="240" w:lineRule="auto"/>
                    <w:ind w:firstLine="0" w:firstLineChars="0"/>
                    <w:jc w:val="center"/>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昼间</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85F3A56">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夜间</w:t>
                  </w:r>
                </w:p>
              </w:tc>
              <w:tc>
                <w:tcPr>
                  <w:tcW w:w="1246" w:type="dxa"/>
                  <w:tcBorders>
                    <w:top w:val="single" w:color="auto" w:sz="4" w:space="0"/>
                    <w:left w:val="nil"/>
                    <w:bottom w:val="single" w:color="auto" w:sz="4" w:space="0"/>
                    <w:right w:val="single" w:color="auto" w:sz="4" w:space="0"/>
                  </w:tcBorders>
                  <w:noWrap w:val="0"/>
                  <w:vAlign w:val="center"/>
                </w:tcPr>
                <w:p w14:paraId="6BECCB9B">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昼间</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86F52B2">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夜间</w:t>
                  </w:r>
                </w:p>
              </w:tc>
              <w:tc>
                <w:tcPr>
                  <w:tcW w:w="1015" w:type="dxa"/>
                  <w:tcBorders>
                    <w:left w:val="nil"/>
                    <w:bottom w:val="single" w:color="auto" w:sz="4" w:space="0"/>
                    <w:right w:val="single" w:color="auto" w:sz="4" w:space="0"/>
                  </w:tcBorders>
                  <w:noWrap w:val="0"/>
                  <w:vAlign w:val="center"/>
                </w:tcPr>
                <w:p w14:paraId="3FA33618">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昼间</w:t>
                  </w:r>
                </w:p>
              </w:tc>
              <w:tc>
                <w:tcPr>
                  <w:tcW w:w="1016" w:type="dxa"/>
                  <w:tcBorders>
                    <w:left w:val="single" w:color="auto" w:sz="4" w:space="0"/>
                    <w:bottom w:val="single" w:color="auto" w:sz="4" w:space="0"/>
                    <w:right w:val="single" w:color="auto" w:sz="4" w:space="0"/>
                  </w:tcBorders>
                  <w:noWrap w:val="0"/>
                  <w:vAlign w:val="center"/>
                </w:tcPr>
                <w:p w14:paraId="5EA3039D">
                  <w:pPr>
                    <w:spacing w:line="240" w:lineRule="auto"/>
                    <w:ind w:firstLine="0" w:firstLineChars="0"/>
                    <w:jc w:val="center"/>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夜间</w:t>
                  </w:r>
                </w:p>
              </w:tc>
            </w:tr>
            <w:tr w14:paraId="653ED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tcBorders>
                    <w:top w:val="single" w:color="auto" w:sz="4" w:space="0"/>
                    <w:left w:val="single" w:color="auto" w:sz="4" w:space="0"/>
                    <w:bottom w:val="single" w:color="auto" w:sz="4" w:space="0"/>
                    <w:right w:val="single" w:color="auto" w:sz="4" w:space="0"/>
                  </w:tcBorders>
                  <w:noWrap w:val="0"/>
                  <w:vAlign w:val="center"/>
                </w:tcPr>
                <w:p w14:paraId="1333307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N1厂界东侧外1m处</w:t>
                  </w:r>
                </w:p>
              </w:tc>
              <w:tc>
                <w:tcPr>
                  <w:tcW w:w="1086" w:type="dxa"/>
                  <w:tcBorders>
                    <w:top w:val="single" w:color="auto" w:sz="4" w:space="0"/>
                    <w:left w:val="nil"/>
                    <w:bottom w:val="single" w:color="auto" w:sz="4" w:space="0"/>
                    <w:right w:val="single" w:color="auto" w:sz="4" w:space="0"/>
                  </w:tcBorders>
                  <w:noWrap w:val="0"/>
                  <w:vAlign w:val="center"/>
                </w:tcPr>
                <w:p w14:paraId="279B1837">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52</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1945B6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44</w:t>
                  </w:r>
                </w:p>
              </w:tc>
              <w:tc>
                <w:tcPr>
                  <w:tcW w:w="1246" w:type="dxa"/>
                  <w:tcBorders>
                    <w:top w:val="single" w:color="auto" w:sz="4" w:space="0"/>
                    <w:left w:val="nil"/>
                    <w:bottom w:val="single" w:color="auto" w:sz="4" w:space="0"/>
                    <w:right w:val="single" w:color="auto" w:sz="4" w:space="0"/>
                  </w:tcBorders>
                  <w:noWrap w:val="0"/>
                  <w:vAlign w:val="center"/>
                </w:tcPr>
                <w:p w14:paraId="6A8DF4E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53</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8FFCCF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w:t>
                  </w:r>
                </w:p>
              </w:tc>
              <w:tc>
                <w:tcPr>
                  <w:tcW w:w="1015" w:type="dxa"/>
                  <w:vMerge w:val="restart"/>
                  <w:tcBorders>
                    <w:top w:val="single" w:color="auto" w:sz="4" w:space="0"/>
                    <w:left w:val="nil"/>
                    <w:right w:val="single" w:color="auto" w:sz="4" w:space="0"/>
                  </w:tcBorders>
                  <w:noWrap w:val="0"/>
                  <w:vAlign w:val="center"/>
                </w:tcPr>
                <w:p w14:paraId="662530E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65</w:t>
                  </w:r>
                </w:p>
              </w:tc>
              <w:tc>
                <w:tcPr>
                  <w:tcW w:w="1016" w:type="dxa"/>
                  <w:vMerge w:val="restart"/>
                  <w:tcBorders>
                    <w:top w:val="single" w:color="auto" w:sz="4" w:space="0"/>
                    <w:left w:val="single" w:color="auto" w:sz="4" w:space="0"/>
                    <w:right w:val="single" w:color="auto" w:sz="4" w:space="0"/>
                  </w:tcBorders>
                  <w:noWrap w:val="0"/>
                  <w:vAlign w:val="center"/>
                </w:tcPr>
                <w:p w14:paraId="0A5E216A">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55</w:t>
                  </w:r>
                </w:p>
              </w:tc>
            </w:tr>
            <w:tr w14:paraId="65C9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tcBorders>
                    <w:top w:val="single" w:color="auto" w:sz="4" w:space="0"/>
                    <w:left w:val="single" w:color="auto" w:sz="4" w:space="0"/>
                    <w:bottom w:val="single" w:color="auto" w:sz="4" w:space="0"/>
                    <w:right w:val="single" w:color="auto" w:sz="4" w:space="0"/>
                  </w:tcBorders>
                  <w:noWrap w:val="0"/>
                  <w:vAlign w:val="center"/>
                </w:tcPr>
                <w:p w14:paraId="5D0D3933">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N2厂界南侧外1m处</w:t>
                  </w:r>
                </w:p>
              </w:tc>
              <w:tc>
                <w:tcPr>
                  <w:tcW w:w="1086" w:type="dxa"/>
                  <w:tcBorders>
                    <w:top w:val="single" w:color="auto" w:sz="4" w:space="0"/>
                    <w:left w:val="nil"/>
                    <w:bottom w:val="single" w:color="auto" w:sz="4" w:space="0"/>
                    <w:right w:val="single" w:color="auto" w:sz="4" w:space="0"/>
                  </w:tcBorders>
                  <w:noWrap w:val="0"/>
                  <w:vAlign w:val="center"/>
                </w:tcPr>
                <w:p w14:paraId="0169295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55</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422F8D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44</w:t>
                  </w:r>
                </w:p>
              </w:tc>
              <w:tc>
                <w:tcPr>
                  <w:tcW w:w="1246" w:type="dxa"/>
                  <w:tcBorders>
                    <w:top w:val="single" w:color="auto" w:sz="4" w:space="0"/>
                    <w:left w:val="nil"/>
                    <w:bottom w:val="single" w:color="auto" w:sz="4" w:space="0"/>
                    <w:right w:val="single" w:color="auto" w:sz="4" w:space="0"/>
                  </w:tcBorders>
                  <w:noWrap w:val="0"/>
                  <w:vAlign w:val="center"/>
                </w:tcPr>
                <w:p w14:paraId="3D4CD759">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56</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EC92FD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45</w:t>
                  </w:r>
                </w:p>
              </w:tc>
              <w:tc>
                <w:tcPr>
                  <w:tcW w:w="1015" w:type="dxa"/>
                  <w:vMerge w:val="continue"/>
                  <w:tcBorders>
                    <w:left w:val="nil"/>
                    <w:right w:val="single" w:color="auto" w:sz="4" w:space="0"/>
                  </w:tcBorders>
                  <w:noWrap w:val="0"/>
                  <w:vAlign w:val="center"/>
                </w:tcPr>
                <w:p w14:paraId="588E9ECB">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6" w:type="dxa"/>
                  <w:vMerge w:val="continue"/>
                  <w:tcBorders>
                    <w:left w:val="single" w:color="auto" w:sz="4" w:space="0"/>
                    <w:right w:val="single" w:color="auto" w:sz="4" w:space="0"/>
                  </w:tcBorders>
                  <w:noWrap w:val="0"/>
                  <w:vAlign w:val="center"/>
                </w:tcPr>
                <w:p w14:paraId="62916B8B">
                  <w:pPr>
                    <w:spacing w:line="240" w:lineRule="auto"/>
                    <w:ind w:firstLine="0" w:firstLineChars="0"/>
                    <w:jc w:val="center"/>
                    <w:rPr>
                      <w:rFonts w:hint="default" w:ascii="Times New Roman" w:hAnsi="Times New Roman" w:cs="Times New Roman"/>
                      <w:color w:val="auto"/>
                      <w:sz w:val="21"/>
                      <w:szCs w:val="21"/>
                      <w:lang w:val="en-US" w:eastAsia="zh-CN"/>
                    </w:rPr>
                  </w:pPr>
                </w:p>
              </w:tc>
            </w:tr>
            <w:tr w14:paraId="0A617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tcBorders>
                    <w:top w:val="single" w:color="auto" w:sz="4" w:space="0"/>
                    <w:left w:val="single" w:color="auto" w:sz="4" w:space="0"/>
                    <w:bottom w:val="single" w:color="auto" w:sz="4" w:space="0"/>
                    <w:right w:val="single" w:color="auto" w:sz="4" w:space="0"/>
                  </w:tcBorders>
                  <w:noWrap w:val="0"/>
                  <w:vAlign w:val="center"/>
                </w:tcPr>
                <w:p w14:paraId="3C8D24E4">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N3厂界西侧外1m处</w:t>
                  </w:r>
                </w:p>
              </w:tc>
              <w:tc>
                <w:tcPr>
                  <w:tcW w:w="1086" w:type="dxa"/>
                  <w:tcBorders>
                    <w:top w:val="single" w:color="auto" w:sz="4" w:space="0"/>
                    <w:left w:val="nil"/>
                    <w:bottom w:val="single" w:color="auto" w:sz="4" w:space="0"/>
                    <w:right w:val="single" w:color="auto" w:sz="4" w:space="0"/>
                  </w:tcBorders>
                  <w:noWrap w:val="0"/>
                  <w:vAlign w:val="center"/>
                </w:tcPr>
                <w:p w14:paraId="3E8C969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54</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27269D0">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47</w:t>
                  </w:r>
                </w:p>
              </w:tc>
              <w:tc>
                <w:tcPr>
                  <w:tcW w:w="1246" w:type="dxa"/>
                  <w:tcBorders>
                    <w:top w:val="single" w:color="auto" w:sz="4" w:space="0"/>
                    <w:left w:val="nil"/>
                    <w:bottom w:val="single" w:color="auto" w:sz="4" w:space="0"/>
                    <w:right w:val="single" w:color="auto" w:sz="4" w:space="0"/>
                  </w:tcBorders>
                  <w:noWrap w:val="0"/>
                  <w:vAlign w:val="center"/>
                </w:tcPr>
                <w:p w14:paraId="0E545D31">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57</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319889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43</w:t>
                  </w:r>
                </w:p>
              </w:tc>
              <w:tc>
                <w:tcPr>
                  <w:tcW w:w="1015" w:type="dxa"/>
                  <w:vMerge w:val="continue"/>
                  <w:tcBorders>
                    <w:left w:val="nil"/>
                    <w:right w:val="single" w:color="auto" w:sz="4" w:space="0"/>
                  </w:tcBorders>
                  <w:noWrap w:val="0"/>
                  <w:vAlign w:val="center"/>
                </w:tcPr>
                <w:p w14:paraId="5950E1C0">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6" w:type="dxa"/>
                  <w:vMerge w:val="continue"/>
                  <w:tcBorders>
                    <w:left w:val="single" w:color="auto" w:sz="4" w:space="0"/>
                    <w:right w:val="single" w:color="auto" w:sz="4" w:space="0"/>
                  </w:tcBorders>
                  <w:noWrap w:val="0"/>
                  <w:vAlign w:val="center"/>
                </w:tcPr>
                <w:p w14:paraId="6B3BB2C8">
                  <w:pPr>
                    <w:spacing w:line="240" w:lineRule="auto"/>
                    <w:ind w:firstLine="0" w:firstLineChars="0"/>
                    <w:jc w:val="center"/>
                    <w:rPr>
                      <w:rFonts w:hint="default" w:ascii="Times New Roman" w:hAnsi="Times New Roman" w:cs="Times New Roman"/>
                      <w:color w:val="auto"/>
                      <w:sz w:val="21"/>
                      <w:szCs w:val="21"/>
                      <w:lang w:val="en-US" w:eastAsia="zh-CN"/>
                    </w:rPr>
                  </w:pPr>
                </w:p>
              </w:tc>
            </w:tr>
            <w:tr w14:paraId="54C3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2102" w:type="dxa"/>
                  <w:tcBorders>
                    <w:top w:val="single" w:color="auto" w:sz="4" w:space="0"/>
                    <w:left w:val="single" w:color="auto" w:sz="4" w:space="0"/>
                    <w:bottom w:val="single" w:color="auto" w:sz="4" w:space="0"/>
                    <w:right w:val="single" w:color="auto" w:sz="4" w:space="0"/>
                  </w:tcBorders>
                  <w:noWrap w:val="0"/>
                  <w:vAlign w:val="center"/>
                </w:tcPr>
                <w:p w14:paraId="2381F346">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N4厂界北侧外1m处</w:t>
                  </w:r>
                </w:p>
              </w:tc>
              <w:tc>
                <w:tcPr>
                  <w:tcW w:w="1086" w:type="dxa"/>
                  <w:tcBorders>
                    <w:top w:val="single" w:color="auto" w:sz="4" w:space="0"/>
                    <w:left w:val="nil"/>
                    <w:bottom w:val="single" w:color="auto" w:sz="4" w:space="0"/>
                    <w:right w:val="single" w:color="auto" w:sz="4" w:space="0"/>
                  </w:tcBorders>
                  <w:noWrap w:val="0"/>
                  <w:vAlign w:val="center"/>
                </w:tcPr>
                <w:p w14:paraId="1B39359E">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56</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4E3A6F78">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46</w:t>
                  </w:r>
                </w:p>
              </w:tc>
              <w:tc>
                <w:tcPr>
                  <w:tcW w:w="1246" w:type="dxa"/>
                  <w:tcBorders>
                    <w:top w:val="single" w:color="auto" w:sz="4" w:space="0"/>
                    <w:left w:val="nil"/>
                    <w:bottom w:val="single" w:color="auto" w:sz="4" w:space="0"/>
                    <w:right w:val="single" w:color="auto" w:sz="4" w:space="0"/>
                  </w:tcBorders>
                  <w:noWrap w:val="0"/>
                  <w:vAlign w:val="center"/>
                </w:tcPr>
                <w:p w14:paraId="2DB5C43C">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56</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FE4EF3B">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44</w:t>
                  </w:r>
                </w:p>
              </w:tc>
              <w:tc>
                <w:tcPr>
                  <w:tcW w:w="1015" w:type="dxa"/>
                  <w:vMerge w:val="continue"/>
                  <w:tcBorders>
                    <w:left w:val="nil"/>
                    <w:bottom w:val="single" w:color="auto" w:sz="4" w:space="0"/>
                    <w:right w:val="single" w:color="auto" w:sz="4" w:space="0"/>
                  </w:tcBorders>
                  <w:noWrap w:val="0"/>
                  <w:vAlign w:val="center"/>
                </w:tcPr>
                <w:p w14:paraId="4A7CB5D4">
                  <w:pPr>
                    <w:spacing w:line="240" w:lineRule="auto"/>
                    <w:ind w:firstLine="0" w:firstLineChars="0"/>
                    <w:jc w:val="center"/>
                    <w:rPr>
                      <w:rFonts w:hint="default" w:ascii="Times New Roman" w:hAnsi="Times New Roman" w:cs="Times New Roman"/>
                      <w:color w:val="auto"/>
                      <w:sz w:val="21"/>
                      <w:szCs w:val="21"/>
                      <w:lang w:val="en-US" w:eastAsia="zh-CN"/>
                    </w:rPr>
                  </w:pPr>
                </w:p>
              </w:tc>
              <w:tc>
                <w:tcPr>
                  <w:tcW w:w="1016" w:type="dxa"/>
                  <w:vMerge w:val="continue"/>
                  <w:tcBorders>
                    <w:left w:val="single" w:color="auto" w:sz="4" w:space="0"/>
                    <w:bottom w:val="single" w:color="auto" w:sz="4" w:space="0"/>
                    <w:right w:val="single" w:color="auto" w:sz="4" w:space="0"/>
                  </w:tcBorders>
                  <w:noWrap w:val="0"/>
                  <w:vAlign w:val="center"/>
                </w:tcPr>
                <w:p w14:paraId="3664AF3F">
                  <w:pPr>
                    <w:spacing w:line="240" w:lineRule="auto"/>
                    <w:ind w:firstLine="0" w:firstLineChars="0"/>
                    <w:jc w:val="center"/>
                    <w:rPr>
                      <w:rFonts w:hint="default" w:ascii="Times New Roman" w:hAnsi="Times New Roman" w:cs="Times New Roman"/>
                      <w:color w:val="auto"/>
                      <w:sz w:val="21"/>
                      <w:szCs w:val="21"/>
                      <w:lang w:val="en-US" w:eastAsia="zh-CN"/>
                    </w:rPr>
                  </w:pPr>
                </w:p>
              </w:tc>
            </w:tr>
          </w:tbl>
          <w:p w14:paraId="2F64835F">
            <w:pPr>
              <w:ind w:firstLine="480"/>
              <w:jc w:val="both"/>
              <w:rPr>
                <w:rFonts w:hint="default" w:ascii="Times New Roman" w:hAnsi="Times New Roman" w:cs="Times New Roman" w:eastAsiaTheme="minorEastAsia"/>
                <w:lang w:eastAsia="zh-CN"/>
              </w:rPr>
            </w:pPr>
            <w:r>
              <w:rPr>
                <w:rFonts w:hint="default" w:ascii="Times New Roman" w:hAnsi="Times New Roman" w:cs="Times New Roman"/>
                <w:color w:val="000000"/>
              </w:rPr>
              <w:t>由表7-</w:t>
            </w:r>
            <w:r>
              <w:rPr>
                <w:rFonts w:hint="eastAsia" w:cs="Times New Roman"/>
                <w:color w:val="auto"/>
                <w:lang w:val="en-US" w:eastAsia="zh-CN"/>
              </w:rPr>
              <w:t>6</w:t>
            </w:r>
            <w:r>
              <w:rPr>
                <w:rFonts w:hint="default" w:ascii="Times New Roman" w:hAnsi="Times New Roman" w:cs="Times New Roman"/>
                <w:color w:val="auto"/>
                <w:lang w:eastAsia="zh-CN"/>
              </w:rPr>
              <w:t>监</w:t>
            </w:r>
            <w:r>
              <w:rPr>
                <w:rFonts w:hint="default" w:ascii="Times New Roman" w:hAnsi="Times New Roman" w:cs="Times New Roman"/>
                <w:color w:val="auto"/>
              </w:rPr>
              <w:t>测结果表明：该项目验收</w:t>
            </w:r>
            <w:r>
              <w:rPr>
                <w:rFonts w:hint="default" w:ascii="Times New Roman" w:hAnsi="Times New Roman" w:cs="Times New Roman"/>
                <w:color w:val="auto"/>
                <w:lang w:eastAsia="zh-CN"/>
              </w:rPr>
              <w:t>监</w:t>
            </w:r>
            <w:r>
              <w:rPr>
                <w:rFonts w:hint="default" w:ascii="Times New Roman" w:hAnsi="Times New Roman" w:cs="Times New Roman"/>
                <w:color w:val="auto"/>
              </w:rPr>
              <w:t>测期</w:t>
            </w:r>
            <w:r>
              <w:rPr>
                <w:rFonts w:hint="default" w:ascii="Times New Roman" w:hAnsi="Times New Roman" w:cs="Times New Roman"/>
              </w:rPr>
              <w:t>间，</w:t>
            </w:r>
            <w:r>
              <w:rPr>
                <w:rFonts w:hint="default" w:ascii="Times New Roman" w:hAnsi="Times New Roman" w:cs="Times New Roman"/>
                <w:lang w:val="en-US" w:eastAsia="zh-CN"/>
              </w:rPr>
              <w:t>厂界东、南、西、北侧</w:t>
            </w:r>
            <w:r>
              <w:rPr>
                <w:rFonts w:hint="default" w:ascii="Times New Roman" w:hAnsi="Times New Roman" w:cs="Times New Roman"/>
              </w:rPr>
              <w:t>昼、夜间噪声等效声级最大值均符合《工业企业厂界环境噪声排放标准》(GB 12348－2008)中</w:t>
            </w:r>
            <w:r>
              <w:rPr>
                <w:rFonts w:hint="eastAsia" w:cs="Times New Roman"/>
                <w:lang w:val="en-US" w:eastAsia="zh-CN"/>
              </w:rPr>
              <w:t>3</w:t>
            </w:r>
            <w:r>
              <w:rPr>
                <w:rFonts w:hint="default" w:ascii="Times New Roman" w:hAnsi="Times New Roman" w:cs="Times New Roman"/>
              </w:rPr>
              <w:t>类标准限值</w:t>
            </w:r>
            <w:bookmarkEnd w:id="66"/>
            <w:bookmarkEnd w:id="67"/>
            <w:bookmarkEnd w:id="68"/>
            <w:bookmarkEnd w:id="69"/>
            <w:bookmarkEnd w:id="70"/>
            <w:r>
              <w:rPr>
                <w:rFonts w:hint="default" w:ascii="Times New Roman" w:hAnsi="Times New Roman" w:cs="Times New Roman"/>
                <w:lang w:eastAsia="zh-CN"/>
              </w:rPr>
              <w:t>。</w:t>
            </w:r>
          </w:p>
          <w:p w14:paraId="4A06F702">
            <w:pPr>
              <w:ind w:firstLine="480"/>
              <w:jc w:val="both"/>
              <w:rPr>
                <w:rFonts w:hint="default" w:ascii="Times New Roman" w:hAnsi="Times New Roman" w:cs="Times New Roman"/>
                <w:b/>
                <w:bCs/>
                <w:kern w:val="2"/>
                <w:sz w:val="24"/>
                <w:szCs w:val="24"/>
                <w:lang w:val="en-US" w:eastAsia="zh-CN" w:bidi="ar-SA"/>
              </w:rPr>
            </w:pPr>
            <w:r>
              <w:rPr>
                <w:rFonts w:hint="default" w:ascii="Times New Roman" w:hAnsi="Times New Roman" w:cs="Times New Roman"/>
                <w:b/>
                <w:bCs/>
                <w:kern w:val="2"/>
                <w:sz w:val="24"/>
                <w:szCs w:val="24"/>
                <w:lang w:val="en-US" w:eastAsia="zh-CN" w:bidi="ar-SA"/>
              </w:rPr>
              <w:t>5</w:t>
            </w:r>
            <w:r>
              <w:rPr>
                <w:rFonts w:hint="default" w:ascii="Times New Roman" w:hAnsi="Times New Roman" w:cs="Times New Roman" w:eastAsiaTheme="minorEastAsia"/>
                <w:b/>
                <w:bCs/>
                <w:kern w:val="2"/>
                <w:sz w:val="24"/>
                <w:szCs w:val="24"/>
                <w:lang w:val="en-US" w:eastAsia="zh-CN" w:bidi="ar-SA"/>
              </w:rPr>
              <w:t>、</w:t>
            </w:r>
            <w:r>
              <w:rPr>
                <w:rFonts w:hint="default" w:ascii="Times New Roman" w:hAnsi="Times New Roman" w:cs="Times New Roman"/>
                <w:b/>
                <w:bCs/>
                <w:kern w:val="2"/>
                <w:sz w:val="24"/>
                <w:szCs w:val="24"/>
                <w:lang w:val="en-US" w:eastAsia="zh-CN" w:bidi="ar-SA"/>
              </w:rPr>
              <w:t>固废调查结果与评价</w:t>
            </w:r>
          </w:p>
          <w:p w14:paraId="7A597371">
            <w:pPr>
              <w:ind w:firstLine="480"/>
              <w:jc w:val="both"/>
              <w:rPr>
                <w:rFonts w:hint="default" w:ascii="Times New Roman" w:hAnsi="Times New Roman" w:cs="Times New Roman"/>
                <w:lang w:val="en-US" w:eastAsia="zh-CN"/>
              </w:rPr>
            </w:pPr>
            <w:r>
              <w:rPr>
                <w:rFonts w:hint="eastAsia" w:cs="Times New Roman"/>
                <w:lang w:val="en-US" w:eastAsia="zh-CN"/>
              </w:rPr>
              <w:t>公司已</w:t>
            </w:r>
            <w:r>
              <w:rPr>
                <w:rFonts w:hint="default" w:ascii="Times New Roman" w:hAnsi="Times New Roman" w:cs="Times New Roman"/>
                <w:lang w:val="en-US" w:eastAsia="zh-CN"/>
              </w:rPr>
              <w:t>按照“减量化、资源化、无害化”原则妥善处置固体废物。废包装材料收集后</w:t>
            </w:r>
            <w:r>
              <w:rPr>
                <w:rFonts w:hint="eastAsia" w:cs="Times New Roman"/>
                <w:lang w:val="en-US" w:eastAsia="zh-CN"/>
              </w:rPr>
              <w:t>已</w:t>
            </w:r>
            <w:r>
              <w:rPr>
                <w:rFonts w:hint="default" w:ascii="Times New Roman" w:hAnsi="Times New Roman" w:cs="Times New Roman"/>
                <w:lang w:val="en-US" w:eastAsia="zh-CN"/>
              </w:rPr>
              <w:t>由原料生产厂家回收利用；车间清扫收集的粉尘</w:t>
            </w:r>
            <w:r>
              <w:rPr>
                <w:rFonts w:hint="eastAsia" w:cs="Times New Roman"/>
                <w:lang w:val="en-US" w:eastAsia="zh-CN"/>
              </w:rPr>
              <w:t>已</w:t>
            </w:r>
            <w:r>
              <w:rPr>
                <w:rFonts w:hint="default" w:ascii="Times New Roman" w:hAnsi="Times New Roman" w:cs="Times New Roman"/>
                <w:lang w:val="en-US" w:eastAsia="zh-CN"/>
              </w:rPr>
              <w:t>全部回用于生产；</w:t>
            </w:r>
            <w:r>
              <w:rPr>
                <w:rFonts w:hint="eastAsia" w:cs="Times New Roman"/>
                <w:lang w:val="en-US" w:eastAsia="zh-CN"/>
              </w:rPr>
              <w:t>喷淋沉渣</w:t>
            </w:r>
            <w:r>
              <w:rPr>
                <w:rFonts w:hint="default" w:ascii="Times New Roman" w:hAnsi="Times New Roman" w:cs="Times New Roman"/>
                <w:lang w:val="en-US" w:eastAsia="zh-CN"/>
              </w:rPr>
              <w:t>、废吸油纸、废活性炭、废润滑油、废UV灯管等</w:t>
            </w:r>
            <w:r>
              <w:rPr>
                <w:rFonts w:hint="eastAsia" w:cs="Times New Roman"/>
                <w:lang w:val="en-US" w:eastAsia="zh-CN"/>
              </w:rPr>
              <w:t>已</w:t>
            </w:r>
            <w:r>
              <w:rPr>
                <w:rFonts w:hint="default" w:ascii="Times New Roman" w:hAnsi="Times New Roman" w:cs="Times New Roman"/>
                <w:lang w:val="en-US" w:eastAsia="zh-CN"/>
              </w:rPr>
              <w:t>分类收集于危废暂存间储存，并委托有资质单位规范处置；废油泥</w:t>
            </w:r>
            <w:r>
              <w:rPr>
                <w:rFonts w:hint="eastAsia" w:cs="Times New Roman"/>
                <w:lang w:val="en-US" w:eastAsia="zh-CN"/>
              </w:rPr>
              <w:t>已</w:t>
            </w:r>
            <w:r>
              <w:rPr>
                <w:rFonts w:hint="default" w:ascii="Times New Roman" w:hAnsi="Times New Roman" w:cs="Times New Roman"/>
                <w:lang w:val="en-US" w:eastAsia="zh-CN"/>
              </w:rPr>
              <w:t>经定期清捞后回用于生产。</w:t>
            </w:r>
          </w:p>
        </w:tc>
      </w:tr>
    </w:tbl>
    <w:p w14:paraId="2489387E">
      <w:pPr>
        <w:ind w:firstLine="0" w:firstLineChars="0"/>
        <w:rPr>
          <w:rFonts w:hint="default" w:ascii="Times New Roman" w:hAnsi="Times New Roman" w:cs="Times New Roman"/>
          <w:b/>
        </w:rPr>
        <w:sectPr>
          <w:headerReference r:id="rId13" w:type="first"/>
          <w:headerReference r:id="rId11" w:type="default"/>
          <w:footerReference r:id="rId14" w:type="default"/>
          <w:headerReference r:id="rId12" w:type="even"/>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docGrid w:type="linesAndChars" w:linePitch="326" w:charSpace="0"/>
        </w:sectPr>
      </w:pPr>
    </w:p>
    <w:p w14:paraId="4E33E368">
      <w:pPr>
        <w:pStyle w:val="2"/>
        <w:rPr>
          <w:rFonts w:hint="default" w:ascii="Times New Roman" w:hAnsi="Times New Roman" w:eastAsia="黑体" w:cs="Times New Roman"/>
          <w:lang w:val="en-US" w:eastAsia="zh-CN"/>
        </w:rPr>
      </w:pPr>
      <w:bookmarkStart w:id="71" w:name="_Toc7798"/>
      <w:r>
        <w:rPr>
          <w:rFonts w:hint="default" w:ascii="Times New Roman" w:hAnsi="Times New Roman" w:cs="Times New Roman"/>
        </w:rPr>
        <w:t>表八</w:t>
      </w:r>
      <w:r>
        <w:rPr>
          <w:rFonts w:hint="default" w:ascii="Times New Roman" w:hAnsi="Times New Roman" w:cs="Times New Roman"/>
          <w:lang w:eastAsia="zh-CN"/>
        </w:rPr>
        <w:t>：</w:t>
      </w:r>
      <w:r>
        <w:rPr>
          <w:rFonts w:hint="default" w:ascii="Times New Roman" w:hAnsi="Times New Roman" w:cs="Times New Roman"/>
          <w:lang w:val="en-US" w:eastAsia="zh-CN"/>
        </w:rPr>
        <w:t>验收检测总结论</w:t>
      </w:r>
      <w:bookmarkEnd w:id="71"/>
    </w:p>
    <w:tbl>
      <w:tblPr>
        <w:tblStyle w:val="32"/>
        <w:tblW w:w="928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286"/>
      </w:tblGrid>
      <w:tr w14:paraId="7A05B1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31" w:hRule="atLeast"/>
        </w:trPr>
        <w:tc>
          <w:tcPr>
            <w:tcW w:w="9286" w:type="dxa"/>
            <w:vAlign w:val="center"/>
          </w:tcPr>
          <w:p w14:paraId="7C1A2E9A">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default" w:ascii="Times New Roman" w:hAnsi="Times New Roman" w:cs="Times New Roman"/>
              </w:rPr>
            </w:pPr>
            <w:r>
              <w:rPr>
                <w:rFonts w:hint="default" w:ascii="Times New Roman" w:hAnsi="Times New Roman" w:cs="Times New Roman"/>
              </w:rPr>
              <w:t>验收</w:t>
            </w:r>
            <w:r>
              <w:rPr>
                <w:rFonts w:hint="default" w:ascii="Times New Roman" w:hAnsi="Times New Roman" w:cs="Times New Roman"/>
                <w:lang w:eastAsia="zh-CN"/>
              </w:rPr>
              <w:t>监</w:t>
            </w:r>
            <w:r>
              <w:rPr>
                <w:rFonts w:hint="default" w:ascii="Times New Roman" w:hAnsi="Times New Roman" w:cs="Times New Roman"/>
              </w:rPr>
              <w:t>测结论：</w:t>
            </w:r>
          </w:p>
          <w:p w14:paraId="6A803047">
            <w:pPr>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rFonts w:hint="default" w:ascii="Times New Roman" w:hAnsi="Times New Roman" w:cs="Times New Roman"/>
              </w:rPr>
            </w:pPr>
            <w:r>
              <w:rPr>
                <w:rFonts w:hint="default" w:ascii="Times New Roman" w:hAnsi="Times New Roman" w:cs="Times New Roman"/>
              </w:rPr>
              <w:t>1、通过此次对该企业的验收监测和调查，得出以下结论：</w:t>
            </w:r>
          </w:p>
          <w:p w14:paraId="4B9B960F">
            <w:pPr>
              <w:keepNext w:val="0"/>
              <w:keepLines w:val="0"/>
              <w:pageBreakBefore w:val="0"/>
              <w:widowControl w:val="0"/>
              <w:kinsoku/>
              <w:wordWrap/>
              <w:overflowPunct/>
              <w:topLinePunct w:val="0"/>
              <w:autoSpaceDE/>
              <w:autoSpaceDN/>
              <w:bidi w:val="0"/>
              <w:adjustRightInd/>
              <w:snapToGrid/>
              <w:spacing w:line="460" w:lineRule="exact"/>
              <w:ind w:firstLine="444" w:firstLineChars="185"/>
              <w:textAlignment w:val="auto"/>
              <w:rPr>
                <w:rFonts w:hint="default" w:ascii="Times New Roman" w:hAnsi="Times New Roman" w:cs="Times New Roman"/>
              </w:rPr>
            </w:pPr>
            <w:r>
              <w:rPr>
                <w:rFonts w:hint="default" w:ascii="Times New Roman" w:hAnsi="Times New Roman" w:cs="Times New Roman"/>
              </w:rPr>
              <w:t>（1）项目建设地址、产品规模、</w:t>
            </w:r>
            <w:r>
              <w:rPr>
                <w:rFonts w:hint="default" w:ascii="Times New Roman" w:hAnsi="Times New Roman" w:cs="Times New Roman"/>
                <w:lang w:eastAsia="zh-CN"/>
              </w:rPr>
              <w:t>监</w:t>
            </w:r>
            <w:r>
              <w:rPr>
                <w:rFonts w:hint="default" w:ascii="Times New Roman" w:hAnsi="Times New Roman" w:cs="Times New Roman"/>
              </w:rPr>
              <w:t>测工艺设备、配置等情况与环评报告和环保审批意见要求内容相符。此次验收监测期间，生产设施与环保设施均运转正常。</w:t>
            </w:r>
          </w:p>
          <w:p w14:paraId="35F1AC47">
            <w:pPr>
              <w:keepNext w:val="0"/>
              <w:keepLines w:val="0"/>
              <w:pageBreakBefore w:val="0"/>
              <w:widowControl w:val="0"/>
              <w:kinsoku/>
              <w:wordWrap/>
              <w:overflowPunct/>
              <w:topLinePunct w:val="0"/>
              <w:autoSpaceDE/>
              <w:autoSpaceDN/>
              <w:bidi w:val="0"/>
              <w:adjustRightInd/>
              <w:snapToGrid/>
              <w:spacing w:line="460" w:lineRule="exact"/>
              <w:ind w:firstLine="480"/>
              <w:jc w:val="both"/>
              <w:textAlignment w:val="auto"/>
              <w:rPr>
                <w:rFonts w:hint="default" w:ascii="Times New Roman" w:hAnsi="Times New Roman" w:cs="Times New Roman"/>
                <w:color w:val="auto"/>
                <w:lang w:val="en-US" w:eastAsia="zh-CN"/>
              </w:rPr>
            </w:pPr>
            <w:r>
              <w:rPr>
                <w:rFonts w:hint="default" w:ascii="Times New Roman" w:hAnsi="Times New Roman" w:cs="Times New Roman"/>
              </w:rPr>
              <w:t>（2）废气</w:t>
            </w:r>
            <w:r>
              <w:rPr>
                <w:rFonts w:hint="default" w:ascii="Times New Roman" w:hAnsi="Times New Roman" w:cs="Times New Roman"/>
                <w:lang w:eastAsia="zh-CN"/>
              </w:rPr>
              <w:t>监</w:t>
            </w:r>
            <w:r>
              <w:rPr>
                <w:rFonts w:hint="default" w:ascii="Times New Roman" w:hAnsi="Times New Roman" w:cs="Times New Roman"/>
              </w:rPr>
              <w:t>测</w:t>
            </w:r>
            <w:r>
              <w:rPr>
                <w:rFonts w:hint="default" w:ascii="Times New Roman" w:hAnsi="Times New Roman" w:cs="Times New Roman"/>
                <w:sz w:val="24"/>
                <w:szCs w:val="24"/>
              </w:rPr>
              <w:t>结果表明：</w:t>
            </w:r>
            <w:r>
              <w:rPr>
                <w:rFonts w:hint="default" w:ascii="Times New Roman" w:hAnsi="Times New Roman" w:cs="Times New Roman"/>
                <w:color w:val="auto"/>
                <w:lang w:val="en-US" w:eastAsia="zh-CN"/>
              </w:rPr>
              <w:t>验收监测期间，挤出废气废气检测口处监测点位处的颗粒物、非甲烷总烃浓度符合《大气污染物综合排放标准》（GB16297-1996）表2中二级标准限值。验收监测期间，本项目无组织废气下风向各监控点监测因子颗粒物、非甲烷总烃浓度符合《大气污染物综合排放标准》（GB16297-1996）表2中无组织排放监控浓度限值。</w:t>
            </w:r>
          </w:p>
          <w:p w14:paraId="6791814F">
            <w:pPr>
              <w:keepNext w:val="0"/>
              <w:keepLines w:val="0"/>
              <w:pageBreakBefore w:val="0"/>
              <w:widowControl w:val="0"/>
              <w:kinsoku/>
              <w:wordWrap/>
              <w:overflowPunct/>
              <w:topLinePunct w:val="0"/>
              <w:autoSpaceDE/>
              <w:autoSpaceDN/>
              <w:bidi w:val="0"/>
              <w:adjustRightInd/>
              <w:snapToGrid/>
              <w:spacing w:line="460" w:lineRule="exact"/>
              <w:ind w:firstLine="480"/>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（3）废水监测结果表明：验收监测期间，生活污水排放口处监测点位处的pH、悬浮物、COD、BOD5、总磷和动植物油外排浓度符合《污水综合排放标准》（GB 8978-1996 ）表4中三级标准限值；氨氮外排浓度符合《污水排入城镇下水道水质标准》（GB/T31962-2015）表1中B级标准限值。</w:t>
            </w:r>
          </w:p>
          <w:p w14:paraId="026603F7">
            <w:pPr>
              <w:keepNext w:val="0"/>
              <w:keepLines w:val="0"/>
              <w:pageBreakBefore w:val="0"/>
              <w:widowControl w:val="0"/>
              <w:kinsoku/>
              <w:wordWrap/>
              <w:overflowPunct/>
              <w:topLinePunct w:val="0"/>
              <w:autoSpaceDE/>
              <w:autoSpaceDN/>
              <w:bidi w:val="0"/>
              <w:adjustRightInd/>
              <w:snapToGrid/>
              <w:spacing w:line="460" w:lineRule="exact"/>
              <w:ind w:firstLine="48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（3）噪声验收</w:t>
            </w:r>
            <w:r>
              <w:rPr>
                <w:rFonts w:hint="default" w:ascii="Times New Roman" w:hAnsi="Times New Roman" w:cs="Times New Roman"/>
                <w:sz w:val="24"/>
                <w:szCs w:val="24"/>
                <w:lang w:eastAsia="zh-CN"/>
              </w:rPr>
              <w:t>监</w:t>
            </w:r>
            <w:r>
              <w:rPr>
                <w:rFonts w:hint="default" w:ascii="Times New Roman" w:hAnsi="Times New Roman" w:cs="Times New Roman"/>
                <w:sz w:val="24"/>
                <w:szCs w:val="24"/>
              </w:rPr>
              <w:t>测数据表明：</w:t>
            </w:r>
            <w:r>
              <w:rPr>
                <w:rFonts w:hint="default" w:ascii="Times New Roman" w:hAnsi="Times New Roman" w:cs="Times New Roman"/>
                <w:color w:val="auto"/>
              </w:rPr>
              <w:t>该项目验收</w:t>
            </w:r>
            <w:r>
              <w:rPr>
                <w:rFonts w:hint="default" w:ascii="Times New Roman" w:hAnsi="Times New Roman" w:cs="Times New Roman"/>
                <w:color w:val="auto"/>
                <w:lang w:eastAsia="zh-CN"/>
              </w:rPr>
              <w:t>监</w:t>
            </w:r>
            <w:r>
              <w:rPr>
                <w:rFonts w:hint="default" w:ascii="Times New Roman" w:hAnsi="Times New Roman" w:cs="Times New Roman"/>
                <w:color w:val="auto"/>
              </w:rPr>
              <w:t>测期</w:t>
            </w:r>
            <w:r>
              <w:rPr>
                <w:rFonts w:hint="default" w:ascii="Times New Roman" w:hAnsi="Times New Roman" w:cs="Times New Roman"/>
              </w:rPr>
              <w:t>间，</w:t>
            </w:r>
            <w:r>
              <w:rPr>
                <w:rFonts w:hint="default" w:ascii="Times New Roman" w:hAnsi="Times New Roman" w:cs="Times New Roman"/>
                <w:lang w:val="en-US" w:eastAsia="zh-CN"/>
              </w:rPr>
              <w:t>厂界东、南、西、北侧</w:t>
            </w:r>
            <w:r>
              <w:rPr>
                <w:rFonts w:hint="default" w:ascii="Times New Roman" w:hAnsi="Times New Roman" w:cs="Times New Roman"/>
              </w:rPr>
              <w:t>昼、夜间噪声等效声级最大值均符合《工业企业厂界环境噪声排放标准》(GB 12348－2008)中</w:t>
            </w:r>
            <w:r>
              <w:rPr>
                <w:rFonts w:hint="eastAsia" w:cs="Times New Roman"/>
                <w:lang w:val="en-US" w:eastAsia="zh-CN"/>
              </w:rPr>
              <w:t>3</w:t>
            </w:r>
            <w:r>
              <w:rPr>
                <w:rFonts w:hint="default" w:ascii="Times New Roman" w:hAnsi="Times New Roman" w:cs="Times New Roman"/>
              </w:rPr>
              <w:t>类标准限值。</w:t>
            </w:r>
          </w:p>
          <w:p w14:paraId="585AF70E">
            <w:pPr>
              <w:keepNext w:val="0"/>
              <w:keepLines w:val="0"/>
              <w:pageBreakBefore w:val="0"/>
              <w:widowControl w:val="0"/>
              <w:kinsoku/>
              <w:wordWrap/>
              <w:overflowPunct/>
              <w:topLinePunct w:val="0"/>
              <w:autoSpaceDE/>
              <w:autoSpaceDN/>
              <w:bidi w:val="0"/>
              <w:adjustRightInd/>
              <w:snapToGrid/>
              <w:spacing w:line="460" w:lineRule="exact"/>
              <w:ind w:firstLine="480"/>
              <w:jc w:val="both"/>
              <w:textAlignment w:val="auto"/>
              <w:rPr>
                <w:rFonts w:hint="default" w:ascii="Times New Roman" w:hAnsi="Times New Roman" w:cs="Times New Roman"/>
                <w:color w:val="auto"/>
                <w:sz w:val="24"/>
                <w:szCs w:val="24"/>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废水处置调查结果表明</w:t>
            </w:r>
            <w:r>
              <w:rPr>
                <w:rFonts w:hint="default" w:ascii="Times New Roman" w:hAnsi="Times New Roman" w:cs="Times New Roman"/>
                <w:sz w:val="24"/>
                <w:szCs w:val="24"/>
              </w:rPr>
              <w:t>：</w:t>
            </w:r>
            <w:r>
              <w:rPr>
                <w:rFonts w:hint="default" w:ascii="Times New Roman" w:hAnsi="Times New Roman" w:cs="Times New Roman"/>
                <w:lang w:val="en-US" w:eastAsia="zh-CN"/>
              </w:rPr>
              <w:t>公司已按照“雨污分流”原则，修建场区排水和污水处理系统，初期雨水经雨水收集系统收集沉淀处理后综合利用。脱硫除尘废水已经沉淀、中和处理后循环使用，不外排。生活污水已经化粪池处理后用做农肥综合利用，不外排。</w:t>
            </w:r>
          </w:p>
          <w:p w14:paraId="21EB038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lang w:eastAsia="zh-CN"/>
              </w:rPr>
            </w:pPr>
            <w:r>
              <w:rPr>
                <w:rFonts w:hint="default" w:ascii="Times New Roman" w:hAnsi="Times New Roman" w:cs="Times New Roman"/>
                <w:lang w:eastAsia="zh-CN"/>
              </w:rPr>
              <w:t>（</w:t>
            </w:r>
            <w:r>
              <w:rPr>
                <w:rFonts w:hint="default" w:ascii="Times New Roman" w:hAnsi="Times New Roman" w:cs="Times New Roman"/>
                <w:lang w:val="en-US" w:eastAsia="zh-CN"/>
              </w:rPr>
              <w:t>5</w:t>
            </w:r>
            <w:r>
              <w:rPr>
                <w:rFonts w:hint="default" w:ascii="Times New Roman" w:hAnsi="Times New Roman" w:cs="Times New Roman"/>
                <w:lang w:eastAsia="zh-CN"/>
              </w:rPr>
              <w:t>）</w:t>
            </w:r>
            <w:r>
              <w:rPr>
                <w:rFonts w:hint="default" w:ascii="Times New Roman" w:hAnsi="Times New Roman" w:cs="Times New Roman"/>
              </w:rPr>
              <w:t>固体废物按要求得到了妥善处置</w:t>
            </w:r>
            <w:r>
              <w:rPr>
                <w:rFonts w:hint="default" w:ascii="Times New Roman" w:hAnsi="Times New Roman" w:cs="Times New Roman"/>
                <w:lang w:eastAsia="zh-CN"/>
              </w:rPr>
              <w:t>。</w:t>
            </w:r>
            <w:r>
              <w:rPr>
                <w:rFonts w:hint="default" w:ascii="Times New Roman" w:hAnsi="Times New Roman" w:cs="Times New Roman"/>
                <w:lang w:val="en-US" w:eastAsia="zh-CN"/>
              </w:rPr>
              <w:t>废包装材料收集后已由原料生产厂家回收利用；车间清扫收集的粉尘已全部回用于生产；</w:t>
            </w:r>
            <w:r>
              <w:rPr>
                <w:rFonts w:hint="eastAsia" w:cs="Times New Roman"/>
                <w:lang w:val="en-US" w:eastAsia="zh-CN"/>
              </w:rPr>
              <w:t>喷淋沉渣</w:t>
            </w:r>
            <w:r>
              <w:rPr>
                <w:rFonts w:hint="default" w:ascii="Times New Roman" w:hAnsi="Times New Roman" w:cs="Times New Roman"/>
                <w:lang w:val="en-US" w:eastAsia="zh-CN"/>
              </w:rPr>
              <w:t>、废吸油纸、废活性炭、废润滑油、废UV灯管等已分类收集于危废暂存间储存，并委托有资质单位规范处置；废油泥已经定期清捞后回用于生产。</w:t>
            </w:r>
          </w:p>
          <w:p w14:paraId="5574A7C9">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default" w:ascii="Times New Roman" w:hAnsi="Times New Roman" w:cs="Times New Roman"/>
              </w:rPr>
            </w:pPr>
            <w:r>
              <w:rPr>
                <w:rFonts w:hint="default" w:ascii="Times New Roman" w:hAnsi="Times New Roman" w:cs="Times New Roman"/>
              </w:rPr>
              <w:t>2、总结论</w:t>
            </w:r>
          </w:p>
          <w:p w14:paraId="00FC405F">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default" w:ascii="Times New Roman" w:hAnsi="Times New Roman" w:cs="Times New Roman"/>
              </w:rPr>
            </w:pPr>
            <w:r>
              <w:rPr>
                <w:rFonts w:hint="default" w:ascii="Times New Roman" w:hAnsi="Times New Roman" w:cs="Times New Roman"/>
              </w:rPr>
              <w:t>总之，该项目在此次验收监测期间，生产设施与各项污染防治设施运转正常。</w:t>
            </w:r>
            <w:r>
              <w:rPr>
                <w:rFonts w:hint="default" w:ascii="Times New Roman" w:hAnsi="Times New Roman" w:cs="Times New Roman"/>
                <w:lang w:val="en-US" w:eastAsia="zh-CN"/>
              </w:rPr>
              <w:t>各类</w:t>
            </w:r>
            <w:r>
              <w:rPr>
                <w:rFonts w:hint="default" w:ascii="Times New Roman" w:hAnsi="Times New Roman" w:cs="Times New Roman"/>
              </w:rPr>
              <w:t>固体废物得到了妥善处置；</w:t>
            </w:r>
            <w:r>
              <w:rPr>
                <w:rFonts w:hint="eastAsia" w:cs="Times New Roman"/>
                <w:lang w:val="en-US" w:eastAsia="zh-CN"/>
              </w:rPr>
              <w:t>生活污水、</w:t>
            </w:r>
            <w:r>
              <w:rPr>
                <w:rFonts w:hint="default" w:ascii="Times New Roman" w:hAnsi="Times New Roman" w:cs="Times New Roman"/>
                <w:lang w:val="en-US" w:eastAsia="zh-CN"/>
              </w:rPr>
              <w:t>有组织废气和厂界无</w:t>
            </w:r>
            <w:r>
              <w:rPr>
                <w:rFonts w:hint="default" w:ascii="Times New Roman" w:hAnsi="Times New Roman" w:cs="Times New Roman"/>
              </w:rPr>
              <w:t>组织废气</w:t>
            </w:r>
            <w:r>
              <w:rPr>
                <w:rFonts w:hint="default" w:ascii="Times New Roman" w:hAnsi="Times New Roman" w:cs="Times New Roman"/>
                <w:lang w:val="en-US" w:eastAsia="zh-CN"/>
              </w:rPr>
              <w:t>浓度</w:t>
            </w:r>
            <w:r>
              <w:rPr>
                <w:rFonts w:hint="default" w:ascii="Times New Roman" w:hAnsi="Times New Roman" w:cs="Times New Roman"/>
              </w:rPr>
              <w:t>符合国家相关环保标准的限值要求；同时厂界昼、夜间噪声等效声级符合国家环保标准的限值要求</w:t>
            </w:r>
            <w:r>
              <w:rPr>
                <w:rFonts w:hint="default" w:ascii="Times New Roman" w:hAnsi="Times New Roman" w:cs="Times New Roman"/>
                <w:lang w:eastAsia="zh-CN"/>
              </w:rPr>
              <w:t>；项目建设已按</w:t>
            </w:r>
            <w:r>
              <w:rPr>
                <w:rFonts w:hint="default" w:ascii="Times New Roman" w:hAnsi="Times New Roman" w:cs="Times New Roman"/>
              </w:rPr>
              <w:t>环评文件批复要求落实到位</w:t>
            </w:r>
            <w:r>
              <w:rPr>
                <w:rFonts w:hint="default" w:ascii="Times New Roman" w:hAnsi="Times New Roman" w:cs="Times New Roman"/>
                <w:lang w:eastAsia="zh-CN"/>
              </w:rPr>
              <w:t>，</w:t>
            </w:r>
            <w:r>
              <w:rPr>
                <w:rFonts w:hint="default" w:ascii="Times New Roman" w:hAnsi="Times New Roman" w:cs="Times New Roman"/>
              </w:rPr>
              <w:t>已具备建设项目竣工环境保护验收的条件。</w:t>
            </w:r>
          </w:p>
          <w:p w14:paraId="46C3CC81">
            <w:pPr>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、建议</w:t>
            </w:r>
          </w:p>
          <w:p w14:paraId="35401274">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default" w:ascii="Times New Roman" w:hAnsi="Times New Roman" w:cs="Times New Roman"/>
                <w:lang w:eastAsia="zh-CN"/>
              </w:rPr>
            </w:pPr>
            <w:r>
              <w:rPr>
                <w:rFonts w:hint="default" w:ascii="Times New Roman" w:hAnsi="Times New Roman" w:cs="Times New Roman"/>
              </w:rPr>
              <w:t>（1）认真落实各项污染防治措施，确保</w:t>
            </w:r>
            <w:r>
              <w:rPr>
                <w:rFonts w:hint="default" w:ascii="Times New Roman" w:hAnsi="Times New Roman" w:cs="Times New Roman"/>
                <w:lang w:eastAsia="zh-CN"/>
              </w:rPr>
              <w:t>污染物达标排放；</w:t>
            </w:r>
          </w:p>
          <w:p w14:paraId="05AA161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default" w:ascii="Times New Roman" w:hAnsi="Times New Roman" w:cs="Times New Roman"/>
                <w:lang w:val="en-US" w:eastAsia="zh-CN"/>
              </w:rPr>
            </w:pP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）设专人负责环保设施的运行和管理，保证设施正常运转，避免扰民现象发生</w:t>
            </w:r>
            <w:r>
              <w:rPr>
                <w:rFonts w:hint="default" w:ascii="Times New Roman" w:hAnsi="Times New Roman" w:cs="Times New Roman"/>
                <w:lang w:val="en-US" w:eastAsia="zh-CN"/>
              </w:rPr>
              <w:t>。</w:t>
            </w:r>
          </w:p>
        </w:tc>
      </w:tr>
      <w:bookmarkEnd w:id="1"/>
      <w:bookmarkEnd w:id="2"/>
    </w:tbl>
    <w:p w14:paraId="2952666C">
      <w:pPr>
        <w:pStyle w:val="45"/>
        <w:ind w:firstLineChars="0"/>
        <w:rPr>
          <w:rFonts w:hint="default" w:ascii="Times New Roman" w:hAnsi="Times New Roman" w:cs="Times New Roman"/>
          <w:color w:val="FF0000"/>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26" w:charSpace="0"/>
        </w:sectPr>
      </w:pPr>
    </w:p>
    <w:p w14:paraId="517C7EF9">
      <w:pPr>
        <w:pStyle w:val="3"/>
        <w:keepNext/>
        <w:keepLines/>
        <w:pageBreakBefore w:val="0"/>
        <w:widowControl w:val="0"/>
        <w:kinsoku/>
        <w:wordWrap/>
        <w:overflowPunct/>
        <w:topLinePunct w:val="0"/>
        <w:autoSpaceDE/>
        <w:autoSpaceDN/>
        <w:bidi w:val="0"/>
        <w:adjustRightInd/>
        <w:snapToGrid/>
        <w:spacing w:line="240" w:lineRule="auto"/>
        <w:textAlignment w:val="auto"/>
        <w:outlineLvl w:val="0"/>
        <w:rPr>
          <w:rFonts w:hint="default" w:ascii="Times New Roman" w:hAnsi="Times New Roman" w:cs="Times New Roman"/>
          <w:sz w:val="24"/>
          <w:szCs w:val="28"/>
        </w:rPr>
      </w:pPr>
      <w:bookmarkStart w:id="72" w:name="_Toc514764557"/>
      <w:bookmarkStart w:id="73" w:name="_Toc500180889"/>
      <w:bookmarkStart w:id="74" w:name="_Toc19919"/>
      <w:r>
        <w:rPr>
          <w:rFonts w:hint="default" w:ascii="Times New Roman" w:hAnsi="Times New Roman" w:cs="Times New Roman"/>
          <w:sz w:val="24"/>
          <w:szCs w:val="28"/>
        </w:rPr>
        <w:t>附件1：建设项目工程竣工环境保护“三同时”验收登记表</w:t>
      </w:r>
      <w:bookmarkEnd w:id="72"/>
      <w:bookmarkEnd w:id="73"/>
      <w:bookmarkEnd w:id="74"/>
    </w:p>
    <w:p w14:paraId="79D77928">
      <w:pPr>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填表单位（盖章）：</w:t>
      </w:r>
      <w:r>
        <w:rPr>
          <w:rFonts w:hint="default" w:ascii="Times New Roman" w:hAnsi="Times New Roman" w:cs="Times New Roman"/>
          <w:color w:val="000000" w:themeColor="text1"/>
          <w:sz w:val="21"/>
          <w:szCs w:val="21"/>
          <w:lang w:val="en" w:eastAsia="zh-CN"/>
          <w14:textFill>
            <w14:solidFill>
              <w14:schemeClr w14:val="tx1"/>
            </w14:solidFill>
          </w14:textFill>
        </w:rPr>
        <w:t>湖南科谱环保科技有限公司</w:t>
      </w:r>
      <w:r>
        <w:rPr>
          <w:rFonts w:hint="default" w:ascii="Times New Roman" w:hAnsi="Times New Roman" w:cs="Times New Roman"/>
          <w:color w:val="000000" w:themeColor="text1"/>
          <w:sz w:val="21"/>
          <w:szCs w:val="21"/>
          <w14:textFill>
            <w14:solidFill>
              <w14:schemeClr w14:val="tx1"/>
            </w14:solidFill>
          </w14:textFill>
        </w:rPr>
        <w:t xml:space="preserve">                 填表人（签字）：                       项目经办人（签字）：</w:t>
      </w:r>
    </w:p>
    <w:tbl>
      <w:tblPr>
        <w:tblStyle w:val="31"/>
        <w:tblW w:w="14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282"/>
        <w:gridCol w:w="1302"/>
        <w:gridCol w:w="709"/>
        <w:gridCol w:w="713"/>
        <w:gridCol w:w="964"/>
        <w:gridCol w:w="708"/>
        <w:gridCol w:w="284"/>
        <w:gridCol w:w="853"/>
        <w:gridCol w:w="708"/>
        <w:gridCol w:w="284"/>
        <w:gridCol w:w="992"/>
        <w:gridCol w:w="990"/>
        <w:gridCol w:w="6"/>
        <w:gridCol w:w="990"/>
        <w:gridCol w:w="142"/>
        <w:gridCol w:w="569"/>
        <w:gridCol w:w="569"/>
        <w:gridCol w:w="333"/>
        <w:gridCol w:w="230"/>
        <w:gridCol w:w="429"/>
        <w:gridCol w:w="492"/>
        <w:gridCol w:w="500"/>
        <w:gridCol w:w="355"/>
        <w:gridCol w:w="421"/>
      </w:tblGrid>
      <w:tr w14:paraId="302E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658" w:type="dxa"/>
            <w:vMerge w:val="restart"/>
            <w:textDirection w:val="tbRlV"/>
            <w:vAlign w:val="center"/>
          </w:tcPr>
          <w:p w14:paraId="6795CAD9">
            <w:pPr>
              <w:spacing w:line="240" w:lineRule="exact"/>
              <w:ind w:firstLine="0" w:firstLineChars="0"/>
              <w:jc w:val="center"/>
              <w:rPr>
                <w:rFonts w:hint="default" w:ascii="Times New Roman" w:hAnsi="Times New Roman" w:cs="Times New Roman"/>
                <w:b/>
                <w:sz w:val="18"/>
                <w:szCs w:val="18"/>
              </w:rPr>
            </w:pPr>
            <w:r>
              <w:rPr>
                <w:rFonts w:hint="default" w:ascii="Times New Roman" w:hAnsi="Times New Roman" w:cs="Times New Roman"/>
                <w:b/>
                <w:sz w:val="18"/>
                <w:szCs w:val="18"/>
              </w:rPr>
              <w:t>建设项目</w:t>
            </w:r>
          </w:p>
        </w:tc>
        <w:tc>
          <w:tcPr>
            <w:tcW w:w="2293" w:type="dxa"/>
            <w:gridSpan w:val="3"/>
            <w:vAlign w:val="center"/>
          </w:tcPr>
          <w:p w14:paraId="6D989BB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项目名称</w:t>
            </w:r>
          </w:p>
        </w:tc>
        <w:tc>
          <w:tcPr>
            <w:tcW w:w="4230" w:type="dxa"/>
            <w:gridSpan w:val="6"/>
            <w:vAlign w:val="center"/>
          </w:tcPr>
          <w:p w14:paraId="37C18CD6">
            <w:pPr>
              <w:spacing w:line="240" w:lineRule="exact"/>
              <w:ind w:firstLine="0" w:firstLineChars="0"/>
              <w:jc w:val="center"/>
              <w:rPr>
                <w:rFonts w:hint="default" w:ascii="Times New Roman" w:hAnsi="Times New Roman" w:cs="Times New Roman" w:eastAsiaTheme="minorEastAsia"/>
                <w:sz w:val="18"/>
                <w:szCs w:val="18"/>
                <w:lang w:val="en" w:eastAsia="zh-CN"/>
              </w:rPr>
            </w:pPr>
            <w:r>
              <w:rPr>
                <w:rFonts w:hint="eastAsia" w:cs="Times New Roman"/>
                <w:sz w:val="18"/>
                <w:szCs w:val="18"/>
                <w:lang w:val="en" w:eastAsia="zh-CN"/>
              </w:rPr>
              <w:t>邵阳市鑫腾阻燃新材料科技有限公司红磷阻燃剂建设项目</w:t>
            </w:r>
          </w:p>
        </w:tc>
        <w:tc>
          <w:tcPr>
            <w:tcW w:w="2266" w:type="dxa"/>
            <w:gridSpan w:val="3"/>
            <w:vAlign w:val="center"/>
          </w:tcPr>
          <w:p w14:paraId="05251690">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项目代码</w:t>
            </w:r>
          </w:p>
        </w:tc>
        <w:tc>
          <w:tcPr>
            <w:tcW w:w="996" w:type="dxa"/>
            <w:gridSpan w:val="2"/>
            <w:vAlign w:val="center"/>
          </w:tcPr>
          <w:p w14:paraId="35D5E8F4">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rPr>
              <w:t>C</w:t>
            </w:r>
            <w:r>
              <w:rPr>
                <w:rFonts w:hint="eastAsia" w:cs="Times New Roman"/>
                <w:sz w:val="18"/>
                <w:szCs w:val="18"/>
                <w:lang w:val="en-US" w:eastAsia="zh-CN"/>
              </w:rPr>
              <w:t>2661</w:t>
            </w:r>
          </w:p>
        </w:tc>
        <w:tc>
          <w:tcPr>
            <w:tcW w:w="711" w:type="dxa"/>
            <w:gridSpan w:val="2"/>
            <w:vAlign w:val="center"/>
          </w:tcPr>
          <w:p w14:paraId="5C969E99">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建设</w:t>
            </w:r>
          </w:p>
          <w:p w14:paraId="77BC8B3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地点</w:t>
            </w:r>
          </w:p>
        </w:tc>
        <w:tc>
          <w:tcPr>
            <w:tcW w:w="3329" w:type="dxa"/>
            <w:gridSpan w:val="8"/>
            <w:vAlign w:val="center"/>
          </w:tcPr>
          <w:p w14:paraId="2D2D197F">
            <w:pPr>
              <w:spacing w:line="240" w:lineRule="exact"/>
              <w:ind w:firstLine="0" w:firstLineChars="0"/>
              <w:jc w:val="center"/>
              <w:rPr>
                <w:rFonts w:hint="default" w:ascii="Times New Roman" w:hAnsi="Times New Roman" w:cs="Times New Roman"/>
                <w:sz w:val="18"/>
                <w:szCs w:val="18"/>
              </w:rPr>
            </w:pPr>
            <w:r>
              <w:rPr>
                <w:rFonts w:hint="eastAsia" w:cs="Times New Roman"/>
                <w:sz w:val="18"/>
                <w:szCs w:val="18"/>
                <w:lang w:eastAsia="zh-CN"/>
              </w:rPr>
              <w:t>湖南省邵阳县长阳铺镇长阳铺村工业集中区5栋厂房</w:t>
            </w:r>
          </w:p>
        </w:tc>
      </w:tr>
      <w:tr w14:paraId="6E27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43F4AA31">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4D04A61B">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行业类别（分类管理名录）</w:t>
            </w:r>
          </w:p>
        </w:tc>
        <w:tc>
          <w:tcPr>
            <w:tcW w:w="4230" w:type="dxa"/>
            <w:gridSpan w:val="6"/>
            <w:vAlign w:val="center"/>
          </w:tcPr>
          <w:p w14:paraId="758A6857">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化学试剂和助剂制造</w:t>
            </w:r>
          </w:p>
        </w:tc>
        <w:tc>
          <w:tcPr>
            <w:tcW w:w="2266" w:type="dxa"/>
            <w:gridSpan w:val="3"/>
            <w:vAlign w:val="center"/>
          </w:tcPr>
          <w:p w14:paraId="6479D207">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建设性质</w:t>
            </w:r>
          </w:p>
        </w:tc>
        <w:tc>
          <w:tcPr>
            <w:tcW w:w="5036" w:type="dxa"/>
            <w:gridSpan w:val="12"/>
            <w:vAlign w:val="center"/>
          </w:tcPr>
          <w:p w14:paraId="04B1E0A0">
            <w:pPr>
              <w:spacing w:line="240" w:lineRule="exact"/>
              <w:ind w:firstLine="0" w:firstLineChars="0"/>
              <w:jc w:val="center"/>
              <w:rPr>
                <w:rFonts w:hint="default" w:ascii="Times New Roman" w:hAnsi="Times New Roman" w:cs="Times New Roman"/>
                <w:sz w:val="18"/>
                <w:szCs w:val="18"/>
              </w:rPr>
            </w:pPr>
            <w:r>
              <w:rPr>
                <w:rFonts w:hint="eastAsia" w:cs="Times New Roman"/>
                <w:sz w:val="18"/>
                <w:szCs w:val="18"/>
                <w:lang w:eastAsia="zh-CN"/>
              </w:rPr>
              <w:t>☑</w:t>
            </w:r>
            <w:r>
              <w:rPr>
                <w:rFonts w:hint="default" w:ascii="Times New Roman" w:hAnsi="Times New Roman" w:cs="Times New Roman"/>
                <w:sz w:val="18"/>
                <w:szCs w:val="18"/>
              </w:rPr>
              <w:t>新建</w:t>
            </w:r>
            <w:r>
              <w:rPr>
                <w:rFonts w:hint="eastAsia" w:cs="Times New Roman"/>
                <w:sz w:val="18"/>
                <w:szCs w:val="18"/>
                <w:lang w:eastAsia="zh-CN"/>
              </w:rPr>
              <w:t>□</w:t>
            </w:r>
            <w:r>
              <w:rPr>
                <w:rFonts w:hint="default" w:ascii="Times New Roman" w:hAnsi="Times New Roman" w:cs="Times New Roman"/>
                <w:sz w:val="18"/>
                <w:szCs w:val="18"/>
              </w:rPr>
              <w:t>改扩建</w:t>
            </w:r>
            <w:r>
              <w:rPr>
                <w:rFonts w:hint="eastAsia" w:cs="Times New Roman"/>
                <w:sz w:val="18"/>
                <w:szCs w:val="18"/>
                <w:lang w:eastAsia="zh-CN"/>
              </w:rPr>
              <w:t>□</w:t>
            </w:r>
            <w:r>
              <w:rPr>
                <w:rFonts w:hint="default" w:ascii="Times New Roman" w:hAnsi="Times New Roman" w:cs="Times New Roman"/>
                <w:sz w:val="18"/>
                <w:szCs w:val="18"/>
              </w:rPr>
              <w:t>技术改造</w:t>
            </w:r>
          </w:p>
        </w:tc>
      </w:tr>
      <w:tr w14:paraId="4274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4F0D75FE">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68FE977D">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设计生产能力</w:t>
            </w:r>
          </w:p>
        </w:tc>
        <w:tc>
          <w:tcPr>
            <w:tcW w:w="4230" w:type="dxa"/>
            <w:gridSpan w:val="6"/>
            <w:vAlign w:val="center"/>
          </w:tcPr>
          <w:p w14:paraId="72EB9E9A">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lang w:val="en-US" w:eastAsia="zh-CN"/>
              </w:rPr>
              <w:t>年产油相超细红磷阻燃剂4000吨、红磷阻燃母粒4000吨</w:t>
            </w:r>
          </w:p>
        </w:tc>
        <w:tc>
          <w:tcPr>
            <w:tcW w:w="2266" w:type="dxa"/>
            <w:gridSpan w:val="3"/>
            <w:shd w:val="clear" w:color="auto" w:fill="auto"/>
            <w:vAlign w:val="center"/>
          </w:tcPr>
          <w:p w14:paraId="4FD8CCBC">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实际生产能力</w:t>
            </w:r>
          </w:p>
        </w:tc>
        <w:tc>
          <w:tcPr>
            <w:tcW w:w="1707" w:type="dxa"/>
            <w:gridSpan w:val="4"/>
            <w:shd w:val="clear" w:color="auto" w:fill="auto"/>
            <w:vAlign w:val="center"/>
          </w:tcPr>
          <w:p w14:paraId="08234242">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lang w:val="en-US" w:eastAsia="zh-CN"/>
              </w:rPr>
              <w:t>年产油相超细红磷阻燃剂4000吨、红磷阻燃母粒4000吨</w:t>
            </w:r>
          </w:p>
        </w:tc>
        <w:tc>
          <w:tcPr>
            <w:tcW w:w="902" w:type="dxa"/>
            <w:gridSpan w:val="2"/>
            <w:vAlign w:val="center"/>
          </w:tcPr>
          <w:p w14:paraId="29BF107E">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环评</w:t>
            </w:r>
          </w:p>
          <w:p w14:paraId="6B6B794A">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单位</w:t>
            </w:r>
          </w:p>
        </w:tc>
        <w:tc>
          <w:tcPr>
            <w:tcW w:w="2427" w:type="dxa"/>
            <w:gridSpan w:val="6"/>
            <w:vAlign w:val="center"/>
          </w:tcPr>
          <w:p w14:paraId="112157AF">
            <w:pPr>
              <w:spacing w:line="240" w:lineRule="exact"/>
              <w:ind w:firstLine="0" w:firstLineChars="0"/>
              <w:jc w:val="center"/>
              <w:rPr>
                <w:rFonts w:hint="default" w:ascii="Times New Roman" w:hAnsi="Times New Roman" w:cs="Times New Roman" w:eastAsiaTheme="minorEastAsia"/>
                <w:sz w:val="18"/>
                <w:szCs w:val="18"/>
                <w:lang w:eastAsia="zh-CN"/>
              </w:rPr>
            </w:pPr>
            <w:r>
              <w:rPr>
                <w:rFonts w:hint="eastAsia" w:cs="Times New Roman"/>
                <w:sz w:val="18"/>
                <w:szCs w:val="18"/>
                <w:lang w:val="en-US" w:eastAsia="zh-CN"/>
              </w:rPr>
              <w:t>湖南朗誉环保科技有限公司</w:t>
            </w:r>
          </w:p>
        </w:tc>
      </w:tr>
      <w:tr w14:paraId="1BEC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3B373A55">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38CC4171">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环评文件审批机关</w:t>
            </w:r>
          </w:p>
        </w:tc>
        <w:tc>
          <w:tcPr>
            <w:tcW w:w="4230" w:type="dxa"/>
            <w:gridSpan w:val="6"/>
            <w:vAlign w:val="center"/>
          </w:tcPr>
          <w:p w14:paraId="3DCBF5BF">
            <w:pPr>
              <w:spacing w:line="240" w:lineRule="exact"/>
              <w:ind w:firstLine="0" w:firstLineChars="0"/>
              <w:jc w:val="center"/>
              <w:rPr>
                <w:rFonts w:hint="default" w:ascii="Times New Roman" w:hAnsi="Times New Roman" w:cs="Times New Roman"/>
                <w:sz w:val="18"/>
                <w:szCs w:val="18"/>
                <w:lang w:val="en-US"/>
              </w:rPr>
            </w:pPr>
            <w:r>
              <w:rPr>
                <w:rFonts w:hint="default" w:ascii="Times New Roman" w:hAnsi="Times New Roman" w:cs="Times New Roman"/>
                <w:sz w:val="18"/>
                <w:szCs w:val="18"/>
                <w:lang w:val="en-US" w:eastAsia="zh-CN"/>
              </w:rPr>
              <w:t>邵阳市生态环境局邵阳县分局</w:t>
            </w:r>
          </w:p>
        </w:tc>
        <w:tc>
          <w:tcPr>
            <w:tcW w:w="2266" w:type="dxa"/>
            <w:gridSpan w:val="3"/>
            <w:vAlign w:val="center"/>
          </w:tcPr>
          <w:p w14:paraId="05FE1955">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审批文号</w:t>
            </w:r>
          </w:p>
        </w:tc>
        <w:tc>
          <w:tcPr>
            <w:tcW w:w="1707" w:type="dxa"/>
            <w:gridSpan w:val="4"/>
            <w:vAlign w:val="center"/>
          </w:tcPr>
          <w:p w14:paraId="611BF7D1">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lang w:val="en-US" w:eastAsia="zh-CN"/>
              </w:rPr>
              <w:t>邵市环评(3)(2024)</w:t>
            </w:r>
            <w:r>
              <w:rPr>
                <w:rFonts w:hint="eastAsia" w:cs="Times New Roman"/>
                <w:sz w:val="18"/>
                <w:szCs w:val="18"/>
                <w:lang w:val="en-US" w:eastAsia="zh-CN"/>
              </w:rPr>
              <w:t>10</w:t>
            </w:r>
            <w:r>
              <w:rPr>
                <w:rFonts w:hint="default" w:ascii="Times New Roman" w:hAnsi="Times New Roman" w:cs="Times New Roman"/>
                <w:sz w:val="18"/>
                <w:szCs w:val="18"/>
                <w:lang w:val="en-US" w:eastAsia="zh-CN"/>
              </w:rPr>
              <w:t>号</w:t>
            </w:r>
          </w:p>
        </w:tc>
        <w:tc>
          <w:tcPr>
            <w:tcW w:w="2053" w:type="dxa"/>
            <w:gridSpan w:val="5"/>
            <w:vAlign w:val="center"/>
          </w:tcPr>
          <w:p w14:paraId="2DB666D5">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环评文件类型</w:t>
            </w:r>
          </w:p>
        </w:tc>
        <w:tc>
          <w:tcPr>
            <w:tcW w:w="1276" w:type="dxa"/>
            <w:gridSpan w:val="3"/>
            <w:vAlign w:val="center"/>
          </w:tcPr>
          <w:p w14:paraId="6E240CA9">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报告表</w:t>
            </w:r>
          </w:p>
        </w:tc>
      </w:tr>
      <w:tr w14:paraId="3C11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7C608F5A">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59D36EB6">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开工日期</w:t>
            </w:r>
          </w:p>
        </w:tc>
        <w:tc>
          <w:tcPr>
            <w:tcW w:w="4230" w:type="dxa"/>
            <w:gridSpan w:val="6"/>
            <w:vAlign w:val="center"/>
          </w:tcPr>
          <w:p w14:paraId="37BF77E4">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20</w:t>
            </w:r>
            <w:r>
              <w:rPr>
                <w:rFonts w:hint="default" w:ascii="Times New Roman" w:hAnsi="Times New Roman" w:cs="Times New Roman"/>
                <w:sz w:val="18"/>
                <w:szCs w:val="18"/>
                <w:lang w:val="en-US" w:eastAsia="zh-CN"/>
              </w:rPr>
              <w:t>24</w:t>
            </w:r>
            <w:r>
              <w:rPr>
                <w:rFonts w:hint="default" w:ascii="Times New Roman" w:hAnsi="Times New Roman" w:cs="Times New Roman"/>
                <w:sz w:val="18"/>
                <w:szCs w:val="18"/>
              </w:rPr>
              <w:t>年</w:t>
            </w:r>
            <w:r>
              <w:rPr>
                <w:rFonts w:hint="eastAsia" w:cs="Times New Roman"/>
                <w:sz w:val="18"/>
                <w:szCs w:val="18"/>
                <w:lang w:val="en-US" w:eastAsia="zh-CN"/>
              </w:rPr>
              <w:t>7</w:t>
            </w:r>
            <w:r>
              <w:rPr>
                <w:rFonts w:hint="default" w:ascii="Times New Roman" w:hAnsi="Times New Roman" w:cs="Times New Roman"/>
                <w:sz w:val="18"/>
                <w:szCs w:val="18"/>
              </w:rPr>
              <w:t>月</w:t>
            </w:r>
          </w:p>
        </w:tc>
        <w:tc>
          <w:tcPr>
            <w:tcW w:w="2266" w:type="dxa"/>
            <w:gridSpan w:val="3"/>
            <w:vAlign w:val="center"/>
          </w:tcPr>
          <w:p w14:paraId="1180F6FA">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竣工日期</w:t>
            </w:r>
          </w:p>
        </w:tc>
        <w:tc>
          <w:tcPr>
            <w:tcW w:w="1707" w:type="dxa"/>
            <w:gridSpan w:val="4"/>
            <w:vAlign w:val="center"/>
          </w:tcPr>
          <w:p w14:paraId="0A581881">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20</w:t>
            </w:r>
            <w:r>
              <w:rPr>
                <w:rFonts w:hint="default" w:ascii="Times New Roman" w:hAnsi="Times New Roman" w:cs="Times New Roman"/>
                <w:sz w:val="18"/>
                <w:szCs w:val="18"/>
                <w:lang w:val="en-US" w:eastAsia="zh-CN"/>
              </w:rPr>
              <w:t>24</w:t>
            </w:r>
            <w:r>
              <w:rPr>
                <w:rFonts w:hint="default" w:ascii="Times New Roman" w:hAnsi="Times New Roman" w:cs="Times New Roman"/>
                <w:sz w:val="18"/>
                <w:szCs w:val="18"/>
              </w:rPr>
              <w:t>年</w:t>
            </w:r>
            <w:r>
              <w:rPr>
                <w:rFonts w:hint="default" w:ascii="Times New Roman" w:hAnsi="Times New Roman" w:cs="Times New Roman"/>
                <w:sz w:val="18"/>
                <w:szCs w:val="18"/>
                <w:lang w:val="en-US" w:eastAsia="zh-CN"/>
              </w:rPr>
              <w:t>10</w:t>
            </w:r>
            <w:r>
              <w:rPr>
                <w:rFonts w:hint="default" w:ascii="Times New Roman" w:hAnsi="Times New Roman" w:cs="Times New Roman"/>
                <w:sz w:val="18"/>
                <w:szCs w:val="18"/>
              </w:rPr>
              <w:t>月</w:t>
            </w:r>
          </w:p>
        </w:tc>
        <w:tc>
          <w:tcPr>
            <w:tcW w:w="2053" w:type="dxa"/>
            <w:gridSpan w:val="5"/>
            <w:vAlign w:val="center"/>
          </w:tcPr>
          <w:p w14:paraId="3A41EBB5">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排污许可证申领时间</w:t>
            </w:r>
          </w:p>
        </w:tc>
        <w:tc>
          <w:tcPr>
            <w:tcW w:w="1276" w:type="dxa"/>
            <w:gridSpan w:val="3"/>
            <w:vAlign w:val="center"/>
          </w:tcPr>
          <w:p w14:paraId="31878F28">
            <w:pPr>
              <w:spacing w:line="240" w:lineRule="exact"/>
              <w:ind w:firstLine="0" w:firstLineChars="0"/>
              <w:jc w:val="both"/>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202</w:t>
            </w:r>
            <w:r>
              <w:rPr>
                <w:rFonts w:hint="eastAsia" w:cs="Times New Roman"/>
                <w:sz w:val="18"/>
                <w:szCs w:val="18"/>
                <w:lang w:val="en-US" w:eastAsia="zh-CN"/>
              </w:rPr>
              <w:t>4</w:t>
            </w:r>
            <w:r>
              <w:rPr>
                <w:rFonts w:hint="default" w:ascii="Times New Roman" w:hAnsi="Times New Roman" w:cs="Times New Roman"/>
                <w:sz w:val="18"/>
                <w:szCs w:val="18"/>
                <w:lang w:val="en-US" w:eastAsia="zh-CN"/>
              </w:rPr>
              <w:t>年1</w:t>
            </w:r>
            <w:r>
              <w:rPr>
                <w:rFonts w:hint="eastAsia" w:cs="Times New Roman"/>
                <w:sz w:val="18"/>
                <w:szCs w:val="18"/>
                <w:lang w:val="en-US" w:eastAsia="zh-CN"/>
              </w:rPr>
              <w:t>0</w:t>
            </w:r>
            <w:r>
              <w:rPr>
                <w:rFonts w:hint="default" w:ascii="Times New Roman" w:hAnsi="Times New Roman" w:cs="Times New Roman"/>
                <w:sz w:val="18"/>
                <w:szCs w:val="18"/>
                <w:lang w:val="en-US" w:eastAsia="zh-CN"/>
              </w:rPr>
              <w:t>月</w:t>
            </w:r>
          </w:p>
        </w:tc>
      </w:tr>
      <w:tr w14:paraId="0B1A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658" w:type="dxa"/>
            <w:vMerge w:val="continue"/>
            <w:vAlign w:val="center"/>
          </w:tcPr>
          <w:p w14:paraId="60D3A927">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0F39DCD9">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环保设施设计单位</w:t>
            </w:r>
          </w:p>
        </w:tc>
        <w:tc>
          <w:tcPr>
            <w:tcW w:w="4230" w:type="dxa"/>
            <w:gridSpan w:val="6"/>
            <w:vAlign w:val="center"/>
          </w:tcPr>
          <w:p w14:paraId="2DEB85AB">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w:t>
            </w:r>
          </w:p>
        </w:tc>
        <w:tc>
          <w:tcPr>
            <w:tcW w:w="2266" w:type="dxa"/>
            <w:gridSpan w:val="3"/>
            <w:vAlign w:val="center"/>
          </w:tcPr>
          <w:p w14:paraId="185663A9">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环保设施施工单位</w:t>
            </w:r>
          </w:p>
        </w:tc>
        <w:tc>
          <w:tcPr>
            <w:tcW w:w="1707" w:type="dxa"/>
            <w:gridSpan w:val="4"/>
            <w:vAlign w:val="center"/>
          </w:tcPr>
          <w:p w14:paraId="05C0D270">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w:t>
            </w:r>
          </w:p>
        </w:tc>
        <w:tc>
          <w:tcPr>
            <w:tcW w:w="2053" w:type="dxa"/>
            <w:gridSpan w:val="5"/>
            <w:vAlign w:val="center"/>
          </w:tcPr>
          <w:p w14:paraId="06B90218">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本工程排污许可证编号</w:t>
            </w:r>
          </w:p>
        </w:tc>
        <w:tc>
          <w:tcPr>
            <w:tcW w:w="1276" w:type="dxa"/>
            <w:gridSpan w:val="3"/>
            <w:vAlign w:val="center"/>
          </w:tcPr>
          <w:p w14:paraId="517560AA">
            <w:pPr>
              <w:spacing w:line="240" w:lineRule="exact"/>
              <w:ind w:firstLine="0" w:firstLineChars="0"/>
              <w:jc w:val="both"/>
              <w:rPr>
                <w:rFonts w:hint="default" w:ascii="Times New Roman" w:hAnsi="Times New Roman" w:cs="Times New Roman"/>
                <w:sz w:val="18"/>
                <w:szCs w:val="18"/>
                <w:lang w:val="en-US" w:eastAsia="zh-CN"/>
              </w:rPr>
            </w:pPr>
            <w:r>
              <w:rPr>
                <w:rFonts w:hint="default" w:ascii="Times New Roman" w:hAnsi="Times New Roman" w:cs="Times New Roman"/>
                <w:sz w:val="15"/>
                <w:szCs w:val="15"/>
                <w:lang w:val="en-US" w:eastAsia="zh-CN"/>
              </w:rPr>
              <w:t>91430523MADGF6KR14001V</w:t>
            </w:r>
          </w:p>
        </w:tc>
      </w:tr>
      <w:tr w14:paraId="4057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03954525">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232CD75A">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验收单位</w:t>
            </w:r>
          </w:p>
        </w:tc>
        <w:tc>
          <w:tcPr>
            <w:tcW w:w="4230" w:type="dxa"/>
            <w:gridSpan w:val="6"/>
            <w:vAlign w:val="center"/>
          </w:tcPr>
          <w:p w14:paraId="35ED0732">
            <w:pPr>
              <w:spacing w:line="240" w:lineRule="exact"/>
              <w:ind w:firstLine="0" w:firstLineChars="0"/>
              <w:jc w:val="center"/>
              <w:rPr>
                <w:rFonts w:hint="default" w:ascii="Times New Roman" w:hAnsi="Times New Roman" w:cs="Times New Roman"/>
                <w:sz w:val="18"/>
                <w:szCs w:val="18"/>
                <w:lang w:val="en"/>
              </w:rPr>
            </w:pPr>
            <w:r>
              <w:rPr>
                <w:rFonts w:hint="default" w:ascii="Times New Roman" w:hAnsi="Times New Roman" w:cs="Times New Roman"/>
                <w:sz w:val="18"/>
                <w:szCs w:val="18"/>
                <w:lang w:val="en" w:eastAsia="zh-CN"/>
              </w:rPr>
              <w:t>湖南科谱环保科技有限公司</w:t>
            </w:r>
          </w:p>
        </w:tc>
        <w:tc>
          <w:tcPr>
            <w:tcW w:w="2266" w:type="dxa"/>
            <w:gridSpan w:val="3"/>
            <w:vAlign w:val="center"/>
          </w:tcPr>
          <w:p w14:paraId="1122E4FB">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环保设施检测单位</w:t>
            </w:r>
          </w:p>
        </w:tc>
        <w:tc>
          <w:tcPr>
            <w:tcW w:w="1707" w:type="dxa"/>
            <w:gridSpan w:val="4"/>
            <w:vAlign w:val="center"/>
          </w:tcPr>
          <w:p w14:paraId="15F8003C">
            <w:pPr>
              <w:spacing w:line="240" w:lineRule="exact"/>
              <w:ind w:firstLine="0" w:firstLineChars="0"/>
              <w:jc w:val="center"/>
              <w:rPr>
                <w:rFonts w:hint="default" w:ascii="Times New Roman" w:hAnsi="Times New Roman" w:cs="Times New Roman"/>
                <w:sz w:val="18"/>
                <w:szCs w:val="18"/>
                <w:lang w:val="en"/>
              </w:rPr>
            </w:pPr>
            <w:r>
              <w:rPr>
                <w:rFonts w:hint="default" w:ascii="Times New Roman" w:hAnsi="Times New Roman" w:cs="Times New Roman"/>
                <w:sz w:val="18"/>
                <w:szCs w:val="18"/>
                <w:lang w:val="en" w:eastAsia="zh-CN"/>
              </w:rPr>
              <w:t>湖南科谱环保科技有限公司</w:t>
            </w:r>
          </w:p>
        </w:tc>
        <w:tc>
          <w:tcPr>
            <w:tcW w:w="2053" w:type="dxa"/>
            <w:gridSpan w:val="5"/>
            <w:vAlign w:val="center"/>
          </w:tcPr>
          <w:p w14:paraId="4DA22120">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验收检测时工况</w:t>
            </w:r>
          </w:p>
        </w:tc>
        <w:tc>
          <w:tcPr>
            <w:tcW w:w="1276" w:type="dxa"/>
            <w:gridSpan w:val="3"/>
            <w:vAlign w:val="center"/>
          </w:tcPr>
          <w:p w14:paraId="4AA31030">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9</w:t>
            </w:r>
            <w:r>
              <w:rPr>
                <w:rFonts w:hint="eastAsia" w:cs="Times New Roman"/>
                <w:sz w:val="18"/>
                <w:szCs w:val="18"/>
                <w:lang w:val="en-US" w:eastAsia="zh-CN"/>
              </w:rPr>
              <w:t>5</w:t>
            </w:r>
            <w:r>
              <w:rPr>
                <w:rFonts w:hint="default" w:ascii="Times New Roman" w:hAnsi="Times New Roman" w:cs="Times New Roman"/>
                <w:sz w:val="18"/>
                <w:szCs w:val="18"/>
                <w:lang w:val="en-US" w:eastAsia="zh-CN"/>
              </w:rPr>
              <w:t>%</w:t>
            </w:r>
          </w:p>
        </w:tc>
      </w:tr>
      <w:tr w14:paraId="5144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0DE50EB1">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2BD66ED7">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投资总概算（万元）</w:t>
            </w:r>
          </w:p>
        </w:tc>
        <w:tc>
          <w:tcPr>
            <w:tcW w:w="4230" w:type="dxa"/>
            <w:gridSpan w:val="6"/>
            <w:vAlign w:val="center"/>
          </w:tcPr>
          <w:p w14:paraId="71CF9CF0">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12</w:t>
            </w:r>
            <w:r>
              <w:rPr>
                <w:rFonts w:hint="default" w:ascii="Times New Roman" w:hAnsi="Times New Roman" w:cs="Times New Roman"/>
                <w:sz w:val="18"/>
                <w:szCs w:val="18"/>
                <w:lang w:val="en-US" w:eastAsia="zh-CN"/>
              </w:rPr>
              <w:t>0</w:t>
            </w:r>
            <w:r>
              <w:rPr>
                <w:rFonts w:hint="eastAsia" w:ascii="Times New Roman" w:hAnsi="Times New Roman" w:cs="Times New Roman"/>
                <w:sz w:val="18"/>
                <w:szCs w:val="18"/>
                <w:lang w:val="en-US" w:eastAsia="zh-CN"/>
              </w:rPr>
              <w:t>0</w:t>
            </w:r>
          </w:p>
        </w:tc>
        <w:tc>
          <w:tcPr>
            <w:tcW w:w="2266" w:type="dxa"/>
            <w:gridSpan w:val="3"/>
            <w:vAlign w:val="center"/>
          </w:tcPr>
          <w:p w14:paraId="7E248ABD">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环保投资总概算（万元）</w:t>
            </w:r>
          </w:p>
        </w:tc>
        <w:tc>
          <w:tcPr>
            <w:tcW w:w="1707" w:type="dxa"/>
            <w:gridSpan w:val="4"/>
            <w:vAlign w:val="center"/>
          </w:tcPr>
          <w:p w14:paraId="20C5C78D">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100</w:t>
            </w:r>
          </w:p>
        </w:tc>
        <w:tc>
          <w:tcPr>
            <w:tcW w:w="2053" w:type="dxa"/>
            <w:gridSpan w:val="5"/>
            <w:vAlign w:val="center"/>
          </w:tcPr>
          <w:p w14:paraId="546863E6">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所占比例（%）</w:t>
            </w:r>
          </w:p>
        </w:tc>
        <w:tc>
          <w:tcPr>
            <w:tcW w:w="1276" w:type="dxa"/>
            <w:gridSpan w:val="3"/>
            <w:vAlign w:val="center"/>
          </w:tcPr>
          <w:p w14:paraId="0E5B270D">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8.30</w:t>
            </w:r>
            <w:r>
              <w:rPr>
                <w:rFonts w:hint="default" w:ascii="Times New Roman" w:hAnsi="Times New Roman" w:cs="Times New Roman"/>
                <w:sz w:val="18"/>
                <w:szCs w:val="18"/>
                <w:lang w:val="en-US" w:eastAsia="zh-CN"/>
              </w:rPr>
              <w:t>%</w:t>
            </w:r>
          </w:p>
        </w:tc>
      </w:tr>
      <w:tr w14:paraId="5919A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658" w:type="dxa"/>
            <w:vMerge w:val="continue"/>
            <w:vAlign w:val="center"/>
          </w:tcPr>
          <w:p w14:paraId="1B0CDD72">
            <w:pPr>
              <w:spacing w:line="240" w:lineRule="exact"/>
              <w:ind w:firstLine="0" w:firstLineChars="0"/>
              <w:jc w:val="center"/>
              <w:rPr>
                <w:rFonts w:hint="default" w:ascii="Times New Roman" w:hAnsi="Times New Roman" w:cs="Times New Roman"/>
                <w:b/>
                <w:sz w:val="18"/>
                <w:szCs w:val="18"/>
              </w:rPr>
            </w:pPr>
          </w:p>
        </w:tc>
        <w:tc>
          <w:tcPr>
            <w:tcW w:w="2293" w:type="dxa"/>
            <w:gridSpan w:val="3"/>
            <w:shd w:val="clear" w:color="auto" w:fill="auto"/>
            <w:vAlign w:val="center"/>
          </w:tcPr>
          <w:p w14:paraId="3E2A0427">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实际总投资（万元）</w:t>
            </w:r>
          </w:p>
        </w:tc>
        <w:tc>
          <w:tcPr>
            <w:tcW w:w="4230" w:type="dxa"/>
            <w:gridSpan w:val="6"/>
            <w:shd w:val="clear" w:color="auto" w:fill="auto"/>
            <w:vAlign w:val="center"/>
          </w:tcPr>
          <w:p w14:paraId="772A0FC5">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12</w:t>
            </w:r>
            <w:r>
              <w:rPr>
                <w:rFonts w:hint="eastAsia" w:ascii="Times New Roman" w:hAnsi="Times New Roman" w:cs="Times New Roman"/>
                <w:sz w:val="18"/>
                <w:szCs w:val="18"/>
                <w:lang w:val="en-US" w:eastAsia="zh-CN"/>
              </w:rPr>
              <w:t>00</w:t>
            </w:r>
          </w:p>
        </w:tc>
        <w:tc>
          <w:tcPr>
            <w:tcW w:w="2266" w:type="dxa"/>
            <w:gridSpan w:val="3"/>
            <w:shd w:val="clear" w:color="auto" w:fill="auto"/>
            <w:vAlign w:val="center"/>
          </w:tcPr>
          <w:p w14:paraId="29983F34">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实际环保投资（万元）</w:t>
            </w:r>
          </w:p>
        </w:tc>
        <w:tc>
          <w:tcPr>
            <w:tcW w:w="1707" w:type="dxa"/>
            <w:gridSpan w:val="4"/>
            <w:shd w:val="clear" w:color="auto" w:fill="auto"/>
            <w:vAlign w:val="center"/>
          </w:tcPr>
          <w:p w14:paraId="362C0F25">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105</w:t>
            </w:r>
          </w:p>
        </w:tc>
        <w:tc>
          <w:tcPr>
            <w:tcW w:w="2053" w:type="dxa"/>
            <w:gridSpan w:val="5"/>
            <w:shd w:val="clear" w:color="auto" w:fill="auto"/>
            <w:vAlign w:val="center"/>
          </w:tcPr>
          <w:p w14:paraId="34E88E74">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所占比例（%）</w:t>
            </w:r>
          </w:p>
        </w:tc>
        <w:tc>
          <w:tcPr>
            <w:tcW w:w="1276" w:type="dxa"/>
            <w:gridSpan w:val="3"/>
            <w:vAlign w:val="center"/>
          </w:tcPr>
          <w:p w14:paraId="6B2D3F6B">
            <w:pPr>
              <w:spacing w:line="240" w:lineRule="exact"/>
              <w:ind w:firstLine="0" w:firstLineChars="0"/>
              <w:jc w:val="center"/>
              <w:rPr>
                <w:rFonts w:hint="default" w:ascii="Times New Roman" w:hAnsi="Times New Roman" w:cs="Times New Roman"/>
                <w:sz w:val="18"/>
                <w:szCs w:val="18"/>
              </w:rPr>
            </w:pPr>
            <w:r>
              <w:rPr>
                <w:rFonts w:hint="eastAsia" w:cs="Times New Roman"/>
                <w:sz w:val="18"/>
                <w:szCs w:val="18"/>
                <w:lang w:val="en-US" w:eastAsia="zh-CN"/>
              </w:rPr>
              <w:t>8.7</w:t>
            </w:r>
            <w:r>
              <w:rPr>
                <w:rFonts w:hint="eastAsia" w:ascii="Times New Roman" w:hAnsi="Times New Roman" w:cs="Times New Roman"/>
                <w:sz w:val="18"/>
                <w:szCs w:val="18"/>
                <w:lang w:val="en-US" w:eastAsia="zh-CN"/>
              </w:rPr>
              <w:t>5</w:t>
            </w:r>
            <w:r>
              <w:rPr>
                <w:rFonts w:hint="default" w:ascii="Times New Roman" w:hAnsi="Times New Roman" w:cs="Times New Roman"/>
                <w:sz w:val="18"/>
                <w:szCs w:val="18"/>
                <w:lang w:val="en-US" w:eastAsia="zh-CN"/>
              </w:rPr>
              <w:t>%</w:t>
            </w:r>
          </w:p>
        </w:tc>
      </w:tr>
      <w:tr w14:paraId="4521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090CC766">
            <w:pPr>
              <w:spacing w:line="240" w:lineRule="exact"/>
              <w:ind w:firstLine="0" w:firstLineChars="0"/>
              <w:jc w:val="center"/>
              <w:rPr>
                <w:rFonts w:hint="default" w:ascii="Times New Roman" w:hAnsi="Times New Roman" w:cs="Times New Roman"/>
                <w:b/>
                <w:sz w:val="18"/>
                <w:szCs w:val="18"/>
              </w:rPr>
            </w:pPr>
          </w:p>
        </w:tc>
        <w:tc>
          <w:tcPr>
            <w:tcW w:w="2293" w:type="dxa"/>
            <w:gridSpan w:val="3"/>
            <w:shd w:val="clear" w:color="auto" w:fill="auto"/>
            <w:vAlign w:val="center"/>
          </w:tcPr>
          <w:p w14:paraId="6047248E">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废水治理（万元）</w:t>
            </w:r>
          </w:p>
        </w:tc>
        <w:tc>
          <w:tcPr>
            <w:tcW w:w="713" w:type="dxa"/>
            <w:shd w:val="clear" w:color="auto" w:fill="auto"/>
            <w:vAlign w:val="center"/>
          </w:tcPr>
          <w:p w14:paraId="45CA7C6F">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sz w:val="18"/>
                <w:szCs w:val="18"/>
                <w:lang w:val="en-US" w:eastAsia="zh-CN"/>
              </w:rPr>
              <w:t>1</w:t>
            </w:r>
            <w:r>
              <w:rPr>
                <w:rFonts w:hint="eastAsia" w:cs="Times New Roman"/>
                <w:sz w:val="18"/>
                <w:szCs w:val="18"/>
                <w:lang w:val="en-US" w:eastAsia="zh-CN"/>
              </w:rPr>
              <w:t>3</w:t>
            </w:r>
          </w:p>
        </w:tc>
        <w:tc>
          <w:tcPr>
            <w:tcW w:w="964" w:type="dxa"/>
            <w:shd w:val="clear" w:color="auto" w:fill="auto"/>
            <w:vAlign w:val="center"/>
          </w:tcPr>
          <w:p w14:paraId="6BE6283D">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废气治理</w:t>
            </w:r>
          </w:p>
          <w:p w14:paraId="72B11E59">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（万元）</w:t>
            </w:r>
          </w:p>
        </w:tc>
        <w:tc>
          <w:tcPr>
            <w:tcW w:w="708" w:type="dxa"/>
            <w:shd w:val="clear" w:color="auto" w:fill="auto"/>
            <w:vAlign w:val="center"/>
          </w:tcPr>
          <w:p w14:paraId="48E7FD9B">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44</w:t>
            </w:r>
          </w:p>
        </w:tc>
        <w:tc>
          <w:tcPr>
            <w:tcW w:w="1137" w:type="dxa"/>
            <w:gridSpan w:val="2"/>
            <w:shd w:val="clear" w:color="auto" w:fill="auto"/>
            <w:vAlign w:val="center"/>
          </w:tcPr>
          <w:p w14:paraId="4EEDFFE7">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噪声治理</w:t>
            </w:r>
          </w:p>
          <w:p w14:paraId="57263E4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（万元）</w:t>
            </w:r>
          </w:p>
        </w:tc>
        <w:tc>
          <w:tcPr>
            <w:tcW w:w="708" w:type="dxa"/>
            <w:shd w:val="clear" w:color="auto" w:fill="auto"/>
            <w:vAlign w:val="center"/>
          </w:tcPr>
          <w:p w14:paraId="316F4804">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20</w:t>
            </w:r>
          </w:p>
        </w:tc>
        <w:tc>
          <w:tcPr>
            <w:tcW w:w="2266" w:type="dxa"/>
            <w:gridSpan w:val="3"/>
            <w:shd w:val="clear" w:color="auto" w:fill="auto"/>
            <w:vAlign w:val="center"/>
          </w:tcPr>
          <w:p w14:paraId="5D254D1D">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固体废物治理（万元）</w:t>
            </w:r>
          </w:p>
        </w:tc>
        <w:tc>
          <w:tcPr>
            <w:tcW w:w="1707" w:type="dxa"/>
            <w:gridSpan w:val="4"/>
            <w:shd w:val="clear" w:color="auto" w:fill="auto"/>
            <w:vAlign w:val="center"/>
          </w:tcPr>
          <w:p w14:paraId="703968B8">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sz w:val="18"/>
                <w:szCs w:val="18"/>
                <w:lang w:val="en-US" w:eastAsia="zh-CN"/>
              </w:rPr>
              <w:t>1</w:t>
            </w:r>
            <w:r>
              <w:rPr>
                <w:rFonts w:hint="eastAsia" w:cs="Times New Roman"/>
                <w:sz w:val="18"/>
                <w:szCs w:val="18"/>
                <w:lang w:val="en-US" w:eastAsia="zh-CN"/>
              </w:rPr>
              <w:t>8</w:t>
            </w:r>
          </w:p>
        </w:tc>
        <w:tc>
          <w:tcPr>
            <w:tcW w:w="1132" w:type="dxa"/>
            <w:gridSpan w:val="3"/>
            <w:shd w:val="clear" w:color="auto" w:fill="auto"/>
            <w:vAlign w:val="center"/>
          </w:tcPr>
          <w:p w14:paraId="33F9D567">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绿化及生态</w:t>
            </w:r>
          </w:p>
          <w:p w14:paraId="0D7A2A24">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（万元）</w:t>
            </w:r>
          </w:p>
        </w:tc>
        <w:tc>
          <w:tcPr>
            <w:tcW w:w="921" w:type="dxa"/>
            <w:gridSpan w:val="2"/>
            <w:shd w:val="clear" w:color="auto" w:fill="auto"/>
            <w:vAlign w:val="center"/>
          </w:tcPr>
          <w:p w14:paraId="54802C3B">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0</w:t>
            </w:r>
          </w:p>
        </w:tc>
        <w:tc>
          <w:tcPr>
            <w:tcW w:w="855" w:type="dxa"/>
            <w:gridSpan w:val="2"/>
            <w:vAlign w:val="center"/>
          </w:tcPr>
          <w:p w14:paraId="3F1F0D6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其它</w:t>
            </w:r>
          </w:p>
          <w:p w14:paraId="54C4AC8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（万元）</w:t>
            </w:r>
          </w:p>
        </w:tc>
        <w:tc>
          <w:tcPr>
            <w:tcW w:w="421" w:type="dxa"/>
            <w:vAlign w:val="center"/>
          </w:tcPr>
          <w:p w14:paraId="5FB1DE3A">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10</w:t>
            </w:r>
          </w:p>
        </w:tc>
      </w:tr>
      <w:tr w14:paraId="7AF0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58" w:type="dxa"/>
            <w:vMerge w:val="continue"/>
            <w:vAlign w:val="center"/>
          </w:tcPr>
          <w:p w14:paraId="53A2BF45">
            <w:pPr>
              <w:spacing w:line="240" w:lineRule="exact"/>
              <w:ind w:firstLine="0" w:firstLineChars="0"/>
              <w:jc w:val="center"/>
              <w:rPr>
                <w:rFonts w:hint="default" w:ascii="Times New Roman" w:hAnsi="Times New Roman" w:cs="Times New Roman"/>
                <w:b/>
                <w:sz w:val="18"/>
                <w:szCs w:val="18"/>
              </w:rPr>
            </w:pPr>
          </w:p>
        </w:tc>
        <w:tc>
          <w:tcPr>
            <w:tcW w:w="2293" w:type="dxa"/>
            <w:gridSpan w:val="3"/>
            <w:vAlign w:val="center"/>
          </w:tcPr>
          <w:p w14:paraId="39E1BC9A">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新增废水处理设施能力</w:t>
            </w:r>
          </w:p>
        </w:tc>
        <w:tc>
          <w:tcPr>
            <w:tcW w:w="4230" w:type="dxa"/>
            <w:gridSpan w:val="6"/>
            <w:vAlign w:val="center"/>
          </w:tcPr>
          <w:p w14:paraId="5C1AADB2">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w:t>
            </w:r>
          </w:p>
        </w:tc>
        <w:tc>
          <w:tcPr>
            <w:tcW w:w="2266" w:type="dxa"/>
            <w:gridSpan w:val="3"/>
            <w:vAlign w:val="center"/>
          </w:tcPr>
          <w:p w14:paraId="708B251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新增废气处理设施能力</w:t>
            </w:r>
          </w:p>
        </w:tc>
        <w:tc>
          <w:tcPr>
            <w:tcW w:w="2276" w:type="dxa"/>
            <w:gridSpan w:val="5"/>
            <w:vAlign w:val="center"/>
          </w:tcPr>
          <w:p w14:paraId="0B2BF0D8">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w:t>
            </w:r>
          </w:p>
        </w:tc>
        <w:tc>
          <w:tcPr>
            <w:tcW w:w="1484" w:type="dxa"/>
            <w:gridSpan w:val="4"/>
            <w:vAlign w:val="center"/>
          </w:tcPr>
          <w:p w14:paraId="772A36EC">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年平均工作时</w:t>
            </w:r>
          </w:p>
        </w:tc>
        <w:tc>
          <w:tcPr>
            <w:tcW w:w="1276" w:type="dxa"/>
            <w:gridSpan w:val="3"/>
            <w:vAlign w:val="center"/>
          </w:tcPr>
          <w:p w14:paraId="2BD08414">
            <w:pPr>
              <w:spacing w:line="240" w:lineRule="exact"/>
              <w:ind w:firstLine="0" w:firstLineChars="0"/>
              <w:jc w:val="center"/>
              <w:rPr>
                <w:rFonts w:hint="default" w:ascii="Times New Roman" w:hAnsi="Times New Roman" w:cs="Times New Roman"/>
                <w:sz w:val="18"/>
                <w:szCs w:val="18"/>
              </w:rPr>
            </w:pPr>
            <w:r>
              <w:rPr>
                <w:rFonts w:hint="eastAsia" w:cs="Times New Roman"/>
                <w:sz w:val="18"/>
                <w:szCs w:val="18"/>
                <w:lang w:val="en-US" w:eastAsia="zh-CN"/>
              </w:rPr>
              <w:t>24</w:t>
            </w:r>
            <w:r>
              <w:rPr>
                <w:rFonts w:hint="default" w:ascii="Times New Roman" w:hAnsi="Times New Roman" w:cs="Times New Roman"/>
                <w:sz w:val="18"/>
                <w:szCs w:val="18"/>
                <w:lang w:val="en-US" w:eastAsia="zh-CN"/>
              </w:rPr>
              <w:t>00</w:t>
            </w:r>
            <w:r>
              <w:rPr>
                <w:rFonts w:hint="default" w:ascii="Times New Roman" w:hAnsi="Times New Roman" w:cs="Times New Roman"/>
                <w:sz w:val="18"/>
                <w:szCs w:val="18"/>
              </w:rPr>
              <w:t>h/a</w:t>
            </w:r>
          </w:p>
        </w:tc>
      </w:tr>
      <w:tr w14:paraId="51AE9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2242" w:type="dxa"/>
            <w:gridSpan w:val="3"/>
            <w:vAlign w:val="center"/>
          </w:tcPr>
          <w:p w14:paraId="29B1D26F">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运营单位</w:t>
            </w:r>
          </w:p>
        </w:tc>
        <w:tc>
          <w:tcPr>
            <w:tcW w:w="3378" w:type="dxa"/>
            <w:gridSpan w:val="5"/>
            <w:vAlign w:val="center"/>
          </w:tcPr>
          <w:p w14:paraId="0FA72B2F">
            <w:pPr>
              <w:spacing w:line="240" w:lineRule="exact"/>
              <w:ind w:firstLine="0" w:firstLineChars="0"/>
              <w:jc w:val="center"/>
              <w:rPr>
                <w:rFonts w:hint="default" w:ascii="Times New Roman" w:hAnsi="Times New Roman" w:cs="Times New Roman" w:eastAsiaTheme="minorEastAsia"/>
                <w:sz w:val="18"/>
                <w:szCs w:val="18"/>
                <w:lang w:val="en" w:eastAsia="zh-CN"/>
              </w:rPr>
            </w:pPr>
            <w:r>
              <w:rPr>
                <w:rFonts w:hint="eastAsia" w:cs="Times New Roman"/>
                <w:sz w:val="18"/>
                <w:szCs w:val="18"/>
                <w:lang w:val="en" w:eastAsia="zh-CN"/>
              </w:rPr>
              <w:t>邵阳市鑫腾阻燃新材料科技有限公司</w:t>
            </w:r>
          </w:p>
        </w:tc>
        <w:tc>
          <w:tcPr>
            <w:tcW w:w="3833" w:type="dxa"/>
            <w:gridSpan w:val="6"/>
            <w:vAlign w:val="center"/>
          </w:tcPr>
          <w:p w14:paraId="575FADE0">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运营单位社会统一信用代码（或组织机构代码）</w:t>
            </w:r>
          </w:p>
        </w:tc>
        <w:tc>
          <w:tcPr>
            <w:tcW w:w="2270" w:type="dxa"/>
            <w:gridSpan w:val="4"/>
            <w:vAlign w:val="center"/>
          </w:tcPr>
          <w:p w14:paraId="3D4B8844">
            <w:pPr>
              <w:spacing w:line="240" w:lineRule="exact"/>
              <w:ind w:firstLine="0" w:firstLineChars="0"/>
              <w:jc w:val="center"/>
              <w:rPr>
                <w:rFonts w:hint="default" w:ascii="Times New Roman" w:hAnsi="Times New Roman" w:cs="Times New Roman"/>
                <w:sz w:val="18"/>
                <w:szCs w:val="18"/>
                <w:lang w:val="en-US" w:eastAsia="zh-CN"/>
              </w:rPr>
            </w:pPr>
            <w:r>
              <w:rPr>
                <w:rFonts w:hint="default" w:ascii="Times New Roman" w:hAnsi="Times New Roman" w:cs="Times New Roman"/>
                <w:sz w:val="16"/>
                <w:szCs w:val="16"/>
                <w:lang w:val="en-US" w:eastAsia="zh-CN"/>
              </w:rPr>
              <w:t>91430523MADGF6KR14</w:t>
            </w:r>
          </w:p>
        </w:tc>
        <w:tc>
          <w:tcPr>
            <w:tcW w:w="1484" w:type="dxa"/>
            <w:gridSpan w:val="4"/>
            <w:vAlign w:val="center"/>
          </w:tcPr>
          <w:p w14:paraId="14798BD5">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验收时间</w:t>
            </w:r>
          </w:p>
        </w:tc>
        <w:tc>
          <w:tcPr>
            <w:tcW w:w="1276" w:type="dxa"/>
            <w:gridSpan w:val="3"/>
            <w:vAlign w:val="center"/>
          </w:tcPr>
          <w:p w14:paraId="5AB73685">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20</w:t>
            </w:r>
            <w:r>
              <w:rPr>
                <w:rFonts w:hint="default" w:ascii="Times New Roman" w:hAnsi="Times New Roman" w:cs="Times New Roman"/>
                <w:sz w:val="18"/>
                <w:szCs w:val="18"/>
                <w:lang w:val="en-US" w:eastAsia="zh-CN"/>
              </w:rPr>
              <w:t>25</w:t>
            </w:r>
            <w:r>
              <w:rPr>
                <w:rFonts w:hint="default" w:ascii="Times New Roman" w:hAnsi="Times New Roman" w:cs="Times New Roman"/>
                <w:sz w:val="18"/>
                <w:szCs w:val="18"/>
              </w:rPr>
              <w:t>年</w:t>
            </w:r>
            <w:r>
              <w:rPr>
                <w:rFonts w:hint="default" w:ascii="Times New Roman" w:hAnsi="Times New Roman" w:cs="Times New Roman"/>
                <w:sz w:val="18"/>
                <w:szCs w:val="18"/>
                <w:lang w:val="en-US" w:eastAsia="zh-CN"/>
              </w:rPr>
              <w:t>5</w:t>
            </w:r>
            <w:r>
              <w:rPr>
                <w:rFonts w:hint="default" w:ascii="Times New Roman" w:hAnsi="Times New Roman" w:cs="Times New Roman"/>
                <w:sz w:val="18"/>
                <w:szCs w:val="18"/>
              </w:rPr>
              <w:t>月</w:t>
            </w:r>
          </w:p>
        </w:tc>
      </w:tr>
      <w:tr w14:paraId="6B69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940" w:type="dxa"/>
            <w:gridSpan w:val="2"/>
            <w:vMerge w:val="restart"/>
            <w:vAlign w:val="center"/>
          </w:tcPr>
          <w:p w14:paraId="6D663759">
            <w:pPr>
              <w:spacing w:line="240" w:lineRule="exact"/>
              <w:ind w:firstLine="0" w:firstLineChars="0"/>
              <w:jc w:val="center"/>
              <w:rPr>
                <w:rFonts w:hint="default" w:ascii="Times New Roman" w:hAnsi="Times New Roman" w:cs="Times New Roman"/>
                <w:b/>
                <w:sz w:val="18"/>
                <w:szCs w:val="18"/>
              </w:rPr>
            </w:pPr>
            <w:r>
              <w:rPr>
                <w:rFonts w:hint="default" w:ascii="Times New Roman" w:hAnsi="Times New Roman" w:eastAsia="黑体" w:cs="Times New Roman"/>
                <w:b/>
                <w:spacing w:val="20"/>
                <w:sz w:val="18"/>
                <w:szCs w:val="18"/>
              </w:rPr>
              <w:t>污染物排放达标与总量控制（工业建设项目详填）</w:t>
            </w:r>
          </w:p>
        </w:tc>
        <w:tc>
          <w:tcPr>
            <w:tcW w:w="2011" w:type="dxa"/>
            <w:gridSpan w:val="2"/>
            <w:vAlign w:val="center"/>
          </w:tcPr>
          <w:p w14:paraId="34671D2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污染物</w:t>
            </w:r>
          </w:p>
        </w:tc>
        <w:tc>
          <w:tcPr>
            <w:tcW w:w="713" w:type="dxa"/>
            <w:vAlign w:val="center"/>
          </w:tcPr>
          <w:p w14:paraId="3BF84518">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原有排放量(1)</w:t>
            </w:r>
          </w:p>
        </w:tc>
        <w:tc>
          <w:tcPr>
            <w:tcW w:w="964" w:type="dxa"/>
            <w:vAlign w:val="center"/>
          </w:tcPr>
          <w:p w14:paraId="3BC8F44C">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本期工程实际排放浓度(2)</w:t>
            </w:r>
          </w:p>
        </w:tc>
        <w:tc>
          <w:tcPr>
            <w:tcW w:w="992" w:type="dxa"/>
            <w:gridSpan w:val="2"/>
            <w:vAlign w:val="center"/>
          </w:tcPr>
          <w:p w14:paraId="5911E3E0">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本期工程允许排放浓度(3)</w:t>
            </w:r>
          </w:p>
        </w:tc>
        <w:tc>
          <w:tcPr>
            <w:tcW w:w="853" w:type="dxa"/>
            <w:vAlign w:val="center"/>
          </w:tcPr>
          <w:p w14:paraId="09D7AEF8">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本期工程产生量(4)</w:t>
            </w:r>
          </w:p>
        </w:tc>
        <w:tc>
          <w:tcPr>
            <w:tcW w:w="992" w:type="dxa"/>
            <w:gridSpan w:val="2"/>
            <w:vAlign w:val="center"/>
          </w:tcPr>
          <w:p w14:paraId="5B079154">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本期工程自身削减量(5)</w:t>
            </w:r>
          </w:p>
        </w:tc>
        <w:tc>
          <w:tcPr>
            <w:tcW w:w="992" w:type="dxa"/>
            <w:vAlign w:val="center"/>
          </w:tcPr>
          <w:p w14:paraId="3D3705D6">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本期工程实际排放量(6)</w:t>
            </w:r>
          </w:p>
        </w:tc>
        <w:tc>
          <w:tcPr>
            <w:tcW w:w="996" w:type="dxa"/>
            <w:gridSpan w:val="2"/>
            <w:vAlign w:val="center"/>
          </w:tcPr>
          <w:p w14:paraId="53E2C43E">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本期工程核定排放总量(7)</w:t>
            </w:r>
          </w:p>
        </w:tc>
        <w:tc>
          <w:tcPr>
            <w:tcW w:w="1132" w:type="dxa"/>
            <w:gridSpan w:val="2"/>
            <w:vAlign w:val="center"/>
          </w:tcPr>
          <w:p w14:paraId="01ED0B3D">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本期工程“以新带老”削减量(8)</w:t>
            </w:r>
          </w:p>
        </w:tc>
        <w:tc>
          <w:tcPr>
            <w:tcW w:w="1138" w:type="dxa"/>
            <w:gridSpan w:val="2"/>
            <w:vAlign w:val="center"/>
          </w:tcPr>
          <w:p w14:paraId="59EAC829">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全厂实际排放总量(9)</w:t>
            </w:r>
          </w:p>
        </w:tc>
        <w:tc>
          <w:tcPr>
            <w:tcW w:w="992" w:type="dxa"/>
            <w:gridSpan w:val="3"/>
            <w:vAlign w:val="center"/>
          </w:tcPr>
          <w:p w14:paraId="260F86BA">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全厂核定排放总量(10)</w:t>
            </w:r>
          </w:p>
        </w:tc>
        <w:tc>
          <w:tcPr>
            <w:tcW w:w="992" w:type="dxa"/>
            <w:gridSpan w:val="2"/>
            <w:vAlign w:val="center"/>
          </w:tcPr>
          <w:p w14:paraId="3D7FE4BC">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区域平衡替代削减量(11)</w:t>
            </w:r>
          </w:p>
        </w:tc>
        <w:tc>
          <w:tcPr>
            <w:tcW w:w="776" w:type="dxa"/>
            <w:gridSpan w:val="2"/>
            <w:vAlign w:val="center"/>
          </w:tcPr>
          <w:p w14:paraId="3A6B08A3">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排放增减量(12)</w:t>
            </w:r>
          </w:p>
        </w:tc>
      </w:tr>
      <w:tr w14:paraId="3F83C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40" w:type="dxa"/>
            <w:gridSpan w:val="2"/>
            <w:vMerge w:val="continue"/>
            <w:vAlign w:val="center"/>
          </w:tcPr>
          <w:p w14:paraId="2DEABFB9">
            <w:pPr>
              <w:spacing w:line="240" w:lineRule="exact"/>
              <w:ind w:firstLine="0" w:firstLineChars="0"/>
              <w:jc w:val="center"/>
              <w:rPr>
                <w:rFonts w:hint="default" w:ascii="Times New Roman" w:hAnsi="Times New Roman" w:cs="Times New Roman"/>
                <w:b/>
                <w:sz w:val="18"/>
                <w:szCs w:val="18"/>
              </w:rPr>
            </w:pPr>
          </w:p>
        </w:tc>
        <w:tc>
          <w:tcPr>
            <w:tcW w:w="2011" w:type="dxa"/>
            <w:gridSpan w:val="2"/>
            <w:vAlign w:val="center"/>
          </w:tcPr>
          <w:p w14:paraId="365FAF9A">
            <w:pPr>
              <w:spacing w:line="240" w:lineRule="exact"/>
              <w:ind w:firstLine="0" w:firstLineChars="0"/>
              <w:jc w:val="center"/>
              <w:rPr>
                <w:rFonts w:hint="default" w:ascii="Times New Roman" w:hAnsi="Times New Roman" w:cs="Times New Roman"/>
                <w:sz w:val="18"/>
                <w:szCs w:val="18"/>
                <w:highlight w:val="yellow"/>
              </w:rPr>
            </w:pPr>
            <w:r>
              <w:rPr>
                <w:rFonts w:hint="default" w:ascii="Times New Roman" w:hAnsi="Times New Roman" w:cs="Times New Roman"/>
                <w:sz w:val="18"/>
                <w:szCs w:val="18"/>
              </w:rPr>
              <w:t>废水</w:t>
            </w:r>
          </w:p>
        </w:tc>
        <w:tc>
          <w:tcPr>
            <w:tcW w:w="713" w:type="dxa"/>
            <w:vAlign w:val="center"/>
          </w:tcPr>
          <w:p w14:paraId="2DAF2AB7">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64" w:type="dxa"/>
            <w:vAlign w:val="center"/>
          </w:tcPr>
          <w:p w14:paraId="3F4A80FC">
            <w:pPr>
              <w:spacing w:line="240" w:lineRule="exact"/>
              <w:ind w:firstLine="0" w:firstLineChars="0"/>
              <w:jc w:val="center"/>
              <w:rPr>
                <w:rFonts w:hint="default" w:ascii="Times New Roman" w:hAnsi="Times New Roman" w:cs="Times New Roman" w:eastAsiaTheme="minorEastAsia"/>
                <w:sz w:val="18"/>
                <w:szCs w:val="18"/>
                <w:highlight w:val="none"/>
                <w:lang w:val="en-US" w:eastAsia="zh-CN"/>
              </w:rPr>
            </w:pPr>
            <w:r>
              <w:rPr>
                <w:rFonts w:hint="default" w:ascii="Times New Roman" w:hAnsi="Times New Roman" w:cs="Times New Roman"/>
                <w:sz w:val="18"/>
                <w:szCs w:val="18"/>
                <w:highlight w:val="none"/>
                <w:lang w:val="en-US" w:eastAsia="zh-CN"/>
              </w:rPr>
              <w:t>/</w:t>
            </w:r>
          </w:p>
        </w:tc>
        <w:tc>
          <w:tcPr>
            <w:tcW w:w="992" w:type="dxa"/>
            <w:gridSpan w:val="2"/>
            <w:vAlign w:val="center"/>
          </w:tcPr>
          <w:p w14:paraId="6B39CD91">
            <w:pPr>
              <w:spacing w:line="240" w:lineRule="exact"/>
              <w:ind w:firstLine="0" w:firstLineChars="0"/>
              <w:jc w:val="center"/>
              <w:rPr>
                <w:rFonts w:hint="default" w:ascii="Times New Roman" w:hAnsi="Times New Roman" w:cs="Times New Roman" w:eastAsiaTheme="minorEastAsia"/>
                <w:sz w:val="18"/>
                <w:szCs w:val="18"/>
                <w:highlight w:val="none"/>
                <w:lang w:val="en-US" w:eastAsia="zh-CN"/>
              </w:rPr>
            </w:pPr>
            <w:r>
              <w:rPr>
                <w:rFonts w:hint="default" w:ascii="Times New Roman" w:hAnsi="Times New Roman" w:cs="Times New Roman"/>
                <w:sz w:val="18"/>
                <w:szCs w:val="18"/>
                <w:highlight w:val="none"/>
                <w:lang w:val="en-US" w:eastAsia="zh-CN"/>
              </w:rPr>
              <w:t>/</w:t>
            </w:r>
          </w:p>
        </w:tc>
        <w:tc>
          <w:tcPr>
            <w:tcW w:w="853" w:type="dxa"/>
            <w:vAlign w:val="center"/>
          </w:tcPr>
          <w:p w14:paraId="7887498B">
            <w:pPr>
              <w:spacing w:line="240" w:lineRule="exact"/>
              <w:ind w:firstLine="0" w:firstLineChars="0"/>
              <w:jc w:val="center"/>
              <w:rPr>
                <w:rFonts w:hint="default" w:ascii="Times New Roman" w:hAnsi="Times New Roman" w:cs="Times New Roman" w:eastAsiaTheme="minorEastAsia"/>
                <w:sz w:val="18"/>
                <w:szCs w:val="18"/>
                <w:highlight w:val="none"/>
                <w:lang w:val="en-US" w:eastAsia="zh-CN"/>
              </w:rPr>
            </w:pPr>
            <w:r>
              <w:rPr>
                <w:rFonts w:hint="default" w:ascii="Times New Roman" w:hAnsi="Times New Roman" w:cs="Times New Roman"/>
                <w:sz w:val="18"/>
                <w:szCs w:val="18"/>
                <w:highlight w:val="none"/>
                <w:lang w:val="en-US" w:eastAsia="zh-CN"/>
              </w:rPr>
              <w:t>/</w:t>
            </w:r>
          </w:p>
        </w:tc>
        <w:tc>
          <w:tcPr>
            <w:tcW w:w="992" w:type="dxa"/>
            <w:gridSpan w:val="2"/>
            <w:vAlign w:val="center"/>
          </w:tcPr>
          <w:p w14:paraId="18EF25FF">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992" w:type="dxa"/>
            <w:vAlign w:val="center"/>
          </w:tcPr>
          <w:p w14:paraId="5FDA4BC3">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996" w:type="dxa"/>
            <w:gridSpan w:val="2"/>
            <w:vAlign w:val="center"/>
          </w:tcPr>
          <w:p w14:paraId="26CE66E0">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1132" w:type="dxa"/>
            <w:gridSpan w:val="2"/>
            <w:vAlign w:val="center"/>
          </w:tcPr>
          <w:p w14:paraId="7B78231B">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1138" w:type="dxa"/>
            <w:gridSpan w:val="2"/>
            <w:vAlign w:val="center"/>
          </w:tcPr>
          <w:p w14:paraId="10B5831D">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992" w:type="dxa"/>
            <w:gridSpan w:val="3"/>
            <w:vAlign w:val="center"/>
          </w:tcPr>
          <w:p w14:paraId="18F9416D">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992" w:type="dxa"/>
            <w:gridSpan w:val="2"/>
            <w:vAlign w:val="center"/>
          </w:tcPr>
          <w:p w14:paraId="5B9F0E26">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c>
          <w:tcPr>
            <w:tcW w:w="776" w:type="dxa"/>
            <w:gridSpan w:val="2"/>
            <w:vAlign w:val="center"/>
          </w:tcPr>
          <w:p w14:paraId="1F45A0B5">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default" w:ascii="Times New Roman" w:hAnsi="Times New Roman" w:cs="Times New Roman"/>
                <w:sz w:val="18"/>
                <w:szCs w:val="18"/>
                <w:lang w:val="en-US" w:eastAsia="zh-CN"/>
              </w:rPr>
              <w:t>/</w:t>
            </w:r>
          </w:p>
        </w:tc>
      </w:tr>
      <w:tr w14:paraId="0771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40" w:type="dxa"/>
            <w:gridSpan w:val="2"/>
            <w:vMerge w:val="continue"/>
            <w:vAlign w:val="center"/>
          </w:tcPr>
          <w:p w14:paraId="399189FB">
            <w:pPr>
              <w:spacing w:line="240" w:lineRule="exact"/>
              <w:ind w:firstLine="0" w:firstLineChars="0"/>
              <w:jc w:val="center"/>
              <w:rPr>
                <w:rFonts w:hint="default" w:ascii="Times New Roman" w:hAnsi="Times New Roman" w:cs="Times New Roman"/>
                <w:b/>
                <w:sz w:val="18"/>
                <w:szCs w:val="18"/>
              </w:rPr>
            </w:pPr>
          </w:p>
        </w:tc>
        <w:tc>
          <w:tcPr>
            <w:tcW w:w="2011" w:type="dxa"/>
            <w:gridSpan w:val="2"/>
            <w:vAlign w:val="center"/>
          </w:tcPr>
          <w:p w14:paraId="01C9C5E7">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废气</w:t>
            </w:r>
          </w:p>
        </w:tc>
        <w:tc>
          <w:tcPr>
            <w:tcW w:w="713" w:type="dxa"/>
            <w:vAlign w:val="center"/>
          </w:tcPr>
          <w:p w14:paraId="02E99F87">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64" w:type="dxa"/>
            <w:vAlign w:val="center"/>
          </w:tcPr>
          <w:p w14:paraId="6828B812">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gridSpan w:val="2"/>
            <w:vAlign w:val="center"/>
          </w:tcPr>
          <w:p w14:paraId="31C1A411">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853" w:type="dxa"/>
            <w:vAlign w:val="center"/>
          </w:tcPr>
          <w:p w14:paraId="00AD9C27">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gridSpan w:val="2"/>
            <w:vAlign w:val="center"/>
          </w:tcPr>
          <w:p w14:paraId="1DBBF2B5">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vAlign w:val="center"/>
          </w:tcPr>
          <w:p w14:paraId="3929BF17">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6" w:type="dxa"/>
            <w:gridSpan w:val="2"/>
            <w:vAlign w:val="center"/>
          </w:tcPr>
          <w:p w14:paraId="408FE0C2">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1132" w:type="dxa"/>
            <w:gridSpan w:val="2"/>
            <w:vAlign w:val="center"/>
          </w:tcPr>
          <w:p w14:paraId="1139D755">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1138" w:type="dxa"/>
            <w:gridSpan w:val="2"/>
            <w:vAlign w:val="center"/>
          </w:tcPr>
          <w:p w14:paraId="4EDBB3EA">
            <w:pPr>
              <w:spacing w:line="240" w:lineRule="exact"/>
              <w:ind w:firstLine="0" w:firstLineChars="0"/>
              <w:jc w:val="center"/>
              <w:rPr>
                <w:rFonts w:hint="default" w:ascii="Times New Roman" w:hAnsi="Times New Roman" w:cs="Times New Roman" w:eastAsiaTheme="minorEastAsia"/>
                <w:color w:val="0000FF"/>
                <w:sz w:val="18"/>
                <w:szCs w:val="18"/>
                <w:lang w:val="en-US" w:eastAsia="zh-CN"/>
              </w:rPr>
            </w:pPr>
            <w:r>
              <w:rPr>
                <w:rFonts w:hint="default" w:ascii="Times New Roman" w:hAnsi="Times New Roman" w:cs="Times New Roman"/>
                <w:color w:val="0000FF"/>
                <w:sz w:val="18"/>
                <w:szCs w:val="18"/>
                <w:lang w:val="en-US" w:eastAsia="zh-CN"/>
              </w:rPr>
              <w:t>/</w:t>
            </w:r>
          </w:p>
        </w:tc>
        <w:tc>
          <w:tcPr>
            <w:tcW w:w="992" w:type="dxa"/>
            <w:gridSpan w:val="3"/>
            <w:vAlign w:val="center"/>
          </w:tcPr>
          <w:p w14:paraId="3FD2E022">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gridSpan w:val="2"/>
            <w:vAlign w:val="center"/>
          </w:tcPr>
          <w:p w14:paraId="5A5797F3">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776" w:type="dxa"/>
            <w:gridSpan w:val="2"/>
            <w:vAlign w:val="center"/>
          </w:tcPr>
          <w:p w14:paraId="2034B4DF">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r>
      <w:tr w14:paraId="41F8D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3" w:hRule="atLeast"/>
          <w:jc w:val="center"/>
        </w:trPr>
        <w:tc>
          <w:tcPr>
            <w:tcW w:w="940" w:type="dxa"/>
            <w:gridSpan w:val="2"/>
            <w:vMerge w:val="continue"/>
            <w:vAlign w:val="center"/>
          </w:tcPr>
          <w:p w14:paraId="3C2DDB91">
            <w:pPr>
              <w:spacing w:line="240" w:lineRule="exact"/>
              <w:ind w:firstLine="0" w:firstLineChars="0"/>
              <w:jc w:val="center"/>
              <w:rPr>
                <w:rFonts w:hint="default" w:ascii="Times New Roman" w:hAnsi="Times New Roman" w:cs="Times New Roman"/>
                <w:b/>
                <w:sz w:val="18"/>
                <w:szCs w:val="18"/>
              </w:rPr>
            </w:pPr>
          </w:p>
        </w:tc>
        <w:tc>
          <w:tcPr>
            <w:tcW w:w="2011" w:type="dxa"/>
            <w:gridSpan w:val="2"/>
            <w:vAlign w:val="center"/>
          </w:tcPr>
          <w:p w14:paraId="7CA6BD7E">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氮氧化物</w:t>
            </w:r>
          </w:p>
        </w:tc>
        <w:tc>
          <w:tcPr>
            <w:tcW w:w="713" w:type="dxa"/>
            <w:vAlign w:val="center"/>
          </w:tcPr>
          <w:p w14:paraId="78E5FF55">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64" w:type="dxa"/>
            <w:vAlign w:val="center"/>
          </w:tcPr>
          <w:p w14:paraId="7A031A8F">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w:t>
            </w:r>
          </w:p>
        </w:tc>
        <w:tc>
          <w:tcPr>
            <w:tcW w:w="992" w:type="dxa"/>
            <w:gridSpan w:val="2"/>
            <w:shd w:val="clear" w:color="auto" w:fill="auto"/>
            <w:vAlign w:val="center"/>
          </w:tcPr>
          <w:p w14:paraId="55C25C88">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853" w:type="dxa"/>
            <w:vAlign w:val="center"/>
          </w:tcPr>
          <w:p w14:paraId="386C8903">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gridSpan w:val="2"/>
            <w:vAlign w:val="center"/>
          </w:tcPr>
          <w:p w14:paraId="209EA3F8">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shd w:val="clear" w:color="auto" w:fill="auto"/>
            <w:vAlign w:val="center"/>
          </w:tcPr>
          <w:p w14:paraId="4980D629">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996" w:type="dxa"/>
            <w:gridSpan w:val="2"/>
            <w:shd w:val="clear" w:color="auto" w:fill="auto"/>
            <w:vAlign w:val="center"/>
          </w:tcPr>
          <w:p w14:paraId="78F22E55">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1132" w:type="dxa"/>
            <w:gridSpan w:val="2"/>
            <w:vAlign w:val="center"/>
          </w:tcPr>
          <w:p w14:paraId="6222FE6F">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1138" w:type="dxa"/>
            <w:gridSpan w:val="2"/>
            <w:shd w:val="clear" w:color="auto" w:fill="auto"/>
            <w:vAlign w:val="center"/>
          </w:tcPr>
          <w:p w14:paraId="14915190">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992" w:type="dxa"/>
            <w:gridSpan w:val="3"/>
            <w:shd w:val="clear" w:color="auto" w:fill="auto"/>
            <w:vAlign w:val="center"/>
          </w:tcPr>
          <w:p w14:paraId="3F74F195">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992" w:type="dxa"/>
            <w:gridSpan w:val="2"/>
            <w:vAlign w:val="center"/>
          </w:tcPr>
          <w:p w14:paraId="5BA90913">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776" w:type="dxa"/>
            <w:gridSpan w:val="2"/>
            <w:vAlign w:val="center"/>
          </w:tcPr>
          <w:p w14:paraId="68CB1AE0">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r>
      <w:tr w14:paraId="1926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40" w:type="dxa"/>
            <w:gridSpan w:val="2"/>
            <w:vMerge w:val="continue"/>
            <w:vAlign w:val="center"/>
          </w:tcPr>
          <w:p w14:paraId="257ADBD8">
            <w:pPr>
              <w:spacing w:line="240" w:lineRule="exact"/>
              <w:ind w:firstLine="0" w:firstLineChars="0"/>
              <w:jc w:val="center"/>
              <w:rPr>
                <w:rFonts w:hint="default" w:ascii="Times New Roman" w:hAnsi="Times New Roman" w:cs="Times New Roman"/>
                <w:b/>
                <w:sz w:val="18"/>
                <w:szCs w:val="18"/>
              </w:rPr>
            </w:pPr>
          </w:p>
        </w:tc>
        <w:tc>
          <w:tcPr>
            <w:tcW w:w="2011" w:type="dxa"/>
            <w:gridSpan w:val="2"/>
            <w:vAlign w:val="center"/>
          </w:tcPr>
          <w:p w14:paraId="7821D351">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二氧化硫</w:t>
            </w:r>
          </w:p>
        </w:tc>
        <w:tc>
          <w:tcPr>
            <w:tcW w:w="713" w:type="dxa"/>
            <w:vAlign w:val="center"/>
          </w:tcPr>
          <w:p w14:paraId="1176B6CC">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64" w:type="dxa"/>
            <w:vAlign w:val="center"/>
          </w:tcPr>
          <w:p w14:paraId="5FB23E49">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w:t>
            </w:r>
          </w:p>
        </w:tc>
        <w:tc>
          <w:tcPr>
            <w:tcW w:w="992" w:type="dxa"/>
            <w:gridSpan w:val="2"/>
            <w:shd w:val="clear" w:color="auto" w:fill="auto"/>
            <w:vAlign w:val="center"/>
          </w:tcPr>
          <w:p w14:paraId="10B2A0D4">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853" w:type="dxa"/>
            <w:vAlign w:val="center"/>
          </w:tcPr>
          <w:p w14:paraId="2DD5854B">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gridSpan w:val="2"/>
            <w:vAlign w:val="center"/>
          </w:tcPr>
          <w:p w14:paraId="2DE5BDB5">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shd w:val="clear" w:color="auto" w:fill="auto"/>
            <w:vAlign w:val="center"/>
          </w:tcPr>
          <w:p w14:paraId="400E71DF">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996" w:type="dxa"/>
            <w:gridSpan w:val="2"/>
            <w:shd w:val="clear" w:color="auto" w:fill="auto"/>
            <w:vAlign w:val="center"/>
          </w:tcPr>
          <w:p w14:paraId="118C3D5D">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1132" w:type="dxa"/>
            <w:gridSpan w:val="2"/>
            <w:vAlign w:val="center"/>
          </w:tcPr>
          <w:p w14:paraId="2F006182">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1138" w:type="dxa"/>
            <w:gridSpan w:val="2"/>
            <w:shd w:val="clear" w:color="auto" w:fill="auto"/>
            <w:vAlign w:val="center"/>
          </w:tcPr>
          <w:p w14:paraId="0CA8905D">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992" w:type="dxa"/>
            <w:gridSpan w:val="3"/>
            <w:shd w:val="clear" w:color="auto" w:fill="auto"/>
            <w:vAlign w:val="center"/>
          </w:tcPr>
          <w:p w14:paraId="14138D63">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w:t>
            </w:r>
          </w:p>
        </w:tc>
        <w:tc>
          <w:tcPr>
            <w:tcW w:w="992" w:type="dxa"/>
            <w:gridSpan w:val="2"/>
            <w:vAlign w:val="center"/>
          </w:tcPr>
          <w:p w14:paraId="36D3AEC6">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776" w:type="dxa"/>
            <w:gridSpan w:val="2"/>
            <w:vAlign w:val="center"/>
          </w:tcPr>
          <w:p w14:paraId="50BCD6DA">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r>
      <w:tr w14:paraId="32E1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940" w:type="dxa"/>
            <w:gridSpan w:val="2"/>
            <w:vMerge w:val="continue"/>
            <w:vAlign w:val="center"/>
          </w:tcPr>
          <w:p w14:paraId="28894479">
            <w:pPr>
              <w:spacing w:line="240" w:lineRule="exact"/>
              <w:ind w:firstLine="0" w:firstLineChars="0"/>
              <w:jc w:val="center"/>
              <w:rPr>
                <w:rFonts w:hint="default" w:ascii="Times New Roman" w:hAnsi="Times New Roman" w:cs="Times New Roman"/>
                <w:b/>
                <w:sz w:val="18"/>
                <w:szCs w:val="18"/>
              </w:rPr>
            </w:pPr>
          </w:p>
        </w:tc>
        <w:tc>
          <w:tcPr>
            <w:tcW w:w="1302" w:type="dxa"/>
            <w:vAlign w:val="center"/>
          </w:tcPr>
          <w:p w14:paraId="5EDD30DC">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与项目有关的其他特征污染物</w:t>
            </w:r>
          </w:p>
        </w:tc>
        <w:tc>
          <w:tcPr>
            <w:tcW w:w="709" w:type="dxa"/>
            <w:vAlign w:val="center"/>
          </w:tcPr>
          <w:p w14:paraId="7D7B41E2">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非甲烷总烃</w:t>
            </w:r>
          </w:p>
        </w:tc>
        <w:tc>
          <w:tcPr>
            <w:tcW w:w="713" w:type="dxa"/>
            <w:vAlign w:val="center"/>
          </w:tcPr>
          <w:p w14:paraId="4988DD29">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64" w:type="dxa"/>
            <w:vAlign w:val="center"/>
          </w:tcPr>
          <w:p w14:paraId="1458663E">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3.73</w:t>
            </w:r>
          </w:p>
        </w:tc>
        <w:tc>
          <w:tcPr>
            <w:tcW w:w="992" w:type="dxa"/>
            <w:gridSpan w:val="2"/>
            <w:vAlign w:val="center"/>
          </w:tcPr>
          <w:p w14:paraId="657CDE70">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120</w:t>
            </w:r>
          </w:p>
        </w:tc>
        <w:tc>
          <w:tcPr>
            <w:tcW w:w="853" w:type="dxa"/>
            <w:vAlign w:val="center"/>
          </w:tcPr>
          <w:p w14:paraId="30833F7E">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gridSpan w:val="2"/>
            <w:vAlign w:val="center"/>
          </w:tcPr>
          <w:p w14:paraId="3E773C43">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992" w:type="dxa"/>
            <w:vAlign w:val="center"/>
          </w:tcPr>
          <w:p w14:paraId="5DEBD8B4">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0.1188</w:t>
            </w:r>
          </w:p>
        </w:tc>
        <w:tc>
          <w:tcPr>
            <w:tcW w:w="996" w:type="dxa"/>
            <w:gridSpan w:val="2"/>
            <w:vAlign w:val="center"/>
          </w:tcPr>
          <w:p w14:paraId="6B02FBB6">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eastAsia" w:cs="Times New Roman"/>
                <w:sz w:val="18"/>
                <w:szCs w:val="18"/>
                <w:lang w:val="en-US" w:eastAsia="zh-CN"/>
              </w:rPr>
              <w:t>0.1188</w:t>
            </w:r>
          </w:p>
        </w:tc>
        <w:tc>
          <w:tcPr>
            <w:tcW w:w="1132" w:type="dxa"/>
            <w:gridSpan w:val="2"/>
            <w:vAlign w:val="center"/>
          </w:tcPr>
          <w:p w14:paraId="6086A8A1">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1138" w:type="dxa"/>
            <w:gridSpan w:val="2"/>
            <w:shd w:val="clear" w:color="auto" w:fill="auto"/>
            <w:vAlign w:val="center"/>
          </w:tcPr>
          <w:p w14:paraId="760A5C18">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0.1188</w:t>
            </w:r>
          </w:p>
        </w:tc>
        <w:tc>
          <w:tcPr>
            <w:tcW w:w="992" w:type="dxa"/>
            <w:gridSpan w:val="3"/>
            <w:shd w:val="clear" w:color="auto" w:fill="auto"/>
            <w:vAlign w:val="center"/>
          </w:tcPr>
          <w:p w14:paraId="73443DC1">
            <w:pPr>
              <w:spacing w:line="240" w:lineRule="exact"/>
              <w:ind w:firstLine="0" w:firstLineChars="0"/>
              <w:jc w:val="center"/>
              <w:rPr>
                <w:rFonts w:hint="default" w:ascii="Times New Roman" w:hAnsi="Times New Roman" w:cs="Times New Roman" w:eastAsiaTheme="minorEastAsia"/>
                <w:kern w:val="2"/>
                <w:sz w:val="18"/>
                <w:szCs w:val="18"/>
                <w:lang w:val="en-US" w:eastAsia="zh-CN" w:bidi="ar-SA"/>
              </w:rPr>
            </w:pPr>
            <w:r>
              <w:rPr>
                <w:rFonts w:hint="eastAsia" w:cs="Times New Roman"/>
                <w:sz w:val="18"/>
                <w:szCs w:val="18"/>
                <w:lang w:val="en-US" w:eastAsia="zh-CN"/>
              </w:rPr>
              <w:t>0.1188</w:t>
            </w:r>
          </w:p>
        </w:tc>
        <w:tc>
          <w:tcPr>
            <w:tcW w:w="992" w:type="dxa"/>
            <w:gridSpan w:val="2"/>
            <w:vAlign w:val="center"/>
          </w:tcPr>
          <w:p w14:paraId="195BB47C">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c>
          <w:tcPr>
            <w:tcW w:w="776" w:type="dxa"/>
            <w:gridSpan w:val="2"/>
            <w:vAlign w:val="center"/>
          </w:tcPr>
          <w:p w14:paraId="54404A49">
            <w:pPr>
              <w:spacing w:line="240" w:lineRule="exact"/>
              <w:ind w:firstLine="0" w:firstLineChars="0"/>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lang w:val="en-US" w:eastAsia="zh-CN"/>
              </w:rPr>
              <w:t>/</w:t>
            </w:r>
          </w:p>
        </w:tc>
      </w:tr>
    </w:tbl>
    <w:p w14:paraId="3416915F">
      <w:pPr>
        <w:spacing w:line="240" w:lineRule="auto"/>
        <w:ind w:firstLine="0" w:firstLineChars="0"/>
        <w:jc w:val="left"/>
        <w:rPr>
          <w:rFonts w:hint="default" w:ascii="Times New Roman" w:hAnsi="Times New Roman" w:cs="Times New Roman"/>
          <w:sz w:val="15"/>
          <w:szCs w:val="15"/>
        </w:rPr>
      </w:pPr>
      <w:r>
        <w:rPr>
          <w:rFonts w:hint="default" w:ascii="Times New Roman" w:hAnsi="Times New Roman" w:cs="Times New Roman"/>
          <w:b/>
          <w:sz w:val="15"/>
          <w:szCs w:val="15"/>
        </w:rPr>
        <w:t>注</w:t>
      </w:r>
      <w:r>
        <w:rPr>
          <w:rFonts w:hint="default" w:ascii="Times New Roman" w:hAnsi="Times New Roman" w:cs="Times New Roman"/>
          <w:sz w:val="15"/>
          <w:szCs w:val="15"/>
        </w:rPr>
        <w:t>：1、排放增减量：（+）表示增加，（-）表示减少。2、(12)=(6)-(8)-(11)，（9）= (4)-(5)-(8)-(11) +(1)。3、计量单位：废水排放量——万吨/年；废气排放量——万标立方米/年；工业固体废物排放量——万吨/年；水污染物排放浓度——毫克/升；大气污染物排放浓度——毫克/立方米</w:t>
      </w:r>
      <w:r>
        <w:rPr>
          <w:rFonts w:hint="default" w:ascii="Times New Roman" w:hAnsi="Times New Roman" w:cs="Times New Roman"/>
        </w:rPr>
        <w:t>；</w:t>
      </w:r>
      <w:r>
        <w:rPr>
          <w:rFonts w:hint="default" w:ascii="Times New Roman" w:hAnsi="Times New Roman" w:cs="Times New Roman"/>
          <w:sz w:val="15"/>
          <w:szCs w:val="15"/>
        </w:rPr>
        <w:t>水污染物排放量——吨/年；大气污染物排放量——吨/年</w:t>
      </w:r>
    </w:p>
    <w:p w14:paraId="0E59EEC4">
      <w:pPr>
        <w:spacing w:line="220" w:lineRule="exact"/>
        <w:ind w:firstLine="480"/>
        <w:rPr>
          <w:rFonts w:hint="default" w:ascii="Times New Roman" w:hAnsi="Times New Roman" w:cs="Times New Roman"/>
        </w:rPr>
        <w:sectPr>
          <w:pgSz w:w="16838" w:h="11906" w:orient="landscape"/>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 w:linePitch="326" w:charSpace="0"/>
        </w:sectPr>
      </w:pPr>
    </w:p>
    <w:p w14:paraId="2A90363F">
      <w:pPr>
        <w:pStyle w:val="3"/>
        <w:outlineLvl w:val="0"/>
        <w:rPr>
          <w:rFonts w:hint="default" w:ascii="Times New Roman" w:hAnsi="Times New Roman" w:cs="Times New Roman"/>
          <w:lang w:val="en-US" w:eastAsia="zh-CN"/>
        </w:rPr>
      </w:pPr>
      <w:bookmarkStart w:id="75" w:name="_Toc2407"/>
      <w:bookmarkStart w:id="76" w:name="_Toc514764558"/>
      <w:r>
        <w:rPr>
          <w:rFonts w:hint="default" w:ascii="Times New Roman" w:hAnsi="Times New Roman" w:cs="Times New Roman"/>
          <w:lang w:val="en-US" w:eastAsia="zh-CN"/>
        </w:rPr>
        <w:t>附件2：委托函</w:t>
      </w:r>
      <w:bookmarkEnd w:id="75"/>
    </w:p>
    <w:p w14:paraId="419273FB">
      <w:pPr>
        <w:ind w:left="0" w:leftChars="0" w:firstLine="0" w:firstLineChars="0"/>
        <w:jc w:val="left"/>
        <w:rPr>
          <w:rFonts w:hint="default" w:ascii="Times New Roman" w:hAnsi="Times New Roman" w:eastAsia="楷体" w:cs="Times New Roman"/>
          <w:sz w:val="32"/>
          <w:szCs w:val="32"/>
          <w:lang w:val="en-US" w:eastAsia="zh-CN"/>
        </w:rPr>
      </w:pPr>
      <w:r>
        <w:rPr>
          <w:rFonts w:hint="default" w:ascii="Times New Roman" w:hAnsi="Times New Roman" w:eastAsia="楷体" w:cs="Times New Roman"/>
          <w:sz w:val="32"/>
          <w:szCs w:val="32"/>
          <w:lang w:val="en-US" w:eastAsia="zh-CN"/>
        </w:rPr>
        <w:drawing>
          <wp:inline distT="0" distB="0" distL="114300" distR="114300">
            <wp:extent cx="5837555" cy="7731125"/>
            <wp:effectExtent l="0" t="0" r="10795" b="3175"/>
            <wp:docPr id="11" name="图片 11" descr="委托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委托函"/>
                    <pic:cNvPicPr>
                      <a:picLocks noChangeAspect="1"/>
                    </pic:cNvPicPr>
                  </pic:nvPicPr>
                  <pic:blipFill>
                    <a:blip r:embed="rId19"/>
                    <a:srcRect l="5453" t="15822" r="4658"/>
                    <a:stretch>
                      <a:fillRect/>
                    </a:stretch>
                  </pic:blipFill>
                  <pic:spPr>
                    <a:xfrm>
                      <a:off x="0" y="0"/>
                      <a:ext cx="5837555" cy="7731125"/>
                    </a:xfrm>
                    <a:prstGeom prst="rect">
                      <a:avLst/>
                    </a:prstGeom>
                  </pic:spPr>
                </pic:pic>
              </a:graphicData>
            </a:graphic>
          </wp:inline>
        </w:drawing>
      </w:r>
    </w:p>
    <w:p w14:paraId="7960ECDF">
      <w:pPr>
        <w:ind w:left="0" w:leftChars="0" w:firstLine="0" w:firstLineChars="0"/>
        <w:jc w:val="right"/>
        <w:rPr>
          <w:rFonts w:hint="default" w:ascii="Times New Roman" w:hAnsi="Times New Roman" w:eastAsia="楷体" w:cs="Times New Roman"/>
          <w:sz w:val="32"/>
          <w:szCs w:val="32"/>
          <w:lang w:val="en-US" w:eastAsia="zh-CN"/>
        </w:rPr>
      </w:pPr>
    </w:p>
    <w:p w14:paraId="4E7C190C">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imes New Roman" w:hAnsi="Times New Roman" w:cs="Times New Roman"/>
        </w:rPr>
      </w:pPr>
      <w:r>
        <w:rPr>
          <w:rFonts w:hint="default" w:ascii="Times New Roman" w:hAnsi="Times New Roman" w:eastAsia="黑体" w:cs="Times New Roman"/>
          <w:b/>
          <w:bCs/>
          <w:kern w:val="2"/>
          <w:sz w:val="28"/>
          <w:szCs w:val="32"/>
          <w:lang w:val="en-US" w:eastAsia="zh-CN" w:bidi="ar-SA"/>
        </w:rPr>
        <w:t>附件3：</w:t>
      </w:r>
      <w:bookmarkEnd w:id="76"/>
      <w:r>
        <w:rPr>
          <w:rFonts w:hint="default" w:ascii="Times New Roman" w:hAnsi="Times New Roman" w:eastAsia="黑体" w:cs="Times New Roman"/>
          <w:b/>
          <w:bCs/>
          <w:kern w:val="2"/>
          <w:sz w:val="28"/>
          <w:szCs w:val="32"/>
          <w:lang w:val="en-US" w:eastAsia="zh-CN" w:bidi="ar-SA"/>
        </w:rPr>
        <w:t>环评批复</w:t>
      </w:r>
    </w:p>
    <w:p w14:paraId="5EECDC07">
      <w:pPr>
        <w:ind w:left="0" w:leftChars="0" w:firstLine="0" w:firstLineChars="0"/>
        <w:jc w:val="center"/>
        <w:rPr>
          <w:rFonts w:hint="default" w:ascii="Times New Roman" w:hAnsi="Times New Roman" w:cs="Times New Roman"/>
          <w:lang w:eastAsia="zh-CN"/>
        </w:rPr>
      </w:pPr>
      <w:bookmarkStart w:id="77" w:name="_Toc514764559"/>
      <w:r>
        <w:rPr>
          <w:rFonts w:hint="default" w:ascii="Times New Roman" w:hAnsi="Times New Roman" w:cs="Times New Roman"/>
          <w:lang w:eastAsia="zh-CN"/>
        </w:rPr>
        <w:drawing>
          <wp:inline distT="0" distB="0" distL="114300" distR="114300">
            <wp:extent cx="5676265" cy="8324215"/>
            <wp:effectExtent l="0" t="0" r="635" b="635"/>
            <wp:docPr id="4" name="图片 4"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01"/>
                    <pic:cNvPicPr>
                      <a:picLocks noChangeAspect="1"/>
                    </pic:cNvPicPr>
                  </pic:nvPicPr>
                  <pic:blipFill>
                    <a:blip r:embed="rId20"/>
                    <a:srcRect l="7338" t="5174" r="6916" b="4111"/>
                    <a:stretch>
                      <a:fillRect/>
                    </a:stretch>
                  </pic:blipFill>
                  <pic:spPr>
                    <a:xfrm>
                      <a:off x="0" y="0"/>
                      <a:ext cx="5676265" cy="8324215"/>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407660" cy="8665845"/>
            <wp:effectExtent l="0" t="0" r="2540" b="1905"/>
            <wp:docPr id="8" name="图片 8"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02"/>
                    <pic:cNvPicPr>
                      <a:picLocks noChangeAspect="1"/>
                    </pic:cNvPicPr>
                  </pic:nvPicPr>
                  <pic:blipFill>
                    <a:blip r:embed="rId21"/>
                    <a:stretch>
                      <a:fillRect/>
                    </a:stretch>
                  </pic:blipFill>
                  <pic:spPr>
                    <a:xfrm>
                      <a:off x="0" y="0"/>
                      <a:ext cx="5407660" cy="8665845"/>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69865" cy="8656320"/>
            <wp:effectExtent l="0" t="0" r="6985" b="11430"/>
            <wp:docPr id="9" name="图片 9"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03"/>
                    <pic:cNvPicPr>
                      <a:picLocks noChangeAspect="1"/>
                    </pic:cNvPicPr>
                  </pic:nvPicPr>
                  <pic:blipFill>
                    <a:blip r:embed="rId22"/>
                    <a:stretch>
                      <a:fillRect/>
                    </a:stretch>
                  </pic:blipFill>
                  <pic:spPr>
                    <a:xfrm>
                      <a:off x="0" y="0"/>
                      <a:ext cx="5269865" cy="8656320"/>
                    </a:xfrm>
                    <a:prstGeom prst="rect">
                      <a:avLst/>
                    </a:prstGeom>
                  </pic:spPr>
                </pic:pic>
              </a:graphicData>
            </a:graphic>
          </wp:inline>
        </w:drawing>
      </w:r>
      <w:r>
        <w:rPr>
          <w:rFonts w:hint="default" w:ascii="Times New Roman" w:hAnsi="Times New Roman" w:cs="Times New Roman"/>
          <w:lang w:eastAsia="zh-CN"/>
        </w:rPr>
        <w:drawing>
          <wp:inline distT="0" distB="0" distL="114300" distR="114300">
            <wp:extent cx="5269865" cy="8523605"/>
            <wp:effectExtent l="0" t="0" r="6985" b="10795"/>
            <wp:docPr id="10" name="图片 10" descr="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04"/>
                    <pic:cNvPicPr>
                      <a:picLocks noChangeAspect="1"/>
                    </pic:cNvPicPr>
                  </pic:nvPicPr>
                  <pic:blipFill>
                    <a:blip r:embed="rId23"/>
                    <a:stretch>
                      <a:fillRect/>
                    </a:stretch>
                  </pic:blipFill>
                  <pic:spPr>
                    <a:xfrm>
                      <a:off x="0" y="0"/>
                      <a:ext cx="5269865" cy="8523605"/>
                    </a:xfrm>
                    <a:prstGeom prst="rect">
                      <a:avLst/>
                    </a:prstGeom>
                  </pic:spPr>
                </pic:pic>
              </a:graphicData>
            </a:graphic>
          </wp:inline>
        </w:drawing>
      </w:r>
    </w:p>
    <w:p w14:paraId="338F1FDC">
      <w:pPr>
        <w:pStyle w:val="3"/>
        <w:outlineLvl w:val="0"/>
        <w:rPr>
          <w:rFonts w:hint="default" w:ascii="Times New Roman" w:hAnsi="Times New Roman" w:cs="Times New Roman"/>
          <w:lang w:val="en-US" w:eastAsia="zh-CN"/>
        </w:rPr>
      </w:pPr>
      <w:bookmarkStart w:id="78" w:name="_Toc9830"/>
      <w:r>
        <w:rPr>
          <w:rFonts w:hint="default" w:ascii="Times New Roman" w:hAnsi="Times New Roman" w:cs="Times New Roman"/>
          <w:lang w:val="en-US" w:eastAsia="zh-CN"/>
        </w:rPr>
        <w:t>附件4：排污许可证</w:t>
      </w:r>
      <w:bookmarkEnd w:id="78"/>
    </w:p>
    <w:p w14:paraId="21296D2B">
      <w:pPr>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8364220" cy="5505450"/>
            <wp:effectExtent l="0" t="0" r="0" b="17780"/>
            <wp:docPr id="17" name="图片 4" descr="84c5a7eae9a7599e303dc3711453a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84c5a7eae9a7599e303dc3711453a3c"/>
                    <pic:cNvPicPr>
                      <a:picLocks noChangeAspect="1"/>
                    </pic:cNvPicPr>
                  </pic:nvPicPr>
                  <pic:blipFill>
                    <a:blip r:embed="rId24"/>
                    <a:srcRect l="2641" t="4282" r="1297" b="5815"/>
                    <a:stretch>
                      <a:fillRect/>
                    </a:stretch>
                  </pic:blipFill>
                  <pic:spPr>
                    <a:xfrm rot="5400000">
                      <a:off x="0" y="0"/>
                      <a:ext cx="8364220" cy="5505450"/>
                    </a:xfrm>
                    <a:prstGeom prst="rect">
                      <a:avLst/>
                    </a:prstGeom>
                    <a:noFill/>
                    <a:ln>
                      <a:noFill/>
                    </a:ln>
                  </pic:spPr>
                </pic:pic>
              </a:graphicData>
            </a:graphic>
          </wp:inline>
        </w:drawing>
      </w:r>
    </w:p>
    <w:p w14:paraId="166D20DC">
      <w:pPr>
        <w:pStyle w:val="3"/>
        <w:outlineLvl w:val="0"/>
        <w:rPr>
          <w:rFonts w:hint="eastAsia" w:ascii="Times New Roman" w:hAnsi="Times New Roman" w:cs="Times New Roman"/>
          <w:lang w:val="en-US" w:eastAsia="zh-CN"/>
        </w:rPr>
      </w:pPr>
      <w:bookmarkStart w:id="79" w:name="_Toc6662"/>
      <w:r>
        <w:rPr>
          <w:rFonts w:hint="eastAsia" w:ascii="Times New Roman" w:hAnsi="Times New Roman" w:cs="Times New Roman"/>
          <w:lang w:val="en-US" w:eastAsia="zh-CN"/>
        </w:rPr>
        <w:t>附件5：应急预案备案表</w:t>
      </w:r>
      <w:bookmarkEnd w:id="79"/>
    </w:p>
    <w:p w14:paraId="13C98C61">
      <w:pPr>
        <w:ind w:left="0" w:leftChars="0" w:firstLine="0" w:firstLineChars="0"/>
        <w:rPr>
          <w:rFonts w:hint="eastAsia"/>
          <w:lang w:val="en-US" w:eastAsia="zh-CN"/>
        </w:rPr>
      </w:pPr>
      <w:r>
        <w:rPr>
          <w:rFonts w:hint="eastAsia"/>
          <w:lang w:val="en-US" w:eastAsia="zh-CN"/>
        </w:rPr>
        <w:drawing>
          <wp:inline distT="0" distB="0" distL="114300" distR="114300">
            <wp:extent cx="5564505" cy="8308975"/>
            <wp:effectExtent l="0" t="0" r="17145" b="15875"/>
            <wp:docPr id="18" name="图片 18" descr="5ac50642a9e9ef7583845a1f79ef7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5ac50642a9e9ef7583845a1f79ef7ea"/>
                    <pic:cNvPicPr>
                      <a:picLocks noChangeAspect="1"/>
                    </pic:cNvPicPr>
                  </pic:nvPicPr>
                  <pic:blipFill>
                    <a:blip r:embed="rId25"/>
                    <a:srcRect l="6659" r="4009"/>
                    <a:stretch>
                      <a:fillRect/>
                    </a:stretch>
                  </pic:blipFill>
                  <pic:spPr>
                    <a:xfrm>
                      <a:off x="0" y="0"/>
                      <a:ext cx="5564505" cy="8308975"/>
                    </a:xfrm>
                    <a:prstGeom prst="rect">
                      <a:avLst/>
                    </a:prstGeom>
                  </pic:spPr>
                </pic:pic>
              </a:graphicData>
            </a:graphic>
          </wp:inline>
        </w:drawing>
      </w:r>
    </w:p>
    <w:p w14:paraId="0312378B">
      <w:pPr>
        <w:ind w:left="0" w:leftChars="0" w:firstLine="0" w:firstLineChars="0"/>
        <w:rPr>
          <w:rFonts w:hint="default"/>
          <w:lang w:val="en-US" w:eastAsia="zh-CN"/>
        </w:rPr>
      </w:pPr>
      <w:r>
        <w:rPr>
          <w:rFonts w:hint="default"/>
          <w:lang w:val="en-US" w:eastAsia="zh-CN"/>
        </w:rPr>
        <w:drawing>
          <wp:inline distT="0" distB="0" distL="114300" distR="114300">
            <wp:extent cx="8549640" cy="5836285"/>
            <wp:effectExtent l="0" t="0" r="12065" b="3810"/>
            <wp:docPr id="20" name="图片 20" descr="7bc3838da9356b6b41301abe4dd4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7bc3838da9356b6b41301abe4dd4de2"/>
                    <pic:cNvPicPr>
                      <a:picLocks noChangeAspect="1"/>
                    </pic:cNvPicPr>
                  </pic:nvPicPr>
                  <pic:blipFill>
                    <a:blip r:embed="rId26"/>
                    <a:srcRect b="8938"/>
                    <a:stretch>
                      <a:fillRect/>
                    </a:stretch>
                  </pic:blipFill>
                  <pic:spPr>
                    <a:xfrm rot="16200000">
                      <a:off x="0" y="0"/>
                      <a:ext cx="8549640" cy="5836285"/>
                    </a:xfrm>
                    <a:prstGeom prst="rect">
                      <a:avLst/>
                    </a:prstGeom>
                  </pic:spPr>
                </pic:pic>
              </a:graphicData>
            </a:graphic>
          </wp:inline>
        </w:drawing>
      </w:r>
    </w:p>
    <w:p w14:paraId="095EFEDA">
      <w:pPr>
        <w:pStyle w:val="3"/>
        <w:outlineLvl w:val="0"/>
        <w:rPr>
          <w:rFonts w:hint="default" w:ascii="Times New Roman" w:hAnsi="Times New Roman" w:cs="Times New Roman"/>
          <w:lang w:val="en-US" w:eastAsia="zh-CN"/>
        </w:rPr>
      </w:pPr>
      <w:bookmarkStart w:id="80" w:name="_Toc29050"/>
      <w:r>
        <w:rPr>
          <w:rFonts w:hint="default" w:ascii="Times New Roman" w:hAnsi="Times New Roman" w:cs="Times New Roman"/>
          <w:lang w:val="en-US" w:eastAsia="zh-CN"/>
        </w:rPr>
        <w:t>附件</w:t>
      </w:r>
      <w:r>
        <w:rPr>
          <w:rFonts w:hint="eastAsia" w:ascii="Times New Roman" w:hAnsi="Times New Roman" w:cs="Times New Roman"/>
          <w:lang w:val="en-US" w:eastAsia="zh-CN"/>
        </w:rPr>
        <w:t>6</w:t>
      </w:r>
      <w:r>
        <w:rPr>
          <w:rFonts w:hint="default" w:ascii="Times New Roman" w:hAnsi="Times New Roman" w:cs="Times New Roman"/>
          <w:lang w:val="en-US" w:eastAsia="zh-CN"/>
        </w:rPr>
        <w:t>：检测单位资质能力表</w:t>
      </w:r>
      <w:bookmarkEnd w:id="80"/>
    </w:p>
    <w:p w14:paraId="0C65B962">
      <w:pPr>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5668010" cy="8394700"/>
            <wp:effectExtent l="0" t="0" r="8890" b="6350"/>
            <wp:docPr id="40" name="图片 40" descr="021416004046_0湖南谱实资质附表2022.9.1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021416004046_0湖南谱实资质附表2022.9.16_1"/>
                    <pic:cNvPicPr>
                      <a:picLocks noChangeAspect="1"/>
                    </pic:cNvPicPr>
                  </pic:nvPicPr>
                  <pic:blipFill>
                    <a:blip r:embed="rId27"/>
                    <a:srcRect/>
                    <a:stretch>
                      <a:fillRect/>
                    </a:stretch>
                  </pic:blipFill>
                  <pic:spPr>
                    <a:xfrm>
                      <a:off x="0" y="0"/>
                      <a:ext cx="5668010" cy="8394700"/>
                    </a:xfrm>
                    <a:prstGeom prst="rect">
                      <a:avLst/>
                    </a:prstGeom>
                  </pic:spPr>
                </pic:pic>
              </a:graphicData>
            </a:graphic>
          </wp:inline>
        </w:drawing>
      </w:r>
      <w:r>
        <w:rPr>
          <w:rFonts w:hint="default" w:ascii="Times New Roman" w:hAnsi="Times New Roman" w:cs="Times New Roman"/>
          <w:lang w:val="en-US" w:eastAsia="zh-CN"/>
        </w:rPr>
        <w:drawing>
          <wp:inline distT="0" distB="0" distL="114300" distR="114300">
            <wp:extent cx="6097270" cy="8687435"/>
            <wp:effectExtent l="0" t="0" r="17780" b="18415"/>
            <wp:docPr id="41" name="图片 41" descr="021416004046_0湖南谱实资质附表2022.9.16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021416004046_0湖南谱实资质附表2022.9.16_24"/>
                    <pic:cNvPicPr>
                      <a:picLocks noChangeAspect="1"/>
                    </pic:cNvPicPr>
                  </pic:nvPicPr>
                  <pic:blipFill>
                    <a:blip r:embed="rId28"/>
                    <a:srcRect/>
                    <a:stretch>
                      <a:fillRect/>
                    </a:stretch>
                  </pic:blipFill>
                  <pic:spPr>
                    <a:xfrm>
                      <a:off x="0" y="0"/>
                      <a:ext cx="6097270" cy="8687435"/>
                    </a:xfrm>
                    <a:prstGeom prst="rect">
                      <a:avLst/>
                    </a:prstGeom>
                  </pic:spPr>
                </pic:pic>
              </a:graphicData>
            </a:graphic>
          </wp:inline>
        </w:drawing>
      </w:r>
      <w:r>
        <w:rPr>
          <w:rFonts w:hint="default" w:ascii="Times New Roman" w:hAnsi="Times New Roman" w:cs="Times New Roman"/>
          <w:lang w:val="en-US" w:eastAsia="zh-CN"/>
        </w:rPr>
        <w:drawing>
          <wp:inline distT="0" distB="0" distL="114300" distR="114300">
            <wp:extent cx="6000750" cy="8540750"/>
            <wp:effectExtent l="0" t="0" r="0" b="12700"/>
            <wp:docPr id="42" name="图片 42" descr="021416004046_0湖南谱实资质附表2022.9.16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021416004046_0湖南谱实资质附表2022.9.16_25"/>
                    <pic:cNvPicPr>
                      <a:picLocks noChangeAspect="1"/>
                    </pic:cNvPicPr>
                  </pic:nvPicPr>
                  <pic:blipFill>
                    <a:blip r:embed="rId29"/>
                    <a:srcRect/>
                    <a:stretch>
                      <a:fillRect/>
                    </a:stretch>
                  </pic:blipFill>
                  <pic:spPr>
                    <a:xfrm>
                      <a:off x="0" y="0"/>
                      <a:ext cx="6000750" cy="8540750"/>
                    </a:xfrm>
                    <a:prstGeom prst="rect">
                      <a:avLst/>
                    </a:prstGeom>
                  </pic:spPr>
                </pic:pic>
              </a:graphicData>
            </a:graphic>
          </wp:inline>
        </w:drawing>
      </w:r>
      <w:bookmarkStart w:id="88" w:name="_GoBack"/>
      <w:bookmarkEnd w:id="88"/>
    </w:p>
    <w:p w14:paraId="68688DF1">
      <w:pPr>
        <w:pStyle w:val="3"/>
        <w:outlineLvl w:val="0"/>
        <w:rPr>
          <w:rFonts w:hint="default" w:ascii="Times New Roman" w:hAnsi="Times New Roman" w:cs="Times New Roman"/>
          <w:lang w:val="en-US" w:eastAsia="zh-CN"/>
        </w:rPr>
      </w:pPr>
      <w:bookmarkStart w:id="81" w:name="_Toc23956"/>
      <w:r>
        <w:rPr>
          <w:rFonts w:hint="default" w:ascii="Times New Roman" w:hAnsi="Times New Roman" w:cs="Times New Roman"/>
          <w:lang w:val="en-US" w:eastAsia="zh-CN"/>
        </w:rPr>
        <w:t>附件</w:t>
      </w:r>
      <w:r>
        <w:rPr>
          <w:rFonts w:hint="eastAsia" w:ascii="Times New Roman" w:hAnsi="Times New Roman" w:cs="Times New Roman"/>
          <w:lang w:val="en-US" w:eastAsia="zh-CN"/>
        </w:rPr>
        <w:t>7</w:t>
      </w:r>
      <w:r>
        <w:rPr>
          <w:rFonts w:hint="default" w:ascii="Times New Roman" w:hAnsi="Times New Roman" w:cs="Times New Roman"/>
          <w:lang w:val="en-US" w:eastAsia="zh-CN"/>
        </w:rPr>
        <w:t>：监测、分析人员资质</w:t>
      </w:r>
      <w:bookmarkEnd w:id="81"/>
    </w:p>
    <w:p w14:paraId="7B2A82A6">
      <w:pPr>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5600065" cy="4000500"/>
            <wp:effectExtent l="0" t="0" r="635" b="0"/>
            <wp:docPr id="51" name="图片 51" descr="C:/Users/hbj/AppData/Local/Temp/picturecompress_20210811115103/output_14.pngoutput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hbj/AppData/Local/Temp/picturecompress_20210811115103/output_14.pngoutput_14"/>
                    <pic:cNvPicPr>
                      <a:picLocks noChangeAspect="1"/>
                    </pic:cNvPicPr>
                  </pic:nvPicPr>
                  <pic:blipFill>
                    <a:blip r:embed="rId30"/>
                    <a:srcRect/>
                    <a:stretch>
                      <a:fillRect/>
                    </a:stretch>
                  </pic:blipFill>
                  <pic:spPr>
                    <a:xfrm>
                      <a:off x="0" y="0"/>
                      <a:ext cx="5600065" cy="4000500"/>
                    </a:xfrm>
                    <a:prstGeom prst="rect">
                      <a:avLst/>
                    </a:prstGeom>
                  </pic:spPr>
                </pic:pic>
              </a:graphicData>
            </a:graphic>
          </wp:inline>
        </w:drawing>
      </w:r>
      <w:r>
        <w:rPr>
          <w:rFonts w:hint="default" w:ascii="Times New Roman" w:hAnsi="Times New Roman" w:cs="Times New Roman"/>
          <w:lang w:val="en-US" w:eastAsia="zh-CN"/>
        </w:rPr>
        <w:drawing>
          <wp:inline distT="0" distB="0" distL="114300" distR="114300">
            <wp:extent cx="5478145" cy="4137025"/>
            <wp:effectExtent l="0" t="0" r="8255" b="15875"/>
            <wp:docPr id="53" name="图片 53" descr="C:/Users/hbj/AppData/Local/Temp/picturecompress_20210811115103/output_15.pngoutput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C:/Users/hbj/AppData/Local/Temp/picturecompress_20210811115103/output_15.pngoutput_15"/>
                    <pic:cNvPicPr>
                      <a:picLocks noChangeAspect="1"/>
                    </pic:cNvPicPr>
                  </pic:nvPicPr>
                  <pic:blipFill>
                    <a:blip r:embed="rId31"/>
                    <a:srcRect/>
                    <a:stretch>
                      <a:fillRect/>
                    </a:stretch>
                  </pic:blipFill>
                  <pic:spPr>
                    <a:xfrm>
                      <a:off x="0" y="0"/>
                      <a:ext cx="5478145" cy="4137025"/>
                    </a:xfrm>
                    <a:prstGeom prst="rect">
                      <a:avLst/>
                    </a:prstGeom>
                  </pic:spPr>
                </pic:pic>
              </a:graphicData>
            </a:graphic>
          </wp:inline>
        </w:drawing>
      </w:r>
    </w:p>
    <w:p w14:paraId="3FEC20C5">
      <w:pPr>
        <w:pStyle w:val="3"/>
        <w:outlineLvl w:val="0"/>
        <w:rPr>
          <w:rFonts w:hint="default" w:ascii="Times New Roman" w:hAnsi="Times New Roman" w:cs="Times New Roman"/>
        </w:rPr>
      </w:pPr>
      <w:bookmarkStart w:id="82" w:name="_Toc26008"/>
      <w:r>
        <w:rPr>
          <w:rFonts w:hint="default" w:ascii="Times New Roman" w:hAnsi="Times New Roman" w:cs="Times New Roman"/>
        </w:rPr>
        <w:t>附件</w:t>
      </w:r>
      <w:r>
        <w:rPr>
          <w:rFonts w:hint="eastAsia" w:ascii="Times New Roman" w:hAnsi="Times New Roman" w:cs="Times New Roman"/>
          <w:lang w:val="en-US" w:eastAsia="zh-CN"/>
        </w:rPr>
        <w:t>8</w:t>
      </w:r>
      <w:r>
        <w:rPr>
          <w:rFonts w:hint="default" w:ascii="Times New Roman" w:hAnsi="Times New Roman" w:cs="Times New Roman"/>
        </w:rPr>
        <w:t>：现场照片</w:t>
      </w:r>
      <w:bookmarkEnd w:id="82"/>
    </w:p>
    <w:tbl>
      <w:tblPr>
        <w:tblStyle w:val="3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3"/>
      </w:tblGrid>
      <w:tr w14:paraId="3D89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7" w:hRule="exact"/>
        </w:trPr>
        <w:tc>
          <w:tcPr>
            <w:tcW w:w="4643" w:type="dxa"/>
            <w:noWrap w:val="0"/>
            <w:vAlign w:val="center"/>
          </w:tcPr>
          <w:p w14:paraId="7C8525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u w:val="none"/>
                <w:lang w:eastAsia="zh-CN"/>
              </w:rPr>
            </w:pPr>
            <w:r>
              <w:rPr>
                <w:rFonts w:hint="default" w:ascii="Times New Roman" w:hAnsi="Times New Roman" w:eastAsia="宋体" w:cs="Times New Roman"/>
                <w:color w:val="auto"/>
                <w:sz w:val="24"/>
                <w:szCs w:val="24"/>
                <w:u w:val="none"/>
                <w:lang w:eastAsia="zh-CN"/>
              </w:rPr>
              <w:drawing>
                <wp:inline distT="0" distB="0" distL="114300" distR="114300">
                  <wp:extent cx="2758440" cy="1708150"/>
                  <wp:effectExtent l="0" t="0" r="3810" b="6350"/>
                  <wp:docPr id="47" name="图片 9" descr="IMG_20231216_11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 descr="IMG_20231216_112929"/>
                          <pic:cNvPicPr>
                            <a:picLocks noChangeAspect="1"/>
                          </pic:cNvPicPr>
                        </pic:nvPicPr>
                        <pic:blipFill>
                          <a:blip r:embed="rId32"/>
                          <a:stretch>
                            <a:fillRect/>
                          </a:stretch>
                        </pic:blipFill>
                        <pic:spPr>
                          <a:xfrm>
                            <a:off x="0" y="0"/>
                            <a:ext cx="2758440" cy="1708150"/>
                          </a:xfrm>
                          <a:prstGeom prst="rect">
                            <a:avLst/>
                          </a:prstGeom>
                          <a:noFill/>
                          <a:ln>
                            <a:noFill/>
                          </a:ln>
                        </pic:spPr>
                      </pic:pic>
                    </a:graphicData>
                  </a:graphic>
                </wp:inline>
              </w:drawing>
            </w:r>
          </w:p>
        </w:tc>
        <w:tc>
          <w:tcPr>
            <w:tcW w:w="4643" w:type="dxa"/>
            <w:noWrap w:val="0"/>
            <w:vAlign w:val="center"/>
          </w:tcPr>
          <w:p w14:paraId="2817FD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default" w:ascii="Times New Roman" w:hAnsi="Times New Roman" w:eastAsia="宋体" w:cs="Times New Roman"/>
                <w:color w:val="auto"/>
                <w:kern w:val="2"/>
                <w:sz w:val="24"/>
                <w:szCs w:val="24"/>
                <w:u w:val="none"/>
                <w:lang w:val="en-US" w:eastAsia="zh-CN" w:bidi="ar-SA"/>
              </w:rPr>
              <w:drawing>
                <wp:inline distT="0" distB="0" distL="114300" distR="114300">
                  <wp:extent cx="2758440" cy="1742440"/>
                  <wp:effectExtent l="0" t="0" r="3810" b="10160"/>
                  <wp:docPr id="48" name="图片 10" descr="IMG_20231216_11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0" descr="IMG_20231216_113004"/>
                          <pic:cNvPicPr>
                            <a:picLocks noChangeAspect="1"/>
                          </pic:cNvPicPr>
                        </pic:nvPicPr>
                        <pic:blipFill>
                          <a:blip r:embed="rId33"/>
                          <a:stretch>
                            <a:fillRect/>
                          </a:stretch>
                        </pic:blipFill>
                        <pic:spPr>
                          <a:xfrm>
                            <a:off x="0" y="0"/>
                            <a:ext cx="2758440" cy="1742440"/>
                          </a:xfrm>
                          <a:prstGeom prst="rect">
                            <a:avLst/>
                          </a:prstGeom>
                          <a:noFill/>
                          <a:ln>
                            <a:noFill/>
                          </a:ln>
                        </pic:spPr>
                      </pic:pic>
                    </a:graphicData>
                  </a:graphic>
                </wp:inline>
              </w:drawing>
            </w:r>
          </w:p>
        </w:tc>
      </w:tr>
      <w:tr w14:paraId="79BE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43" w:type="dxa"/>
            <w:noWrap w:val="0"/>
            <w:vAlign w:val="center"/>
          </w:tcPr>
          <w:p w14:paraId="779F40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u w:val="none"/>
                <w:lang w:val="en-US" w:eastAsia="zh-CN"/>
              </w:rPr>
            </w:pPr>
            <w:r>
              <w:rPr>
                <w:rFonts w:hint="eastAsia" w:eastAsia="宋体" w:cs="Times New Roman"/>
                <w:color w:val="auto"/>
                <w:sz w:val="24"/>
                <w:szCs w:val="24"/>
                <w:u w:val="none"/>
                <w:lang w:val="en-US" w:eastAsia="zh-CN"/>
              </w:rPr>
              <w:t>搅拌</w:t>
            </w:r>
            <w:r>
              <w:rPr>
                <w:rFonts w:hint="eastAsia" w:ascii="Times New Roman" w:hAnsi="Times New Roman" w:eastAsia="宋体" w:cs="Times New Roman"/>
                <w:color w:val="auto"/>
                <w:sz w:val="24"/>
                <w:szCs w:val="24"/>
                <w:u w:val="none"/>
                <w:lang w:val="en-US" w:eastAsia="zh-CN"/>
              </w:rPr>
              <w:t>废气处理设施</w:t>
            </w:r>
          </w:p>
        </w:tc>
        <w:tc>
          <w:tcPr>
            <w:tcW w:w="4643" w:type="dxa"/>
            <w:noWrap w:val="0"/>
            <w:vAlign w:val="center"/>
          </w:tcPr>
          <w:p w14:paraId="4BA376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包装机</w:t>
            </w:r>
          </w:p>
        </w:tc>
      </w:tr>
      <w:tr w14:paraId="6A26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exact"/>
        </w:trPr>
        <w:tc>
          <w:tcPr>
            <w:tcW w:w="4643" w:type="dxa"/>
            <w:noWrap w:val="0"/>
            <w:vAlign w:val="center"/>
          </w:tcPr>
          <w:p w14:paraId="178B5A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default" w:ascii="Times New Roman" w:hAnsi="Times New Roman" w:eastAsia="宋体" w:cs="Times New Roman"/>
                <w:color w:val="auto"/>
                <w:kern w:val="2"/>
                <w:sz w:val="24"/>
                <w:szCs w:val="24"/>
                <w:u w:val="none"/>
                <w:lang w:val="en-US" w:eastAsia="zh-CN" w:bidi="ar-SA"/>
              </w:rPr>
              <w:drawing>
                <wp:inline distT="0" distB="0" distL="114300" distR="114300">
                  <wp:extent cx="2758440" cy="1743710"/>
                  <wp:effectExtent l="0" t="0" r="3810" b="8890"/>
                  <wp:docPr id="46" name="图片 11" descr="IMG_20231216_11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1" descr="IMG_20231216_113140"/>
                          <pic:cNvPicPr>
                            <a:picLocks noChangeAspect="1"/>
                          </pic:cNvPicPr>
                        </pic:nvPicPr>
                        <pic:blipFill>
                          <a:blip r:embed="rId34"/>
                          <a:stretch>
                            <a:fillRect/>
                          </a:stretch>
                        </pic:blipFill>
                        <pic:spPr>
                          <a:xfrm>
                            <a:off x="0" y="0"/>
                            <a:ext cx="2758440" cy="1743710"/>
                          </a:xfrm>
                          <a:prstGeom prst="rect">
                            <a:avLst/>
                          </a:prstGeom>
                          <a:noFill/>
                          <a:ln>
                            <a:noFill/>
                          </a:ln>
                        </pic:spPr>
                      </pic:pic>
                    </a:graphicData>
                  </a:graphic>
                </wp:inline>
              </w:drawing>
            </w:r>
          </w:p>
        </w:tc>
        <w:tc>
          <w:tcPr>
            <w:tcW w:w="4643" w:type="dxa"/>
            <w:noWrap w:val="0"/>
            <w:vAlign w:val="center"/>
          </w:tcPr>
          <w:p w14:paraId="715DC65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drawing>
                <wp:inline distT="0" distB="0" distL="114300" distR="114300">
                  <wp:extent cx="2758440" cy="1753235"/>
                  <wp:effectExtent l="0" t="0" r="3810" b="18415"/>
                  <wp:docPr id="49" name="图片 12" descr="IMG_20231216_11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2" descr="IMG_20231216_113233"/>
                          <pic:cNvPicPr>
                            <a:picLocks noChangeAspect="1"/>
                          </pic:cNvPicPr>
                        </pic:nvPicPr>
                        <pic:blipFill>
                          <a:blip r:embed="rId35"/>
                          <a:stretch>
                            <a:fillRect/>
                          </a:stretch>
                        </pic:blipFill>
                        <pic:spPr>
                          <a:xfrm>
                            <a:off x="0" y="0"/>
                            <a:ext cx="2758440" cy="1753235"/>
                          </a:xfrm>
                          <a:prstGeom prst="rect">
                            <a:avLst/>
                          </a:prstGeom>
                          <a:noFill/>
                          <a:ln>
                            <a:noFill/>
                          </a:ln>
                        </pic:spPr>
                      </pic:pic>
                    </a:graphicData>
                  </a:graphic>
                </wp:inline>
              </w:drawing>
            </w:r>
          </w:p>
        </w:tc>
      </w:tr>
      <w:tr w14:paraId="7D0D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43" w:type="dxa"/>
            <w:noWrap w:val="0"/>
            <w:vAlign w:val="center"/>
          </w:tcPr>
          <w:p w14:paraId="458CB5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离心机</w:t>
            </w:r>
          </w:p>
        </w:tc>
        <w:tc>
          <w:tcPr>
            <w:tcW w:w="4643" w:type="dxa"/>
            <w:noWrap w:val="0"/>
            <w:vAlign w:val="center"/>
          </w:tcPr>
          <w:p w14:paraId="0113EC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废水处理设施</w:t>
            </w:r>
          </w:p>
        </w:tc>
      </w:tr>
      <w:tr w14:paraId="7514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43" w:type="dxa"/>
            <w:noWrap w:val="0"/>
            <w:vAlign w:val="center"/>
          </w:tcPr>
          <w:p w14:paraId="4784CF7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drawing>
                <wp:inline distT="0" distB="0" distL="114300" distR="114300">
                  <wp:extent cx="2758440" cy="1668145"/>
                  <wp:effectExtent l="0" t="0" r="3810" b="8255"/>
                  <wp:docPr id="50" name="图片 13" descr="IMG_20231216_11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descr="IMG_20231216_113249"/>
                          <pic:cNvPicPr>
                            <a:picLocks noChangeAspect="1"/>
                          </pic:cNvPicPr>
                        </pic:nvPicPr>
                        <pic:blipFill>
                          <a:blip r:embed="rId36"/>
                          <a:stretch>
                            <a:fillRect/>
                          </a:stretch>
                        </pic:blipFill>
                        <pic:spPr>
                          <a:xfrm>
                            <a:off x="0" y="0"/>
                            <a:ext cx="2758440" cy="1668145"/>
                          </a:xfrm>
                          <a:prstGeom prst="rect">
                            <a:avLst/>
                          </a:prstGeom>
                          <a:noFill/>
                          <a:ln>
                            <a:noFill/>
                          </a:ln>
                        </pic:spPr>
                      </pic:pic>
                    </a:graphicData>
                  </a:graphic>
                </wp:inline>
              </w:drawing>
            </w:r>
          </w:p>
        </w:tc>
        <w:tc>
          <w:tcPr>
            <w:tcW w:w="4643" w:type="dxa"/>
            <w:noWrap w:val="0"/>
            <w:vAlign w:val="center"/>
          </w:tcPr>
          <w:p w14:paraId="2C6876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drawing>
                <wp:inline distT="0" distB="0" distL="114300" distR="114300">
                  <wp:extent cx="2804160" cy="1678940"/>
                  <wp:effectExtent l="0" t="0" r="15240" b="16510"/>
                  <wp:docPr id="43" name="图片 14" descr="0c1c5d6f00374c55bf1a21918a5b1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4" descr="0c1c5d6f00374c55bf1a21918a5b1b2"/>
                          <pic:cNvPicPr>
                            <a:picLocks noChangeAspect="1"/>
                          </pic:cNvPicPr>
                        </pic:nvPicPr>
                        <pic:blipFill>
                          <a:blip r:embed="rId37"/>
                          <a:srcRect t="12709" b="13565"/>
                          <a:stretch>
                            <a:fillRect/>
                          </a:stretch>
                        </pic:blipFill>
                        <pic:spPr>
                          <a:xfrm>
                            <a:off x="0" y="0"/>
                            <a:ext cx="2804160" cy="1678940"/>
                          </a:xfrm>
                          <a:prstGeom prst="rect">
                            <a:avLst/>
                          </a:prstGeom>
                          <a:noFill/>
                          <a:ln>
                            <a:noFill/>
                          </a:ln>
                        </pic:spPr>
                      </pic:pic>
                    </a:graphicData>
                  </a:graphic>
                </wp:inline>
              </w:drawing>
            </w:r>
          </w:p>
        </w:tc>
      </w:tr>
      <w:tr w14:paraId="566D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43" w:type="dxa"/>
            <w:noWrap w:val="0"/>
            <w:vAlign w:val="center"/>
          </w:tcPr>
          <w:p w14:paraId="2A2819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成品储存区</w:t>
            </w:r>
          </w:p>
        </w:tc>
        <w:tc>
          <w:tcPr>
            <w:tcW w:w="4643" w:type="dxa"/>
            <w:noWrap w:val="0"/>
            <w:vAlign w:val="center"/>
          </w:tcPr>
          <w:p w14:paraId="36C38F5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危废暂存间</w:t>
            </w:r>
          </w:p>
        </w:tc>
      </w:tr>
      <w:tr w14:paraId="642D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43" w:type="dxa"/>
            <w:noWrap w:val="0"/>
            <w:vAlign w:val="center"/>
          </w:tcPr>
          <w:p w14:paraId="73665E7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drawing>
                <wp:inline distT="0" distB="0" distL="114300" distR="114300">
                  <wp:extent cx="2802255" cy="1877695"/>
                  <wp:effectExtent l="0" t="0" r="17145" b="8255"/>
                  <wp:docPr id="44" name="图片 15" descr="cf19f40ab8d3b1091cfd01bb73cd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 descr="cf19f40ab8d3b1091cfd01bb73cd400"/>
                          <pic:cNvPicPr>
                            <a:picLocks noChangeAspect="1"/>
                          </pic:cNvPicPr>
                        </pic:nvPicPr>
                        <pic:blipFill>
                          <a:blip r:embed="rId38"/>
                          <a:stretch>
                            <a:fillRect/>
                          </a:stretch>
                        </pic:blipFill>
                        <pic:spPr>
                          <a:xfrm>
                            <a:off x="0" y="0"/>
                            <a:ext cx="2802255" cy="1877695"/>
                          </a:xfrm>
                          <a:prstGeom prst="rect">
                            <a:avLst/>
                          </a:prstGeom>
                          <a:noFill/>
                          <a:ln>
                            <a:noFill/>
                          </a:ln>
                        </pic:spPr>
                      </pic:pic>
                    </a:graphicData>
                  </a:graphic>
                </wp:inline>
              </w:drawing>
            </w:r>
          </w:p>
        </w:tc>
        <w:tc>
          <w:tcPr>
            <w:tcW w:w="4643" w:type="dxa"/>
            <w:noWrap w:val="0"/>
            <w:vAlign w:val="center"/>
          </w:tcPr>
          <w:p w14:paraId="77D89E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drawing>
                <wp:inline distT="0" distB="0" distL="114300" distR="114300">
                  <wp:extent cx="2804160" cy="1918970"/>
                  <wp:effectExtent l="0" t="0" r="15240" b="5080"/>
                  <wp:docPr id="45" name="图片 16" descr="bdcf746543ac306fc458435e94abd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6" descr="bdcf746543ac306fc458435e94abdcf"/>
                          <pic:cNvPicPr>
                            <a:picLocks noChangeAspect="1"/>
                          </pic:cNvPicPr>
                        </pic:nvPicPr>
                        <pic:blipFill>
                          <a:blip r:embed="rId39"/>
                          <a:srcRect t="10487" b="18823"/>
                          <a:stretch>
                            <a:fillRect/>
                          </a:stretch>
                        </pic:blipFill>
                        <pic:spPr>
                          <a:xfrm>
                            <a:off x="0" y="0"/>
                            <a:ext cx="2804160" cy="1918970"/>
                          </a:xfrm>
                          <a:prstGeom prst="rect">
                            <a:avLst/>
                          </a:prstGeom>
                          <a:noFill/>
                          <a:ln>
                            <a:noFill/>
                          </a:ln>
                        </pic:spPr>
                      </pic:pic>
                    </a:graphicData>
                  </a:graphic>
                </wp:inline>
              </w:drawing>
            </w:r>
          </w:p>
        </w:tc>
      </w:tr>
      <w:tr w14:paraId="2354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43" w:type="dxa"/>
            <w:noWrap w:val="0"/>
            <w:vAlign w:val="center"/>
          </w:tcPr>
          <w:p w14:paraId="0AD2810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三面封闭球磨房</w:t>
            </w:r>
          </w:p>
        </w:tc>
        <w:tc>
          <w:tcPr>
            <w:tcW w:w="4643" w:type="dxa"/>
            <w:noWrap w:val="0"/>
            <w:vAlign w:val="center"/>
          </w:tcPr>
          <w:p w14:paraId="3FED6F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u w:val="none"/>
                <w:lang w:val="en-US" w:eastAsia="zh-CN" w:bidi="ar-SA"/>
              </w:rPr>
              <w:t>白油储存区及围堰</w:t>
            </w:r>
          </w:p>
        </w:tc>
      </w:tr>
    </w:tbl>
    <w:p w14:paraId="2A43591A">
      <w:pPr>
        <w:ind w:left="0" w:leftChars="0" w:firstLine="0" w:firstLineChars="0"/>
        <w:rPr>
          <w:rFonts w:hint="default"/>
        </w:rPr>
      </w:pPr>
    </w:p>
    <w:p w14:paraId="3CF2A548">
      <w:pPr>
        <w:pStyle w:val="30"/>
        <w:ind w:left="0" w:leftChars="0" w:firstLine="0" w:firstLineChars="0"/>
        <w:rPr>
          <w:rFonts w:hint="default" w:ascii="Times New Roman" w:hAnsi="Times New Roman" w:cs="Times New Roma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26" w:charSpace="0"/>
        </w:sectPr>
      </w:pPr>
    </w:p>
    <w:p w14:paraId="210C0B4E">
      <w:pPr>
        <w:pStyle w:val="3"/>
        <w:outlineLvl w:val="0"/>
        <w:rPr>
          <w:rFonts w:hint="default" w:ascii="Times New Roman" w:hAnsi="Times New Roman" w:cs="Times New Roman"/>
        </w:rPr>
      </w:pPr>
      <w:bookmarkStart w:id="83" w:name="_Toc15754"/>
      <w:r>
        <w:rPr>
          <w:rFonts w:hint="default" w:ascii="Times New Roman" w:hAnsi="Times New Roman" w:cs="Times New Roman"/>
        </w:rPr>
        <w:t>附件</w:t>
      </w:r>
      <w:r>
        <w:rPr>
          <w:rFonts w:hint="eastAsia" w:ascii="Times New Roman" w:hAnsi="Times New Roman" w:cs="Times New Roman"/>
          <w:lang w:val="en-US" w:eastAsia="zh-CN"/>
        </w:rPr>
        <w:t>9</w:t>
      </w:r>
      <w:r>
        <w:rPr>
          <w:rFonts w:hint="default" w:ascii="Times New Roman" w:hAnsi="Times New Roman" w:cs="Times New Roman"/>
        </w:rPr>
        <w:t>：项目地理位置图</w:t>
      </w:r>
      <w:bookmarkEnd w:id="83"/>
    </w:p>
    <w:p w14:paraId="755E3944">
      <w:pPr>
        <w:pStyle w:val="30"/>
        <w:ind w:left="0" w:leftChars="0" w:firstLine="0" w:firstLineChars="0"/>
        <w:jc w:val="center"/>
        <w:rPr>
          <w:rFonts w:hint="default" w:ascii="Times New Roman" w:hAnsi="Times New Roman" w:eastAsia="宋体" w:cs="Times New Roman"/>
          <w:color w:val="000000"/>
          <w:sz w:val="24"/>
          <w:lang w:eastAsia="zh-CN"/>
        </w:rPr>
      </w:pPr>
      <w:r>
        <w:rPr>
          <w:rFonts w:hint="default" w:ascii="Times New Roman" w:hAnsi="Times New Roman" w:eastAsia="宋体" w:cs="Times New Roman"/>
          <w:color w:val="000000"/>
          <w:sz w:val="24"/>
          <w:lang w:eastAsia="zh-CN"/>
        </w:rPr>
        <w:drawing>
          <wp:inline distT="0" distB="0" distL="114300" distR="114300">
            <wp:extent cx="8944610" cy="5238115"/>
            <wp:effectExtent l="0" t="0" r="8890" b="635"/>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40"/>
                    <a:stretch>
                      <a:fillRect/>
                    </a:stretch>
                  </pic:blipFill>
                  <pic:spPr>
                    <a:xfrm>
                      <a:off x="0" y="0"/>
                      <a:ext cx="8944610" cy="5238115"/>
                    </a:xfrm>
                    <a:prstGeom prst="rect">
                      <a:avLst/>
                    </a:prstGeom>
                    <a:noFill/>
                    <a:ln>
                      <a:noFill/>
                    </a:ln>
                  </pic:spPr>
                </pic:pic>
              </a:graphicData>
            </a:graphic>
          </wp:inline>
        </w:drawing>
      </w:r>
      <w:r>
        <w:rPr>
          <w:rFonts w:hint="default" w:ascii="Times New Roman" w:hAnsi="Times New Roman" w:cs="Times New Roman"/>
        </w:rPr>
        <w:drawing>
          <wp:anchor distT="0" distB="0" distL="114300" distR="114300" simplePos="0" relativeHeight="251659264" behindDoc="0" locked="0" layoutInCell="1" allowOverlap="1">
            <wp:simplePos x="0" y="0"/>
            <wp:positionH relativeFrom="column">
              <wp:posOffset>8180070</wp:posOffset>
            </wp:positionH>
            <wp:positionV relativeFrom="paragraph">
              <wp:posOffset>125095</wp:posOffset>
            </wp:positionV>
            <wp:extent cx="640715" cy="876935"/>
            <wp:effectExtent l="0" t="0" r="6985" b="18415"/>
            <wp:wrapNone/>
            <wp:docPr id="34" name="图片 2" descr="C:/Users/hbj/AppData/Local/Temp/picturecompress_20210811115103/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descr="C:/Users/hbj/AppData/Local/Temp/picturecompress_20210811115103/output_1.pngoutput_1"/>
                    <pic:cNvPicPr>
                      <a:picLocks noChangeAspect="1"/>
                    </pic:cNvPicPr>
                  </pic:nvPicPr>
                  <pic:blipFill>
                    <a:blip r:embed="rId41"/>
                    <a:stretch>
                      <a:fillRect/>
                    </a:stretch>
                  </pic:blipFill>
                  <pic:spPr>
                    <a:xfrm>
                      <a:off x="0" y="0"/>
                      <a:ext cx="640715" cy="876935"/>
                    </a:xfrm>
                    <a:prstGeom prst="rect">
                      <a:avLst/>
                    </a:prstGeom>
                    <a:noFill/>
                    <a:ln>
                      <a:noFill/>
                    </a:ln>
                  </pic:spPr>
                </pic:pic>
              </a:graphicData>
            </a:graphic>
          </wp:anchor>
        </w:drawing>
      </w:r>
      <w:r>
        <w:rPr>
          <w:rFonts w:hint="default" w:ascii="Times New Roman" w:hAnsi="Times New Roman" w:cs="Times New Roman"/>
        </w:rPr>
        <w:drawing>
          <wp:anchor distT="0" distB="0" distL="114300" distR="114300" simplePos="0" relativeHeight="251661312" behindDoc="0" locked="0" layoutInCell="1" allowOverlap="1">
            <wp:simplePos x="0" y="0"/>
            <wp:positionH relativeFrom="column">
              <wp:posOffset>43180</wp:posOffset>
            </wp:positionH>
            <wp:positionV relativeFrom="paragraph">
              <wp:posOffset>4884420</wp:posOffset>
            </wp:positionV>
            <wp:extent cx="654685" cy="238125"/>
            <wp:effectExtent l="0" t="0" r="12065" b="9525"/>
            <wp:wrapNone/>
            <wp:docPr id="33" name="图片 2" descr="C:/Users/hbj/AppData/Local/Temp/picturecompress_20210811115103/output_3.pngoutput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descr="C:/Users/hbj/AppData/Local/Temp/picturecompress_20210811115103/output_3.pngoutput_3"/>
                    <pic:cNvPicPr>
                      <a:picLocks noChangeAspect="1"/>
                    </pic:cNvPicPr>
                  </pic:nvPicPr>
                  <pic:blipFill>
                    <a:blip r:embed="rId42"/>
                    <a:stretch>
                      <a:fillRect/>
                    </a:stretch>
                  </pic:blipFill>
                  <pic:spPr>
                    <a:xfrm>
                      <a:off x="0" y="0"/>
                      <a:ext cx="654685" cy="238125"/>
                    </a:xfrm>
                    <a:prstGeom prst="rect">
                      <a:avLst/>
                    </a:prstGeom>
                    <a:noFill/>
                    <a:ln>
                      <a:noFill/>
                    </a:ln>
                  </pic:spPr>
                </pic:pic>
              </a:graphicData>
            </a:graphic>
          </wp:anchor>
        </w:drawing>
      </w:r>
    </w:p>
    <w:p w14:paraId="22C43D78">
      <w:pPr>
        <w:pStyle w:val="30"/>
        <w:ind w:left="0" w:leftChars="0" w:firstLine="0" w:firstLineChars="0"/>
        <w:rPr>
          <w:rFonts w:hint="default" w:ascii="Times New Roman" w:hAnsi="Times New Roman" w:eastAsia="宋体" w:cs="Times New Roman"/>
          <w:color w:val="000000"/>
          <w:sz w:val="24"/>
        </w:rPr>
        <w:sectPr>
          <w:pgSz w:w="16838" w:h="11906" w:orient="landscape"/>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26" w:charSpace="0"/>
        </w:sectPr>
      </w:pPr>
    </w:p>
    <w:p w14:paraId="38B64D25">
      <w:pPr>
        <w:pStyle w:val="3"/>
        <w:outlineLvl w:val="0"/>
        <w:rPr>
          <w:rFonts w:hint="default" w:ascii="Times New Roman" w:hAnsi="Times New Roman" w:eastAsia="宋体" w:cs="Times New Roman"/>
          <w:lang w:val="en-US" w:eastAsia="zh-CN"/>
        </w:rPr>
      </w:pPr>
      <w:bookmarkStart w:id="84" w:name="_Toc9959"/>
      <w:bookmarkStart w:id="85" w:name="_Toc514764563"/>
      <w:r>
        <w:rPr>
          <w:rFonts w:hint="default" w:ascii="Times New Roman" w:hAnsi="Times New Roman" w:eastAsia="宋体" w:cs="Times New Roman"/>
          <w:lang w:val="en-US" w:eastAsia="zh-CN"/>
        </w:rPr>
        <w:t>附件9：平面布置图</w:t>
      </w:r>
      <w:bookmarkEnd w:id="84"/>
    </w:p>
    <w:p w14:paraId="4D148CCE">
      <w:pPr>
        <w:bidi w:val="0"/>
        <w:ind w:left="0" w:leftChars="0" w:firstLine="0" w:firstLineChars="0"/>
        <w:jc w:val="center"/>
        <w:rPr>
          <w:rFonts w:hint="default" w:ascii="Times New Roman" w:hAnsi="Times New Roman" w:cs="Times New Roman" w:eastAsiaTheme="minorEastAsia"/>
          <w:lang w:val="en-US" w:eastAsia="zh-CN"/>
        </w:rPr>
        <w:sectPr>
          <w:pgSz w:w="16838" w:h="11906" w:orient="landscape"/>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26" w:charSpace="0"/>
        </w:sectPr>
      </w:pPr>
      <w:r>
        <w:rPr>
          <w:sz w:val="24"/>
        </w:rPr>
        <mc:AlternateContent>
          <mc:Choice Requires="wps">
            <w:drawing>
              <wp:anchor distT="0" distB="0" distL="114300" distR="114300" simplePos="0" relativeHeight="251668480" behindDoc="0" locked="0" layoutInCell="1" allowOverlap="1">
                <wp:simplePos x="0" y="0"/>
                <wp:positionH relativeFrom="column">
                  <wp:posOffset>5286375</wp:posOffset>
                </wp:positionH>
                <wp:positionV relativeFrom="paragraph">
                  <wp:posOffset>1790065</wp:posOffset>
                </wp:positionV>
                <wp:extent cx="111125" cy="167005"/>
                <wp:effectExtent l="0" t="0" r="3175" b="4445"/>
                <wp:wrapNone/>
                <wp:docPr id="13" name="文本框 13"/>
                <wp:cNvGraphicFramePr/>
                <a:graphic xmlns:a="http://schemas.openxmlformats.org/drawingml/2006/main">
                  <a:graphicData uri="http://schemas.microsoft.com/office/word/2010/wordprocessingShape">
                    <wps:wsp>
                      <wps:cNvSpPr txBox="1"/>
                      <wps:spPr>
                        <a:xfrm>
                          <a:off x="0" y="0"/>
                          <a:ext cx="111125" cy="167005"/>
                        </a:xfrm>
                        <a:prstGeom prst="rect">
                          <a:avLst/>
                        </a:prstGeom>
                        <a:solidFill>
                          <a:schemeClr val="bg1">
                            <a:lumMod val="85000"/>
                          </a:schemeClr>
                        </a:solidFill>
                        <a:ln w="6350">
                          <a:noFill/>
                        </a:ln>
                      </wps:spPr>
                      <wps:style>
                        <a:lnRef idx="0">
                          <a:schemeClr val="accent1"/>
                        </a:lnRef>
                        <a:fillRef idx="0">
                          <a:schemeClr val="accent1"/>
                        </a:fillRef>
                        <a:effectRef idx="0">
                          <a:schemeClr val="accent1"/>
                        </a:effectRef>
                        <a:fontRef idx="minor">
                          <a:schemeClr val="dk1"/>
                        </a:fontRef>
                      </wps:style>
                      <wps:txbx>
                        <w:txbxContent>
                          <w:p w14:paraId="16946B8F"/>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6.25pt;margin-top:140.95pt;height:13.15pt;width:8.75pt;z-index:251668480;mso-width-relative:page;mso-height-relative:page;" fillcolor="#D9D9D9 [2732]" filled="t" stroked="f" coordsize="21600,21600" o:gfxdata="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Azt6dkAAAALAQAADwAAAAAAAAABACAAAAAiAAAAZHJzL2Rvd25yZXYueG1sUEsBAhQAFAAA&#10;AAgAh07iQFaDNxRgAgAAsgQAAA4AAAAAAAAAAQAgAAAAKAEAAGRycy9lMm9Eb2MueG1sUEsFBgAA&#10;AAAGAAYAWQEAAPoFAAAAAA==&#10;">
                <v:fill on="t" focussize="0,0"/>
                <v:stroke on="f" weight="0.5pt"/>
                <v:imagedata o:title=""/>
                <o:lock v:ext="edit" aspectratio="f"/>
                <v:textbox>
                  <w:txbxContent>
                    <w:p w14:paraId="16946B8F"/>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3708400</wp:posOffset>
                </wp:positionH>
                <wp:positionV relativeFrom="paragraph">
                  <wp:posOffset>2606040</wp:posOffset>
                </wp:positionV>
                <wp:extent cx="111125" cy="167005"/>
                <wp:effectExtent l="0" t="0" r="3175" b="4445"/>
                <wp:wrapNone/>
                <wp:docPr id="12" name="文本框 12"/>
                <wp:cNvGraphicFramePr/>
                <a:graphic xmlns:a="http://schemas.openxmlformats.org/drawingml/2006/main">
                  <a:graphicData uri="http://schemas.microsoft.com/office/word/2010/wordprocessingShape">
                    <wps:wsp>
                      <wps:cNvSpPr txBox="1"/>
                      <wps:spPr>
                        <a:xfrm>
                          <a:off x="4608830" y="3877945"/>
                          <a:ext cx="111125" cy="167005"/>
                        </a:xfrm>
                        <a:prstGeom prst="rect">
                          <a:avLst/>
                        </a:prstGeom>
                        <a:solidFill>
                          <a:srgbClr val="00B0F0"/>
                        </a:solidFill>
                        <a:ln w="6350">
                          <a:noFill/>
                        </a:ln>
                      </wps:spPr>
                      <wps:style>
                        <a:lnRef idx="0">
                          <a:schemeClr val="accent1"/>
                        </a:lnRef>
                        <a:fillRef idx="0">
                          <a:schemeClr val="accent1"/>
                        </a:fillRef>
                        <a:effectRef idx="0">
                          <a:schemeClr val="accent1"/>
                        </a:effectRef>
                        <a:fontRef idx="minor">
                          <a:schemeClr val="dk1"/>
                        </a:fontRef>
                      </wps:style>
                      <wps:txbx>
                        <w:txbxContent>
                          <w:p w14:paraId="28192DA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2pt;margin-top:205.2pt;height:13.15pt;width:8.75pt;z-index:251667456;mso-width-relative:page;mso-height-relative:page;" fillcolor="#00B0F0" filled="t" stroked="f" coordsize="21600,21600" o:gfxdata="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eY+qX2gAAAAsBAAAPAAAAAAAAAAEAIAAAACIAAABkcnMvZG93bnJldi54bWxQSwECFAAUAAAA&#10;CACHTuJAtgPVJV4CAACcBAAADgAAAAAAAAABACAAAAApAQAAZHJzL2Uyb0RvYy54bWxQSwUGAAAA&#10;AAYABgBZAQAA+QUAAAAA&#10;">
                <v:fill on="t" focussize="0,0"/>
                <v:stroke on="f" weight="0.5pt"/>
                <v:imagedata o:title=""/>
                <o:lock v:ext="edit" aspectratio="f"/>
                <v:textbox>
                  <w:txbxContent>
                    <w:p w14:paraId="28192DA4"/>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4910455</wp:posOffset>
                </wp:positionH>
                <wp:positionV relativeFrom="paragraph">
                  <wp:posOffset>1693545</wp:posOffset>
                </wp:positionV>
                <wp:extent cx="182245" cy="181610"/>
                <wp:effectExtent l="12700" t="12700" r="14605" b="15240"/>
                <wp:wrapNone/>
                <wp:docPr id="38" name="同心圆 38"/>
                <wp:cNvGraphicFramePr/>
                <a:graphic xmlns:a="http://schemas.openxmlformats.org/drawingml/2006/main">
                  <a:graphicData uri="http://schemas.microsoft.com/office/word/2010/wordprocessingShape">
                    <wps:wsp>
                      <wps:cNvSpPr/>
                      <wps:spPr>
                        <a:xfrm>
                          <a:off x="4836795" y="3030220"/>
                          <a:ext cx="182245" cy="181610"/>
                        </a:xfrm>
                        <a:prstGeom prst="donu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3" type="#_x0000_t23" style="position:absolute;left:0pt;margin-left:386.65pt;margin-top:133.35pt;height:14.3pt;width:14.35pt;z-index:251663360;v-text-anchor:middle;mso-width-relative:page;mso-height-relative:page;" filled="f" stroked="t" coordsize="21600,21600" o:gfxdata="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1ls/I9gAAAALAQAADwAAAAAAAAABACAAAAAiAAAAZHJzL2Rvd25y&#10;ZXYueG1sUEsBAhQAFAAAAAgAh07iQIFT47NwAgAAxQQAAA4AAAAAAAAAAQAgAAAAJwEAAGRycy9l&#10;Mm9Eb2MueG1sUEsFBgAAAAAGAAYAWQEAAAkGAAAAAA==&#10;" adj="5381">
                <v:fill on="f" focussize="0,0"/>
                <v:stroke weight="2pt" color="#000000 [3213]" joinstyle="round"/>
                <v:imagedata o:title=""/>
                <o:lock v:ext="edit" aspectratio="f"/>
              </v:shape>
            </w:pict>
          </mc:Fallback>
        </mc:AlternateContent>
      </w:r>
      <w:r>
        <w:rPr>
          <w:rFonts w:hint="default" w:ascii="Times New Roman" w:hAnsi="Times New Roman" w:cs="Times New Roman"/>
          <w:sz w:val="24"/>
          <w:lang w:eastAsia="zh-CN"/>
        </w:rPr>
        <w:drawing>
          <wp:inline distT="0" distB="0" distL="114300" distR="114300">
            <wp:extent cx="8860790" cy="5241290"/>
            <wp:effectExtent l="0" t="0" r="16510" b="16510"/>
            <wp:docPr id="23" name="图片 6" descr="平面布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descr="平面布置图"/>
                    <pic:cNvPicPr>
                      <a:picLocks noChangeAspect="1"/>
                    </pic:cNvPicPr>
                  </pic:nvPicPr>
                  <pic:blipFill>
                    <a:blip r:embed="rId43"/>
                    <a:stretch>
                      <a:fillRect/>
                    </a:stretch>
                  </pic:blipFill>
                  <pic:spPr>
                    <a:xfrm>
                      <a:off x="0" y="0"/>
                      <a:ext cx="8860790" cy="5241290"/>
                    </a:xfrm>
                    <a:prstGeom prst="rect">
                      <a:avLst/>
                    </a:prstGeom>
                    <a:noFill/>
                    <a:ln>
                      <a:noFill/>
                    </a:ln>
                  </pic:spPr>
                </pic:pic>
              </a:graphicData>
            </a:graphic>
          </wp:inline>
        </w:drawing>
      </w:r>
    </w:p>
    <w:p w14:paraId="400C2D00">
      <w:pPr>
        <w:pStyle w:val="3"/>
        <w:outlineLvl w:val="0"/>
        <w:rPr>
          <w:rFonts w:hint="default" w:ascii="Times New Roman" w:hAnsi="Times New Roman" w:eastAsia="宋体" w:cs="Times New Roman"/>
          <w:lang w:val="en-US" w:eastAsia="zh-CN"/>
        </w:rPr>
      </w:pPr>
      <w:bookmarkStart w:id="86" w:name="_Toc5028"/>
      <w:r>
        <w:rPr>
          <w:rFonts w:hint="default" w:ascii="Times New Roman" w:hAnsi="Times New Roman" w:eastAsia="宋体" w:cs="Times New Roman"/>
          <w:lang w:val="en-US" w:eastAsia="zh-CN"/>
        </w:rPr>
        <w:t>附件10：</w:t>
      </w:r>
      <w:bookmarkEnd w:id="85"/>
      <w:r>
        <w:rPr>
          <w:rFonts w:hint="default" w:ascii="Times New Roman" w:hAnsi="Times New Roman" w:eastAsia="宋体" w:cs="Times New Roman"/>
          <w:lang w:val="en-US" w:eastAsia="zh-CN"/>
        </w:rPr>
        <w:t>监测点位图</w:t>
      </w:r>
      <w:bookmarkEnd w:id="86"/>
    </w:p>
    <w:p w14:paraId="7CA7C7DD">
      <w:pPr>
        <w:ind w:left="0" w:leftChars="0" w:firstLine="0" w:firstLineChars="0"/>
        <w:rPr>
          <w:rFonts w:hint="default"/>
          <w:lang w:val="en-US" w:eastAsia="zh-CN"/>
        </w:rPr>
      </w:pPr>
      <w:r>
        <w:rPr>
          <w:rFonts w:hint="default"/>
          <w:lang w:val="en-US" w:eastAsia="zh-CN"/>
        </w:rPr>
        <w:drawing>
          <wp:inline distT="0" distB="0" distL="114300" distR="114300">
            <wp:extent cx="5814060" cy="5878195"/>
            <wp:effectExtent l="0" t="0" r="15240" b="8255"/>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44"/>
                    <a:stretch>
                      <a:fillRect/>
                    </a:stretch>
                  </pic:blipFill>
                  <pic:spPr>
                    <a:xfrm>
                      <a:off x="0" y="0"/>
                      <a:ext cx="5814060" cy="5878195"/>
                    </a:xfrm>
                    <a:prstGeom prst="rect">
                      <a:avLst/>
                    </a:prstGeom>
                    <a:noFill/>
                    <a:ln>
                      <a:noFill/>
                    </a:ln>
                  </pic:spPr>
                </pic:pic>
              </a:graphicData>
            </a:graphic>
          </wp:inline>
        </w:drawing>
      </w:r>
    </w:p>
    <w:p w14:paraId="308E790A">
      <w:pPr>
        <w:pStyle w:val="3"/>
        <w:jc w:val="center"/>
        <w:outlineLvl w:val="9"/>
        <w:rPr>
          <w:rFonts w:hint="default" w:ascii="Times New Roman" w:hAnsi="Times New Roman" w:eastAsia="黑体" w:cs="Times New Roman"/>
          <w:color w:val="000000"/>
          <w:sz w:val="24"/>
          <w:lang w:eastAsia="zh-C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26" w:charSpace="0"/>
        </w:sectPr>
      </w:pPr>
    </w:p>
    <w:bookmarkEnd w:id="77"/>
    <w:p w14:paraId="272AF4C5">
      <w:pPr>
        <w:pStyle w:val="3"/>
        <w:outlineLvl w:val="0"/>
        <w:rPr>
          <w:rFonts w:hint="default" w:ascii="Times New Roman" w:hAnsi="Times New Roman" w:eastAsia="宋体" w:cs="Times New Roman"/>
          <w:lang w:val="en-US" w:eastAsia="zh-CN"/>
        </w:rPr>
      </w:pPr>
      <w:bookmarkStart w:id="87" w:name="_Toc7586"/>
      <w:r>
        <w:rPr>
          <w:rFonts w:hint="default" w:ascii="Times New Roman" w:hAnsi="Times New Roman" w:eastAsia="宋体" w:cs="Times New Roman"/>
          <w:lang w:val="en-US" w:eastAsia="zh-CN"/>
        </w:rPr>
        <w:t>附件11：检测报告</w:t>
      </w:r>
      <w:bookmarkEnd w:id="87"/>
    </w:p>
    <w:p w14:paraId="344BB72D">
      <w:pPr>
        <w:ind w:left="0" w:leftChars="0" w:firstLine="0" w:firstLineChars="0"/>
        <w:rPr>
          <w:rFonts w:hint="default" w:ascii="Times New Roman" w:hAnsi="Times New Roman" w:cs="Times New Roman"/>
          <w:lang w:val="en" w:eastAsia="zh-CN"/>
        </w:rPr>
      </w:pPr>
      <w:r>
        <w:rPr>
          <w:rFonts w:hint="default" w:ascii="Times New Roman" w:hAnsi="Times New Roman" w:cs="Times New Roman"/>
          <w:lang w:val="en" w:eastAsia="zh-CN"/>
        </w:rPr>
        <w:drawing>
          <wp:inline distT="0" distB="0" distL="114300" distR="114300">
            <wp:extent cx="5752465" cy="8132445"/>
            <wp:effectExtent l="0" t="0" r="635" b="1905"/>
            <wp:docPr id="37" name="图片 37" descr="邵阳市鑫腾阻燃新材料科技有限公司红磷阻燃剂建设项目2025.6.5扫描件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邵阳市鑫腾阻燃新材料科技有限公司红磷阻燃剂建设项目2025.6.5扫描件_page-0001"/>
                    <pic:cNvPicPr>
                      <a:picLocks noChangeAspect="1"/>
                    </pic:cNvPicPr>
                  </pic:nvPicPr>
                  <pic:blipFill>
                    <a:blip r:embed="rId45"/>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36" name="图片 36" descr="邵阳市鑫腾阻燃新材料科技有限公司红磷阻燃剂建设项目2025.6.5扫描件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邵阳市鑫腾阻燃新材料科技有限公司红磷阻燃剂建设项目2025.6.5扫描件_page-0002"/>
                    <pic:cNvPicPr>
                      <a:picLocks noChangeAspect="1"/>
                    </pic:cNvPicPr>
                  </pic:nvPicPr>
                  <pic:blipFill>
                    <a:blip r:embed="rId46"/>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35" name="图片 35" descr="邵阳市鑫腾阻燃新材料科技有限公司红磷阻燃剂建设项目2025.6.5扫描件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邵阳市鑫腾阻燃新材料科技有限公司红磷阻燃剂建设项目2025.6.5扫描件_page-0003"/>
                    <pic:cNvPicPr>
                      <a:picLocks noChangeAspect="1"/>
                    </pic:cNvPicPr>
                  </pic:nvPicPr>
                  <pic:blipFill>
                    <a:blip r:embed="rId47"/>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32" name="图片 32" descr="邵阳市鑫腾阻燃新材料科技有限公司红磷阻燃剂建设项目2025.6.5扫描件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邵阳市鑫腾阻燃新材料科技有限公司红磷阻燃剂建设项目2025.6.5扫描件_page-0004"/>
                    <pic:cNvPicPr>
                      <a:picLocks noChangeAspect="1"/>
                    </pic:cNvPicPr>
                  </pic:nvPicPr>
                  <pic:blipFill>
                    <a:blip r:embed="rId48"/>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31" name="图片 31" descr="邵阳市鑫腾阻燃新材料科技有限公司红磷阻燃剂建设项目2025.6.5扫描件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邵阳市鑫腾阻燃新材料科技有限公司红磷阻燃剂建设项目2025.6.5扫描件_page-0005"/>
                    <pic:cNvPicPr>
                      <a:picLocks noChangeAspect="1"/>
                    </pic:cNvPicPr>
                  </pic:nvPicPr>
                  <pic:blipFill>
                    <a:blip r:embed="rId49"/>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30" name="图片 30" descr="邵阳市鑫腾阻燃新材料科技有限公司红磷阻燃剂建设项目2025.6.5扫描件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邵阳市鑫腾阻燃新材料科技有限公司红磷阻燃剂建设项目2025.6.5扫描件_page-0006"/>
                    <pic:cNvPicPr>
                      <a:picLocks noChangeAspect="1"/>
                    </pic:cNvPicPr>
                  </pic:nvPicPr>
                  <pic:blipFill>
                    <a:blip r:embed="rId50"/>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29" name="图片 29" descr="邵阳市鑫腾阻燃新材料科技有限公司红磷阻燃剂建设项目2025.6.5扫描件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邵阳市鑫腾阻燃新材料科技有限公司红磷阻燃剂建设项目2025.6.5扫描件_page-0007"/>
                    <pic:cNvPicPr>
                      <a:picLocks noChangeAspect="1"/>
                    </pic:cNvPicPr>
                  </pic:nvPicPr>
                  <pic:blipFill>
                    <a:blip r:embed="rId51"/>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28" name="图片 28" descr="邵阳市鑫腾阻燃新材料科技有限公司红磷阻燃剂建设项目2025.6.5扫描件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邵阳市鑫腾阻燃新材料科技有限公司红磷阻燃剂建设项目2025.6.5扫描件_page-0008"/>
                    <pic:cNvPicPr>
                      <a:picLocks noChangeAspect="1"/>
                    </pic:cNvPicPr>
                  </pic:nvPicPr>
                  <pic:blipFill>
                    <a:blip r:embed="rId52"/>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27" name="图片 27" descr="邵阳市鑫腾阻燃新材料科技有限公司红磷阻燃剂建设项目2025.6.5扫描件_page-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邵阳市鑫腾阻燃新材料科技有限公司红磷阻燃剂建设项目2025.6.5扫描件_page-0009"/>
                    <pic:cNvPicPr>
                      <a:picLocks noChangeAspect="1"/>
                    </pic:cNvPicPr>
                  </pic:nvPicPr>
                  <pic:blipFill>
                    <a:blip r:embed="rId53"/>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26" name="图片 26" descr="邵阳市鑫腾阻燃新材料科技有限公司红磷阻燃剂建设项目2025.6.5扫描件_page-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邵阳市鑫腾阻燃新材料科技有限公司红磷阻燃剂建设项目2025.6.5扫描件_page-0010"/>
                    <pic:cNvPicPr>
                      <a:picLocks noChangeAspect="1"/>
                    </pic:cNvPicPr>
                  </pic:nvPicPr>
                  <pic:blipFill>
                    <a:blip r:embed="rId54"/>
                    <a:stretch>
                      <a:fillRect/>
                    </a:stretch>
                  </pic:blipFill>
                  <pic:spPr>
                    <a:xfrm>
                      <a:off x="0" y="0"/>
                      <a:ext cx="5752465" cy="8132445"/>
                    </a:xfrm>
                    <a:prstGeom prst="rect">
                      <a:avLst/>
                    </a:prstGeom>
                  </pic:spPr>
                </pic:pic>
              </a:graphicData>
            </a:graphic>
          </wp:inline>
        </w:drawing>
      </w:r>
      <w:r>
        <w:rPr>
          <w:rFonts w:hint="default" w:ascii="Times New Roman" w:hAnsi="Times New Roman" w:cs="Times New Roman"/>
          <w:lang w:val="en" w:eastAsia="zh-CN"/>
        </w:rPr>
        <w:drawing>
          <wp:inline distT="0" distB="0" distL="114300" distR="114300">
            <wp:extent cx="5752465" cy="8132445"/>
            <wp:effectExtent l="0" t="0" r="635" b="1905"/>
            <wp:docPr id="25" name="图片 25" descr="邵阳市鑫腾阻燃新材料科技有限公司红磷阻燃剂建设项目2025.6.5扫描件_p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邵阳市鑫腾阻燃新材料科技有限公司红磷阻燃剂建设项目2025.6.5扫描件_page-0011"/>
                    <pic:cNvPicPr>
                      <a:picLocks noChangeAspect="1"/>
                    </pic:cNvPicPr>
                  </pic:nvPicPr>
                  <pic:blipFill>
                    <a:blip r:embed="rId55"/>
                    <a:stretch>
                      <a:fillRect/>
                    </a:stretch>
                  </pic:blipFill>
                  <pic:spPr>
                    <a:xfrm>
                      <a:off x="0" y="0"/>
                      <a:ext cx="5752465" cy="8132445"/>
                    </a:xfrm>
                    <a:prstGeom prst="rect">
                      <a:avLst/>
                    </a:prstGeom>
                  </pic:spPr>
                </pic:pic>
              </a:graphicData>
            </a:graphic>
          </wp:inline>
        </w:drawing>
      </w:r>
    </w:p>
    <w:sectPr>
      <w:pgSz w:w="11906" w:h="16838"/>
      <w:pgMar w:top="1417" w:right="1418" w:bottom="1417" w:left="1418" w:header="851" w:footer="992" w:gutter="0"/>
      <w:pgBorders>
        <w:top w:val="none" w:sz="0" w:space="0"/>
        <w:left w:val="none" w:sz="0" w:space="0"/>
        <w:bottom w:val="none" w:sz="0" w:space="0"/>
        <w:right w:val="none" w:sz="0" w:space="0"/>
      </w:pgBorders>
      <w:pgNumType w:fmt="decimal"/>
      <w:cols w:space="0" w:num="1"/>
      <w:docGrid w:type="linesAndChar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1803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700C">
    <w:pPr>
      <w:pStyle w:val="18"/>
      <w:ind w:firstLine="360"/>
      <w:jc w:val="center"/>
    </w:pPr>
  </w:p>
  <w:p w14:paraId="2C827B21">
    <w:pPr>
      <w:pStyle w:val="1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5A39A">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3443A">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C3A2E">
    <w:pPr>
      <w:pStyle w:val="18"/>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A48ACF">
                          <w:pPr>
                            <w:pStyle w:val="18"/>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4BA48ACF">
                    <w:pPr>
                      <w:pStyle w:val="18"/>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317D2">
    <w:pPr>
      <w:ind w:left="0" w:leftChars="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A16FA">
    <w:pPr>
      <w:pStyle w:val="1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71542">
    <w:pPr>
      <w:pStyle w:val="1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9A577">
    <w:pPr>
      <w:pStyle w:val="19"/>
      <w:pBdr>
        <w:bottom w:val="thickThinSmallGap" w:color="auto" w:sz="12" w:space="1"/>
      </w:pBdr>
      <w:ind w:left="0" w:leftChars="0" w:firstLine="0" w:firstLineChars="0"/>
      <w:jc w:val="center"/>
    </w:pPr>
    <w:r>
      <w:rPr>
        <w:rFonts w:hint="eastAsia"/>
        <w:lang w:val="en" w:eastAsia="zh-CN"/>
      </w:rPr>
      <w:t>邵阳市鑫腾阻燃新材料科技有限公司红磷阻燃剂建设项目</w:t>
    </w:r>
    <w:r>
      <w:rPr>
        <w:rFonts w:hint="eastAsia"/>
      </w:rPr>
      <w:t>竣工环境保护验收</w:t>
    </w:r>
    <w:r>
      <w:rPr>
        <w:rFonts w:hint="eastAsia"/>
        <w:lang w:val="en-US" w:eastAsia="zh-CN"/>
      </w:rPr>
      <w:t>监测报告</w:t>
    </w:r>
    <w:r>
      <w:rPr>
        <w:rFonts w:hint="eastAsia"/>
      </w:rPr>
      <w:t>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BDADA">
    <w:pPr>
      <w:pStyle w:val="19"/>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CC915">
    <w:pPr>
      <w:pStyle w:val="1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11CF91"/>
    <w:multiLevelType w:val="singleLevel"/>
    <w:tmpl w:val="F011CF91"/>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lvlText w:val="%1、"/>
      <w:lvlJc w:val="left"/>
      <w:pPr>
        <w:tabs>
          <w:tab w:val="left" w:pos="840"/>
        </w:tabs>
        <w:ind w:left="840" w:hanging="360"/>
      </w:pPr>
      <w:rPr>
        <w:rFonts w:hint="default"/>
      </w:rPr>
    </w:lvl>
    <w:lvl w:ilvl="1" w:tentative="0">
      <w:start w:val="1"/>
      <w:numFmt w:val="lowerLetter"/>
      <w:pStyle w:val="72"/>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3D3C5947"/>
    <w:multiLevelType w:val="multilevel"/>
    <w:tmpl w:val="3D3C5947"/>
    <w:lvl w:ilvl="0" w:tentative="0">
      <w:start w:val="1"/>
      <w:numFmt w:val="decimal"/>
      <w:lvlText w:val="（%1）"/>
      <w:lvlJc w:val="left"/>
      <w:pPr>
        <w:ind w:left="900" w:hanging="420"/>
      </w:pPr>
      <w:rPr>
        <w:rFonts w:hint="default" w:ascii="Times New Roman" w:hAnsi="Times New Roman" w:eastAsiaTheme="minorEastAsia"/>
        <w:b w:val="0"/>
        <w:i w:val="0"/>
        <w:sz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6AC72535"/>
    <w:multiLevelType w:val="singleLevel"/>
    <w:tmpl w:val="6AC72535"/>
    <w:lvl w:ilvl="0" w:tentative="0">
      <w:start w:val="5"/>
      <w:numFmt w:val="decimal"/>
      <w:suff w:val="nothing"/>
      <w:lvlText w:val="%1、"/>
      <w:lvlJc w:val="left"/>
    </w:lvl>
  </w:abstractNum>
  <w:abstractNum w:abstractNumId="4">
    <w:nsid w:val="6F1538CD"/>
    <w:multiLevelType w:val="singleLevel"/>
    <w:tmpl w:val="6F1538CD"/>
    <w:lvl w:ilvl="0" w:tentative="0">
      <w:start w:val="1"/>
      <w:numFmt w:val="decimal"/>
      <w:suff w:val="nothing"/>
      <w:lvlText w:val="%1、"/>
      <w:lvlJc w:val="left"/>
    </w:lvl>
  </w:abstractNum>
  <w:num w:numId="1">
    <w:abstractNumId w:val="1"/>
  </w:num>
  <w:num w:numId="2">
    <w:abstractNumId w:val="2"/>
  </w:num>
  <w:num w:numId="3">
    <w:abstractNumId w:val="0"/>
  </w:num>
  <w:num w:numId="4">
    <w:abstractNumId w:val="3"/>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abye">
    <w15:presenceInfo w15:providerId="WPS Office" w15:userId="36362765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isplayBackgroundShape w:val="1"/>
  <w:bordersDoNotSurroundHeader w:val="0"/>
  <w:bordersDoNotSurroundFooter w:val="0"/>
  <w:documentProtection w:enforcement="0"/>
  <w:defaultTabStop w:val="420"/>
  <w:drawingGridHorizontalSpacing w:val="120"/>
  <w:drawingGridVerticalSpacing w:val="168"/>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00DA69CC"/>
    <w:rsid w:val="00002480"/>
    <w:rsid w:val="0001010B"/>
    <w:rsid w:val="00010354"/>
    <w:rsid w:val="00010460"/>
    <w:rsid w:val="000125CC"/>
    <w:rsid w:val="00013C5E"/>
    <w:rsid w:val="00013C61"/>
    <w:rsid w:val="00021235"/>
    <w:rsid w:val="000242A4"/>
    <w:rsid w:val="000248FF"/>
    <w:rsid w:val="0003023E"/>
    <w:rsid w:val="00030672"/>
    <w:rsid w:val="00034F31"/>
    <w:rsid w:val="000370C4"/>
    <w:rsid w:val="000405CB"/>
    <w:rsid w:val="00041DCD"/>
    <w:rsid w:val="0004248E"/>
    <w:rsid w:val="0004553F"/>
    <w:rsid w:val="00053CA1"/>
    <w:rsid w:val="000545F2"/>
    <w:rsid w:val="00056A19"/>
    <w:rsid w:val="0005707A"/>
    <w:rsid w:val="00057911"/>
    <w:rsid w:val="0006404F"/>
    <w:rsid w:val="00064516"/>
    <w:rsid w:val="00065143"/>
    <w:rsid w:val="000666EA"/>
    <w:rsid w:val="00070462"/>
    <w:rsid w:val="00070578"/>
    <w:rsid w:val="00070F9C"/>
    <w:rsid w:val="00071637"/>
    <w:rsid w:val="00073B84"/>
    <w:rsid w:val="000740AB"/>
    <w:rsid w:val="00076758"/>
    <w:rsid w:val="000816DE"/>
    <w:rsid w:val="0008234F"/>
    <w:rsid w:val="00082355"/>
    <w:rsid w:val="000847A4"/>
    <w:rsid w:val="00084CAC"/>
    <w:rsid w:val="000851AB"/>
    <w:rsid w:val="000870F7"/>
    <w:rsid w:val="00087597"/>
    <w:rsid w:val="000914D8"/>
    <w:rsid w:val="00091B2D"/>
    <w:rsid w:val="00092A3B"/>
    <w:rsid w:val="00092C47"/>
    <w:rsid w:val="00092FBA"/>
    <w:rsid w:val="0009346F"/>
    <w:rsid w:val="00093961"/>
    <w:rsid w:val="00095C5F"/>
    <w:rsid w:val="000972FB"/>
    <w:rsid w:val="000A0422"/>
    <w:rsid w:val="000A215B"/>
    <w:rsid w:val="000A2FE6"/>
    <w:rsid w:val="000A3E52"/>
    <w:rsid w:val="000A6D06"/>
    <w:rsid w:val="000B145A"/>
    <w:rsid w:val="000B30DD"/>
    <w:rsid w:val="000B385E"/>
    <w:rsid w:val="000B398C"/>
    <w:rsid w:val="000B4637"/>
    <w:rsid w:val="000C1ECB"/>
    <w:rsid w:val="000C2C60"/>
    <w:rsid w:val="000C3A57"/>
    <w:rsid w:val="000C6873"/>
    <w:rsid w:val="000D0645"/>
    <w:rsid w:val="000D1203"/>
    <w:rsid w:val="000D63C5"/>
    <w:rsid w:val="000E0704"/>
    <w:rsid w:val="000E17D4"/>
    <w:rsid w:val="000E23FB"/>
    <w:rsid w:val="000E2B0C"/>
    <w:rsid w:val="000E488E"/>
    <w:rsid w:val="000E5B61"/>
    <w:rsid w:val="000E7FD9"/>
    <w:rsid w:val="000F303C"/>
    <w:rsid w:val="000F3718"/>
    <w:rsid w:val="000F47F4"/>
    <w:rsid w:val="00104990"/>
    <w:rsid w:val="00107999"/>
    <w:rsid w:val="00107C29"/>
    <w:rsid w:val="00107E55"/>
    <w:rsid w:val="00107E8C"/>
    <w:rsid w:val="00116C49"/>
    <w:rsid w:val="00116E6C"/>
    <w:rsid w:val="001206FA"/>
    <w:rsid w:val="00127ABF"/>
    <w:rsid w:val="00141192"/>
    <w:rsid w:val="00142EF4"/>
    <w:rsid w:val="00143130"/>
    <w:rsid w:val="001435ED"/>
    <w:rsid w:val="00143A0C"/>
    <w:rsid w:val="00143AD4"/>
    <w:rsid w:val="00144E5F"/>
    <w:rsid w:val="0014508F"/>
    <w:rsid w:val="00145333"/>
    <w:rsid w:val="00145818"/>
    <w:rsid w:val="00146C95"/>
    <w:rsid w:val="00150A4F"/>
    <w:rsid w:val="00151807"/>
    <w:rsid w:val="00154024"/>
    <w:rsid w:val="0016290E"/>
    <w:rsid w:val="001679E4"/>
    <w:rsid w:val="00171BEC"/>
    <w:rsid w:val="00173C46"/>
    <w:rsid w:val="001818AC"/>
    <w:rsid w:val="00185232"/>
    <w:rsid w:val="00185793"/>
    <w:rsid w:val="0018606E"/>
    <w:rsid w:val="00187435"/>
    <w:rsid w:val="001906EA"/>
    <w:rsid w:val="00190C85"/>
    <w:rsid w:val="00192D53"/>
    <w:rsid w:val="001944A8"/>
    <w:rsid w:val="00194ADE"/>
    <w:rsid w:val="00196AF3"/>
    <w:rsid w:val="00196C4A"/>
    <w:rsid w:val="00197752"/>
    <w:rsid w:val="001977B0"/>
    <w:rsid w:val="00197B73"/>
    <w:rsid w:val="001A224D"/>
    <w:rsid w:val="001A5AFD"/>
    <w:rsid w:val="001A625A"/>
    <w:rsid w:val="001A7636"/>
    <w:rsid w:val="001B18D7"/>
    <w:rsid w:val="001B4B68"/>
    <w:rsid w:val="001B604C"/>
    <w:rsid w:val="001B6ECA"/>
    <w:rsid w:val="001B76E9"/>
    <w:rsid w:val="001C3318"/>
    <w:rsid w:val="001C4E44"/>
    <w:rsid w:val="001C6413"/>
    <w:rsid w:val="001C6699"/>
    <w:rsid w:val="001C6705"/>
    <w:rsid w:val="001C679E"/>
    <w:rsid w:val="001C6EB2"/>
    <w:rsid w:val="001C6FB6"/>
    <w:rsid w:val="001D1AEF"/>
    <w:rsid w:val="001D37D4"/>
    <w:rsid w:val="001D73DC"/>
    <w:rsid w:val="001D7AC2"/>
    <w:rsid w:val="001E55ED"/>
    <w:rsid w:val="001E5903"/>
    <w:rsid w:val="001E66ED"/>
    <w:rsid w:val="001E6F52"/>
    <w:rsid w:val="001E7E4D"/>
    <w:rsid w:val="001E7EE9"/>
    <w:rsid w:val="001F25C5"/>
    <w:rsid w:val="001F2BCD"/>
    <w:rsid w:val="001F5711"/>
    <w:rsid w:val="00202B39"/>
    <w:rsid w:val="0020523F"/>
    <w:rsid w:val="002058D3"/>
    <w:rsid w:val="00207EBA"/>
    <w:rsid w:val="002126DE"/>
    <w:rsid w:val="002146F0"/>
    <w:rsid w:val="00221D5C"/>
    <w:rsid w:val="00222965"/>
    <w:rsid w:val="002243FF"/>
    <w:rsid w:val="00227212"/>
    <w:rsid w:val="00227F7D"/>
    <w:rsid w:val="002311BE"/>
    <w:rsid w:val="002318CE"/>
    <w:rsid w:val="00231E53"/>
    <w:rsid w:val="0023498B"/>
    <w:rsid w:val="00235AC3"/>
    <w:rsid w:val="00235BC8"/>
    <w:rsid w:val="0023689C"/>
    <w:rsid w:val="00237643"/>
    <w:rsid w:val="00241691"/>
    <w:rsid w:val="00241D97"/>
    <w:rsid w:val="00244331"/>
    <w:rsid w:val="00245905"/>
    <w:rsid w:val="002478CE"/>
    <w:rsid w:val="002530BF"/>
    <w:rsid w:val="002543FB"/>
    <w:rsid w:val="002571EA"/>
    <w:rsid w:val="00257CA5"/>
    <w:rsid w:val="0026045E"/>
    <w:rsid w:val="002640A8"/>
    <w:rsid w:val="0026507C"/>
    <w:rsid w:val="002652B8"/>
    <w:rsid w:val="002654F5"/>
    <w:rsid w:val="00267947"/>
    <w:rsid w:val="00271A82"/>
    <w:rsid w:val="00273E99"/>
    <w:rsid w:val="00275C69"/>
    <w:rsid w:val="00277618"/>
    <w:rsid w:val="00282E26"/>
    <w:rsid w:val="002866E6"/>
    <w:rsid w:val="00286E8E"/>
    <w:rsid w:val="00287156"/>
    <w:rsid w:val="002910D7"/>
    <w:rsid w:val="002928CC"/>
    <w:rsid w:val="00292ABE"/>
    <w:rsid w:val="00293CF5"/>
    <w:rsid w:val="00293E76"/>
    <w:rsid w:val="002947B8"/>
    <w:rsid w:val="0029483E"/>
    <w:rsid w:val="002950AD"/>
    <w:rsid w:val="00297C1F"/>
    <w:rsid w:val="002A0BCE"/>
    <w:rsid w:val="002A2E2E"/>
    <w:rsid w:val="002A6346"/>
    <w:rsid w:val="002A6655"/>
    <w:rsid w:val="002B029E"/>
    <w:rsid w:val="002B278F"/>
    <w:rsid w:val="002B3436"/>
    <w:rsid w:val="002B68C9"/>
    <w:rsid w:val="002C10ED"/>
    <w:rsid w:val="002C2115"/>
    <w:rsid w:val="002C3E72"/>
    <w:rsid w:val="002C52C6"/>
    <w:rsid w:val="002C56C3"/>
    <w:rsid w:val="002C68E6"/>
    <w:rsid w:val="002C6B52"/>
    <w:rsid w:val="002D108A"/>
    <w:rsid w:val="002D33D0"/>
    <w:rsid w:val="002D4042"/>
    <w:rsid w:val="002D41BE"/>
    <w:rsid w:val="002D4F04"/>
    <w:rsid w:val="002D55EC"/>
    <w:rsid w:val="002D6508"/>
    <w:rsid w:val="002E02E5"/>
    <w:rsid w:val="002E0344"/>
    <w:rsid w:val="002E1CB6"/>
    <w:rsid w:val="002E3AA1"/>
    <w:rsid w:val="002E4C44"/>
    <w:rsid w:val="002E5457"/>
    <w:rsid w:val="002E5FCC"/>
    <w:rsid w:val="002E67AD"/>
    <w:rsid w:val="002F0BC0"/>
    <w:rsid w:val="002F203B"/>
    <w:rsid w:val="002F615F"/>
    <w:rsid w:val="002F7B09"/>
    <w:rsid w:val="0030148D"/>
    <w:rsid w:val="0030306B"/>
    <w:rsid w:val="0030318C"/>
    <w:rsid w:val="00304FA9"/>
    <w:rsid w:val="00306181"/>
    <w:rsid w:val="00306E93"/>
    <w:rsid w:val="00307E03"/>
    <w:rsid w:val="00307EDA"/>
    <w:rsid w:val="0031105F"/>
    <w:rsid w:val="0031151D"/>
    <w:rsid w:val="00311682"/>
    <w:rsid w:val="00312245"/>
    <w:rsid w:val="00312A4B"/>
    <w:rsid w:val="003130B0"/>
    <w:rsid w:val="00313DDC"/>
    <w:rsid w:val="00315C61"/>
    <w:rsid w:val="00315DD2"/>
    <w:rsid w:val="00320237"/>
    <w:rsid w:val="00320257"/>
    <w:rsid w:val="00320CE6"/>
    <w:rsid w:val="00321F58"/>
    <w:rsid w:val="00322F2B"/>
    <w:rsid w:val="00324136"/>
    <w:rsid w:val="00327A31"/>
    <w:rsid w:val="00331BC2"/>
    <w:rsid w:val="00334571"/>
    <w:rsid w:val="00336045"/>
    <w:rsid w:val="00337725"/>
    <w:rsid w:val="00341EC1"/>
    <w:rsid w:val="00342A91"/>
    <w:rsid w:val="0034641C"/>
    <w:rsid w:val="00353C0E"/>
    <w:rsid w:val="00353FE4"/>
    <w:rsid w:val="003556CA"/>
    <w:rsid w:val="0036009C"/>
    <w:rsid w:val="0036067B"/>
    <w:rsid w:val="003608D8"/>
    <w:rsid w:val="00367A84"/>
    <w:rsid w:val="00372EA5"/>
    <w:rsid w:val="00373031"/>
    <w:rsid w:val="00374AF3"/>
    <w:rsid w:val="0037656E"/>
    <w:rsid w:val="00376685"/>
    <w:rsid w:val="003776C3"/>
    <w:rsid w:val="00381833"/>
    <w:rsid w:val="00381926"/>
    <w:rsid w:val="00384861"/>
    <w:rsid w:val="00384D4F"/>
    <w:rsid w:val="00384EFF"/>
    <w:rsid w:val="003864C8"/>
    <w:rsid w:val="00394F77"/>
    <w:rsid w:val="003952BB"/>
    <w:rsid w:val="00395651"/>
    <w:rsid w:val="0039742D"/>
    <w:rsid w:val="00397615"/>
    <w:rsid w:val="00397B56"/>
    <w:rsid w:val="003A0677"/>
    <w:rsid w:val="003A07CD"/>
    <w:rsid w:val="003A2882"/>
    <w:rsid w:val="003A6621"/>
    <w:rsid w:val="003B0E55"/>
    <w:rsid w:val="003B229A"/>
    <w:rsid w:val="003B2A6A"/>
    <w:rsid w:val="003B3F29"/>
    <w:rsid w:val="003C0F85"/>
    <w:rsid w:val="003C3EC6"/>
    <w:rsid w:val="003C4F1B"/>
    <w:rsid w:val="003C5272"/>
    <w:rsid w:val="003C62FD"/>
    <w:rsid w:val="003D1CBA"/>
    <w:rsid w:val="003D3321"/>
    <w:rsid w:val="003D3BCB"/>
    <w:rsid w:val="003D6E42"/>
    <w:rsid w:val="003E18B4"/>
    <w:rsid w:val="003E2EA4"/>
    <w:rsid w:val="003E390B"/>
    <w:rsid w:val="003F1189"/>
    <w:rsid w:val="003F1C31"/>
    <w:rsid w:val="003F2919"/>
    <w:rsid w:val="003F791A"/>
    <w:rsid w:val="003F79C6"/>
    <w:rsid w:val="004001C1"/>
    <w:rsid w:val="00400D0E"/>
    <w:rsid w:val="00403B5F"/>
    <w:rsid w:val="004054D8"/>
    <w:rsid w:val="00405873"/>
    <w:rsid w:val="0040625D"/>
    <w:rsid w:val="004075BB"/>
    <w:rsid w:val="00411484"/>
    <w:rsid w:val="0041237C"/>
    <w:rsid w:val="00412777"/>
    <w:rsid w:val="00414646"/>
    <w:rsid w:val="004151A4"/>
    <w:rsid w:val="004244AF"/>
    <w:rsid w:val="00427B0B"/>
    <w:rsid w:val="00431989"/>
    <w:rsid w:val="004357B7"/>
    <w:rsid w:val="004379E7"/>
    <w:rsid w:val="00437BBF"/>
    <w:rsid w:val="004463F0"/>
    <w:rsid w:val="00446EBB"/>
    <w:rsid w:val="0045015E"/>
    <w:rsid w:val="0045266B"/>
    <w:rsid w:val="00452EFC"/>
    <w:rsid w:val="00453A6B"/>
    <w:rsid w:val="004540A7"/>
    <w:rsid w:val="00454350"/>
    <w:rsid w:val="0045755B"/>
    <w:rsid w:val="00460858"/>
    <w:rsid w:val="004629B7"/>
    <w:rsid w:val="004636FE"/>
    <w:rsid w:val="00465ED8"/>
    <w:rsid w:val="00472D27"/>
    <w:rsid w:val="0047591B"/>
    <w:rsid w:val="00480C3D"/>
    <w:rsid w:val="00485320"/>
    <w:rsid w:val="004855E6"/>
    <w:rsid w:val="00490AA2"/>
    <w:rsid w:val="00490B10"/>
    <w:rsid w:val="00490D00"/>
    <w:rsid w:val="00492643"/>
    <w:rsid w:val="00492D74"/>
    <w:rsid w:val="00493AC7"/>
    <w:rsid w:val="00493D4A"/>
    <w:rsid w:val="00495928"/>
    <w:rsid w:val="004964A8"/>
    <w:rsid w:val="004970C7"/>
    <w:rsid w:val="00497637"/>
    <w:rsid w:val="004A00CE"/>
    <w:rsid w:val="004A08CB"/>
    <w:rsid w:val="004A1275"/>
    <w:rsid w:val="004A18FE"/>
    <w:rsid w:val="004A7BB0"/>
    <w:rsid w:val="004B0AAC"/>
    <w:rsid w:val="004B2E63"/>
    <w:rsid w:val="004B38B0"/>
    <w:rsid w:val="004B5263"/>
    <w:rsid w:val="004C1104"/>
    <w:rsid w:val="004C28F0"/>
    <w:rsid w:val="004C2DAF"/>
    <w:rsid w:val="004C3790"/>
    <w:rsid w:val="004C3CAA"/>
    <w:rsid w:val="004C6A8C"/>
    <w:rsid w:val="004D00A1"/>
    <w:rsid w:val="004D13C4"/>
    <w:rsid w:val="004D5164"/>
    <w:rsid w:val="004D6657"/>
    <w:rsid w:val="004D7C8C"/>
    <w:rsid w:val="004E2793"/>
    <w:rsid w:val="004E6AB1"/>
    <w:rsid w:val="004E74B3"/>
    <w:rsid w:val="004F0791"/>
    <w:rsid w:val="004F2E7C"/>
    <w:rsid w:val="004F3E12"/>
    <w:rsid w:val="004F7716"/>
    <w:rsid w:val="004F79EA"/>
    <w:rsid w:val="004F7C4B"/>
    <w:rsid w:val="00500E83"/>
    <w:rsid w:val="00501947"/>
    <w:rsid w:val="005026E3"/>
    <w:rsid w:val="005028E4"/>
    <w:rsid w:val="005043F8"/>
    <w:rsid w:val="00504FFB"/>
    <w:rsid w:val="005053CF"/>
    <w:rsid w:val="005057BF"/>
    <w:rsid w:val="005105AB"/>
    <w:rsid w:val="00510D88"/>
    <w:rsid w:val="00510DBC"/>
    <w:rsid w:val="00511999"/>
    <w:rsid w:val="005119E3"/>
    <w:rsid w:val="00513F6A"/>
    <w:rsid w:val="00514B54"/>
    <w:rsid w:val="00515281"/>
    <w:rsid w:val="00517EAB"/>
    <w:rsid w:val="00522B9F"/>
    <w:rsid w:val="00530E44"/>
    <w:rsid w:val="005337F2"/>
    <w:rsid w:val="0053499A"/>
    <w:rsid w:val="005364F4"/>
    <w:rsid w:val="00541DF0"/>
    <w:rsid w:val="005422C0"/>
    <w:rsid w:val="00543AA3"/>
    <w:rsid w:val="00544E78"/>
    <w:rsid w:val="00547E43"/>
    <w:rsid w:val="00547EA5"/>
    <w:rsid w:val="005527C1"/>
    <w:rsid w:val="005537B9"/>
    <w:rsid w:val="0055416D"/>
    <w:rsid w:val="0055495D"/>
    <w:rsid w:val="00561647"/>
    <w:rsid w:val="005638E5"/>
    <w:rsid w:val="00563FA6"/>
    <w:rsid w:val="005647A6"/>
    <w:rsid w:val="00565EA2"/>
    <w:rsid w:val="005724C0"/>
    <w:rsid w:val="0058019E"/>
    <w:rsid w:val="0058147F"/>
    <w:rsid w:val="00581737"/>
    <w:rsid w:val="005818D5"/>
    <w:rsid w:val="005837E9"/>
    <w:rsid w:val="00586280"/>
    <w:rsid w:val="00586477"/>
    <w:rsid w:val="005870F4"/>
    <w:rsid w:val="00587FFA"/>
    <w:rsid w:val="00590094"/>
    <w:rsid w:val="00592424"/>
    <w:rsid w:val="0059280D"/>
    <w:rsid w:val="00592A4E"/>
    <w:rsid w:val="0059397E"/>
    <w:rsid w:val="00594A64"/>
    <w:rsid w:val="0059699C"/>
    <w:rsid w:val="005A00D5"/>
    <w:rsid w:val="005A06E0"/>
    <w:rsid w:val="005A234F"/>
    <w:rsid w:val="005A3991"/>
    <w:rsid w:val="005B2EA6"/>
    <w:rsid w:val="005B3EFE"/>
    <w:rsid w:val="005B5AAD"/>
    <w:rsid w:val="005B668B"/>
    <w:rsid w:val="005C18E5"/>
    <w:rsid w:val="005C5BAD"/>
    <w:rsid w:val="005C5D28"/>
    <w:rsid w:val="005C5E96"/>
    <w:rsid w:val="005D05A6"/>
    <w:rsid w:val="005D09A0"/>
    <w:rsid w:val="005D1A1A"/>
    <w:rsid w:val="005D2902"/>
    <w:rsid w:val="005D2B15"/>
    <w:rsid w:val="005D2B86"/>
    <w:rsid w:val="005D52AE"/>
    <w:rsid w:val="005D72F2"/>
    <w:rsid w:val="005E053F"/>
    <w:rsid w:val="005E162A"/>
    <w:rsid w:val="005E6623"/>
    <w:rsid w:val="005E6D3F"/>
    <w:rsid w:val="005F0418"/>
    <w:rsid w:val="005F3A31"/>
    <w:rsid w:val="005F6737"/>
    <w:rsid w:val="006015C4"/>
    <w:rsid w:val="00602E17"/>
    <w:rsid w:val="00603B92"/>
    <w:rsid w:val="00604040"/>
    <w:rsid w:val="00605C60"/>
    <w:rsid w:val="006074DF"/>
    <w:rsid w:val="00610643"/>
    <w:rsid w:val="00610B94"/>
    <w:rsid w:val="00611955"/>
    <w:rsid w:val="0061196C"/>
    <w:rsid w:val="00617BB1"/>
    <w:rsid w:val="00622B42"/>
    <w:rsid w:val="00623FDC"/>
    <w:rsid w:val="00625CB5"/>
    <w:rsid w:val="006263CF"/>
    <w:rsid w:val="0063066E"/>
    <w:rsid w:val="006316D1"/>
    <w:rsid w:val="00631C03"/>
    <w:rsid w:val="00632099"/>
    <w:rsid w:val="00633A86"/>
    <w:rsid w:val="0063429A"/>
    <w:rsid w:val="00634900"/>
    <w:rsid w:val="00635313"/>
    <w:rsid w:val="006369B5"/>
    <w:rsid w:val="0063713D"/>
    <w:rsid w:val="00637FD7"/>
    <w:rsid w:val="00644265"/>
    <w:rsid w:val="00645A85"/>
    <w:rsid w:val="00647161"/>
    <w:rsid w:val="00647906"/>
    <w:rsid w:val="006509B0"/>
    <w:rsid w:val="00651325"/>
    <w:rsid w:val="00654B4F"/>
    <w:rsid w:val="00656A23"/>
    <w:rsid w:val="00656D97"/>
    <w:rsid w:val="0065733B"/>
    <w:rsid w:val="006623A4"/>
    <w:rsid w:val="006646B8"/>
    <w:rsid w:val="00673188"/>
    <w:rsid w:val="0067343B"/>
    <w:rsid w:val="0067731F"/>
    <w:rsid w:val="00680D2F"/>
    <w:rsid w:val="00681430"/>
    <w:rsid w:val="00683F81"/>
    <w:rsid w:val="00684A55"/>
    <w:rsid w:val="00684F69"/>
    <w:rsid w:val="006910E6"/>
    <w:rsid w:val="00691800"/>
    <w:rsid w:val="00694DB6"/>
    <w:rsid w:val="0069590B"/>
    <w:rsid w:val="00697A34"/>
    <w:rsid w:val="006A0F19"/>
    <w:rsid w:val="006A1A43"/>
    <w:rsid w:val="006A3377"/>
    <w:rsid w:val="006A565D"/>
    <w:rsid w:val="006A68A7"/>
    <w:rsid w:val="006B10D3"/>
    <w:rsid w:val="006B340B"/>
    <w:rsid w:val="006B3D2A"/>
    <w:rsid w:val="006C0CAE"/>
    <w:rsid w:val="006C4E60"/>
    <w:rsid w:val="006C677E"/>
    <w:rsid w:val="006D088A"/>
    <w:rsid w:val="006D2249"/>
    <w:rsid w:val="006D2615"/>
    <w:rsid w:val="006D2C48"/>
    <w:rsid w:val="006D2C88"/>
    <w:rsid w:val="006D3B32"/>
    <w:rsid w:val="006D46FA"/>
    <w:rsid w:val="006D6148"/>
    <w:rsid w:val="006D7F4F"/>
    <w:rsid w:val="006E145A"/>
    <w:rsid w:val="006E1AB1"/>
    <w:rsid w:val="006E255F"/>
    <w:rsid w:val="006E334F"/>
    <w:rsid w:val="006E3378"/>
    <w:rsid w:val="006E55AE"/>
    <w:rsid w:val="006E6CCB"/>
    <w:rsid w:val="006E7ABC"/>
    <w:rsid w:val="006F0A13"/>
    <w:rsid w:val="006F19BB"/>
    <w:rsid w:val="006F333C"/>
    <w:rsid w:val="006F523C"/>
    <w:rsid w:val="006F5265"/>
    <w:rsid w:val="006F5A00"/>
    <w:rsid w:val="00701AE7"/>
    <w:rsid w:val="0070325B"/>
    <w:rsid w:val="00703495"/>
    <w:rsid w:val="007036D2"/>
    <w:rsid w:val="00703AD0"/>
    <w:rsid w:val="00703CA5"/>
    <w:rsid w:val="00704479"/>
    <w:rsid w:val="007052CA"/>
    <w:rsid w:val="0070792B"/>
    <w:rsid w:val="0071137D"/>
    <w:rsid w:val="00711B92"/>
    <w:rsid w:val="00712AC3"/>
    <w:rsid w:val="00713414"/>
    <w:rsid w:val="00713D38"/>
    <w:rsid w:val="00715E54"/>
    <w:rsid w:val="00716802"/>
    <w:rsid w:val="00716B4D"/>
    <w:rsid w:val="00722D7D"/>
    <w:rsid w:val="00723132"/>
    <w:rsid w:val="00723895"/>
    <w:rsid w:val="00725470"/>
    <w:rsid w:val="00726387"/>
    <w:rsid w:val="00727843"/>
    <w:rsid w:val="00730E70"/>
    <w:rsid w:val="00731E9D"/>
    <w:rsid w:val="007355CE"/>
    <w:rsid w:val="00742B7D"/>
    <w:rsid w:val="00743F89"/>
    <w:rsid w:val="00745F71"/>
    <w:rsid w:val="00747256"/>
    <w:rsid w:val="00747D40"/>
    <w:rsid w:val="00750428"/>
    <w:rsid w:val="0075049E"/>
    <w:rsid w:val="007550E6"/>
    <w:rsid w:val="00760A09"/>
    <w:rsid w:val="0076141C"/>
    <w:rsid w:val="00762446"/>
    <w:rsid w:val="0077043B"/>
    <w:rsid w:val="007709C7"/>
    <w:rsid w:val="00771A2D"/>
    <w:rsid w:val="00772B9B"/>
    <w:rsid w:val="00775CD5"/>
    <w:rsid w:val="00775F27"/>
    <w:rsid w:val="007774FC"/>
    <w:rsid w:val="00781E63"/>
    <w:rsid w:val="0078290B"/>
    <w:rsid w:val="007833CD"/>
    <w:rsid w:val="00784486"/>
    <w:rsid w:val="00790CED"/>
    <w:rsid w:val="00794A6C"/>
    <w:rsid w:val="007A1042"/>
    <w:rsid w:val="007A2738"/>
    <w:rsid w:val="007A48A6"/>
    <w:rsid w:val="007A4B32"/>
    <w:rsid w:val="007B6099"/>
    <w:rsid w:val="007C3324"/>
    <w:rsid w:val="007C36D4"/>
    <w:rsid w:val="007C4696"/>
    <w:rsid w:val="007D0476"/>
    <w:rsid w:val="007D2182"/>
    <w:rsid w:val="007E1952"/>
    <w:rsid w:val="007E1ABB"/>
    <w:rsid w:val="007E3DDD"/>
    <w:rsid w:val="007E4E3E"/>
    <w:rsid w:val="007E7611"/>
    <w:rsid w:val="007E7DC2"/>
    <w:rsid w:val="007F0B8E"/>
    <w:rsid w:val="007F1D23"/>
    <w:rsid w:val="008004B5"/>
    <w:rsid w:val="00801515"/>
    <w:rsid w:val="00804997"/>
    <w:rsid w:val="00810E20"/>
    <w:rsid w:val="00813021"/>
    <w:rsid w:val="00813283"/>
    <w:rsid w:val="00813A29"/>
    <w:rsid w:val="00815256"/>
    <w:rsid w:val="0081783C"/>
    <w:rsid w:val="00817E1E"/>
    <w:rsid w:val="00825389"/>
    <w:rsid w:val="00827083"/>
    <w:rsid w:val="00830EAC"/>
    <w:rsid w:val="00831217"/>
    <w:rsid w:val="008316BE"/>
    <w:rsid w:val="00831E6C"/>
    <w:rsid w:val="00832CC6"/>
    <w:rsid w:val="00832FC3"/>
    <w:rsid w:val="008348C6"/>
    <w:rsid w:val="00836BF8"/>
    <w:rsid w:val="00840C57"/>
    <w:rsid w:val="008429DA"/>
    <w:rsid w:val="00843B1C"/>
    <w:rsid w:val="00844285"/>
    <w:rsid w:val="00844A52"/>
    <w:rsid w:val="00845009"/>
    <w:rsid w:val="00847496"/>
    <w:rsid w:val="00850B34"/>
    <w:rsid w:val="00850DA7"/>
    <w:rsid w:val="008527ED"/>
    <w:rsid w:val="00855467"/>
    <w:rsid w:val="00855EEE"/>
    <w:rsid w:val="00856C50"/>
    <w:rsid w:val="00857470"/>
    <w:rsid w:val="008579D0"/>
    <w:rsid w:val="00860E18"/>
    <w:rsid w:val="008637A8"/>
    <w:rsid w:val="00864D28"/>
    <w:rsid w:val="00865C84"/>
    <w:rsid w:val="00867955"/>
    <w:rsid w:val="00872C6E"/>
    <w:rsid w:val="0087320B"/>
    <w:rsid w:val="008744FE"/>
    <w:rsid w:val="00875C8B"/>
    <w:rsid w:val="008771BE"/>
    <w:rsid w:val="008812D7"/>
    <w:rsid w:val="008857E6"/>
    <w:rsid w:val="00885B2E"/>
    <w:rsid w:val="0088642C"/>
    <w:rsid w:val="00887199"/>
    <w:rsid w:val="00887E4A"/>
    <w:rsid w:val="0089009B"/>
    <w:rsid w:val="00890D24"/>
    <w:rsid w:val="00890DC0"/>
    <w:rsid w:val="0089134F"/>
    <w:rsid w:val="00891906"/>
    <w:rsid w:val="00893BDA"/>
    <w:rsid w:val="008962FC"/>
    <w:rsid w:val="008A4076"/>
    <w:rsid w:val="008A63A8"/>
    <w:rsid w:val="008B0272"/>
    <w:rsid w:val="008B06BC"/>
    <w:rsid w:val="008B7A38"/>
    <w:rsid w:val="008C263D"/>
    <w:rsid w:val="008C2BCC"/>
    <w:rsid w:val="008C39AE"/>
    <w:rsid w:val="008C45A3"/>
    <w:rsid w:val="008C48A1"/>
    <w:rsid w:val="008C4CB7"/>
    <w:rsid w:val="008C6441"/>
    <w:rsid w:val="008C7F82"/>
    <w:rsid w:val="008D5CDC"/>
    <w:rsid w:val="008E1058"/>
    <w:rsid w:val="008E1EB7"/>
    <w:rsid w:val="008E3232"/>
    <w:rsid w:val="008E74AB"/>
    <w:rsid w:val="008F124A"/>
    <w:rsid w:val="008F1F28"/>
    <w:rsid w:val="008F2136"/>
    <w:rsid w:val="008F2966"/>
    <w:rsid w:val="008F413D"/>
    <w:rsid w:val="0090020E"/>
    <w:rsid w:val="009029F5"/>
    <w:rsid w:val="009040E9"/>
    <w:rsid w:val="00904CED"/>
    <w:rsid w:val="00905D2E"/>
    <w:rsid w:val="0091058F"/>
    <w:rsid w:val="00910992"/>
    <w:rsid w:val="00912E68"/>
    <w:rsid w:val="00915491"/>
    <w:rsid w:val="0091614E"/>
    <w:rsid w:val="00916E3C"/>
    <w:rsid w:val="00920E17"/>
    <w:rsid w:val="009234D5"/>
    <w:rsid w:val="00925818"/>
    <w:rsid w:val="00925B46"/>
    <w:rsid w:val="009278F2"/>
    <w:rsid w:val="00927BA7"/>
    <w:rsid w:val="0093187E"/>
    <w:rsid w:val="00934D88"/>
    <w:rsid w:val="00935813"/>
    <w:rsid w:val="009360C0"/>
    <w:rsid w:val="00937975"/>
    <w:rsid w:val="009403B7"/>
    <w:rsid w:val="009405BB"/>
    <w:rsid w:val="00945732"/>
    <w:rsid w:val="00950E8B"/>
    <w:rsid w:val="00950FD8"/>
    <w:rsid w:val="00951625"/>
    <w:rsid w:val="00951F21"/>
    <w:rsid w:val="009526FF"/>
    <w:rsid w:val="00954F43"/>
    <w:rsid w:val="009568C7"/>
    <w:rsid w:val="00961377"/>
    <w:rsid w:val="00963416"/>
    <w:rsid w:val="00964871"/>
    <w:rsid w:val="00964C9C"/>
    <w:rsid w:val="009667B5"/>
    <w:rsid w:val="00966EAF"/>
    <w:rsid w:val="0097245D"/>
    <w:rsid w:val="00972FFA"/>
    <w:rsid w:val="00973588"/>
    <w:rsid w:val="00975994"/>
    <w:rsid w:val="00975D5B"/>
    <w:rsid w:val="0097714C"/>
    <w:rsid w:val="00980C5C"/>
    <w:rsid w:val="009821B3"/>
    <w:rsid w:val="00983740"/>
    <w:rsid w:val="00985DCB"/>
    <w:rsid w:val="00987057"/>
    <w:rsid w:val="00990265"/>
    <w:rsid w:val="00991FB5"/>
    <w:rsid w:val="00997CCD"/>
    <w:rsid w:val="009A41BB"/>
    <w:rsid w:val="009A5CF4"/>
    <w:rsid w:val="009A6770"/>
    <w:rsid w:val="009A7676"/>
    <w:rsid w:val="009A76D2"/>
    <w:rsid w:val="009B00AF"/>
    <w:rsid w:val="009B00DC"/>
    <w:rsid w:val="009B0173"/>
    <w:rsid w:val="009B03E9"/>
    <w:rsid w:val="009B3667"/>
    <w:rsid w:val="009B4315"/>
    <w:rsid w:val="009B611B"/>
    <w:rsid w:val="009C0D29"/>
    <w:rsid w:val="009C7FDD"/>
    <w:rsid w:val="009D6FB9"/>
    <w:rsid w:val="009E22EE"/>
    <w:rsid w:val="009E2EE1"/>
    <w:rsid w:val="009E3B88"/>
    <w:rsid w:val="009E3C55"/>
    <w:rsid w:val="009E46C0"/>
    <w:rsid w:val="009E6887"/>
    <w:rsid w:val="009F1AD6"/>
    <w:rsid w:val="009F2FB4"/>
    <w:rsid w:val="009F6B6E"/>
    <w:rsid w:val="009F6B9A"/>
    <w:rsid w:val="00A00081"/>
    <w:rsid w:val="00A005B4"/>
    <w:rsid w:val="00A00B04"/>
    <w:rsid w:val="00A01253"/>
    <w:rsid w:val="00A017C1"/>
    <w:rsid w:val="00A01835"/>
    <w:rsid w:val="00A023F5"/>
    <w:rsid w:val="00A0279B"/>
    <w:rsid w:val="00A0471A"/>
    <w:rsid w:val="00A06763"/>
    <w:rsid w:val="00A100F0"/>
    <w:rsid w:val="00A14A1E"/>
    <w:rsid w:val="00A16FD6"/>
    <w:rsid w:val="00A20E70"/>
    <w:rsid w:val="00A21265"/>
    <w:rsid w:val="00A21C7A"/>
    <w:rsid w:val="00A2253C"/>
    <w:rsid w:val="00A25207"/>
    <w:rsid w:val="00A260EA"/>
    <w:rsid w:val="00A262FD"/>
    <w:rsid w:val="00A26460"/>
    <w:rsid w:val="00A341CF"/>
    <w:rsid w:val="00A371F4"/>
    <w:rsid w:val="00A41C2A"/>
    <w:rsid w:val="00A41C57"/>
    <w:rsid w:val="00A43679"/>
    <w:rsid w:val="00A45A60"/>
    <w:rsid w:val="00A45B66"/>
    <w:rsid w:val="00A504C3"/>
    <w:rsid w:val="00A52409"/>
    <w:rsid w:val="00A54C6B"/>
    <w:rsid w:val="00A54F3A"/>
    <w:rsid w:val="00A5661E"/>
    <w:rsid w:val="00A612C5"/>
    <w:rsid w:val="00A61DBB"/>
    <w:rsid w:val="00A66812"/>
    <w:rsid w:val="00A67990"/>
    <w:rsid w:val="00A71934"/>
    <w:rsid w:val="00A71A10"/>
    <w:rsid w:val="00A7713C"/>
    <w:rsid w:val="00A77B2B"/>
    <w:rsid w:val="00A816BA"/>
    <w:rsid w:val="00A822C1"/>
    <w:rsid w:val="00A84BF5"/>
    <w:rsid w:val="00A86446"/>
    <w:rsid w:val="00A91C63"/>
    <w:rsid w:val="00A922D4"/>
    <w:rsid w:val="00A9247C"/>
    <w:rsid w:val="00A9374F"/>
    <w:rsid w:val="00A975D9"/>
    <w:rsid w:val="00AA0439"/>
    <w:rsid w:val="00AA0EEC"/>
    <w:rsid w:val="00AA207D"/>
    <w:rsid w:val="00AA2D14"/>
    <w:rsid w:val="00AA2FF4"/>
    <w:rsid w:val="00AA38BB"/>
    <w:rsid w:val="00AA489D"/>
    <w:rsid w:val="00AA5EF3"/>
    <w:rsid w:val="00AA6C32"/>
    <w:rsid w:val="00AA6DA7"/>
    <w:rsid w:val="00AA6EAA"/>
    <w:rsid w:val="00AB11C0"/>
    <w:rsid w:val="00AB3E3A"/>
    <w:rsid w:val="00AC5B3B"/>
    <w:rsid w:val="00AC5DA0"/>
    <w:rsid w:val="00AD03A3"/>
    <w:rsid w:val="00AD558E"/>
    <w:rsid w:val="00AD575B"/>
    <w:rsid w:val="00AD57B2"/>
    <w:rsid w:val="00AE1324"/>
    <w:rsid w:val="00AE1B9F"/>
    <w:rsid w:val="00AE233F"/>
    <w:rsid w:val="00AE2A5E"/>
    <w:rsid w:val="00AE34DD"/>
    <w:rsid w:val="00AE6F12"/>
    <w:rsid w:val="00AE7C87"/>
    <w:rsid w:val="00AF0D03"/>
    <w:rsid w:val="00AF2BFE"/>
    <w:rsid w:val="00AF4036"/>
    <w:rsid w:val="00AF5C2C"/>
    <w:rsid w:val="00AF6B5D"/>
    <w:rsid w:val="00B1270E"/>
    <w:rsid w:val="00B14735"/>
    <w:rsid w:val="00B14C38"/>
    <w:rsid w:val="00B151E3"/>
    <w:rsid w:val="00B21060"/>
    <w:rsid w:val="00B22E9A"/>
    <w:rsid w:val="00B23304"/>
    <w:rsid w:val="00B27248"/>
    <w:rsid w:val="00B31DFB"/>
    <w:rsid w:val="00B326BB"/>
    <w:rsid w:val="00B32855"/>
    <w:rsid w:val="00B33B7C"/>
    <w:rsid w:val="00B3574F"/>
    <w:rsid w:val="00B4477B"/>
    <w:rsid w:val="00B50FE3"/>
    <w:rsid w:val="00B534CC"/>
    <w:rsid w:val="00B546D4"/>
    <w:rsid w:val="00B56D4D"/>
    <w:rsid w:val="00B6024E"/>
    <w:rsid w:val="00B61136"/>
    <w:rsid w:val="00B62277"/>
    <w:rsid w:val="00B66801"/>
    <w:rsid w:val="00B72004"/>
    <w:rsid w:val="00B75069"/>
    <w:rsid w:val="00B7623A"/>
    <w:rsid w:val="00B8187B"/>
    <w:rsid w:val="00B82876"/>
    <w:rsid w:val="00B8360A"/>
    <w:rsid w:val="00B851A7"/>
    <w:rsid w:val="00B86A96"/>
    <w:rsid w:val="00B90AF0"/>
    <w:rsid w:val="00B94B87"/>
    <w:rsid w:val="00B9515F"/>
    <w:rsid w:val="00B951A9"/>
    <w:rsid w:val="00B97FA4"/>
    <w:rsid w:val="00BA40A2"/>
    <w:rsid w:val="00BB1BFB"/>
    <w:rsid w:val="00BB2545"/>
    <w:rsid w:val="00BB26C7"/>
    <w:rsid w:val="00BC06B4"/>
    <w:rsid w:val="00BC42CA"/>
    <w:rsid w:val="00BD21A6"/>
    <w:rsid w:val="00BD6053"/>
    <w:rsid w:val="00BD66E5"/>
    <w:rsid w:val="00BE043E"/>
    <w:rsid w:val="00BE6F0A"/>
    <w:rsid w:val="00BF01F1"/>
    <w:rsid w:val="00BF215E"/>
    <w:rsid w:val="00BF33E7"/>
    <w:rsid w:val="00BF377B"/>
    <w:rsid w:val="00BF3CA3"/>
    <w:rsid w:val="00BF60A0"/>
    <w:rsid w:val="00BF6270"/>
    <w:rsid w:val="00C0087E"/>
    <w:rsid w:val="00C0119F"/>
    <w:rsid w:val="00C01EAC"/>
    <w:rsid w:val="00C04D6E"/>
    <w:rsid w:val="00C0641A"/>
    <w:rsid w:val="00C079E7"/>
    <w:rsid w:val="00C11E9C"/>
    <w:rsid w:val="00C11F45"/>
    <w:rsid w:val="00C1485B"/>
    <w:rsid w:val="00C15FC2"/>
    <w:rsid w:val="00C17E90"/>
    <w:rsid w:val="00C23029"/>
    <w:rsid w:val="00C2322A"/>
    <w:rsid w:val="00C27AE5"/>
    <w:rsid w:val="00C304FB"/>
    <w:rsid w:val="00C320AF"/>
    <w:rsid w:val="00C3387F"/>
    <w:rsid w:val="00C33E6F"/>
    <w:rsid w:val="00C422AB"/>
    <w:rsid w:val="00C4279D"/>
    <w:rsid w:val="00C44601"/>
    <w:rsid w:val="00C5077C"/>
    <w:rsid w:val="00C50BD0"/>
    <w:rsid w:val="00C516C6"/>
    <w:rsid w:val="00C51765"/>
    <w:rsid w:val="00C51A02"/>
    <w:rsid w:val="00C52A6D"/>
    <w:rsid w:val="00C53AE2"/>
    <w:rsid w:val="00C5470E"/>
    <w:rsid w:val="00C55D4B"/>
    <w:rsid w:val="00C6034D"/>
    <w:rsid w:val="00C60A69"/>
    <w:rsid w:val="00C60E1F"/>
    <w:rsid w:val="00C6347F"/>
    <w:rsid w:val="00C639FC"/>
    <w:rsid w:val="00C64028"/>
    <w:rsid w:val="00C675BB"/>
    <w:rsid w:val="00C67DE9"/>
    <w:rsid w:val="00C71D87"/>
    <w:rsid w:val="00C72280"/>
    <w:rsid w:val="00C7349C"/>
    <w:rsid w:val="00C74629"/>
    <w:rsid w:val="00C75565"/>
    <w:rsid w:val="00C756A6"/>
    <w:rsid w:val="00C7638D"/>
    <w:rsid w:val="00C7678D"/>
    <w:rsid w:val="00C7771A"/>
    <w:rsid w:val="00C83E32"/>
    <w:rsid w:val="00C85AB8"/>
    <w:rsid w:val="00C86AD4"/>
    <w:rsid w:val="00C91EFC"/>
    <w:rsid w:val="00C924B6"/>
    <w:rsid w:val="00C93B2E"/>
    <w:rsid w:val="00C940FB"/>
    <w:rsid w:val="00C97926"/>
    <w:rsid w:val="00CA0100"/>
    <w:rsid w:val="00CA55F8"/>
    <w:rsid w:val="00CA6EBA"/>
    <w:rsid w:val="00CA77EA"/>
    <w:rsid w:val="00CB0FB1"/>
    <w:rsid w:val="00CB39EB"/>
    <w:rsid w:val="00CB3FDF"/>
    <w:rsid w:val="00CB3FEE"/>
    <w:rsid w:val="00CB47F9"/>
    <w:rsid w:val="00CB5263"/>
    <w:rsid w:val="00CB61F8"/>
    <w:rsid w:val="00CB77FF"/>
    <w:rsid w:val="00CB7D08"/>
    <w:rsid w:val="00CC045C"/>
    <w:rsid w:val="00CC2C62"/>
    <w:rsid w:val="00CC2CFB"/>
    <w:rsid w:val="00CC6ADB"/>
    <w:rsid w:val="00CC70E3"/>
    <w:rsid w:val="00CC7AF7"/>
    <w:rsid w:val="00CC7B8A"/>
    <w:rsid w:val="00CD17DA"/>
    <w:rsid w:val="00CE4A9F"/>
    <w:rsid w:val="00CE55E8"/>
    <w:rsid w:val="00CE5C0D"/>
    <w:rsid w:val="00CF3830"/>
    <w:rsid w:val="00CF55DC"/>
    <w:rsid w:val="00CF6657"/>
    <w:rsid w:val="00CF6F29"/>
    <w:rsid w:val="00D01180"/>
    <w:rsid w:val="00D02E47"/>
    <w:rsid w:val="00D044F9"/>
    <w:rsid w:val="00D04B1F"/>
    <w:rsid w:val="00D0682F"/>
    <w:rsid w:val="00D06FFC"/>
    <w:rsid w:val="00D175D2"/>
    <w:rsid w:val="00D22DC0"/>
    <w:rsid w:val="00D2636D"/>
    <w:rsid w:val="00D3012A"/>
    <w:rsid w:val="00D30607"/>
    <w:rsid w:val="00D307AD"/>
    <w:rsid w:val="00D315E3"/>
    <w:rsid w:val="00D34994"/>
    <w:rsid w:val="00D35311"/>
    <w:rsid w:val="00D36A83"/>
    <w:rsid w:val="00D36FDF"/>
    <w:rsid w:val="00D379B8"/>
    <w:rsid w:val="00D41EBE"/>
    <w:rsid w:val="00D433AB"/>
    <w:rsid w:val="00D44058"/>
    <w:rsid w:val="00D52242"/>
    <w:rsid w:val="00D5255F"/>
    <w:rsid w:val="00D5436A"/>
    <w:rsid w:val="00D54509"/>
    <w:rsid w:val="00D55D6B"/>
    <w:rsid w:val="00D55E71"/>
    <w:rsid w:val="00D57250"/>
    <w:rsid w:val="00D627C1"/>
    <w:rsid w:val="00D62F73"/>
    <w:rsid w:val="00D632F0"/>
    <w:rsid w:val="00D7003E"/>
    <w:rsid w:val="00D722A6"/>
    <w:rsid w:val="00D75A1F"/>
    <w:rsid w:val="00D763CD"/>
    <w:rsid w:val="00D80E7A"/>
    <w:rsid w:val="00D83AF4"/>
    <w:rsid w:val="00D84EBE"/>
    <w:rsid w:val="00D85991"/>
    <w:rsid w:val="00D86CEB"/>
    <w:rsid w:val="00D92F45"/>
    <w:rsid w:val="00D93C8C"/>
    <w:rsid w:val="00D95721"/>
    <w:rsid w:val="00D978BF"/>
    <w:rsid w:val="00DA2281"/>
    <w:rsid w:val="00DA46CF"/>
    <w:rsid w:val="00DA699A"/>
    <w:rsid w:val="00DA69CC"/>
    <w:rsid w:val="00DB000A"/>
    <w:rsid w:val="00DB2092"/>
    <w:rsid w:val="00DB32E9"/>
    <w:rsid w:val="00DD15A3"/>
    <w:rsid w:val="00DD2BA4"/>
    <w:rsid w:val="00DD33E3"/>
    <w:rsid w:val="00DD5337"/>
    <w:rsid w:val="00DD53A3"/>
    <w:rsid w:val="00DD7258"/>
    <w:rsid w:val="00DE121A"/>
    <w:rsid w:val="00DE138D"/>
    <w:rsid w:val="00DE1C77"/>
    <w:rsid w:val="00DE2C5A"/>
    <w:rsid w:val="00DE5F5A"/>
    <w:rsid w:val="00DF009C"/>
    <w:rsid w:val="00DF1946"/>
    <w:rsid w:val="00DF2081"/>
    <w:rsid w:val="00DF33DE"/>
    <w:rsid w:val="00DF3D66"/>
    <w:rsid w:val="00DF42D3"/>
    <w:rsid w:val="00DF53E0"/>
    <w:rsid w:val="00DF5DE0"/>
    <w:rsid w:val="00DF6E56"/>
    <w:rsid w:val="00E004C9"/>
    <w:rsid w:val="00E1200A"/>
    <w:rsid w:val="00E12642"/>
    <w:rsid w:val="00E1427C"/>
    <w:rsid w:val="00E203F0"/>
    <w:rsid w:val="00E20FEE"/>
    <w:rsid w:val="00E21A31"/>
    <w:rsid w:val="00E22C1F"/>
    <w:rsid w:val="00E237F7"/>
    <w:rsid w:val="00E27DE2"/>
    <w:rsid w:val="00E305DE"/>
    <w:rsid w:val="00E30F3F"/>
    <w:rsid w:val="00E346C0"/>
    <w:rsid w:val="00E34A59"/>
    <w:rsid w:val="00E35C48"/>
    <w:rsid w:val="00E37670"/>
    <w:rsid w:val="00E37C36"/>
    <w:rsid w:val="00E437B4"/>
    <w:rsid w:val="00E44630"/>
    <w:rsid w:val="00E45D8C"/>
    <w:rsid w:val="00E53518"/>
    <w:rsid w:val="00E57D05"/>
    <w:rsid w:val="00E57E4C"/>
    <w:rsid w:val="00E61157"/>
    <w:rsid w:val="00E63FCC"/>
    <w:rsid w:val="00E64601"/>
    <w:rsid w:val="00E64B26"/>
    <w:rsid w:val="00E7125B"/>
    <w:rsid w:val="00E71354"/>
    <w:rsid w:val="00E817A7"/>
    <w:rsid w:val="00E82212"/>
    <w:rsid w:val="00E86BD0"/>
    <w:rsid w:val="00E921A3"/>
    <w:rsid w:val="00E937DF"/>
    <w:rsid w:val="00E97165"/>
    <w:rsid w:val="00EA2D86"/>
    <w:rsid w:val="00EA36A4"/>
    <w:rsid w:val="00EA3AF5"/>
    <w:rsid w:val="00EA541D"/>
    <w:rsid w:val="00EA548A"/>
    <w:rsid w:val="00EB03A1"/>
    <w:rsid w:val="00EB18D4"/>
    <w:rsid w:val="00EB19CB"/>
    <w:rsid w:val="00EB1B89"/>
    <w:rsid w:val="00EB2931"/>
    <w:rsid w:val="00EB4C69"/>
    <w:rsid w:val="00EB57FC"/>
    <w:rsid w:val="00EC1223"/>
    <w:rsid w:val="00EC1A23"/>
    <w:rsid w:val="00ED09DD"/>
    <w:rsid w:val="00ED4552"/>
    <w:rsid w:val="00EE0C4F"/>
    <w:rsid w:val="00EE256C"/>
    <w:rsid w:val="00EE3D46"/>
    <w:rsid w:val="00EE4CBE"/>
    <w:rsid w:val="00EE4EDD"/>
    <w:rsid w:val="00EE70A0"/>
    <w:rsid w:val="00EF10B3"/>
    <w:rsid w:val="00EF120C"/>
    <w:rsid w:val="00EF1F55"/>
    <w:rsid w:val="00EF46FD"/>
    <w:rsid w:val="00EF7514"/>
    <w:rsid w:val="00EF7840"/>
    <w:rsid w:val="00F01933"/>
    <w:rsid w:val="00F020D1"/>
    <w:rsid w:val="00F061DF"/>
    <w:rsid w:val="00F075CB"/>
    <w:rsid w:val="00F136BC"/>
    <w:rsid w:val="00F1444A"/>
    <w:rsid w:val="00F16139"/>
    <w:rsid w:val="00F17176"/>
    <w:rsid w:val="00F20230"/>
    <w:rsid w:val="00F23D7E"/>
    <w:rsid w:val="00F25200"/>
    <w:rsid w:val="00F263AF"/>
    <w:rsid w:val="00F336B6"/>
    <w:rsid w:val="00F33B6C"/>
    <w:rsid w:val="00F3428C"/>
    <w:rsid w:val="00F34A4C"/>
    <w:rsid w:val="00F36019"/>
    <w:rsid w:val="00F3631C"/>
    <w:rsid w:val="00F3701A"/>
    <w:rsid w:val="00F418E6"/>
    <w:rsid w:val="00F41B2D"/>
    <w:rsid w:val="00F4401A"/>
    <w:rsid w:val="00F4598E"/>
    <w:rsid w:val="00F50B95"/>
    <w:rsid w:val="00F53037"/>
    <w:rsid w:val="00F565A1"/>
    <w:rsid w:val="00F6355A"/>
    <w:rsid w:val="00F64523"/>
    <w:rsid w:val="00F645A3"/>
    <w:rsid w:val="00F647DA"/>
    <w:rsid w:val="00F65E49"/>
    <w:rsid w:val="00F66DDB"/>
    <w:rsid w:val="00F70557"/>
    <w:rsid w:val="00F70BE2"/>
    <w:rsid w:val="00F724C8"/>
    <w:rsid w:val="00F7355A"/>
    <w:rsid w:val="00F75A82"/>
    <w:rsid w:val="00F839F3"/>
    <w:rsid w:val="00F856D0"/>
    <w:rsid w:val="00F85E95"/>
    <w:rsid w:val="00F90814"/>
    <w:rsid w:val="00F92D12"/>
    <w:rsid w:val="00F92E63"/>
    <w:rsid w:val="00F9321F"/>
    <w:rsid w:val="00F97288"/>
    <w:rsid w:val="00FA21D0"/>
    <w:rsid w:val="00FA3228"/>
    <w:rsid w:val="00FB0403"/>
    <w:rsid w:val="00FB2A1D"/>
    <w:rsid w:val="00FB2AC6"/>
    <w:rsid w:val="00FB2EAA"/>
    <w:rsid w:val="00FB51D1"/>
    <w:rsid w:val="00FB74B0"/>
    <w:rsid w:val="00FB76C8"/>
    <w:rsid w:val="00FC0E2D"/>
    <w:rsid w:val="00FC1968"/>
    <w:rsid w:val="00FC19C4"/>
    <w:rsid w:val="00FC427B"/>
    <w:rsid w:val="00FC59D0"/>
    <w:rsid w:val="00FC5B37"/>
    <w:rsid w:val="00FC6CB9"/>
    <w:rsid w:val="00FD044B"/>
    <w:rsid w:val="00FD1666"/>
    <w:rsid w:val="00FD1B03"/>
    <w:rsid w:val="00FD2A13"/>
    <w:rsid w:val="00FD3CC3"/>
    <w:rsid w:val="00FD4453"/>
    <w:rsid w:val="00FD4CC8"/>
    <w:rsid w:val="00FE36A9"/>
    <w:rsid w:val="00FE4278"/>
    <w:rsid w:val="00FE4677"/>
    <w:rsid w:val="00FE62D2"/>
    <w:rsid w:val="00FE7832"/>
    <w:rsid w:val="00FF100C"/>
    <w:rsid w:val="00FF1117"/>
    <w:rsid w:val="00FF2FE6"/>
    <w:rsid w:val="00FF32F9"/>
    <w:rsid w:val="00FF4433"/>
    <w:rsid w:val="00FF4FE4"/>
    <w:rsid w:val="010604DC"/>
    <w:rsid w:val="01233A9E"/>
    <w:rsid w:val="012D0496"/>
    <w:rsid w:val="01F71F43"/>
    <w:rsid w:val="023C2796"/>
    <w:rsid w:val="02476461"/>
    <w:rsid w:val="02641C4D"/>
    <w:rsid w:val="02862AB5"/>
    <w:rsid w:val="02A5533B"/>
    <w:rsid w:val="0315162D"/>
    <w:rsid w:val="03302FA2"/>
    <w:rsid w:val="03347025"/>
    <w:rsid w:val="034169B0"/>
    <w:rsid w:val="03557F30"/>
    <w:rsid w:val="03695BF4"/>
    <w:rsid w:val="036972BB"/>
    <w:rsid w:val="036A4A85"/>
    <w:rsid w:val="03895378"/>
    <w:rsid w:val="0390500C"/>
    <w:rsid w:val="03936BBA"/>
    <w:rsid w:val="03B00989"/>
    <w:rsid w:val="03C700DB"/>
    <w:rsid w:val="042A3E7F"/>
    <w:rsid w:val="04326749"/>
    <w:rsid w:val="043657E1"/>
    <w:rsid w:val="04560EA1"/>
    <w:rsid w:val="0457261E"/>
    <w:rsid w:val="048503E3"/>
    <w:rsid w:val="04AA29A0"/>
    <w:rsid w:val="04BD6FF0"/>
    <w:rsid w:val="04C01084"/>
    <w:rsid w:val="054C0CED"/>
    <w:rsid w:val="05687D7B"/>
    <w:rsid w:val="05851DAF"/>
    <w:rsid w:val="05AC7739"/>
    <w:rsid w:val="05B3261F"/>
    <w:rsid w:val="05D71325"/>
    <w:rsid w:val="05F47A84"/>
    <w:rsid w:val="05F50593"/>
    <w:rsid w:val="061A79D7"/>
    <w:rsid w:val="06327EDF"/>
    <w:rsid w:val="067C2872"/>
    <w:rsid w:val="06C07705"/>
    <w:rsid w:val="06D633C1"/>
    <w:rsid w:val="06DE49F1"/>
    <w:rsid w:val="06ED117D"/>
    <w:rsid w:val="06F73087"/>
    <w:rsid w:val="06FB77E9"/>
    <w:rsid w:val="0700709B"/>
    <w:rsid w:val="07467972"/>
    <w:rsid w:val="07562389"/>
    <w:rsid w:val="07702B1D"/>
    <w:rsid w:val="077961C6"/>
    <w:rsid w:val="07B73984"/>
    <w:rsid w:val="07C202ED"/>
    <w:rsid w:val="0806255A"/>
    <w:rsid w:val="08195040"/>
    <w:rsid w:val="081C500C"/>
    <w:rsid w:val="083C3AAD"/>
    <w:rsid w:val="08432623"/>
    <w:rsid w:val="08762BF9"/>
    <w:rsid w:val="08971E46"/>
    <w:rsid w:val="08A12185"/>
    <w:rsid w:val="08C14F35"/>
    <w:rsid w:val="08CE724B"/>
    <w:rsid w:val="08DC59F3"/>
    <w:rsid w:val="08E66F5F"/>
    <w:rsid w:val="08FC798C"/>
    <w:rsid w:val="091D2DD4"/>
    <w:rsid w:val="092A41CC"/>
    <w:rsid w:val="093E01F4"/>
    <w:rsid w:val="09415884"/>
    <w:rsid w:val="09420CD2"/>
    <w:rsid w:val="095166D2"/>
    <w:rsid w:val="098F0CF2"/>
    <w:rsid w:val="099F0CCA"/>
    <w:rsid w:val="09F32163"/>
    <w:rsid w:val="09FC005A"/>
    <w:rsid w:val="0A051982"/>
    <w:rsid w:val="0A0A5D4F"/>
    <w:rsid w:val="0A0D6D55"/>
    <w:rsid w:val="0A146F0D"/>
    <w:rsid w:val="0A2340DE"/>
    <w:rsid w:val="0A235758"/>
    <w:rsid w:val="0A26284F"/>
    <w:rsid w:val="0A5F151C"/>
    <w:rsid w:val="0A6A0048"/>
    <w:rsid w:val="0A896A1C"/>
    <w:rsid w:val="0AB35783"/>
    <w:rsid w:val="0ABE7440"/>
    <w:rsid w:val="0AC2736E"/>
    <w:rsid w:val="0B21371E"/>
    <w:rsid w:val="0B375271"/>
    <w:rsid w:val="0B3A3152"/>
    <w:rsid w:val="0B3E5C91"/>
    <w:rsid w:val="0B530F8D"/>
    <w:rsid w:val="0B6D1BB1"/>
    <w:rsid w:val="0B833AF2"/>
    <w:rsid w:val="0BC0733D"/>
    <w:rsid w:val="0BC87025"/>
    <w:rsid w:val="0C0A3890"/>
    <w:rsid w:val="0C0C64A7"/>
    <w:rsid w:val="0C0F6C66"/>
    <w:rsid w:val="0C20701E"/>
    <w:rsid w:val="0C2D797D"/>
    <w:rsid w:val="0C4F7AC7"/>
    <w:rsid w:val="0C521BA2"/>
    <w:rsid w:val="0C565EE6"/>
    <w:rsid w:val="0C8B0A3F"/>
    <w:rsid w:val="0C92634A"/>
    <w:rsid w:val="0C9A417F"/>
    <w:rsid w:val="0CC42A06"/>
    <w:rsid w:val="0D016A18"/>
    <w:rsid w:val="0D4619B6"/>
    <w:rsid w:val="0D533B01"/>
    <w:rsid w:val="0D5F1952"/>
    <w:rsid w:val="0D7A750E"/>
    <w:rsid w:val="0D8A5005"/>
    <w:rsid w:val="0DA80934"/>
    <w:rsid w:val="0DAF7406"/>
    <w:rsid w:val="0DDE4FF7"/>
    <w:rsid w:val="0E052F28"/>
    <w:rsid w:val="0E092D6D"/>
    <w:rsid w:val="0E151DA8"/>
    <w:rsid w:val="0E300458"/>
    <w:rsid w:val="0E391765"/>
    <w:rsid w:val="0E3A6FE9"/>
    <w:rsid w:val="0E504321"/>
    <w:rsid w:val="0E51131F"/>
    <w:rsid w:val="0E634DB2"/>
    <w:rsid w:val="0E8A2093"/>
    <w:rsid w:val="0E9312A5"/>
    <w:rsid w:val="0EA0204C"/>
    <w:rsid w:val="0EBE66C8"/>
    <w:rsid w:val="0ED608E6"/>
    <w:rsid w:val="0EE17A34"/>
    <w:rsid w:val="0EE24F03"/>
    <w:rsid w:val="0F1B4006"/>
    <w:rsid w:val="0F207E14"/>
    <w:rsid w:val="0F231667"/>
    <w:rsid w:val="0F2C1EEB"/>
    <w:rsid w:val="0F421D83"/>
    <w:rsid w:val="0F4E163B"/>
    <w:rsid w:val="0F59331E"/>
    <w:rsid w:val="0F7851FA"/>
    <w:rsid w:val="0F792BF2"/>
    <w:rsid w:val="0F7B49FB"/>
    <w:rsid w:val="0F804C12"/>
    <w:rsid w:val="0F833B19"/>
    <w:rsid w:val="0FB97EAE"/>
    <w:rsid w:val="0FD468BE"/>
    <w:rsid w:val="0FD9505E"/>
    <w:rsid w:val="0FDB6258"/>
    <w:rsid w:val="100B4737"/>
    <w:rsid w:val="100F1406"/>
    <w:rsid w:val="10404533"/>
    <w:rsid w:val="107246AA"/>
    <w:rsid w:val="10753E81"/>
    <w:rsid w:val="1076002C"/>
    <w:rsid w:val="107F7D25"/>
    <w:rsid w:val="108F7444"/>
    <w:rsid w:val="10B54461"/>
    <w:rsid w:val="10CD0AE9"/>
    <w:rsid w:val="10D33013"/>
    <w:rsid w:val="10DF1E13"/>
    <w:rsid w:val="10E70BEC"/>
    <w:rsid w:val="10F12861"/>
    <w:rsid w:val="1102161C"/>
    <w:rsid w:val="112812E7"/>
    <w:rsid w:val="113071C8"/>
    <w:rsid w:val="113A55D6"/>
    <w:rsid w:val="113E2A0E"/>
    <w:rsid w:val="11422DC1"/>
    <w:rsid w:val="1146667E"/>
    <w:rsid w:val="11994EFE"/>
    <w:rsid w:val="11A81237"/>
    <w:rsid w:val="11C04AE0"/>
    <w:rsid w:val="11FB709A"/>
    <w:rsid w:val="12204DED"/>
    <w:rsid w:val="12205DD1"/>
    <w:rsid w:val="12233484"/>
    <w:rsid w:val="12293115"/>
    <w:rsid w:val="12391AA7"/>
    <w:rsid w:val="124B64FC"/>
    <w:rsid w:val="12782DAE"/>
    <w:rsid w:val="1291283B"/>
    <w:rsid w:val="12CC5D44"/>
    <w:rsid w:val="12CF5641"/>
    <w:rsid w:val="130665B7"/>
    <w:rsid w:val="130F3BED"/>
    <w:rsid w:val="131366CA"/>
    <w:rsid w:val="131B3664"/>
    <w:rsid w:val="13207B82"/>
    <w:rsid w:val="13380673"/>
    <w:rsid w:val="133F1273"/>
    <w:rsid w:val="134A27DA"/>
    <w:rsid w:val="135A3D66"/>
    <w:rsid w:val="13662B60"/>
    <w:rsid w:val="137C04E8"/>
    <w:rsid w:val="13874149"/>
    <w:rsid w:val="138B25E0"/>
    <w:rsid w:val="144470C4"/>
    <w:rsid w:val="14944FA1"/>
    <w:rsid w:val="149618F6"/>
    <w:rsid w:val="14CB6040"/>
    <w:rsid w:val="15364D8D"/>
    <w:rsid w:val="15561C58"/>
    <w:rsid w:val="155B44AE"/>
    <w:rsid w:val="15A71DE4"/>
    <w:rsid w:val="15C452B0"/>
    <w:rsid w:val="15CE13B0"/>
    <w:rsid w:val="15E1373D"/>
    <w:rsid w:val="15E53F82"/>
    <w:rsid w:val="15F65029"/>
    <w:rsid w:val="16114D41"/>
    <w:rsid w:val="16386E2F"/>
    <w:rsid w:val="167C5AE2"/>
    <w:rsid w:val="16A93B79"/>
    <w:rsid w:val="1724244A"/>
    <w:rsid w:val="172C581E"/>
    <w:rsid w:val="173010A6"/>
    <w:rsid w:val="176D331A"/>
    <w:rsid w:val="1779243E"/>
    <w:rsid w:val="177F37A4"/>
    <w:rsid w:val="17E6399F"/>
    <w:rsid w:val="180A42B0"/>
    <w:rsid w:val="180D1E1B"/>
    <w:rsid w:val="18183CD5"/>
    <w:rsid w:val="18271923"/>
    <w:rsid w:val="185C0256"/>
    <w:rsid w:val="185D336F"/>
    <w:rsid w:val="18641233"/>
    <w:rsid w:val="18744207"/>
    <w:rsid w:val="188527BD"/>
    <w:rsid w:val="18875D27"/>
    <w:rsid w:val="18A3006E"/>
    <w:rsid w:val="18A94431"/>
    <w:rsid w:val="18AF2C97"/>
    <w:rsid w:val="18B97630"/>
    <w:rsid w:val="19025350"/>
    <w:rsid w:val="191152C3"/>
    <w:rsid w:val="19134653"/>
    <w:rsid w:val="192B3E83"/>
    <w:rsid w:val="192B5001"/>
    <w:rsid w:val="196910BA"/>
    <w:rsid w:val="19A21C6E"/>
    <w:rsid w:val="19A37E86"/>
    <w:rsid w:val="19A91357"/>
    <w:rsid w:val="19BE52B3"/>
    <w:rsid w:val="1A0248EA"/>
    <w:rsid w:val="1A1103E3"/>
    <w:rsid w:val="1A1F2BFD"/>
    <w:rsid w:val="1A3B39C7"/>
    <w:rsid w:val="1A781BCC"/>
    <w:rsid w:val="1A8E38DF"/>
    <w:rsid w:val="1AAB1B8D"/>
    <w:rsid w:val="1AB18E4A"/>
    <w:rsid w:val="1ABB43CC"/>
    <w:rsid w:val="1AF66226"/>
    <w:rsid w:val="1AFC6FB4"/>
    <w:rsid w:val="1B0652A5"/>
    <w:rsid w:val="1B0A4A55"/>
    <w:rsid w:val="1B201A55"/>
    <w:rsid w:val="1B3B3C78"/>
    <w:rsid w:val="1B9A66CE"/>
    <w:rsid w:val="1BF01396"/>
    <w:rsid w:val="1BFC7603"/>
    <w:rsid w:val="1C0471C2"/>
    <w:rsid w:val="1C3A5FCE"/>
    <w:rsid w:val="1C3E0F38"/>
    <w:rsid w:val="1C470046"/>
    <w:rsid w:val="1C6C110A"/>
    <w:rsid w:val="1CD775A1"/>
    <w:rsid w:val="1CDC0DCB"/>
    <w:rsid w:val="1CF07304"/>
    <w:rsid w:val="1CF65569"/>
    <w:rsid w:val="1D0A2752"/>
    <w:rsid w:val="1D140F6E"/>
    <w:rsid w:val="1D1E3016"/>
    <w:rsid w:val="1D243CB7"/>
    <w:rsid w:val="1D3814A4"/>
    <w:rsid w:val="1D521762"/>
    <w:rsid w:val="1D6670B5"/>
    <w:rsid w:val="1D7377D6"/>
    <w:rsid w:val="1D7426ED"/>
    <w:rsid w:val="1D8037B6"/>
    <w:rsid w:val="1DAE6C5B"/>
    <w:rsid w:val="1DC279FD"/>
    <w:rsid w:val="1DDA4D54"/>
    <w:rsid w:val="1DDE7065"/>
    <w:rsid w:val="1DE23374"/>
    <w:rsid w:val="1DE85BD1"/>
    <w:rsid w:val="1DF06E5A"/>
    <w:rsid w:val="1E1B36DB"/>
    <w:rsid w:val="1E376477"/>
    <w:rsid w:val="1E545328"/>
    <w:rsid w:val="1E9F1316"/>
    <w:rsid w:val="1EB01574"/>
    <w:rsid w:val="1EB01CFD"/>
    <w:rsid w:val="1EC0272B"/>
    <w:rsid w:val="1EEF5C19"/>
    <w:rsid w:val="1F346D97"/>
    <w:rsid w:val="1F386B77"/>
    <w:rsid w:val="1F430BE9"/>
    <w:rsid w:val="1F4D41DB"/>
    <w:rsid w:val="1F7D0601"/>
    <w:rsid w:val="1F8F729A"/>
    <w:rsid w:val="1F93298B"/>
    <w:rsid w:val="1F952722"/>
    <w:rsid w:val="1F9A4894"/>
    <w:rsid w:val="1FB70433"/>
    <w:rsid w:val="1FE73E64"/>
    <w:rsid w:val="1FFE2290"/>
    <w:rsid w:val="20180728"/>
    <w:rsid w:val="202A3306"/>
    <w:rsid w:val="20367BBE"/>
    <w:rsid w:val="204D352C"/>
    <w:rsid w:val="2081794E"/>
    <w:rsid w:val="20956962"/>
    <w:rsid w:val="209D5B7B"/>
    <w:rsid w:val="21366850"/>
    <w:rsid w:val="21380E24"/>
    <w:rsid w:val="2138110E"/>
    <w:rsid w:val="215C64E4"/>
    <w:rsid w:val="216D00A6"/>
    <w:rsid w:val="21943E01"/>
    <w:rsid w:val="21B76F9C"/>
    <w:rsid w:val="21E90700"/>
    <w:rsid w:val="21FB432C"/>
    <w:rsid w:val="22126E1C"/>
    <w:rsid w:val="223D0A3D"/>
    <w:rsid w:val="22452421"/>
    <w:rsid w:val="22460DE2"/>
    <w:rsid w:val="22462209"/>
    <w:rsid w:val="224B3B1C"/>
    <w:rsid w:val="224E17F8"/>
    <w:rsid w:val="224E18F9"/>
    <w:rsid w:val="2276268D"/>
    <w:rsid w:val="22877682"/>
    <w:rsid w:val="22A73427"/>
    <w:rsid w:val="22CA42C2"/>
    <w:rsid w:val="22CE0D06"/>
    <w:rsid w:val="22D700DE"/>
    <w:rsid w:val="22F93256"/>
    <w:rsid w:val="23136B9B"/>
    <w:rsid w:val="2317321F"/>
    <w:rsid w:val="23BC6D2B"/>
    <w:rsid w:val="23D1248C"/>
    <w:rsid w:val="23D73CC0"/>
    <w:rsid w:val="23E53D8F"/>
    <w:rsid w:val="23EF1059"/>
    <w:rsid w:val="23F23763"/>
    <w:rsid w:val="240F73B9"/>
    <w:rsid w:val="242E5A97"/>
    <w:rsid w:val="24382325"/>
    <w:rsid w:val="24466AE7"/>
    <w:rsid w:val="24540510"/>
    <w:rsid w:val="246761A7"/>
    <w:rsid w:val="24A13C72"/>
    <w:rsid w:val="24C02993"/>
    <w:rsid w:val="25013534"/>
    <w:rsid w:val="251A7E24"/>
    <w:rsid w:val="2527150A"/>
    <w:rsid w:val="254D44D4"/>
    <w:rsid w:val="25503878"/>
    <w:rsid w:val="25514163"/>
    <w:rsid w:val="25574D4B"/>
    <w:rsid w:val="25801A30"/>
    <w:rsid w:val="258A6293"/>
    <w:rsid w:val="25A81305"/>
    <w:rsid w:val="25BB5864"/>
    <w:rsid w:val="25C14F79"/>
    <w:rsid w:val="260B1B5A"/>
    <w:rsid w:val="265104D7"/>
    <w:rsid w:val="267C4492"/>
    <w:rsid w:val="268876AC"/>
    <w:rsid w:val="26B377A3"/>
    <w:rsid w:val="26B87702"/>
    <w:rsid w:val="26BF1B7A"/>
    <w:rsid w:val="26CC3FFE"/>
    <w:rsid w:val="27000C78"/>
    <w:rsid w:val="27236FD1"/>
    <w:rsid w:val="27625D4F"/>
    <w:rsid w:val="279C3C93"/>
    <w:rsid w:val="279C6222"/>
    <w:rsid w:val="27B42F8A"/>
    <w:rsid w:val="27BD6BA5"/>
    <w:rsid w:val="27D27A4B"/>
    <w:rsid w:val="27EC1F41"/>
    <w:rsid w:val="2826784C"/>
    <w:rsid w:val="28472AC2"/>
    <w:rsid w:val="28532781"/>
    <w:rsid w:val="28562DD5"/>
    <w:rsid w:val="28762107"/>
    <w:rsid w:val="28835700"/>
    <w:rsid w:val="28911582"/>
    <w:rsid w:val="28D5156B"/>
    <w:rsid w:val="28F37A9E"/>
    <w:rsid w:val="295603E5"/>
    <w:rsid w:val="296E7ACB"/>
    <w:rsid w:val="2999324B"/>
    <w:rsid w:val="29E331DB"/>
    <w:rsid w:val="29F112A6"/>
    <w:rsid w:val="29FB0F52"/>
    <w:rsid w:val="2A03697A"/>
    <w:rsid w:val="2A0A6B48"/>
    <w:rsid w:val="2A1F67F4"/>
    <w:rsid w:val="2A26273F"/>
    <w:rsid w:val="2A5E591D"/>
    <w:rsid w:val="2AC1191C"/>
    <w:rsid w:val="2B313BAA"/>
    <w:rsid w:val="2B6C50AC"/>
    <w:rsid w:val="2B7260EB"/>
    <w:rsid w:val="2B7F1341"/>
    <w:rsid w:val="2BA43A9A"/>
    <w:rsid w:val="2BA8271A"/>
    <w:rsid w:val="2BB82932"/>
    <w:rsid w:val="2BCB04AC"/>
    <w:rsid w:val="2BDA6ECB"/>
    <w:rsid w:val="2BF23BDD"/>
    <w:rsid w:val="2BF711A2"/>
    <w:rsid w:val="2BFD24F9"/>
    <w:rsid w:val="2C0542FA"/>
    <w:rsid w:val="2C117FE5"/>
    <w:rsid w:val="2C28397C"/>
    <w:rsid w:val="2C571BBE"/>
    <w:rsid w:val="2C695F59"/>
    <w:rsid w:val="2C6965CE"/>
    <w:rsid w:val="2C923217"/>
    <w:rsid w:val="2C937F07"/>
    <w:rsid w:val="2CC7166D"/>
    <w:rsid w:val="2CD63007"/>
    <w:rsid w:val="2D1A3F6E"/>
    <w:rsid w:val="2D264EFC"/>
    <w:rsid w:val="2D2A106F"/>
    <w:rsid w:val="2D341B38"/>
    <w:rsid w:val="2D551E29"/>
    <w:rsid w:val="2D686C04"/>
    <w:rsid w:val="2D833193"/>
    <w:rsid w:val="2D8A5D2F"/>
    <w:rsid w:val="2DAB6B58"/>
    <w:rsid w:val="2DB739A6"/>
    <w:rsid w:val="2DB743DF"/>
    <w:rsid w:val="2DD40576"/>
    <w:rsid w:val="2E1B7D4E"/>
    <w:rsid w:val="2E1E233F"/>
    <w:rsid w:val="2E2056C7"/>
    <w:rsid w:val="2E4629DF"/>
    <w:rsid w:val="2E586DFA"/>
    <w:rsid w:val="2E636AD4"/>
    <w:rsid w:val="2E867C9C"/>
    <w:rsid w:val="2EA32A32"/>
    <w:rsid w:val="2EE53535"/>
    <w:rsid w:val="2F0B0842"/>
    <w:rsid w:val="2F0C1711"/>
    <w:rsid w:val="2F267954"/>
    <w:rsid w:val="2F4D0516"/>
    <w:rsid w:val="2F775D48"/>
    <w:rsid w:val="2FF75697"/>
    <w:rsid w:val="301522B2"/>
    <w:rsid w:val="30160151"/>
    <w:rsid w:val="301841C0"/>
    <w:rsid w:val="306317E8"/>
    <w:rsid w:val="30851D7B"/>
    <w:rsid w:val="311479C0"/>
    <w:rsid w:val="31164293"/>
    <w:rsid w:val="31243E87"/>
    <w:rsid w:val="31296978"/>
    <w:rsid w:val="31356C42"/>
    <w:rsid w:val="3145427C"/>
    <w:rsid w:val="31AC0E15"/>
    <w:rsid w:val="31CE7B60"/>
    <w:rsid w:val="31E9214E"/>
    <w:rsid w:val="32042961"/>
    <w:rsid w:val="320B4BD2"/>
    <w:rsid w:val="321A4823"/>
    <w:rsid w:val="322069E4"/>
    <w:rsid w:val="32354D9E"/>
    <w:rsid w:val="3247469D"/>
    <w:rsid w:val="324E42B9"/>
    <w:rsid w:val="325464BD"/>
    <w:rsid w:val="32575E8C"/>
    <w:rsid w:val="325A28EE"/>
    <w:rsid w:val="326F0CEE"/>
    <w:rsid w:val="32751EDB"/>
    <w:rsid w:val="32D27FCB"/>
    <w:rsid w:val="32E44DB3"/>
    <w:rsid w:val="33171151"/>
    <w:rsid w:val="334751E8"/>
    <w:rsid w:val="338F0CBD"/>
    <w:rsid w:val="33973FAD"/>
    <w:rsid w:val="33BF6275"/>
    <w:rsid w:val="33C07AE8"/>
    <w:rsid w:val="33EF4FBA"/>
    <w:rsid w:val="340014DF"/>
    <w:rsid w:val="3407412A"/>
    <w:rsid w:val="34192715"/>
    <w:rsid w:val="34491EC9"/>
    <w:rsid w:val="348E7B2B"/>
    <w:rsid w:val="34F024B4"/>
    <w:rsid w:val="35114F92"/>
    <w:rsid w:val="351A7C1A"/>
    <w:rsid w:val="351E3B18"/>
    <w:rsid w:val="35564DB5"/>
    <w:rsid w:val="359726A2"/>
    <w:rsid w:val="359E797B"/>
    <w:rsid w:val="35AE6661"/>
    <w:rsid w:val="35AE7EBE"/>
    <w:rsid w:val="35DF4129"/>
    <w:rsid w:val="35F75F81"/>
    <w:rsid w:val="36141209"/>
    <w:rsid w:val="3614783C"/>
    <w:rsid w:val="361931DA"/>
    <w:rsid w:val="361F7B5A"/>
    <w:rsid w:val="3620213A"/>
    <w:rsid w:val="36335F32"/>
    <w:rsid w:val="36577B5C"/>
    <w:rsid w:val="367027D9"/>
    <w:rsid w:val="36BA107E"/>
    <w:rsid w:val="36BF2BD1"/>
    <w:rsid w:val="36C71F12"/>
    <w:rsid w:val="36E10B37"/>
    <w:rsid w:val="36F97794"/>
    <w:rsid w:val="37034109"/>
    <w:rsid w:val="37B1398B"/>
    <w:rsid w:val="37DE4F42"/>
    <w:rsid w:val="380B4F1B"/>
    <w:rsid w:val="38383347"/>
    <w:rsid w:val="3841135C"/>
    <w:rsid w:val="38415251"/>
    <w:rsid w:val="384767AC"/>
    <w:rsid w:val="38635C52"/>
    <w:rsid w:val="38903687"/>
    <w:rsid w:val="38CC717A"/>
    <w:rsid w:val="38D931D4"/>
    <w:rsid w:val="38FD54E5"/>
    <w:rsid w:val="392909C2"/>
    <w:rsid w:val="393142DD"/>
    <w:rsid w:val="393E394D"/>
    <w:rsid w:val="393F592C"/>
    <w:rsid w:val="39496DF2"/>
    <w:rsid w:val="39754190"/>
    <w:rsid w:val="39A607ED"/>
    <w:rsid w:val="39A977FD"/>
    <w:rsid w:val="39AB7B86"/>
    <w:rsid w:val="39B733CE"/>
    <w:rsid w:val="39F76242"/>
    <w:rsid w:val="3A17019D"/>
    <w:rsid w:val="3A2B67B8"/>
    <w:rsid w:val="3A2E55E2"/>
    <w:rsid w:val="3A4B4704"/>
    <w:rsid w:val="3A5750B2"/>
    <w:rsid w:val="3A6A3675"/>
    <w:rsid w:val="3A727CAF"/>
    <w:rsid w:val="3A983A1C"/>
    <w:rsid w:val="3ABD5AC6"/>
    <w:rsid w:val="3AC63B9B"/>
    <w:rsid w:val="3ACB6467"/>
    <w:rsid w:val="3ADE3FB6"/>
    <w:rsid w:val="3AE26A56"/>
    <w:rsid w:val="3AE957A0"/>
    <w:rsid w:val="3AEA682E"/>
    <w:rsid w:val="3AF075CB"/>
    <w:rsid w:val="3B0D3FA1"/>
    <w:rsid w:val="3B0E5104"/>
    <w:rsid w:val="3B1B404B"/>
    <w:rsid w:val="3B247C56"/>
    <w:rsid w:val="3B256F97"/>
    <w:rsid w:val="3B2D1219"/>
    <w:rsid w:val="3B444B4D"/>
    <w:rsid w:val="3B922A97"/>
    <w:rsid w:val="3B96236D"/>
    <w:rsid w:val="3B9A01F2"/>
    <w:rsid w:val="3B9E13BF"/>
    <w:rsid w:val="3BBB4403"/>
    <w:rsid w:val="3BC93659"/>
    <w:rsid w:val="3BCF7780"/>
    <w:rsid w:val="3BF516D2"/>
    <w:rsid w:val="3BF766AD"/>
    <w:rsid w:val="3BFF7EBB"/>
    <w:rsid w:val="3C411F79"/>
    <w:rsid w:val="3C686D39"/>
    <w:rsid w:val="3C6A4CD0"/>
    <w:rsid w:val="3C95588D"/>
    <w:rsid w:val="3C976DCE"/>
    <w:rsid w:val="3CD23D4A"/>
    <w:rsid w:val="3CE826B8"/>
    <w:rsid w:val="3D18759F"/>
    <w:rsid w:val="3D4B5740"/>
    <w:rsid w:val="3D4B7FC6"/>
    <w:rsid w:val="3D781CA6"/>
    <w:rsid w:val="3D7C7BA8"/>
    <w:rsid w:val="3DAC1E13"/>
    <w:rsid w:val="3DD71A08"/>
    <w:rsid w:val="3DF80CAD"/>
    <w:rsid w:val="3DFC435A"/>
    <w:rsid w:val="3E0731ED"/>
    <w:rsid w:val="3EA74D69"/>
    <w:rsid w:val="3EBF06AC"/>
    <w:rsid w:val="3EBF1A02"/>
    <w:rsid w:val="3ECC18E2"/>
    <w:rsid w:val="3EE356CC"/>
    <w:rsid w:val="3EE4561E"/>
    <w:rsid w:val="3EEA380B"/>
    <w:rsid w:val="3EF61B43"/>
    <w:rsid w:val="3EF92450"/>
    <w:rsid w:val="3F273C8B"/>
    <w:rsid w:val="3F462221"/>
    <w:rsid w:val="3F4722BA"/>
    <w:rsid w:val="3F483622"/>
    <w:rsid w:val="3F5260BF"/>
    <w:rsid w:val="3F6831F6"/>
    <w:rsid w:val="3F6A2B2F"/>
    <w:rsid w:val="3F6D21B6"/>
    <w:rsid w:val="3F9A55F7"/>
    <w:rsid w:val="3FA10EC7"/>
    <w:rsid w:val="3FAB9587"/>
    <w:rsid w:val="3FC371C0"/>
    <w:rsid w:val="40362626"/>
    <w:rsid w:val="40364E18"/>
    <w:rsid w:val="403F039C"/>
    <w:rsid w:val="40514920"/>
    <w:rsid w:val="40731CBC"/>
    <w:rsid w:val="407A373D"/>
    <w:rsid w:val="40B165E5"/>
    <w:rsid w:val="40C6664D"/>
    <w:rsid w:val="40CA4338"/>
    <w:rsid w:val="40DA1722"/>
    <w:rsid w:val="40EA7AAF"/>
    <w:rsid w:val="41106765"/>
    <w:rsid w:val="413A4FDD"/>
    <w:rsid w:val="41544E62"/>
    <w:rsid w:val="418262C5"/>
    <w:rsid w:val="41992AA6"/>
    <w:rsid w:val="41B71715"/>
    <w:rsid w:val="41BD00D6"/>
    <w:rsid w:val="41BD0681"/>
    <w:rsid w:val="41C77D4B"/>
    <w:rsid w:val="420259DF"/>
    <w:rsid w:val="42030161"/>
    <w:rsid w:val="42136BAC"/>
    <w:rsid w:val="42837D76"/>
    <w:rsid w:val="42881E4F"/>
    <w:rsid w:val="428C1CDE"/>
    <w:rsid w:val="42AD3040"/>
    <w:rsid w:val="42B45E3C"/>
    <w:rsid w:val="42C9353F"/>
    <w:rsid w:val="43004890"/>
    <w:rsid w:val="431F6850"/>
    <w:rsid w:val="43341605"/>
    <w:rsid w:val="43437E38"/>
    <w:rsid w:val="437A3716"/>
    <w:rsid w:val="43B6787E"/>
    <w:rsid w:val="442C77A0"/>
    <w:rsid w:val="44755E9D"/>
    <w:rsid w:val="447E536E"/>
    <w:rsid w:val="44815822"/>
    <w:rsid w:val="448931E4"/>
    <w:rsid w:val="44A74DF9"/>
    <w:rsid w:val="44B81654"/>
    <w:rsid w:val="44BD2382"/>
    <w:rsid w:val="44C02A46"/>
    <w:rsid w:val="450F122F"/>
    <w:rsid w:val="45230553"/>
    <w:rsid w:val="4526151E"/>
    <w:rsid w:val="454C0A46"/>
    <w:rsid w:val="454E2DBC"/>
    <w:rsid w:val="4559152C"/>
    <w:rsid w:val="455A407E"/>
    <w:rsid w:val="455C4610"/>
    <w:rsid w:val="455C7514"/>
    <w:rsid w:val="45630328"/>
    <w:rsid w:val="456B2233"/>
    <w:rsid w:val="45CE5152"/>
    <w:rsid w:val="46092BE2"/>
    <w:rsid w:val="46437B84"/>
    <w:rsid w:val="464B240C"/>
    <w:rsid w:val="46541B0B"/>
    <w:rsid w:val="466A0570"/>
    <w:rsid w:val="466B2086"/>
    <w:rsid w:val="46746D7D"/>
    <w:rsid w:val="46817E6F"/>
    <w:rsid w:val="4684114E"/>
    <w:rsid w:val="469E7273"/>
    <w:rsid w:val="46A15184"/>
    <w:rsid w:val="46C37B03"/>
    <w:rsid w:val="46C76CF7"/>
    <w:rsid w:val="46C97B1B"/>
    <w:rsid w:val="46CA2B17"/>
    <w:rsid w:val="46D1519E"/>
    <w:rsid w:val="46FA2178"/>
    <w:rsid w:val="47052B53"/>
    <w:rsid w:val="474F593B"/>
    <w:rsid w:val="474F6CA0"/>
    <w:rsid w:val="47513153"/>
    <w:rsid w:val="475353E4"/>
    <w:rsid w:val="47727E71"/>
    <w:rsid w:val="4783785C"/>
    <w:rsid w:val="478F57A8"/>
    <w:rsid w:val="47E20459"/>
    <w:rsid w:val="482C35F1"/>
    <w:rsid w:val="48537D92"/>
    <w:rsid w:val="485E2B7A"/>
    <w:rsid w:val="4878618C"/>
    <w:rsid w:val="48852B40"/>
    <w:rsid w:val="488E14A2"/>
    <w:rsid w:val="48A93AC1"/>
    <w:rsid w:val="48AA2F95"/>
    <w:rsid w:val="48D94A2F"/>
    <w:rsid w:val="492E6652"/>
    <w:rsid w:val="495F3AE9"/>
    <w:rsid w:val="496E3407"/>
    <w:rsid w:val="497B1E65"/>
    <w:rsid w:val="49B87A85"/>
    <w:rsid w:val="49DE17B0"/>
    <w:rsid w:val="49F7130C"/>
    <w:rsid w:val="4A20276B"/>
    <w:rsid w:val="4A737647"/>
    <w:rsid w:val="4AAA4D3C"/>
    <w:rsid w:val="4ABC742C"/>
    <w:rsid w:val="4AF7641F"/>
    <w:rsid w:val="4B001F2A"/>
    <w:rsid w:val="4B250129"/>
    <w:rsid w:val="4B3F7805"/>
    <w:rsid w:val="4B644FB6"/>
    <w:rsid w:val="4B755E4E"/>
    <w:rsid w:val="4B7C0155"/>
    <w:rsid w:val="4B867EE4"/>
    <w:rsid w:val="4BA07F46"/>
    <w:rsid w:val="4C0D333F"/>
    <w:rsid w:val="4C125900"/>
    <w:rsid w:val="4C2C2D25"/>
    <w:rsid w:val="4C504C0F"/>
    <w:rsid w:val="4C554F61"/>
    <w:rsid w:val="4C7A19AE"/>
    <w:rsid w:val="4C8C3872"/>
    <w:rsid w:val="4C967A89"/>
    <w:rsid w:val="4C9D4309"/>
    <w:rsid w:val="4CA204D2"/>
    <w:rsid w:val="4CC318A1"/>
    <w:rsid w:val="4CC33D72"/>
    <w:rsid w:val="4D2573DC"/>
    <w:rsid w:val="4D383818"/>
    <w:rsid w:val="4D3F52E4"/>
    <w:rsid w:val="4D4A2F19"/>
    <w:rsid w:val="4D561B28"/>
    <w:rsid w:val="4D61607B"/>
    <w:rsid w:val="4D6A51EC"/>
    <w:rsid w:val="4D80488B"/>
    <w:rsid w:val="4D8A36A5"/>
    <w:rsid w:val="4D9A78DB"/>
    <w:rsid w:val="4DAE328E"/>
    <w:rsid w:val="4DF159DF"/>
    <w:rsid w:val="4DF833EA"/>
    <w:rsid w:val="4E3D4768"/>
    <w:rsid w:val="4E4C2CC5"/>
    <w:rsid w:val="4E7545B3"/>
    <w:rsid w:val="4E8C6F83"/>
    <w:rsid w:val="4ECA5207"/>
    <w:rsid w:val="4EEB60DE"/>
    <w:rsid w:val="4EF91399"/>
    <w:rsid w:val="4F36201B"/>
    <w:rsid w:val="4F4150B5"/>
    <w:rsid w:val="4F558D38"/>
    <w:rsid w:val="4F933D4E"/>
    <w:rsid w:val="4F9618D2"/>
    <w:rsid w:val="4FD7219B"/>
    <w:rsid w:val="4FE54E39"/>
    <w:rsid w:val="4FE77CCF"/>
    <w:rsid w:val="50155044"/>
    <w:rsid w:val="501B1EC4"/>
    <w:rsid w:val="50220A93"/>
    <w:rsid w:val="50790C52"/>
    <w:rsid w:val="507E5302"/>
    <w:rsid w:val="50A67B01"/>
    <w:rsid w:val="50BE65BB"/>
    <w:rsid w:val="50CF4EA2"/>
    <w:rsid w:val="50E61C76"/>
    <w:rsid w:val="50F32564"/>
    <w:rsid w:val="50F45036"/>
    <w:rsid w:val="510431CC"/>
    <w:rsid w:val="510641F5"/>
    <w:rsid w:val="5124605D"/>
    <w:rsid w:val="5158562D"/>
    <w:rsid w:val="515F6F33"/>
    <w:rsid w:val="516B672F"/>
    <w:rsid w:val="5183103D"/>
    <w:rsid w:val="519D4A70"/>
    <w:rsid w:val="51A5225C"/>
    <w:rsid w:val="51A5521F"/>
    <w:rsid w:val="51D21D5C"/>
    <w:rsid w:val="51D53CE3"/>
    <w:rsid w:val="52893B38"/>
    <w:rsid w:val="52B92CF3"/>
    <w:rsid w:val="52C26EB6"/>
    <w:rsid w:val="52DF63B7"/>
    <w:rsid w:val="53267713"/>
    <w:rsid w:val="532A215B"/>
    <w:rsid w:val="532A6877"/>
    <w:rsid w:val="532D7C66"/>
    <w:rsid w:val="53660E4D"/>
    <w:rsid w:val="538873A9"/>
    <w:rsid w:val="53927493"/>
    <w:rsid w:val="53B2390E"/>
    <w:rsid w:val="53CF30D3"/>
    <w:rsid w:val="53F84B25"/>
    <w:rsid w:val="541A6CB0"/>
    <w:rsid w:val="54400C3A"/>
    <w:rsid w:val="54433E30"/>
    <w:rsid w:val="546C22B1"/>
    <w:rsid w:val="546E77AC"/>
    <w:rsid w:val="54F41406"/>
    <w:rsid w:val="55022531"/>
    <w:rsid w:val="55100FAB"/>
    <w:rsid w:val="552A2435"/>
    <w:rsid w:val="555F27B7"/>
    <w:rsid w:val="559A127D"/>
    <w:rsid w:val="55BA3E90"/>
    <w:rsid w:val="55FF1708"/>
    <w:rsid w:val="561F5757"/>
    <w:rsid w:val="562E4A58"/>
    <w:rsid w:val="56413E5F"/>
    <w:rsid w:val="56713A00"/>
    <w:rsid w:val="569C064B"/>
    <w:rsid w:val="56AB1989"/>
    <w:rsid w:val="56EC4C5A"/>
    <w:rsid w:val="56EF3F3B"/>
    <w:rsid w:val="57003AA0"/>
    <w:rsid w:val="57241DDF"/>
    <w:rsid w:val="57402B58"/>
    <w:rsid w:val="57574A4A"/>
    <w:rsid w:val="577668D8"/>
    <w:rsid w:val="577B1F7B"/>
    <w:rsid w:val="5788736A"/>
    <w:rsid w:val="57B96D97"/>
    <w:rsid w:val="57EFC018"/>
    <w:rsid w:val="5800777A"/>
    <w:rsid w:val="580C4DAC"/>
    <w:rsid w:val="582F3DDC"/>
    <w:rsid w:val="585330DD"/>
    <w:rsid w:val="585A0C9D"/>
    <w:rsid w:val="58612314"/>
    <w:rsid w:val="586674DE"/>
    <w:rsid w:val="58A50DC5"/>
    <w:rsid w:val="58AD6527"/>
    <w:rsid w:val="58B23B51"/>
    <w:rsid w:val="58B87200"/>
    <w:rsid w:val="58C270F3"/>
    <w:rsid w:val="58D42829"/>
    <w:rsid w:val="59935BF8"/>
    <w:rsid w:val="599F63F1"/>
    <w:rsid w:val="59C92BA6"/>
    <w:rsid w:val="59D51158"/>
    <w:rsid w:val="59DFB554"/>
    <w:rsid w:val="59E7760E"/>
    <w:rsid w:val="5A1E2EBF"/>
    <w:rsid w:val="5A22189E"/>
    <w:rsid w:val="5A2275C4"/>
    <w:rsid w:val="5A4405DB"/>
    <w:rsid w:val="5A723541"/>
    <w:rsid w:val="5A733210"/>
    <w:rsid w:val="5A821D7E"/>
    <w:rsid w:val="5AB30D7F"/>
    <w:rsid w:val="5AD13D15"/>
    <w:rsid w:val="5AD7EA35"/>
    <w:rsid w:val="5AD8003E"/>
    <w:rsid w:val="5AE2699F"/>
    <w:rsid w:val="5AE832A1"/>
    <w:rsid w:val="5AEB5F0A"/>
    <w:rsid w:val="5AF03ABC"/>
    <w:rsid w:val="5B0548A1"/>
    <w:rsid w:val="5B076689"/>
    <w:rsid w:val="5B0E7C39"/>
    <w:rsid w:val="5B2479CD"/>
    <w:rsid w:val="5B4F07D2"/>
    <w:rsid w:val="5B6A1A46"/>
    <w:rsid w:val="5B925DC4"/>
    <w:rsid w:val="5BB444A0"/>
    <w:rsid w:val="5BBA659A"/>
    <w:rsid w:val="5BCD76ED"/>
    <w:rsid w:val="5BE3431E"/>
    <w:rsid w:val="5C295E64"/>
    <w:rsid w:val="5C4708E2"/>
    <w:rsid w:val="5C4D4B15"/>
    <w:rsid w:val="5C6711A6"/>
    <w:rsid w:val="5C676FEF"/>
    <w:rsid w:val="5C7911C1"/>
    <w:rsid w:val="5C896E52"/>
    <w:rsid w:val="5CB97556"/>
    <w:rsid w:val="5CD763DF"/>
    <w:rsid w:val="5CFF6209"/>
    <w:rsid w:val="5D147F21"/>
    <w:rsid w:val="5D2022A7"/>
    <w:rsid w:val="5D59787B"/>
    <w:rsid w:val="5D7824E2"/>
    <w:rsid w:val="5D7A6D30"/>
    <w:rsid w:val="5D825714"/>
    <w:rsid w:val="5D8A171E"/>
    <w:rsid w:val="5DB34885"/>
    <w:rsid w:val="5DC012A8"/>
    <w:rsid w:val="5DCFCBF4"/>
    <w:rsid w:val="5DD4154E"/>
    <w:rsid w:val="5DD561D7"/>
    <w:rsid w:val="5DDD1E89"/>
    <w:rsid w:val="5E0211EA"/>
    <w:rsid w:val="5E04659E"/>
    <w:rsid w:val="5E057212"/>
    <w:rsid w:val="5E1D701D"/>
    <w:rsid w:val="5E46095D"/>
    <w:rsid w:val="5E670A99"/>
    <w:rsid w:val="5E800D5D"/>
    <w:rsid w:val="5E9A5EC0"/>
    <w:rsid w:val="5EDE2BCE"/>
    <w:rsid w:val="5EE22A1F"/>
    <w:rsid w:val="5EEE689D"/>
    <w:rsid w:val="5F04678A"/>
    <w:rsid w:val="5F0C5553"/>
    <w:rsid w:val="5F28125A"/>
    <w:rsid w:val="5F610AE3"/>
    <w:rsid w:val="5F7C4614"/>
    <w:rsid w:val="5FC95EF6"/>
    <w:rsid w:val="5FDE13C4"/>
    <w:rsid w:val="5FF5708F"/>
    <w:rsid w:val="602921AB"/>
    <w:rsid w:val="60444797"/>
    <w:rsid w:val="6052600D"/>
    <w:rsid w:val="605C5A89"/>
    <w:rsid w:val="606E218A"/>
    <w:rsid w:val="60973376"/>
    <w:rsid w:val="60B272AE"/>
    <w:rsid w:val="60BA4E26"/>
    <w:rsid w:val="60C658DC"/>
    <w:rsid w:val="6134697E"/>
    <w:rsid w:val="615878CD"/>
    <w:rsid w:val="61844B11"/>
    <w:rsid w:val="61AB3601"/>
    <w:rsid w:val="61CF2242"/>
    <w:rsid w:val="61D246DF"/>
    <w:rsid w:val="61D40079"/>
    <w:rsid w:val="61DC3528"/>
    <w:rsid w:val="61E105AD"/>
    <w:rsid w:val="61E73C62"/>
    <w:rsid w:val="6207324A"/>
    <w:rsid w:val="620B05CA"/>
    <w:rsid w:val="624378FD"/>
    <w:rsid w:val="62514C10"/>
    <w:rsid w:val="629B395B"/>
    <w:rsid w:val="62B86D17"/>
    <w:rsid w:val="62CA26D6"/>
    <w:rsid w:val="62EF4C63"/>
    <w:rsid w:val="63586A67"/>
    <w:rsid w:val="63627F9A"/>
    <w:rsid w:val="63D629A4"/>
    <w:rsid w:val="63F320A5"/>
    <w:rsid w:val="640C577E"/>
    <w:rsid w:val="6411533D"/>
    <w:rsid w:val="643465F6"/>
    <w:rsid w:val="643B5E64"/>
    <w:rsid w:val="64413410"/>
    <w:rsid w:val="645A2833"/>
    <w:rsid w:val="645D0EE6"/>
    <w:rsid w:val="64740137"/>
    <w:rsid w:val="648037B1"/>
    <w:rsid w:val="64865018"/>
    <w:rsid w:val="64901BE3"/>
    <w:rsid w:val="64A70220"/>
    <w:rsid w:val="64CB348D"/>
    <w:rsid w:val="650944E1"/>
    <w:rsid w:val="6524556B"/>
    <w:rsid w:val="654A50DA"/>
    <w:rsid w:val="656B7FC9"/>
    <w:rsid w:val="6583367A"/>
    <w:rsid w:val="65883A29"/>
    <w:rsid w:val="65A518E0"/>
    <w:rsid w:val="65B93AF0"/>
    <w:rsid w:val="65BD5C17"/>
    <w:rsid w:val="65E81849"/>
    <w:rsid w:val="65FB7E49"/>
    <w:rsid w:val="66034543"/>
    <w:rsid w:val="66165B8B"/>
    <w:rsid w:val="66354F5D"/>
    <w:rsid w:val="6636487C"/>
    <w:rsid w:val="66530B95"/>
    <w:rsid w:val="66597983"/>
    <w:rsid w:val="66811E6C"/>
    <w:rsid w:val="66C33EDD"/>
    <w:rsid w:val="66CA7E60"/>
    <w:rsid w:val="66CC2471"/>
    <w:rsid w:val="66DC155C"/>
    <w:rsid w:val="66F1161B"/>
    <w:rsid w:val="66FF4405"/>
    <w:rsid w:val="673B44D4"/>
    <w:rsid w:val="6747743E"/>
    <w:rsid w:val="675D6F15"/>
    <w:rsid w:val="67836B55"/>
    <w:rsid w:val="679B509B"/>
    <w:rsid w:val="67AD188E"/>
    <w:rsid w:val="67B13B80"/>
    <w:rsid w:val="67BD1831"/>
    <w:rsid w:val="67C86B71"/>
    <w:rsid w:val="67EE1D97"/>
    <w:rsid w:val="67EE3E48"/>
    <w:rsid w:val="67F041D0"/>
    <w:rsid w:val="682171EF"/>
    <w:rsid w:val="682D6A61"/>
    <w:rsid w:val="68492C03"/>
    <w:rsid w:val="6864620A"/>
    <w:rsid w:val="686E6850"/>
    <w:rsid w:val="68891A7E"/>
    <w:rsid w:val="68B73295"/>
    <w:rsid w:val="68BE77D6"/>
    <w:rsid w:val="68E33E2F"/>
    <w:rsid w:val="68E34FCC"/>
    <w:rsid w:val="68F50051"/>
    <w:rsid w:val="69357B22"/>
    <w:rsid w:val="69727ECC"/>
    <w:rsid w:val="69B57C36"/>
    <w:rsid w:val="69C654AF"/>
    <w:rsid w:val="69C67F6C"/>
    <w:rsid w:val="69D244C9"/>
    <w:rsid w:val="69DA61B1"/>
    <w:rsid w:val="69E44A41"/>
    <w:rsid w:val="69EC719D"/>
    <w:rsid w:val="69F46AE6"/>
    <w:rsid w:val="69F86C6B"/>
    <w:rsid w:val="6A1A42BD"/>
    <w:rsid w:val="6A2B27F7"/>
    <w:rsid w:val="6A301C5F"/>
    <w:rsid w:val="6A5873F7"/>
    <w:rsid w:val="6A5B23A8"/>
    <w:rsid w:val="6A871651"/>
    <w:rsid w:val="6A9D35A9"/>
    <w:rsid w:val="6A9D5CE7"/>
    <w:rsid w:val="6AA572EE"/>
    <w:rsid w:val="6AAC6605"/>
    <w:rsid w:val="6AB37396"/>
    <w:rsid w:val="6AD87B6B"/>
    <w:rsid w:val="6AD9404B"/>
    <w:rsid w:val="6B055937"/>
    <w:rsid w:val="6B3433A7"/>
    <w:rsid w:val="6B3C374C"/>
    <w:rsid w:val="6B3F54D1"/>
    <w:rsid w:val="6B4A4CB8"/>
    <w:rsid w:val="6B560E7C"/>
    <w:rsid w:val="6BA47ECC"/>
    <w:rsid w:val="6BE22861"/>
    <w:rsid w:val="6BED36D4"/>
    <w:rsid w:val="6C100EE4"/>
    <w:rsid w:val="6C122587"/>
    <w:rsid w:val="6C5F03A7"/>
    <w:rsid w:val="6C8A1D13"/>
    <w:rsid w:val="6C917357"/>
    <w:rsid w:val="6C94577E"/>
    <w:rsid w:val="6C9D7AE2"/>
    <w:rsid w:val="6CA3317F"/>
    <w:rsid w:val="6CB63906"/>
    <w:rsid w:val="6CCC4535"/>
    <w:rsid w:val="6CD8227B"/>
    <w:rsid w:val="6CDF79AE"/>
    <w:rsid w:val="6CEE5C45"/>
    <w:rsid w:val="6D264B87"/>
    <w:rsid w:val="6D334840"/>
    <w:rsid w:val="6D383C35"/>
    <w:rsid w:val="6D41478D"/>
    <w:rsid w:val="6DA96A24"/>
    <w:rsid w:val="6DB0614A"/>
    <w:rsid w:val="6DDA6D23"/>
    <w:rsid w:val="6DFC4659"/>
    <w:rsid w:val="6E23579F"/>
    <w:rsid w:val="6E61737E"/>
    <w:rsid w:val="6E9425AA"/>
    <w:rsid w:val="6EDC01F3"/>
    <w:rsid w:val="6EE852C9"/>
    <w:rsid w:val="6EE85D5A"/>
    <w:rsid w:val="6EF43CBE"/>
    <w:rsid w:val="6EFF75BC"/>
    <w:rsid w:val="6F40431D"/>
    <w:rsid w:val="6F454EBE"/>
    <w:rsid w:val="6F6F01BA"/>
    <w:rsid w:val="6F7431A5"/>
    <w:rsid w:val="6FAF70D8"/>
    <w:rsid w:val="700542CF"/>
    <w:rsid w:val="70067EAF"/>
    <w:rsid w:val="7017719F"/>
    <w:rsid w:val="702C3D17"/>
    <w:rsid w:val="705D1722"/>
    <w:rsid w:val="707904AF"/>
    <w:rsid w:val="708A5435"/>
    <w:rsid w:val="70954B50"/>
    <w:rsid w:val="70D84F08"/>
    <w:rsid w:val="70DC0534"/>
    <w:rsid w:val="70EF1EBE"/>
    <w:rsid w:val="70F05647"/>
    <w:rsid w:val="70F127EC"/>
    <w:rsid w:val="71172F8F"/>
    <w:rsid w:val="71271A99"/>
    <w:rsid w:val="71280A50"/>
    <w:rsid w:val="714A047F"/>
    <w:rsid w:val="71C750FD"/>
    <w:rsid w:val="71FA3285"/>
    <w:rsid w:val="71FB0C42"/>
    <w:rsid w:val="72156BDC"/>
    <w:rsid w:val="7240241C"/>
    <w:rsid w:val="725325B9"/>
    <w:rsid w:val="729C4FE8"/>
    <w:rsid w:val="72CD0ACC"/>
    <w:rsid w:val="72D8146F"/>
    <w:rsid w:val="72E56B82"/>
    <w:rsid w:val="730E11F5"/>
    <w:rsid w:val="73134A84"/>
    <w:rsid w:val="73320AB2"/>
    <w:rsid w:val="733777E5"/>
    <w:rsid w:val="735E30EB"/>
    <w:rsid w:val="737A29C8"/>
    <w:rsid w:val="737B2C45"/>
    <w:rsid w:val="738960F4"/>
    <w:rsid w:val="73A87BE1"/>
    <w:rsid w:val="73AD1377"/>
    <w:rsid w:val="73B45E43"/>
    <w:rsid w:val="73C257A9"/>
    <w:rsid w:val="73C87C53"/>
    <w:rsid w:val="74322701"/>
    <w:rsid w:val="74325D83"/>
    <w:rsid w:val="74886ECF"/>
    <w:rsid w:val="748927BB"/>
    <w:rsid w:val="74B573FA"/>
    <w:rsid w:val="74BD3991"/>
    <w:rsid w:val="74C53BAA"/>
    <w:rsid w:val="75193D02"/>
    <w:rsid w:val="75262B24"/>
    <w:rsid w:val="753C5536"/>
    <w:rsid w:val="754C0BDD"/>
    <w:rsid w:val="75506DCD"/>
    <w:rsid w:val="75753A19"/>
    <w:rsid w:val="7594531B"/>
    <w:rsid w:val="75B23AEC"/>
    <w:rsid w:val="761147F7"/>
    <w:rsid w:val="76124DDB"/>
    <w:rsid w:val="76131FAD"/>
    <w:rsid w:val="76541B52"/>
    <w:rsid w:val="76545974"/>
    <w:rsid w:val="76631FBE"/>
    <w:rsid w:val="767C4BA7"/>
    <w:rsid w:val="76940F04"/>
    <w:rsid w:val="76A73AB6"/>
    <w:rsid w:val="76EC4CF3"/>
    <w:rsid w:val="77071EED"/>
    <w:rsid w:val="771A62D5"/>
    <w:rsid w:val="773D695F"/>
    <w:rsid w:val="777F10AD"/>
    <w:rsid w:val="778A1748"/>
    <w:rsid w:val="779D74D2"/>
    <w:rsid w:val="77AF6678"/>
    <w:rsid w:val="77BB799E"/>
    <w:rsid w:val="77C668C8"/>
    <w:rsid w:val="77C9104E"/>
    <w:rsid w:val="77D93CE2"/>
    <w:rsid w:val="77DB0011"/>
    <w:rsid w:val="77FB65F4"/>
    <w:rsid w:val="784638DC"/>
    <w:rsid w:val="78872317"/>
    <w:rsid w:val="788E4D40"/>
    <w:rsid w:val="789F1821"/>
    <w:rsid w:val="78A04566"/>
    <w:rsid w:val="78A23952"/>
    <w:rsid w:val="78AB724C"/>
    <w:rsid w:val="78C668C6"/>
    <w:rsid w:val="78F14E8C"/>
    <w:rsid w:val="78FA0EF9"/>
    <w:rsid w:val="79166124"/>
    <w:rsid w:val="79452834"/>
    <w:rsid w:val="794A1426"/>
    <w:rsid w:val="79513EE5"/>
    <w:rsid w:val="796373CE"/>
    <w:rsid w:val="79752E15"/>
    <w:rsid w:val="7986762D"/>
    <w:rsid w:val="798D25F3"/>
    <w:rsid w:val="79947E62"/>
    <w:rsid w:val="7A032C45"/>
    <w:rsid w:val="7A2031D0"/>
    <w:rsid w:val="7A274EA5"/>
    <w:rsid w:val="7A294D05"/>
    <w:rsid w:val="7A3C6CE3"/>
    <w:rsid w:val="7A61275D"/>
    <w:rsid w:val="7AE2507A"/>
    <w:rsid w:val="7AEF4279"/>
    <w:rsid w:val="7B440947"/>
    <w:rsid w:val="7B680518"/>
    <w:rsid w:val="7B845591"/>
    <w:rsid w:val="7B9C09F7"/>
    <w:rsid w:val="7BA22B28"/>
    <w:rsid w:val="7BB67DF0"/>
    <w:rsid w:val="7BCE6592"/>
    <w:rsid w:val="7BD470B1"/>
    <w:rsid w:val="7BFF33D1"/>
    <w:rsid w:val="7C095FFB"/>
    <w:rsid w:val="7C1B06EF"/>
    <w:rsid w:val="7C513815"/>
    <w:rsid w:val="7C7D7DFF"/>
    <w:rsid w:val="7CA02F92"/>
    <w:rsid w:val="7CBB184D"/>
    <w:rsid w:val="7CBFD74B"/>
    <w:rsid w:val="7CC25155"/>
    <w:rsid w:val="7CD80D19"/>
    <w:rsid w:val="7CDD7B0A"/>
    <w:rsid w:val="7CF768F6"/>
    <w:rsid w:val="7D0F77C3"/>
    <w:rsid w:val="7D262DC0"/>
    <w:rsid w:val="7D97153D"/>
    <w:rsid w:val="7DAF5028"/>
    <w:rsid w:val="7DD47F90"/>
    <w:rsid w:val="7DE00084"/>
    <w:rsid w:val="7DE51BAC"/>
    <w:rsid w:val="7DF84430"/>
    <w:rsid w:val="7E05660C"/>
    <w:rsid w:val="7E066114"/>
    <w:rsid w:val="7E14747D"/>
    <w:rsid w:val="7E31265F"/>
    <w:rsid w:val="7E34791B"/>
    <w:rsid w:val="7E474839"/>
    <w:rsid w:val="7E4E095B"/>
    <w:rsid w:val="7E576ED2"/>
    <w:rsid w:val="7E800BD5"/>
    <w:rsid w:val="7EAD5E52"/>
    <w:rsid w:val="7EB350E2"/>
    <w:rsid w:val="7ECB1633"/>
    <w:rsid w:val="7EE7670E"/>
    <w:rsid w:val="7F14310F"/>
    <w:rsid w:val="7F1AF6A5"/>
    <w:rsid w:val="7F1E4F1B"/>
    <w:rsid w:val="7F520C41"/>
    <w:rsid w:val="7F5FA9C2"/>
    <w:rsid w:val="7FB31091"/>
    <w:rsid w:val="7FE9211E"/>
    <w:rsid w:val="97ED56B2"/>
    <w:rsid w:val="A36FE5A7"/>
    <w:rsid w:val="A76BB730"/>
    <w:rsid w:val="B7F57382"/>
    <w:rsid w:val="DF2E4632"/>
    <w:rsid w:val="F5ADB4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Theme="minorEastAsia" w:cstheme="minorBidi"/>
      <w:kern w:val="2"/>
      <w:sz w:val="24"/>
      <w:szCs w:val="22"/>
      <w:lang w:val="en-US" w:eastAsia="zh-CN" w:bidi="ar-SA"/>
    </w:rPr>
  </w:style>
  <w:style w:type="paragraph" w:styleId="2">
    <w:name w:val="heading 1"/>
    <w:basedOn w:val="1"/>
    <w:next w:val="1"/>
    <w:link w:val="40"/>
    <w:qFormat/>
    <w:uiPriority w:val="9"/>
    <w:pPr>
      <w:keepNext/>
      <w:keepLines/>
      <w:ind w:firstLine="0" w:firstLineChars="0"/>
      <w:jc w:val="left"/>
      <w:outlineLvl w:val="0"/>
    </w:pPr>
    <w:rPr>
      <w:rFonts w:eastAsia="黑体"/>
      <w:b/>
      <w:bCs/>
      <w:kern w:val="44"/>
      <w:sz w:val="32"/>
      <w:szCs w:val="44"/>
    </w:rPr>
  </w:style>
  <w:style w:type="paragraph" w:styleId="3">
    <w:name w:val="heading 2"/>
    <w:basedOn w:val="1"/>
    <w:next w:val="1"/>
    <w:link w:val="41"/>
    <w:unhideWhenUsed/>
    <w:qFormat/>
    <w:uiPriority w:val="9"/>
    <w:pPr>
      <w:keepNext/>
      <w:keepLines/>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2"/>
    <w:unhideWhenUsed/>
    <w:qFormat/>
    <w:uiPriority w:val="9"/>
    <w:pPr>
      <w:keepNext/>
      <w:keepLines/>
      <w:ind w:firstLine="0" w:firstLineChars="0"/>
      <w:outlineLvl w:val="2"/>
    </w:pPr>
    <w:rPr>
      <w:rFonts w:eastAsia="黑体"/>
      <w:b/>
      <w:bCs/>
      <w:sz w:val="28"/>
      <w:szCs w:val="32"/>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34">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1440"/>
      <w:jc w:val="left"/>
    </w:pPr>
    <w:rPr>
      <w:rFonts w:asciiTheme="minorHAnsi" w:hAnsiTheme="minorHAnsi"/>
      <w:sz w:val="18"/>
      <w:szCs w:val="18"/>
    </w:rPr>
  </w:style>
  <w:style w:type="paragraph" w:styleId="7">
    <w:name w:val="caption"/>
    <w:basedOn w:val="1"/>
    <w:next w:val="1"/>
    <w:qFormat/>
    <w:uiPriority w:val="0"/>
    <w:rPr>
      <w:rFonts w:ascii="Cambria" w:hAnsi="Cambria" w:eastAsia="黑体"/>
      <w:sz w:val="20"/>
      <w:szCs w:val="20"/>
    </w:rPr>
  </w:style>
  <w:style w:type="paragraph" w:styleId="8">
    <w:name w:val="annotation text"/>
    <w:basedOn w:val="1"/>
    <w:link w:val="70"/>
    <w:unhideWhenUsed/>
    <w:qFormat/>
    <w:uiPriority w:val="99"/>
    <w:pPr>
      <w:jc w:val="left"/>
    </w:pPr>
  </w:style>
  <w:style w:type="paragraph" w:styleId="9">
    <w:name w:val="Body Text"/>
    <w:basedOn w:val="1"/>
    <w:next w:val="1"/>
    <w:link w:val="57"/>
    <w:unhideWhenUsed/>
    <w:qFormat/>
    <w:uiPriority w:val="0"/>
    <w:pPr>
      <w:spacing w:after="120"/>
    </w:pPr>
  </w:style>
  <w:style w:type="paragraph" w:styleId="10">
    <w:name w:val="Body Text Indent"/>
    <w:basedOn w:val="1"/>
    <w:next w:val="11"/>
    <w:qFormat/>
    <w:uiPriority w:val="0"/>
    <w:pPr>
      <w:ind w:left="420" w:leftChars="200"/>
    </w:pPr>
  </w:style>
  <w:style w:type="paragraph" w:customStyle="1" w:styleId="11">
    <w:name w:val="样式 正文文本缩进 + 行距: 1.5 倍行距"/>
    <w:basedOn w:val="1"/>
    <w:qFormat/>
    <w:uiPriority w:val="0"/>
    <w:pPr>
      <w:spacing w:after="120"/>
      <w:ind w:left="90" w:leftChars="32" w:firstLine="560" w:firstLineChars="200"/>
    </w:pPr>
    <w:rPr>
      <w:rFonts w:cs="宋体"/>
    </w:rPr>
  </w:style>
  <w:style w:type="paragraph" w:styleId="12">
    <w:name w:val="toc 5"/>
    <w:basedOn w:val="1"/>
    <w:next w:val="1"/>
    <w:unhideWhenUsed/>
    <w:qFormat/>
    <w:uiPriority w:val="39"/>
    <w:pPr>
      <w:ind w:left="960"/>
      <w:jc w:val="left"/>
    </w:pPr>
    <w:rPr>
      <w:rFonts w:asciiTheme="minorHAnsi" w:hAnsiTheme="minorHAnsi"/>
      <w:sz w:val="18"/>
      <w:szCs w:val="18"/>
    </w:rPr>
  </w:style>
  <w:style w:type="paragraph" w:styleId="13">
    <w:name w:val="toc 3"/>
    <w:basedOn w:val="1"/>
    <w:next w:val="1"/>
    <w:unhideWhenUsed/>
    <w:qFormat/>
    <w:uiPriority w:val="39"/>
    <w:pPr>
      <w:ind w:left="480"/>
      <w:jc w:val="left"/>
    </w:pPr>
    <w:rPr>
      <w:rFonts w:asciiTheme="minorHAnsi" w:hAnsiTheme="minorHAnsi"/>
      <w:i/>
      <w:iCs/>
      <w:sz w:val="20"/>
      <w:szCs w:val="20"/>
    </w:rPr>
  </w:style>
  <w:style w:type="paragraph" w:styleId="14">
    <w:name w:val="Plain Text"/>
    <w:basedOn w:val="1"/>
    <w:link w:val="55"/>
    <w:qFormat/>
    <w:uiPriority w:val="0"/>
    <w:pPr>
      <w:spacing w:line="240" w:lineRule="auto"/>
      <w:ind w:firstLine="0" w:firstLineChars="0"/>
    </w:pPr>
    <w:rPr>
      <w:rFonts w:ascii="宋体" w:hAnsi="Courier New" w:eastAsia="宋体" w:cs="Times New Roman"/>
      <w:sz w:val="28"/>
      <w:szCs w:val="20"/>
    </w:rPr>
  </w:style>
  <w:style w:type="paragraph" w:styleId="15">
    <w:name w:val="toc 8"/>
    <w:basedOn w:val="1"/>
    <w:next w:val="1"/>
    <w:unhideWhenUsed/>
    <w:qFormat/>
    <w:uiPriority w:val="39"/>
    <w:pPr>
      <w:ind w:left="1680"/>
      <w:jc w:val="left"/>
    </w:pPr>
    <w:rPr>
      <w:rFonts w:asciiTheme="minorHAnsi" w:hAnsiTheme="minorHAnsi"/>
      <w:sz w:val="18"/>
      <w:szCs w:val="18"/>
    </w:rPr>
  </w:style>
  <w:style w:type="paragraph" w:styleId="16">
    <w:name w:val="Date"/>
    <w:basedOn w:val="1"/>
    <w:next w:val="1"/>
    <w:link w:val="49"/>
    <w:unhideWhenUsed/>
    <w:qFormat/>
    <w:uiPriority w:val="99"/>
    <w:pPr>
      <w:ind w:left="100" w:leftChars="2500"/>
    </w:pPr>
  </w:style>
  <w:style w:type="paragraph" w:styleId="17">
    <w:name w:val="Balloon Text"/>
    <w:basedOn w:val="1"/>
    <w:link w:val="48"/>
    <w:unhideWhenUsed/>
    <w:qFormat/>
    <w:uiPriority w:val="99"/>
    <w:pPr>
      <w:spacing w:line="240" w:lineRule="auto"/>
    </w:pPr>
    <w:rPr>
      <w:sz w:val="18"/>
      <w:szCs w:val="18"/>
    </w:rPr>
  </w:style>
  <w:style w:type="paragraph" w:styleId="18">
    <w:name w:val="footer"/>
    <w:basedOn w:val="1"/>
    <w:link w:val="47"/>
    <w:unhideWhenUsed/>
    <w:qFormat/>
    <w:uiPriority w:val="99"/>
    <w:pPr>
      <w:tabs>
        <w:tab w:val="center" w:pos="4153"/>
        <w:tab w:val="right" w:pos="8306"/>
      </w:tabs>
      <w:snapToGrid w:val="0"/>
      <w:spacing w:line="240" w:lineRule="auto"/>
      <w:jc w:val="left"/>
    </w:pPr>
    <w:rPr>
      <w:sz w:val="18"/>
      <w:szCs w:val="18"/>
    </w:rPr>
  </w:style>
  <w:style w:type="paragraph" w:styleId="19">
    <w:name w:val="header"/>
    <w:basedOn w:val="1"/>
    <w:next w:val="1"/>
    <w:link w:val="46"/>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unhideWhenUsed/>
    <w:qFormat/>
    <w:uiPriority w:val="39"/>
    <w:pPr>
      <w:ind w:firstLine="0" w:firstLineChars="0"/>
      <w:jc w:val="left"/>
    </w:pPr>
    <w:rPr>
      <w:rFonts w:asciiTheme="minorHAnsi" w:hAnsiTheme="minorHAnsi"/>
      <w:b/>
      <w:bCs/>
      <w:caps/>
      <w:sz w:val="20"/>
      <w:szCs w:val="20"/>
    </w:rPr>
  </w:style>
  <w:style w:type="paragraph" w:styleId="21">
    <w:name w:val="toc 4"/>
    <w:basedOn w:val="1"/>
    <w:next w:val="1"/>
    <w:unhideWhenUsed/>
    <w:qFormat/>
    <w:uiPriority w:val="39"/>
    <w:pPr>
      <w:ind w:left="720"/>
      <w:jc w:val="left"/>
    </w:pPr>
    <w:rPr>
      <w:rFonts w:asciiTheme="minorHAnsi" w:hAnsiTheme="minorHAnsi"/>
      <w:sz w:val="18"/>
      <w:szCs w:val="18"/>
    </w:rPr>
  </w:style>
  <w:style w:type="paragraph" w:styleId="22">
    <w:name w:val="Subtitle"/>
    <w:basedOn w:val="1"/>
    <w:next w:val="1"/>
    <w:link w:val="44"/>
    <w:qFormat/>
    <w:uiPriority w:val="0"/>
    <w:pPr>
      <w:spacing w:line="240" w:lineRule="auto"/>
      <w:ind w:firstLine="0" w:firstLineChars="0"/>
      <w:jc w:val="center"/>
    </w:pPr>
    <w:rPr>
      <w:rFonts w:eastAsia="宋体" w:cstheme="majorBidi"/>
      <w:bCs/>
      <w:kern w:val="28"/>
      <w:sz w:val="21"/>
      <w:szCs w:val="32"/>
    </w:rPr>
  </w:style>
  <w:style w:type="paragraph" w:styleId="23">
    <w:name w:val="toc 6"/>
    <w:basedOn w:val="1"/>
    <w:next w:val="1"/>
    <w:unhideWhenUsed/>
    <w:qFormat/>
    <w:uiPriority w:val="39"/>
    <w:pPr>
      <w:ind w:left="1200"/>
      <w:jc w:val="left"/>
    </w:pPr>
    <w:rPr>
      <w:rFonts w:asciiTheme="minorHAnsi" w:hAnsiTheme="minorHAnsi"/>
      <w:sz w:val="18"/>
      <w:szCs w:val="18"/>
    </w:rPr>
  </w:style>
  <w:style w:type="paragraph" w:styleId="24">
    <w:name w:val="toc 2"/>
    <w:basedOn w:val="1"/>
    <w:next w:val="1"/>
    <w:unhideWhenUsed/>
    <w:qFormat/>
    <w:uiPriority w:val="39"/>
    <w:pPr>
      <w:tabs>
        <w:tab w:val="right" w:leader="dot" w:pos="9060"/>
      </w:tabs>
      <w:ind w:firstLine="400"/>
      <w:jc w:val="left"/>
    </w:pPr>
    <w:rPr>
      <w:rFonts w:asciiTheme="minorHAnsi" w:hAnsiTheme="minorHAnsi"/>
      <w:smallCaps/>
      <w:sz w:val="20"/>
      <w:szCs w:val="20"/>
    </w:rPr>
  </w:style>
  <w:style w:type="paragraph" w:styleId="25">
    <w:name w:val="toc 9"/>
    <w:basedOn w:val="1"/>
    <w:next w:val="1"/>
    <w:unhideWhenUsed/>
    <w:qFormat/>
    <w:uiPriority w:val="39"/>
    <w:pPr>
      <w:ind w:left="1920"/>
      <w:jc w:val="left"/>
    </w:pPr>
    <w:rPr>
      <w:rFonts w:asciiTheme="minorHAnsi" w:hAnsiTheme="minorHAnsi"/>
      <w:sz w:val="18"/>
      <w:szCs w:val="18"/>
    </w:rPr>
  </w:style>
  <w:style w:type="paragraph" w:styleId="26">
    <w:name w:val="Normal (Web)"/>
    <w:basedOn w:val="1"/>
    <w:qFormat/>
    <w:uiPriority w:val="99"/>
    <w:pPr>
      <w:widowControl/>
      <w:spacing w:before="100" w:beforeAutospacing="1" w:after="100" w:afterAutospacing="1" w:line="240" w:lineRule="auto"/>
      <w:ind w:firstLine="0" w:firstLineChars="0"/>
      <w:jc w:val="left"/>
    </w:pPr>
    <w:rPr>
      <w:rFonts w:ascii="宋体" w:hAnsi="宋体" w:eastAsia="宋体" w:cs="Times New Roman"/>
      <w:color w:val="000000"/>
      <w:kern w:val="0"/>
      <w:szCs w:val="24"/>
    </w:rPr>
  </w:style>
  <w:style w:type="paragraph" w:styleId="27">
    <w:name w:val="Title"/>
    <w:basedOn w:val="1"/>
    <w:next w:val="1"/>
    <w:link w:val="43"/>
    <w:qFormat/>
    <w:uiPriority w:val="10"/>
    <w:pPr>
      <w:ind w:firstLine="0" w:firstLineChars="0"/>
      <w:outlineLvl w:val="0"/>
    </w:pPr>
    <w:rPr>
      <w:rFonts w:eastAsia="宋体" w:asciiTheme="majorHAnsi" w:hAnsiTheme="majorHAnsi" w:cstheme="majorBidi"/>
      <w:b/>
      <w:bCs/>
      <w:szCs w:val="32"/>
    </w:rPr>
  </w:style>
  <w:style w:type="paragraph" w:styleId="28">
    <w:name w:val="annotation subject"/>
    <w:basedOn w:val="8"/>
    <w:next w:val="8"/>
    <w:link w:val="71"/>
    <w:semiHidden/>
    <w:unhideWhenUsed/>
    <w:qFormat/>
    <w:uiPriority w:val="99"/>
    <w:rPr>
      <w:b/>
      <w:bCs/>
    </w:rPr>
  </w:style>
  <w:style w:type="paragraph" w:styleId="29">
    <w:name w:val="Body Text First Indent"/>
    <w:basedOn w:val="1"/>
    <w:link w:val="58"/>
    <w:qFormat/>
    <w:uiPriority w:val="0"/>
    <w:rPr>
      <w:rFonts w:ascii="Calibri" w:hAnsi="Calibri" w:eastAsia="宋体" w:cs="Times New Roman"/>
      <w:szCs w:val="20"/>
    </w:rPr>
  </w:style>
  <w:style w:type="paragraph" w:styleId="30">
    <w:name w:val="Body Text First Indent 2"/>
    <w:basedOn w:val="10"/>
    <w:next w:val="1"/>
    <w:qFormat/>
    <w:uiPriority w:val="0"/>
    <w:pPr>
      <w:ind w:firstLine="420"/>
    </w:pPr>
    <w:rPr>
      <w:sz w:val="21"/>
    </w:rPr>
  </w:style>
  <w:style w:type="table" w:styleId="32">
    <w:name w:val="Table Grid"/>
    <w:basedOn w:val="3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3">
    <w:name w:val="Table Theme"/>
    <w:basedOn w:val="31"/>
    <w:qFormat/>
    <w:uiPriority w:val="0"/>
    <w:pPr>
      <w:widowControl w:val="0"/>
      <w:jc w:val="center"/>
    </w:pPr>
    <w:tblPr>
      <w:jc w:val="center"/>
      <w:tblBorders>
        <w:top w:val="single" w:color="auto" w:sz="12" w:space="0"/>
        <w:bottom w:val="single" w:color="auto" w:sz="12" w:space="0"/>
        <w:insideH w:val="single" w:color="auto" w:sz="6" w:space="0"/>
        <w:insideV w:val="single" w:color="auto" w:sz="6" w:space="0"/>
      </w:tblBorders>
    </w:tblPr>
    <w:trPr>
      <w:jc w:val="center"/>
    </w:trPr>
    <w:tcPr>
      <w:vAlign w:val="center"/>
    </w:tcPr>
  </w:style>
  <w:style w:type="character" w:styleId="35">
    <w:name w:val="Strong"/>
    <w:basedOn w:val="34"/>
    <w:qFormat/>
    <w:uiPriority w:val="22"/>
    <w:rPr>
      <w:b/>
      <w:bCs/>
    </w:rPr>
  </w:style>
  <w:style w:type="character" w:styleId="36">
    <w:name w:val="Hyperlink"/>
    <w:basedOn w:val="34"/>
    <w:unhideWhenUsed/>
    <w:qFormat/>
    <w:uiPriority w:val="99"/>
    <w:rPr>
      <w:color w:val="0000FF"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paragraph" w:customStyle="1" w:styleId="38">
    <w:name w:val="Default2"/>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customStyle="1" w:styleId="39">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character" w:customStyle="1" w:styleId="40">
    <w:name w:val="标题 1 Char"/>
    <w:basedOn w:val="34"/>
    <w:link w:val="2"/>
    <w:qFormat/>
    <w:uiPriority w:val="9"/>
    <w:rPr>
      <w:rFonts w:ascii="Times New Roman" w:hAnsi="Times New Roman" w:eastAsia="黑体"/>
      <w:b/>
      <w:bCs/>
      <w:kern w:val="44"/>
      <w:sz w:val="32"/>
      <w:szCs w:val="44"/>
    </w:rPr>
  </w:style>
  <w:style w:type="character" w:customStyle="1" w:styleId="41">
    <w:name w:val="标题 2 Char"/>
    <w:basedOn w:val="34"/>
    <w:link w:val="3"/>
    <w:qFormat/>
    <w:uiPriority w:val="9"/>
    <w:rPr>
      <w:rFonts w:eastAsia="黑体" w:asciiTheme="majorHAnsi" w:hAnsiTheme="majorHAnsi" w:cstheme="majorBidi"/>
      <w:b/>
      <w:bCs/>
      <w:sz w:val="28"/>
      <w:szCs w:val="32"/>
    </w:rPr>
  </w:style>
  <w:style w:type="character" w:customStyle="1" w:styleId="42">
    <w:name w:val="标题 3 Char"/>
    <w:basedOn w:val="34"/>
    <w:link w:val="4"/>
    <w:qFormat/>
    <w:uiPriority w:val="9"/>
    <w:rPr>
      <w:rFonts w:ascii="Times New Roman" w:hAnsi="Times New Roman" w:eastAsia="黑体"/>
      <w:b/>
      <w:bCs/>
      <w:sz w:val="28"/>
      <w:szCs w:val="32"/>
    </w:rPr>
  </w:style>
  <w:style w:type="character" w:customStyle="1" w:styleId="43">
    <w:name w:val="标题 Char"/>
    <w:basedOn w:val="34"/>
    <w:link w:val="27"/>
    <w:qFormat/>
    <w:uiPriority w:val="10"/>
    <w:rPr>
      <w:rFonts w:eastAsia="宋体" w:asciiTheme="majorHAnsi" w:hAnsiTheme="majorHAnsi" w:cstheme="majorBidi"/>
      <w:b/>
      <w:bCs/>
      <w:sz w:val="24"/>
      <w:szCs w:val="32"/>
    </w:rPr>
  </w:style>
  <w:style w:type="character" w:customStyle="1" w:styleId="44">
    <w:name w:val="副标题 Char"/>
    <w:basedOn w:val="34"/>
    <w:link w:val="22"/>
    <w:qFormat/>
    <w:uiPriority w:val="0"/>
    <w:rPr>
      <w:rFonts w:ascii="Times New Roman" w:hAnsi="Times New Roman" w:eastAsia="宋体" w:cstheme="majorBidi"/>
      <w:bCs/>
      <w:kern w:val="28"/>
      <w:szCs w:val="32"/>
    </w:rPr>
  </w:style>
  <w:style w:type="paragraph" w:customStyle="1" w:styleId="45">
    <w:name w:val="列出段落1"/>
    <w:basedOn w:val="1"/>
    <w:qFormat/>
    <w:uiPriority w:val="34"/>
    <w:pPr>
      <w:ind w:firstLine="420"/>
    </w:pPr>
  </w:style>
  <w:style w:type="character" w:customStyle="1" w:styleId="46">
    <w:name w:val="页眉 Char"/>
    <w:basedOn w:val="34"/>
    <w:link w:val="19"/>
    <w:qFormat/>
    <w:uiPriority w:val="99"/>
    <w:rPr>
      <w:rFonts w:ascii="Times New Roman" w:hAnsi="Times New Roman"/>
      <w:sz w:val="18"/>
      <w:szCs w:val="18"/>
    </w:rPr>
  </w:style>
  <w:style w:type="character" w:customStyle="1" w:styleId="47">
    <w:name w:val="页脚 Char"/>
    <w:basedOn w:val="34"/>
    <w:link w:val="18"/>
    <w:qFormat/>
    <w:uiPriority w:val="99"/>
    <w:rPr>
      <w:rFonts w:ascii="Times New Roman" w:hAnsi="Times New Roman"/>
      <w:sz w:val="18"/>
      <w:szCs w:val="18"/>
    </w:rPr>
  </w:style>
  <w:style w:type="character" w:customStyle="1" w:styleId="48">
    <w:name w:val="批注框文本 Char"/>
    <w:basedOn w:val="34"/>
    <w:link w:val="17"/>
    <w:semiHidden/>
    <w:qFormat/>
    <w:uiPriority w:val="99"/>
    <w:rPr>
      <w:rFonts w:ascii="Times New Roman" w:hAnsi="Times New Roman"/>
      <w:sz w:val="18"/>
      <w:szCs w:val="18"/>
    </w:rPr>
  </w:style>
  <w:style w:type="character" w:customStyle="1" w:styleId="49">
    <w:name w:val="日期 Char"/>
    <w:basedOn w:val="34"/>
    <w:link w:val="16"/>
    <w:semiHidden/>
    <w:qFormat/>
    <w:uiPriority w:val="99"/>
    <w:rPr>
      <w:rFonts w:ascii="Times New Roman" w:hAnsi="Times New Roman"/>
      <w:sz w:val="24"/>
    </w:rPr>
  </w:style>
  <w:style w:type="paragraph" w:customStyle="1" w:styleId="50">
    <w:name w:val="Char Char Char Char Char Char Char"/>
    <w:basedOn w:val="1"/>
    <w:next w:val="2"/>
    <w:qFormat/>
    <w:uiPriority w:val="0"/>
    <w:pPr>
      <w:spacing w:line="240" w:lineRule="auto"/>
      <w:ind w:firstLine="0" w:firstLineChars="0"/>
      <w:jc w:val="left"/>
    </w:pPr>
    <w:rPr>
      <w:rFonts w:eastAsia="宋体" w:cs="Times New Roman"/>
      <w:sz w:val="32"/>
      <w:szCs w:val="24"/>
    </w:rPr>
  </w:style>
  <w:style w:type="paragraph" w:customStyle="1" w:styleId="51">
    <w:name w:val="正文01"/>
    <w:basedOn w:val="1"/>
    <w:qFormat/>
    <w:uiPriority w:val="0"/>
    <w:pPr>
      <w:spacing w:before="60" w:line="460" w:lineRule="exact"/>
    </w:pPr>
    <w:rPr>
      <w:rFonts w:eastAsia="宋体" w:cs="Times New Roman"/>
      <w:szCs w:val="24"/>
    </w:rPr>
  </w:style>
  <w:style w:type="paragraph" w:customStyle="1" w:styleId="52">
    <w:name w:val="xl39"/>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hint="eastAsia" w:ascii="仿宋_GB2312" w:hAnsi="宋体" w:eastAsia="仿宋_GB2312" w:cs="Times New Roman"/>
      <w:kern w:val="0"/>
      <w:szCs w:val="24"/>
    </w:rPr>
  </w:style>
  <w:style w:type="character" w:customStyle="1" w:styleId="53">
    <w:name w:val="表文字 Char"/>
    <w:link w:val="54"/>
    <w:qFormat/>
    <w:uiPriority w:val="0"/>
    <w:rPr>
      <w:rFonts w:eastAsia="宋体"/>
      <w:sz w:val="24"/>
    </w:rPr>
  </w:style>
  <w:style w:type="paragraph" w:customStyle="1" w:styleId="54">
    <w:name w:val="表文字"/>
    <w:basedOn w:val="1"/>
    <w:link w:val="53"/>
    <w:qFormat/>
    <w:uiPriority w:val="0"/>
    <w:pPr>
      <w:overflowPunct w:val="0"/>
      <w:autoSpaceDE w:val="0"/>
      <w:autoSpaceDN w:val="0"/>
      <w:adjustRightInd w:val="0"/>
      <w:spacing w:line="240" w:lineRule="atLeast"/>
      <w:ind w:firstLine="0" w:firstLineChars="0"/>
      <w:textAlignment w:val="baseline"/>
    </w:pPr>
    <w:rPr>
      <w:rFonts w:eastAsia="宋体" w:asciiTheme="minorHAnsi" w:hAnsiTheme="minorHAnsi"/>
    </w:rPr>
  </w:style>
  <w:style w:type="character" w:customStyle="1" w:styleId="55">
    <w:name w:val="纯文本 Char"/>
    <w:basedOn w:val="34"/>
    <w:link w:val="14"/>
    <w:qFormat/>
    <w:uiPriority w:val="0"/>
    <w:rPr>
      <w:rFonts w:ascii="宋体" w:hAnsi="Courier New" w:eastAsia="宋体" w:cs="Times New Roman"/>
      <w:sz w:val="28"/>
      <w:szCs w:val="20"/>
    </w:rPr>
  </w:style>
  <w:style w:type="paragraph" w:styleId="56">
    <w:name w:val="List Paragraph"/>
    <w:basedOn w:val="1"/>
    <w:qFormat/>
    <w:uiPriority w:val="34"/>
    <w:pPr>
      <w:ind w:firstLine="420"/>
    </w:pPr>
  </w:style>
  <w:style w:type="character" w:customStyle="1" w:styleId="57">
    <w:name w:val="正文文本 Char"/>
    <w:basedOn w:val="34"/>
    <w:link w:val="9"/>
    <w:qFormat/>
    <w:uiPriority w:val="0"/>
    <w:rPr>
      <w:rFonts w:ascii="Times New Roman" w:hAnsi="Times New Roman"/>
      <w:kern w:val="2"/>
      <w:sz w:val="24"/>
      <w:szCs w:val="22"/>
    </w:rPr>
  </w:style>
  <w:style w:type="character" w:customStyle="1" w:styleId="58">
    <w:name w:val="正文首行缩进 Char"/>
    <w:basedOn w:val="57"/>
    <w:link w:val="29"/>
    <w:qFormat/>
    <w:uiPriority w:val="0"/>
    <w:rPr>
      <w:rFonts w:ascii="Calibri" w:hAnsi="Calibri" w:eastAsia="宋体" w:cs="Times New Roman"/>
      <w:kern w:val="2"/>
      <w:sz w:val="24"/>
      <w:szCs w:val="22"/>
    </w:rPr>
  </w:style>
  <w:style w:type="character" w:customStyle="1" w:styleId="59">
    <w:name w:val="报告文本 Char Char"/>
    <w:link w:val="60"/>
    <w:qFormat/>
    <w:uiPriority w:val="0"/>
    <w:rPr>
      <w:rFonts w:eastAsia="宋体"/>
      <w:kern w:val="2"/>
      <w:sz w:val="24"/>
      <w:szCs w:val="22"/>
    </w:rPr>
  </w:style>
  <w:style w:type="paragraph" w:customStyle="1" w:styleId="60">
    <w:name w:val="报告文本"/>
    <w:basedOn w:val="1"/>
    <w:link w:val="59"/>
    <w:qFormat/>
    <w:uiPriority w:val="0"/>
    <w:pPr>
      <w:jc w:val="left"/>
    </w:pPr>
    <w:rPr>
      <w:rFonts w:eastAsia="宋体" w:asciiTheme="minorHAnsi" w:hAnsiTheme="minorHAnsi"/>
    </w:rPr>
  </w:style>
  <w:style w:type="paragraph" w:customStyle="1" w:styleId="61">
    <w:name w:val="Char"/>
    <w:basedOn w:val="1"/>
    <w:semiHidden/>
    <w:qFormat/>
    <w:uiPriority w:val="0"/>
    <w:pPr>
      <w:ind w:firstLine="420"/>
    </w:pPr>
    <w:rPr>
      <w:rFonts w:ascii="宋体" w:eastAsia="宋体" w:cs="Times New Roman"/>
      <w:sz w:val="28"/>
    </w:rPr>
  </w:style>
  <w:style w:type="character" w:customStyle="1" w:styleId="62">
    <w:name w:val="表格文字 Char"/>
    <w:link w:val="63"/>
    <w:qFormat/>
    <w:uiPriority w:val="0"/>
    <w:rPr>
      <w:kern w:val="2"/>
      <w:sz w:val="21"/>
    </w:rPr>
  </w:style>
  <w:style w:type="paragraph" w:customStyle="1" w:styleId="63">
    <w:name w:val="表格文字"/>
    <w:basedOn w:val="29"/>
    <w:link w:val="62"/>
    <w:qFormat/>
    <w:uiPriority w:val="0"/>
    <w:pPr>
      <w:adjustRightInd w:val="0"/>
      <w:snapToGrid w:val="0"/>
      <w:spacing w:line="240" w:lineRule="auto"/>
      <w:ind w:firstLine="0" w:firstLineChars="0"/>
      <w:jc w:val="center"/>
    </w:pPr>
    <w:rPr>
      <w:rFonts w:asciiTheme="minorHAnsi" w:hAnsiTheme="minorHAnsi" w:eastAsiaTheme="minorEastAsia" w:cstheme="minorBidi"/>
      <w:sz w:val="21"/>
    </w:rPr>
  </w:style>
  <w:style w:type="paragraph" w:customStyle="1" w:styleId="64">
    <w:name w:val="p0"/>
    <w:basedOn w:val="1"/>
    <w:qFormat/>
    <w:uiPriority w:val="0"/>
    <w:pPr>
      <w:widowControl/>
      <w:spacing w:before="100" w:beforeAutospacing="1" w:after="100" w:afterAutospacing="1" w:line="240" w:lineRule="auto"/>
      <w:ind w:firstLine="0" w:firstLineChars="0"/>
      <w:jc w:val="left"/>
    </w:pPr>
    <w:rPr>
      <w:rFonts w:ascii="宋体" w:hAnsi="宋体" w:eastAsia="宋体" w:cs="宋体"/>
      <w:kern w:val="0"/>
      <w:sz w:val="16"/>
      <w:szCs w:val="16"/>
    </w:rPr>
  </w:style>
  <w:style w:type="paragraph" w:customStyle="1" w:styleId="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6">
    <w:name w:val="Table Paragraph"/>
    <w:basedOn w:val="1"/>
    <w:qFormat/>
    <w:uiPriority w:val="1"/>
    <w:pPr>
      <w:spacing w:line="240" w:lineRule="auto"/>
      <w:ind w:firstLine="0" w:firstLineChars="0"/>
    </w:pPr>
    <w:rPr>
      <w:rFonts w:eastAsia="宋体" w:cs="Times New Roman"/>
      <w:sz w:val="21"/>
      <w:szCs w:val="24"/>
    </w:rPr>
  </w:style>
  <w:style w:type="paragraph" w:customStyle="1" w:styleId="67">
    <w:name w:val="表头"/>
    <w:basedOn w:val="1"/>
    <w:qFormat/>
    <w:uiPriority w:val="0"/>
    <w:pPr>
      <w:tabs>
        <w:tab w:val="left" w:pos="1021"/>
      </w:tabs>
      <w:spacing w:after="120"/>
      <w:jc w:val="center"/>
    </w:pPr>
    <w:rPr>
      <w:rFonts w:ascii="宋体" w:hAnsi="宋体"/>
      <w:b/>
      <w:bCs/>
      <w:snapToGrid w:val="0"/>
      <w:color w:val="000000"/>
      <w:kern w:val="28"/>
      <w:sz w:val="28"/>
      <w:szCs w:val="28"/>
    </w:rPr>
  </w:style>
  <w:style w:type="character" w:customStyle="1" w:styleId="68">
    <w:name w:val="content1"/>
    <w:basedOn w:val="34"/>
    <w:qFormat/>
    <w:uiPriority w:val="0"/>
    <w:rPr>
      <w:color w:val="000000"/>
      <w:sz w:val="20"/>
      <w:szCs w:val="20"/>
    </w:rPr>
  </w:style>
  <w:style w:type="paragraph" w:customStyle="1" w:styleId="69">
    <w:name w:val="xl31"/>
    <w:basedOn w:val="1"/>
    <w:qFormat/>
    <w:uiPriority w:val="0"/>
    <w:pPr>
      <w:widowControl/>
      <w:pBdr>
        <w:bottom w:val="double" w:color="auto" w:sz="6" w:space="0"/>
        <w:right w:val="single" w:color="auto" w:sz="4" w:space="0"/>
      </w:pBdr>
      <w:spacing w:before="100" w:beforeAutospacing="1" w:after="100" w:afterAutospacing="1"/>
      <w:jc w:val="center"/>
      <w:textAlignment w:val="center"/>
    </w:pPr>
    <w:rPr>
      <w:rFonts w:eastAsia="Arial Unicode MS"/>
      <w:kern w:val="0"/>
    </w:rPr>
  </w:style>
  <w:style w:type="character" w:customStyle="1" w:styleId="70">
    <w:name w:val="批注文字 Char"/>
    <w:basedOn w:val="34"/>
    <w:link w:val="8"/>
    <w:semiHidden/>
    <w:qFormat/>
    <w:uiPriority w:val="99"/>
    <w:rPr>
      <w:rFonts w:eastAsiaTheme="minorEastAsia" w:cstheme="minorBidi"/>
      <w:kern w:val="2"/>
      <w:sz w:val="24"/>
      <w:szCs w:val="22"/>
    </w:rPr>
  </w:style>
  <w:style w:type="character" w:customStyle="1" w:styleId="71">
    <w:name w:val="批注主题 Char"/>
    <w:basedOn w:val="70"/>
    <w:link w:val="28"/>
    <w:semiHidden/>
    <w:qFormat/>
    <w:uiPriority w:val="99"/>
    <w:rPr>
      <w:b/>
      <w:bCs/>
    </w:rPr>
  </w:style>
  <w:style w:type="paragraph" w:customStyle="1" w:styleId="72">
    <w:name w:val="2级（节）标题"/>
    <w:basedOn w:val="1"/>
    <w:qFormat/>
    <w:uiPriority w:val="0"/>
    <w:pPr>
      <w:widowControl/>
      <w:numPr>
        <w:ilvl w:val="1"/>
        <w:numId w:val="1"/>
      </w:numPr>
      <w:spacing w:before="120" w:after="100" w:afterLines="100"/>
      <w:jc w:val="left"/>
      <w:outlineLvl w:val="1"/>
    </w:pPr>
    <w:rPr>
      <w:rFonts w:eastAsia="黑体"/>
      <w:sz w:val="28"/>
      <w:szCs w:val="28"/>
    </w:rPr>
  </w:style>
  <w:style w:type="paragraph" w:customStyle="1" w:styleId="73">
    <w:name w:val="3级（次）标题"/>
    <w:basedOn w:val="1"/>
    <w:qFormat/>
    <w:uiPriority w:val="0"/>
    <w:pPr>
      <w:widowControl/>
      <w:spacing w:before="156" w:beforeLines="50" w:after="156" w:afterLines="50"/>
      <w:ind w:left="102" w:firstLine="482" w:firstLineChars="200"/>
      <w:jc w:val="left"/>
      <w:outlineLvl w:val="2"/>
    </w:pPr>
    <w:rPr>
      <w:b/>
      <w:sz w:val="24"/>
    </w:rPr>
  </w:style>
  <w:style w:type="paragraph" w:customStyle="1" w:styleId="74">
    <w:name w:val="正文首行缩进2个字"/>
    <w:basedOn w:val="1"/>
    <w:qFormat/>
    <w:uiPriority w:val="0"/>
    <w:pPr>
      <w:widowControl/>
      <w:spacing w:line="360" w:lineRule="auto"/>
      <w:ind w:firstLine="200" w:firstLineChars="200"/>
      <w:jc w:val="left"/>
    </w:pPr>
    <w:rPr>
      <w:spacing w:val="3"/>
      <w:sz w:val="24"/>
    </w:rPr>
  </w:style>
  <w:style w:type="paragraph" w:customStyle="1" w:styleId="75">
    <w:name w:val="表格内容"/>
    <w:basedOn w:val="76"/>
    <w:qFormat/>
    <w:uiPriority w:val="0"/>
    <w:pPr>
      <w:spacing w:before="0" w:beforeAutospacing="0" w:after="0" w:afterAutospacing="0"/>
      <w:ind w:left="0"/>
      <w:jc w:val="center"/>
    </w:pPr>
    <w:rPr>
      <w:rFonts w:ascii="Times New Roman" w:hAnsi="Times New Roman" w:cs="宋体"/>
      <w:spacing w:val="0"/>
      <w:szCs w:val="20"/>
    </w:rPr>
  </w:style>
  <w:style w:type="paragraph" w:customStyle="1" w:styleId="76">
    <w:name w:val="表格标题"/>
    <w:basedOn w:val="7"/>
    <w:next w:val="1"/>
    <w:qFormat/>
    <w:uiPriority w:val="99"/>
    <w:pPr>
      <w:spacing w:line="240" w:lineRule="auto"/>
      <w:jc w:val="center"/>
    </w:pPr>
    <w:rPr>
      <w:rFonts w:ascii="Times New Roman" w:hAnsi="Times New Roman" w:eastAsia="宋体" w:cs="Arial"/>
      <w:sz w:val="24"/>
      <w:szCs w:val="22"/>
    </w:rPr>
  </w:style>
  <w:style w:type="paragraph" w:customStyle="1" w:styleId="7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78">
    <w:name w:val="WPSOffice手动目录 1"/>
    <w:qFormat/>
    <w:uiPriority w:val="0"/>
    <w:pPr>
      <w:ind w:leftChars="0"/>
    </w:pPr>
    <w:rPr>
      <w:rFonts w:ascii="Times New Roman" w:hAnsi="Times New Roman" w:eastAsia="宋体" w:cs="Times New Roman"/>
      <w:sz w:val="20"/>
      <w:szCs w:val="20"/>
    </w:rPr>
  </w:style>
  <w:style w:type="paragraph" w:customStyle="1" w:styleId="79">
    <w:name w:val="表 图 内容"/>
    <w:basedOn w:val="1"/>
    <w:qFormat/>
    <w:uiPriority w:val="0"/>
    <w:pPr>
      <w:jc w:val="center"/>
    </w:pPr>
    <w:rPr>
      <w:rFonts w:hAnsi="宋体"/>
      <w:color w:val="000000"/>
      <w:sz w:val="21"/>
      <w:szCs w:val="24"/>
    </w:rPr>
  </w:style>
  <w:style w:type="paragraph" w:customStyle="1" w:styleId="80">
    <w:name w:val="1表格内容"/>
    <w:basedOn w:val="81"/>
    <w:qFormat/>
    <w:uiPriority w:val="0"/>
    <w:pPr>
      <w:snapToGrid w:val="0"/>
      <w:spacing w:line="240" w:lineRule="auto"/>
      <w:ind w:firstLine="0" w:firstLineChars="0"/>
      <w:jc w:val="center"/>
    </w:pPr>
    <w:rPr>
      <w:sz w:val="21"/>
    </w:rPr>
  </w:style>
  <w:style w:type="paragraph" w:customStyle="1" w:styleId="81">
    <w:name w:val="1正文"/>
    <w:qFormat/>
    <w:uiPriority w:val="0"/>
    <w:pPr>
      <w:spacing w:line="480" w:lineRule="exact"/>
      <w:ind w:firstLine="200" w:firstLineChars="200"/>
      <w:jc w:val="both"/>
    </w:pPr>
    <w:rPr>
      <w:rFonts w:ascii="Times New Roman" w:hAnsi="Times New Roman" w:eastAsia="宋体" w:cs="Times New Roman"/>
      <w:kern w:val="2"/>
      <w:sz w:val="24"/>
      <w:szCs w:val="28"/>
      <w:lang w:val="en-US" w:eastAsia="zh-CN" w:bidi="ar-SA"/>
    </w:rPr>
  </w:style>
  <w:style w:type="paragraph" w:customStyle="1" w:styleId="82">
    <w:name w:val="正文内容"/>
    <w:basedOn w:val="1"/>
    <w:qFormat/>
    <w:uiPriority w:val="0"/>
    <w:pPr>
      <w:spacing w:line="360" w:lineRule="auto"/>
      <w:ind w:firstLine="200" w:firstLineChars="200"/>
    </w:pPr>
    <w:rPr>
      <w:kern w:val="0"/>
      <w:sz w:val="24"/>
      <w:szCs w:val="21"/>
    </w:rPr>
  </w:style>
  <w:style w:type="character" w:customStyle="1" w:styleId="83">
    <w:name w:val="正文啊 Char"/>
    <w:link w:val="84"/>
    <w:qFormat/>
    <w:locked/>
    <w:uiPriority w:val="0"/>
    <w:rPr>
      <w:sz w:val="28"/>
      <w:szCs w:val="22"/>
    </w:rPr>
  </w:style>
  <w:style w:type="paragraph" w:customStyle="1" w:styleId="84">
    <w:name w:val="正文啊"/>
    <w:basedOn w:val="1"/>
    <w:link w:val="83"/>
    <w:qFormat/>
    <w:uiPriority w:val="0"/>
    <w:pPr>
      <w:spacing w:line="360" w:lineRule="auto"/>
      <w:ind w:firstLine="560" w:firstLineChars="200"/>
    </w:pPr>
    <w:rPr>
      <w:sz w:val="28"/>
      <w:szCs w:val="22"/>
    </w:rPr>
  </w:style>
  <w:style w:type="paragraph" w:customStyle="1" w:styleId="85">
    <w:name w:val="表文"/>
    <w:basedOn w:val="1"/>
    <w:qFormat/>
    <w:uiPriority w:val="0"/>
    <w:pPr>
      <w:overflowPunct w:val="0"/>
      <w:autoSpaceDE w:val="0"/>
      <w:autoSpaceDN w:val="0"/>
      <w:adjustRightInd w:val="0"/>
      <w:jc w:val="center"/>
      <w:textAlignment w:val="baseline"/>
    </w:pPr>
    <w:rPr>
      <w:kern w:val="0"/>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9" Type="http://schemas.microsoft.com/office/2011/relationships/people" Target="people.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40.jpeg"/><Relationship Id="rId54" Type="http://schemas.openxmlformats.org/officeDocument/2006/relationships/image" Target="media/image39.jpeg"/><Relationship Id="rId53" Type="http://schemas.openxmlformats.org/officeDocument/2006/relationships/image" Target="media/image38.jpeg"/><Relationship Id="rId52" Type="http://schemas.openxmlformats.org/officeDocument/2006/relationships/image" Target="media/image37.jpeg"/><Relationship Id="rId51" Type="http://schemas.openxmlformats.org/officeDocument/2006/relationships/image" Target="media/image36.jpeg"/><Relationship Id="rId50" Type="http://schemas.openxmlformats.org/officeDocument/2006/relationships/image" Target="media/image35.jpeg"/><Relationship Id="rId5" Type="http://schemas.openxmlformats.org/officeDocument/2006/relationships/header" Target="header1.xml"/><Relationship Id="rId49" Type="http://schemas.openxmlformats.org/officeDocument/2006/relationships/image" Target="media/image34.jpeg"/><Relationship Id="rId48" Type="http://schemas.openxmlformats.org/officeDocument/2006/relationships/image" Target="media/image33.jpeg"/><Relationship Id="rId47" Type="http://schemas.openxmlformats.org/officeDocument/2006/relationships/image" Target="media/image32.jpeg"/><Relationship Id="rId46" Type="http://schemas.openxmlformats.org/officeDocument/2006/relationships/image" Target="media/image31.jpeg"/><Relationship Id="rId45" Type="http://schemas.openxmlformats.org/officeDocument/2006/relationships/image" Target="media/image30.jpeg"/><Relationship Id="rId44" Type="http://schemas.openxmlformats.org/officeDocument/2006/relationships/image" Target="media/image29.png"/><Relationship Id="rId43" Type="http://schemas.openxmlformats.org/officeDocument/2006/relationships/image" Target="media/image28.jpeg"/><Relationship Id="rId42" Type="http://schemas.openxmlformats.org/officeDocument/2006/relationships/image" Target="media/image27.jpeg"/><Relationship Id="rId41" Type="http://schemas.openxmlformats.org/officeDocument/2006/relationships/image" Target="media/image26.jpeg"/><Relationship Id="rId40" Type="http://schemas.openxmlformats.org/officeDocument/2006/relationships/image" Target="media/image25.png"/><Relationship Id="rId4" Type="http://schemas.openxmlformats.org/officeDocument/2006/relationships/endnotes" Target="endnotes.xml"/><Relationship Id="rId39" Type="http://schemas.openxmlformats.org/officeDocument/2006/relationships/image" Target="media/image24.jpeg"/><Relationship Id="rId38" Type="http://schemas.openxmlformats.org/officeDocument/2006/relationships/image" Target="media/image23.jpeg"/><Relationship Id="rId37" Type="http://schemas.openxmlformats.org/officeDocument/2006/relationships/image" Target="media/image22.jpeg"/><Relationship Id="rId36" Type="http://schemas.openxmlformats.org/officeDocument/2006/relationships/image" Target="media/image21.jpeg"/><Relationship Id="rId35" Type="http://schemas.openxmlformats.org/officeDocument/2006/relationships/image" Target="media/image20.jpeg"/><Relationship Id="rId34" Type="http://schemas.openxmlformats.org/officeDocument/2006/relationships/image" Target="media/image19.jpeg"/><Relationship Id="rId33" Type="http://schemas.openxmlformats.org/officeDocument/2006/relationships/image" Target="media/image18.jpeg"/><Relationship Id="rId32" Type="http://schemas.openxmlformats.org/officeDocument/2006/relationships/image" Target="media/image17.jpeg"/><Relationship Id="rId31" Type="http://schemas.openxmlformats.org/officeDocument/2006/relationships/image" Target="media/image16.png"/><Relationship Id="rId30" Type="http://schemas.openxmlformats.org/officeDocument/2006/relationships/image" Target="media/image15.png"/><Relationship Id="rId3" Type="http://schemas.openxmlformats.org/officeDocument/2006/relationships/footnotes" Target="footnotes.xml"/><Relationship Id="rId29" Type="http://schemas.openxmlformats.org/officeDocument/2006/relationships/image" Target="media/image14.jpeg"/><Relationship Id="rId28" Type="http://schemas.openxmlformats.org/officeDocument/2006/relationships/image" Target="media/image13.jpeg"/><Relationship Id="rId27" Type="http://schemas.openxmlformats.org/officeDocument/2006/relationships/image" Target="media/image12.jpeg"/><Relationship Id="rId26" Type="http://schemas.openxmlformats.org/officeDocument/2006/relationships/image" Target="media/image11.jpeg"/><Relationship Id="rId25" Type="http://schemas.openxmlformats.org/officeDocument/2006/relationships/image" Target="media/image10.jpeg"/><Relationship Id="rId24" Type="http://schemas.openxmlformats.org/officeDocument/2006/relationships/image" Target="media/image9.jpe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63</Pages>
  <Words>513</Words>
  <Characters>567</Characters>
  <Lines>123</Lines>
  <Paragraphs>34</Paragraphs>
  <TotalTime>7</TotalTime>
  <ScaleCrop>false</ScaleCrop>
  <LinksUpToDate>false</LinksUpToDate>
  <CharactersWithSpaces>606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2018-01-03T19:00:00Z</dcterms:created>
  <dc:creator>Administrator</dc:creator>
  <cp:lastModifiedBy>骋</cp:lastModifiedBy>
  <cp:lastPrinted>2020-07-08T07:22:00Z</cp:lastPrinted>
  <dcterms:modified xsi:type="dcterms:W3CDTF">2025-07-08T06:42:23Z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64594C5801314612A0B438D32D0E0DE1</vt:lpwstr>
  </property>
  <property fmtid="{D5CDD505-2E9C-101B-9397-08002B2CF9AE}" pid="4" name="KSOTemplateDocerSaveRecord">
    <vt:lpwstr>eyJoZGlkIjoiYWJlZTE5ZDdlOGU5ZTg3MDVlODY3OWUxYzg5MThkY2EiLCJ1c2VySWQiOiI0NDc4NDM0MTcifQ==</vt:lpwstr>
  </property>
</Properties>
</file>