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hd w:val="clear" w:color="auto" w:fill="FFFFFF"/>
        <w:spacing w:before="0" w:beforeAutospacing="0" w:after="0" w:afterAutospacing="0" w:line="384" w:lineRule="atLeast"/>
        <w:jc w:val="center"/>
        <w:rPr>
          <w:rStyle w:val="10"/>
          <w:rFonts w:hint="default" w:ascii="Times New Roman" w:hAnsi="Times New Roman" w:eastAsia="微软雅黑" w:cs="Times New Roman"/>
          <w:b/>
          <w:bCs w:val="0"/>
          <w:sz w:val="28"/>
        </w:rPr>
      </w:pPr>
      <w:r>
        <w:rPr>
          <w:rStyle w:val="10"/>
          <w:rFonts w:hint="eastAsia" w:ascii="Times New Roman" w:hAnsi="Times New Roman" w:eastAsia="微软雅黑" w:cs="Times New Roman"/>
          <w:b/>
          <w:bCs w:val="0"/>
          <w:lang w:eastAsia="zh-CN"/>
        </w:rPr>
        <w:t>新乡县大召营镇人民政府大召营镇污水处理厂工程</w:t>
      </w:r>
      <w:r>
        <w:rPr>
          <w:rStyle w:val="10"/>
          <w:rFonts w:hint="default" w:ascii="Times New Roman" w:hAnsi="Times New Roman" w:eastAsia="微软雅黑" w:cs="Times New Roman"/>
          <w:b/>
          <w:bCs w:val="0"/>
        </w:rPr>
        <w:t>竣工环境保护验收意见</w:t>
      </w:r>
    </w:p>
    <w:p>
      <w:pPr>
        <w:pStyle w:val="7"/>
        <w:shd w:val="clear" w:color="auto" w:fill="FFFFFF"/>
        <w:spacing w:before="0" w:beforeAutospacing="0" w:after="0" w:afterAutospacing="0" w:line="384" w:lineRule="atLeast"/>
        <w:jc w:val="center"/>
        <w:rPr>
          <w:rFonts w:hint="default" w:ascii="Times New Roman" w:hAnsi="Times New Roman" w:eastAsia="微软雅黑" w:cs="Times New Roman"/>
          <w:b/>
          <w:bCs w:val="0"/>
          <w:sz w:val="28"/>
        </w:rPr>
      </w:pP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000000" w:themeColor="text1"/>
          <w:sz w:val="24"/>
          <w:szCs w:val="24"/>
          <w14:textFill>
            <w14:solidFill>
              <w14:schemeClr w14:val="tx1"/>
            </w14:solidFill>
          </w14:textFill>
        </w:rPr>
      </w:pPr>
      <w:r>
        <w:rPr>
          <w:rFonts w:hint="default" w:ascii="Times New Roman" w:hAnsi="Times New Roman" w:cs="Times New Roman" w:eastAsiaTheme="minorEastAsia"/>
          <w:b w:val="0"/>
          <w:bCs/>
          <w:color w:val="auto"/>
          <w:sz w:val="24"/>
          <w:szCs w:val="24"/>
        </w:rPr>
        <w:t>20</w:t>
      </w:r>
      <w:r>
        <w:rPr>
          <w:rFonts w:hint="eastAsia" w:ascii="Times New Roman" w:hAnsi="Times New Roman" w:cs="Times New Roman" w:eastAsiaTheme="minorEastAsia"/>
          <w:b w:val="0"/>
          <w:bCs/>
          <w:color w:val="auto"/>
          <w:sz w:val="24"/>
          <w:szCs w:val="24"/>
          <w:lang w:val="en-US" w:eastAsia="zh-CN"/>
        </w:rPr>
        <w:t>21</w:t>
      </w:r>
      <w:r>
        <w:rPr>
          <w:rFonts w:hint="default" w:ascii="Times New Roman" w:hAnsi="Times New Roman" w:cs="Times New Roman" w:eastAsiaTheme="minorEastAsia"/>
          <w:b w:val="0"/>
          <w:bCs/>
          <w:color w:val="auto"/>
          <w:sz w:val="24"/>
          <w:szCs w:val="24"/>
          <w:highlight w:val="none"/>
        </w:rPr>
        <w:t>年</w:t>
      </w:r>
      <w:r>
        <w:rPr>
          <w:rFonts w:hint="eastAsia" w:ascii="Times New Roman" w:hAnsi="Times New Roman" w:cs="Times New Roman" w:eastAsiaTheme="minorEastAsia"/>
          <w:b w:val="0"/>
          <w:bCs/>
          <w:color w:val="auto"/>
          <w:sz w:val="24"/>
          <w:szCs w:val="24"/>
          <w:highlight w:val="none"/>
          <w:lang w:val="en-US" w:eastAsia="zh-CN"/>
        </w:rPr>
        <w:t>8</w:t>
      </w:r>
      <w:r>
        <w:rPr>
          <w:rFonts w:hint="default" w:ascii="Times New Roman" w:hAnsi="Times New Roman" w:cs="Times New Roman" w:eastAsiaTheme="minorEastAsia"/>
          <w:b w:val="0"/>
          <w:bCs/>
          <w:color w:val="auto"/>
          <w:sz w:val="24"/>
          <w:szCs w:val="24"/>
          <w:highlight w:val="none"/>
        </w:rPr>
        <w:t>月</w:t>
      </w:r>
      <w:r>
        <w:rPr>
          <w:rFonts w:hint="eastAsia" w:ascii="Times New Roman" w:hAnsi="Times New Roman" w:cs="Times New Roman" w:eastAsiaTheme="minorEastAsia"/>
          <w:b w:val="0"/>
          <w:bCs/>
          <w:color w:val="auto"/>
          <w:sz w:val="24"/>
          <w:szCs w:val="24"/>
          <w:highlight w:val="none"/>
          <w:lang w:val="en-US" w:eastAsia="zh-CN"/>
        </w:rPr>
        <w:t>16</w:t>
      </w:r>
      <w:r>
        <w:rPr>
          <w:rFonts w:hint="default" w:ascii="Times New Roman" w:hAnsi="Times New Roman" w:cs="Times New Roman" w:eastAsiaTheme="minorEastAsia"/>
          <w:b w:val="0"/>
          <w:bCs/>
          <w:color w:val="auto"/>
          <w:sz w:val="24"/>
          <w:szCs w:val="24"/>
          <w:highlight w:val="none"/>
        </w:rPr>
        <w:t>日</w:t>
      </w:r>
      <w:r>
        <w:rPr>
          <w:rFonts w:hint="default" w:ascii="Times New Roman" w:hAnsi="Times New Roman" w:cs="Times New Roman" w:eastAsiaTheme="minorEastAsia"/>
          <w:b w:val="0"/>
          <w:bCs/>
          <w:color w:val="000000" w:themeColor="text1"/>
          <w:sz w:val="24"/>
          <w:szCs w:val="24"/>
          <w:highlight w:val="none"/>
          <w14:textFill>
            <w14:solidFill>
              <w14:schemeClr w14:val="tx1"/>
            </w14:solidFill>
          </w14:textFill>
        </w:rPr>
        <w:t>，</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新乡县大召营镇人民政府大召营镇污水处理厂工程</w:t>
      </w:r>
      <w:r>
        <w:rPr>
          <w:rFonts w:hint="default" w:ascii="Times New Roman" w:hAnsi="Times New Roman" w:cs="Times New Roman" w:eastAsiaTheme="minorEastAsia"/>
          <w:b w:val="0"/>
          <w:bCs/>
          <w:color w:val="000000" w:themeColor="text1"/>
          <w:sz w:val="24"/>
          <w:szCs w:val="24"/>
          <w14:textFill>
            <w14:solidFill>
              <w14:schemeClr w14:val="tx1"/>
            </w14:solidFill>
          </w14:textFill>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0"/>
          <w:rFonts w:hint="default" w:ascii="Times New Roman" w:hAnsi="Times New Roman" w:cs="Times New Roman" w:eastAsiaTheme="minorEastAsia"/>
          <w:b w:val="0"/>
          <w:bCs/>
          <w:sz w:val="24"/>
          <w:szCs w:val="24"/>
        </w:rPr>
        <w:t>一、工程建设基本情况</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（一）建设地点、规模、主要建设内容</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建设地点：</w:t>
      </w:r>
      <w:r>
        <w:rPr>
          <w:rFonts w:hint="eastAsia" w:ascii="Times New Roman" w:hAnsi="Times New Roman" w:cs="Times New Roman" w:eastAsiaTheme="minorEastAsia"/>
          <w:b w:val="0"/>
          <w:bCs/>
          <w:sz w:val="24"/>
          <w:szCs w:val="24"/>
          <w:lang w:eastAsia="zh-CN"/>
        </w:rPr>
        <w:t>新乡县大召营镇区北部胡韦公路与六支排交叉口</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建设性质：</w:t>
      </w:r>
      <w:r>
        <w:rPr>
          <w:rFonts w:hint="eastAsia" w:ascii="Times New Roman" w:hAnsi="Times New Roman" w:cs="Times New Roman" w:eastAsiaTheme="minorEastAsia"/>
          <w:b w:val="0"/>
          <w:bCs/>
          <w:sz w:val="24"/>
          <w:szCs w:val="24"/>
          <w:lang w:eastAsia="zh-CN"/>
        </w:rPr>
        <w:t>新建</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color w:val="auto"/>
          <w:sz w:val="24"/>
          <w:szCs w:val="24"/>
          <w:highlight w:val="none"/>
          <w:lang w:eastAsia="zh-CN"/>
        </w:rPr>
      </w:pPr>
      <w:r>
        <w:rPr>
          <w:rFonts w:hint="default" w:ascii="Times New Roman" w:hAnsi="Times New Roman" w:cs="Times New Roman" w:eastAsiaTheme="minorEastAsia"/>
          <w:b w:val="0"/>
          <w:bCs/>
          <w:color w:val="auto"/>
          <w:sz w:val="24"/>
          <w:szCs w:val="24"/>
          <w:highlight w:val="none"/>
        </w:rPr>
        <w:t>产品、规模：</w:t>
      </w:r>
      <w:r>
        <w:rPr>
          <w:rFonts w:hint="eastAsia" w:ascii="Times New Roman" w:hAnsi="Times New Roman" w:cs="Times New Roman" w:eastAsiaTheme="minorEastAsia"/>
          <w:b w:val="0"/>
          <w:bCs/>
          <w:color w:val="auto"/>
          <w:sz w:val="24"/>
          <w:szCs w:val="24"/>
          <w:highlight w:val="none"/>
          <w:lang w:eastAsia="zh-CN"/>
        </w:rPr>
        <w:t>年产10000台振动设备、真空输送设备、自动投料设备、提升设备等</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（二）建设过程及环保审批情况</w:t>
      </w:r>
    </w:p>
    <w:p>
      <w:pPr>
        <w:adjustRightInd w:val="0"/>
        <w:snapToGrid w:val="0"/>
        <w:spacing w:line="360" w:lineRule="auto"/>
        <w:ind w:firstLine="535" w:firstLineChars="223"/>
        <w:jc w:val="both"/>
        <w:rPr>
          <w:rFonts w:hint="default" w:ascii="Times New Roman" w:hAnsi="Times New Roman" w:eastAsia="宋体" w:cs="Times New Roman"/>
          <w:color w:val="0000FF"/>
          <w:kern w:val="2"/>
          <w:sz w:val="24"/>
          <w:szCs w:val="24"/>
          <w:lang w:val="en-US" w:eastAsia="zh-CN" w:bidi="ar-SA"/>
        </w:rPr>
      </w:pPr>
      <w:r>
        <w:rPr>
          <w:rFonts w:hint="eastAsia" w:ascii="Times New Roman" w:hAnsi="Times New Roman" w:eastAsia="宋体" w:cs="Times New Roman"/>
          <w:color w:val="171717"/>
          <w:sz w:val="24"/>
          <w:szCs w:val="24"/>
          <w:lang w:eastAsia="zh-CN"/>
        </w:rPr>
        <w:t>新乡县大召营镇人民政府大召营镇污水处理厂工程位于新乡县大召营镇区北部胡韦公路与六支排交叉口，属于新建项目，大召营镇污水处理厂工程项目</w:t>
      </w:r>
      <w:r>
        <w:rPr>
          <w:rFonts w:hint="default" w:ascii="Times New Roman" w:hAnsi="Times New Roman" w:cs="Times New Roman" w:eastAsiaTheme="minorEastAsia"/>
          <w:b w:val="0"/>
          <w:bCs/>
          <w:color w:val="auto"/>
          <w:sz w:val="24"/>
          <w:szCs w:val="24"/>
          <w:highlight w:val="none"/>
        </w:rPr>
        <w:t>由</w:t>
      </w:r>
      <w:r>
        <w:rPr>
          <w:rFonts w:hint="eastAsia" w:ascii="Times New Roman" w:hAnsi="Times New Roman" w:cs="Times New Roman"/>
          <w:b w:val="0"/>
          <w:bCs/>
          <w:color w:val="auto"/>
          <w:sz w:val="24"/>
          <w:szCs w:val="24"/>
          <w:highlight w:val="none"/>
          <w:lang w:eastAsia="zh-CN"/>
        </w:rPr>
        <w:t>中环国评（北京）科技有限公司</w:t>
      </w:r>
      <w:r>
        <w:rPr>
          <w:rFonts w:hint="default" w:ascii="Times New Roman" w:hAnsi="Times New Roman" w:cs="Times New Roman" w:eastAsiaTheme="minorEastAsia"/>
          <w:b w:val="0"/>
          <w:bCs/>
          <w:color w:val="auto"/>
          <w:sz w:val="24"/>
          <w:szCs w:val="24"/>
          <w:highlight w:val="none"/>
        </w:rPr>
        <w:t>编制完成，</w:t>
      </w:r>
      <w:r>
        <w:rPr>
          <w:rFonts w:hint="default" w:ascii="Times New Roman" w:hAnsi="Times New Roman" w:eastAsia="宋体" w:cs="Times New Roman"/>
          <w:color w:val="171717"/>
          <w:sz w:val="24"/>
          <w:szCs w:val="24"/>
          <w:lang w:val="en-US" w:eastAsia="zh-CN"/>
        </w:rPr>
        <w:t>于201</w:t>
      </w:r>
      <w:r>
        <w:rPr>
          <w:rFonts w:hint="eastAsia" w:ascii="Times New Roman" w:hAnsi="Times New Roman" w:eastAsia="宋体" w:cs="Times New Roman"/>
          <w:color w:val="171717"/>
          <w:sz w:val="24"/>
          <w:szCs w:val="24"/>
          <w:lang w:val="en-US" w:eastAsia="zh-CN"/>
        </w:rPr>
        <w:t>7</w:t>
      </w:r>
      <w:r>
        <w:rPr>
          <w:rFonts w:hint="default" w:ascii="Times New Roman" w:hAnsi="Times New Roman" w:eastAsia="宋体" w:cs="Times New Roman"/>
          <w:color w:val="171717"/>
          <w:sz w:val="24"/>
          <w:szCs w:val="24"/>
          <w:lang w:val="en-US" w:eastAsia="zh-CN"/>
        </w:rPr>
        <w:t>年10月1</w:t>
      </w:r>
      <w:r>
        <w:rPr>
          <w:rFonts w:hint="eastAsia" w:ascii="Times New Roman" w:hAnsi="Times New Roman" w:eastAsia="宋体" w:cs="Times New Roman"/>
          <w:color w:val="171717"/>
          <w:sz w:val="24"/>
          <w:szCs w:val="24"/>
          <w:lang w:val="en-US" w:eastAsia="zh-CN"/>
        </w:rPr>
        <w:t>2</w:t>
      </w:r>
      <w:r>
        <w:rPr>
          <w:rFonts w:hint="default" w:ascii="Times New Roman" w:hAnsi="Times New Roman" w:eastAsia="宋体" w:cs="Times New Roman"/>
          <w:color w:val="171717"/>
          <w:sz w:val="24"/>
          <w:szCs w:val="24"/>
          <w:lang w:val="en-US" w:eastAsia="zh-CN"/>
        </w:rPr>
        <w:t>日取得</w:t>
      </w:r>
      <w:r>
        <w:rPr>
          <w:rFonts w:hint="eastAsia" w:ascii="Times New Roman" w:hAnsi="Times New Roman" w:eastAsia="宋体" w:cs="Times New Roman"/>
          <w:color w:val="171717"/>
          <w:sz w:val="24"/>
          <w:szCs w:val="24"/>
          <w:lang w:eastAsia="zh-CN"/>
        </w:rPr>
        <w:t>新乡市环境保护局</w:t>
      </w:r>
      <w:r>
        <w:rPr>
          <w:rFonts w:hint="default" w:ascii="Times New Roman" w:hAnsi="Times New Roman" w:eastAsia="宋体" w:cs="Times New Roman"/>
          <w:color w:val="171717"/>
          <w:sz w:val="24"/>
          <w:szCs w:val="24"/>
          <w:lang w:val="en-US" w:eastAsia="zh-CN"/>
        </w:rPr>
        <w:t>的环评批复，批复文号：</w:t>
      </w:r>
      <w:r>
        <w:rPr>
          <w:rFonts w:hint="eastAsia" w:ascii="Times New Roman" w:hAnsi="Times New Roman" w:eastAsia="宋体" w:cs="Times New Roman"/>
          <w:color w:val="171717"/>
          <w:sz w:val="24"/>
          <w:szCs w:val="24"/>
          <w:lang w:val="en-US" w:eastAsia="zh-CN"/>
        </w:rPr>
        <w:t>新环书审[2017]37号。</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（三）投资情况</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项目实际总投资</w:t>
      </w:r>
      <w:r>
        <w:rPr>
          <w:rFonts w:hint="eastAsia" w:ascii="Times New Roman" w:hAnsi="Times New Roman" w:cs="Times New Roman" w:eastAsiaTheme="minorEastAsia"/>
          <w:b w:val="0"/>
          <w:bCs/>
          <w:color w:val="auto"/>
          <w:sz w:val="24"/>
          <w:szCs w:val="24"/>
          <w:highlight w:val="none"/>
          <w:lang w:val="en-US" w:eastAsia="zh-CN"/>
        </w:rPr>
        <w:t>6500</w:t>
      </w:r>
      <w:r>
        <w:rPr>
          <w:rFonts w:hint="default" w:ascii="Times New Roman" w:hAnsi="Times New Roman" w:cs="Times New Roman" w:eastAsiaTheme="minorEastAsia"/>
          <w:b w:val="0"/>
          <w:bCs/>
          <w:color w:val="auto"/>
          <w:sz w:val="24"/>
          <w:szCs w:val="24"/>
          <w:highlight w:val="none"/>
        </w:rPr>
        <w:t>万元，其中环保投资</w:t>
      </w:r>
      <w:r>
        <w:rPr>
          <w:rFonts w:hint="eastAsia" w:ascii="Times New Roman" w:hAnsi="Times New Roman" w:cs="Times New Roman" w:eastAsiaTheme="minorEastAsia"/>
          <w:b w:val="0"/>
          <w:bCs/>
          <w:color w:val="auto"/>
          <w:sz w:val="24"/>
          <w:szCs w:val="24"/>
          <w:highlight w:val="none"/>
          <w:lang w:val="en-US" w:eastAsia="zh-CN"/>
        </w:rPr>
        <w:t>217</w:t>
      </w:r>
      <w:r>
        <w:rPr>
          <w:rFonts w:hint="default" w:ascii="Times New Roman" w:hAnsi="Times New Roman" w:cs="Times New Roman" w:eastAsiaTheme="minorEastAsia"/>
          <w:b w:val="0"/>
          <w:bCs/>
          <w:color w:val="auto"/>
          <w:sz w:val="24"/>
          <w:szCs w:val="24"/>
          <w:highlight w:val="none"/>
        </w:rPr>
        <w:t>万元，占比约为</w:t>
      </w:r>
      <w:r>
        <w:rPr>
          <w:rFonts w:hint="eastAsia" w:ascii="Times New Roman" w:hAnsi="Times New Roman" w:cs="Times New Roman" w:eastAsiaTheme="minorEastAsia"/>
          <w:b w:val="0"/>
          <w:bCs/>
          <w:color w:val="auto"/>
          <w:sz w:val="24"/>
          <w:szCs w:val="24"/>
          <w:highlight w:val="none"/>
          <w:lang w:val="en-US" w:eastAsia="zh-CN"/>
        </w:rPr>
        <w:t>3.3%</w:t>
      </w:r>
      <w:r>
        <w:rPr>
          <w:rFonts w:hint="default" w:ascii="Times New Roman" w:hAnsi="Times New Roman" w:cs="Times New Roman" w:eastAsiaTheme="minorEastAsia"/>
          <w:b w:val="0"/>
          <w:bCs/>
          <w:color w:val="auto"/>
          <w:sz w:val="24"/>
          <w:szCs w:val="24"/>
          <w:highlight w:val="none"/>
        </w:rPr>
        <w:t>。</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（四）验收范围</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本次验收范围为</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新乡县大召营镇人民政府大召营镇污水处理厂工程（一期）</w:t>
      </w:r>
      <w:r>
        <w:rPr>
          <w:rFonts w:hint="default" w:ascii="Times New Roman" w:hAnsi="Times New Roman" w:cs="Times New Roman" w:eastAsiaTheme="minorEastAsia"/>
          <w:b w:val="0"/>
          <w:bCs/>
          <w:sz w:val="24"/>
          <w:szCs w:val="24"/>
        </w:rPr>
        <w:t>的主体工程、配套设施、辅助设施、环保设施的建设、运行及环保要求落实情况。</w:t>
      </w:r>
    </w:p>
    <w:p>
      <w:pPr>
        <w:tabs>
          <w:tab w:val="left" w:pos="706"/>
        </w:tabs>
        <w:spacing w:line="360" w:lineRule="auto"/>
        <w:ind w:firstLine="480" w:firstLineChars="200"/>
        <w:jc w:val="both"/>
        <w:rPr>
          <w:rFonts w:hint="default" w:ascii="Times New Roman" w:hAnsi="Times New Roman" w:cs="Times New Roman" w:eastAsiaTheme="minorEastAsia"/>
          <w:b w:val="0"/>
          <w:bCs/>
          <w:color w:val="0000FF"/>
          <w:sz w:val="24"/>
          <w:szCs w:val="24"/>
          <w:lang w:eastAsia="zh-CN"/>
        </w:rPr>
      </w:pP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0"/>
          <w:rFonts w:hint="eastAsia" w:ascii="Times New Roman" w:hAnsi="Times New Roman" w:cs="Times New Roman" w:eastAsiaTheme="minorEastAsia"/>
          <w:b w:val="0"/>
          <w:bCs/>
          <w:sz w:val="24"/>
          <w:szCs w:val="24"/>
          <w:lang w:eastAsia="zh-CN"/>
        </w:rPr>
        <w:t>二</w:t>
      </w:r>
      <w:r>
        <w:rPr>
          <w:rStyle w:val="10"/>
          <w:rFonts w:hint="default" w:ascii="Times New Roman" w:hAnsi="Times New Roman" w:cs="Times New Roman" w:eastAsiaTheme="minorEastAsia"/>
          <w:b w:val="0"/>
          <w:bCs/>
          <w:sz w:val="24"/>
          <w:szCs w:val="24"/>
        </w:rPr>
        <w:t>、环境保护设施建设情况</w:t>
      </w:r>
    </w:p>
    <w:p>
      <w:pPr>
        <w:adjustRightInd w:val="0"/>
        <w:snapToGrid w:val="0"/>
        <w:spacing w:line="360" w:lineRule="auto"/>
        <w:jc w:val="both"/>
        <w:rPr>
          <w:rFonts w:ascii="Times New Roman" w:hAnsi="Times New Roman"/>
          <w:sz w:val="24"/>
          <w:szCs w:val="24"/>
        </w:rPr>
      </w:pPr>
      <w:r>
        <w:rPr>
          <w:rFonts w:hint="default" w:ascii="Times New Roman" w:hAnsi="Times New Roman" w:cs="Times New Roman" w:eastAsiaTheme="minorEastAsia"/>
          <w:b w:val="0"/>
          <w:bCs/>
          <w:sz w:val="24"/>
          <w:szCs w:val="24"/>
        </w:rPr>
        <w:t>（1）</w:t>
      </w:r>
      <w:r>
        <w:rPr>
          <w:rFonts w:ascii="Times New Roman" w:hAnsi="Times New Roman"/>
          <w:sz w:val="24"/>
          <w:szCs w:val="24"/>
        </w:rPr>
        <w:t>废气</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ascii="Times New Roman" w:hAnsi="Times New Roman"/>
          <w:sz w:val="24"/>
          <w:szCs w:val="24"/>
        </w:rPr>
      </w:pPr>
      <w:r>
        <w:rPr>
          <w:rFonts w:hint="eastAsia" w:ascii="Times New Roman" w:hAnsi="Times New Roman"/>
          <w:sz w:val="24"/>
          <w:szCs w:val="24"/>
        </w:rPr>
        <w:t>本项目产生废气主</w:t>
      </w:r>
      <w:r>
        <w:rPr>
          <w:rFonts w:hint="eastAsia" w:ascii="Times New Roman" w:hAnsi="Times New Roman" w:eastAsia="宋体" w:cs="Times New Roman"/>
          <w:sz w:val="24"/>
          <w:szCs w:val="24"/>
        </w:rPr>
        <w:t>要为</w:t>
      </w:r>
      <w:r>
        <w:rPr>
          <w:rFonts w:hint="eastAsia" w:ascii="Times New Roman" w:hAnsi="Times New Roman" w:eastAsia="宋体" w:cs="Times New Roman"/>
          <w:sz w:val="24"/>
          <w:szCs w:val="24"/>
          <w:lang w:eastAsia="zh-CN"/>
        </w:rPr>
        <w:t>格栅及进水泵房、选择厌氧池、机械浓缩池、污泥脱水间等产生的恶臭气体</w:t>
      </w:r>
      <w:r>
        <w:rPr>
          <w:rFonts w:hint="eastAsia" w:ascii="Times New Roman" w:hAnsi="Times New Roman" w:eastAsia="宋体" w:cs="Times New Roman"/>
          <w:sz w:val="24"/>
          <w:szCs w:val="24"/>
        </w:rPr>
        <w:t xml:space="preserve">。 </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（2）废水</w:t>
      </w:r>
    </w:p>
    <w:p>
      <w:pPr>
        <w:tabs>
          <w:tab w:val="left" w:pos="820"/>
        </w:tabs>
        <w:adjustRightInd w:val="0"/>
        <w:snapToGrid w:val="0"/>
        <w:spacing w:line="360" w:lineRule="auto"/>
        <w:jc w:val="both"/>
        <w:rPr>
          <w:rFonts w:hint="default" w:ascii="Times New Roman" w:hAnsi="Times New Roman"/>
          <w:sz w:val="24"/>
          <w:szCs w:val="24"/>
          <w:lang w:val="en-US" w:eastAsia="zh-CN"/>
        </w:rPr>
      </w:pPr>
      <w:r>
        <w:rPr>
          <w:rFonts w:hint="eastAsia" w:ascii="Times New Roman" w:hAnsi="Times New Roman"/>
          <w:sz w:val="24"/>
          <w:szCs w:val="24"/>
          <w:lang w:val="en-US" w:eastAsia="zh-CN"/>
        </w:rPr>
        <w:t>4.1.2.1污水处理厂设计进水水质</w:t>
      </w:r>
    </w:p>
    <w:p>
      <w:pPr>
        <w:tabs>
          <w:tab w:val="left" w:pos="820"/>
        </w:tabs>
        <w:adjustRightInd w:val="0"/>
        <w:snapToGrid w:val="0"/>
        <w:spacing w:line="360" w:lineRule="auto"/>
        <w:ind w:firstLine="480" w:firstLineChars="200"/>
        <w:jc w:val="both"/>
        <w:rPr>
          <w:rFonts w:ascii="Times New Roman" w:hAnsi="Times New Roman"/>
          <w:color w:val="000000"/>
          <w:sz w:val="24"/>
          <w:szCs w:val="24"/>
        </w:rPr>
      </w:pPr>
      <w:r>
        <w:rPr>
          <w:rFonts w:hint="eastAsia" w:ascii="Times New Roman" w:hAnsi="Times New Roman"/>
          <w:color w:val="000000"/>
          <w:sz w:val="24"/>
          <w:szCs w:val="24"/>
          <w:lang w:eastAsia="zh-CN"/>
        </w:rPr>
        <w:t>本工程处理的废水主要为收纳</w:t>
      </w:r>
      <w:r>
        <w:rPr>
          <w:rFonts w:hint="eastAsia" w:ascii="Times New Roman" w:hAnsi="Times New Roman"/>
          <w:color w:val="000000"/>
          <w:sz w:val="24"/>
          <w:szCs w:val="24"/>
          <w:lang w:val="en-US" w:eastAsia="zh-CN"/>
        </w:rPr>
        <w:t>刘大召村、李大召村及大召营镇区生活污水及大召营过滤与环保产业园现有废水</w:t>
      </w:r>
      <w:r>
        <w:rPr>
          <w:rFonts w:hint="eastAsia" w:ascii="Times New Roman" w:hAnsi="Times New Roman"/>
          <w:color w:val="000000"/>
          <w:sz w:val="24"/>
          <w:szCs w:val="24"/>
          <w:lang w:eastAsia="zh-CN"/>
        </w:rPr>
        <w:t>，</w:t>
      </w:r>
      <w:r>
        <w:rPr>
          <w:rFonts w:hint="eastAsia" w:ascii="Times New Roman" w:hAnsi="Times New Roman"/>
          <w:color w:val="000000"/>
          <w:sz w:val="24"/>
          <w:szCs w:val="24"/>
        </w:rPr>
        <w:t>项目二次废水主要是员工生活污水和冲洗废水</w:t>
      </w:r>
      <w:r>
        <w:rPr>
          <w:rFonts w:ascii="Times New Roman" w:hAnsi="Times New Roman"/>
          <w:color w:val="000000"/>
          <w:sz w:val="24"/>
          <w:szCs w:val="24"/>
        </w:rPr>
        <w:t>。</w:t>
      </w:r>
    </w:p>
    <w:p>
      <w:pPr>
        <w:tabs>
          <w:tab w:val="left" w:pos="820"/>
        </w:tabs>
        <w:adjustRightInd w:val="0"/>
        <w:snapToGrid w:val="0"/>
        <w:spacing w:line="360" w:lineRule="auto"/>
        <w:ind w:firstLine="480" w:firstLineChars="200"/>
        <w:jc w:val="both"/>
        <w:rPr>
          <w:rFonts w:ascii="Times New Roman" w:hAnsi="Times New Roman"/>
          <w:color w:val="FF0000"/>
          <w:sz w:val="24"/>
          <w:szCs w:val="24"/>
        </w:rPr>
      </w:pPr>
      <w:r>
        <w:rPr>
          <w:rFonts w:hint="eastAsia" w:ascii="Times New Roman" w:hAnsi="Times New Roman"/>
          <w:color w:val="000000"/>
          <w:sz w:val="24"/>
          <w:szCs w:val="24"/>
        </w:rPr>
        <w:t>生活污水经过厂区化粪池处理达标后与冲洗水一起进入厂区污水设施处理。本项目</w:t>
      </w:r>
      <w:r>
        <w:rPr>
          <w:rFonts w:hint="eastAsia" w:ascii="Times New Roman" w:hAnsi="Times New Roman"/>
          <w:color w:val="000000"/>
          <w:sz w:val="24"/>
          <w:szCs w:val="24"/>
          <w:lang w:eastAsia="zh-CN"/>
        </w:rPr>
        <w:t>一期工程</w:t>
      </w:r>
      <w:r>
        <w:rPr>
          <w:rFonts w:hint="eastAsia" w:ascii="Times New Roman" w:hAnsi="Times New Roman"/>
          <w:color w:val="000000"/>
          <w:sz w:val="24"/>
          <w:szCs w:val="24"/>
        </w:rPr>
        <w:t>建成运营后污水处理规模为</w:t>
      </w:r>
      <w:r>
        <w:rPr>
          <w:rFonts w:hint="eastAsia" w:ascii="Times New Roman" w:hAnsi="Times New Roman"/>
          <w:color w:val="000000"/>
          <w:sz w:val="24"/>
          <w:szCs w:val="24"/>
          <w:lang w:val="en-US" w:eastAsia="zh-CN"/>
        </w:rPr>
        <w:t>0.5</w:t>
      </w:r>
      <w:r>
        <w:rPr>
          <w:rFonts w:hint="eastAsia" w:ascii="Times New Roman" w:hAnsi="Times New Roman"/>
          <w:color w:val="000000"/>
          <w:sz w:val="24"/>
          <w:szCs w:val="24"/>
        </w:rPr>
        <w:t>万吨/d，采用“</w:t>
      </w:r>
      <w:r>
        <w:rPr>
          <w:rFonts w:hint="eastAsia" w:ascii="Times New Roman" w:hAnsi="Times New Roman"/>
          <w:color w:val="000000"/>
          <w:sz w:val="24"/>
          <w:szCs w:val="24"/>
          <w:lang w:eastAsia="zh-CN"/>
        </w:rPr>
        <w:t>格栅</w:t>
      </w:r>
      <w:r>
        <w:rPr>
          <w:rFonts w:hint="eastAsia" w:ascii="Times New Roman" w:hAnsi="Times New Roman"/>
          <w:color w:val="000000"/>
          <w:sz w:val="24"/>
          <w:szCs w:val="24"/>
          <w:lang w:val="en-US" w:eastAsia="zh-CN"/>
        </w:rPr>
        <w:t>+沉砂、调节+选择厌氧、改良氧化沟+二沉池+混凝反应、不锈钢过滤器+消毒处理工艺</w:t>
      </w:r>
      <w:r>
        <w:rPr>
          <w:rFonts w:hint="eastAsia" w:ascii="Times New Roman" w:hAnsi="Times New Roman"/>
          <w:color w:val="000000"/>
          <w:sz w:val="24"/>
          <w:szCs w:val="24"/>
        </w:rPr>
        <w:t>”工艺，出水水质达到《城镇污水处理厂污染物排放标准》（GB18918-2002</w:t>
      </w:r>
      <w:r>
        <w:rPr>
          <w:rFonts w:hint="eastAsia" w:ascii="Times New Roman" w:hAnsi="Times New Roman"/>
          <w:color w:val="000000"/>
          <w:sz w:val="24"/>
          <w:szCs w:val="24"/>
          <w:lang w:eastAsia="zh-CN"/>
        </w:rPr>
        <w:t>）</w:t>
      </w:r>
      <w:r>
        <w:rPr>
          <w:rFonts w:hint="eastAsia" w:ascii="Times New Roman" w:hAnsi="Times New Roman"/>
          <w:color w:val="000000"/>
          <w:sz w:val="24"/>
          <w:szCs w:val="24"/>
        </w:rPr>
        <w:t>一级A标准（COD40mg/L、BOD</w:t>
      </w:r>
      <w:r>
        <w:rPr>
          <w:rFonts w:hint="eastAsia" w:ascii="Times New Roman" w:hAnsi="Times New Roman"/>
          <w:color w:val="000000"/>
          <w:sz w:val="24"/>
          <w:szCs w:val="24"/>
          <w:vertAlign w:val="subscript"/>
        </w:rPr>
        <w:t>5</w:t>
      </w:r>
      <w:r>
        <w:rPr>
          <w:rFonts w:hint="eastAsia" w:ascii="Times New Roman" w:hAnsi="Times New Roman"/>
          <w:color w:val="000000"/>
          <w:sz w:val="24"/>
          <w:szCs w:val="24"/>
        </w:rPr>
        <w:t>10mg/L、氨氮2mg/L、总磷0.4mg/L</w:t>
      </w:r>
      <w:r>
        <w:rPr>
          <w:rFonts w:hint="eastAsia" w:ascii="Times New Roman" w:hAnsi="Times New Roman"/>
          <w:color w:val="000000"/>
          <w:sz w:val="24"/>
          <w:szCs w:val="24"/>
          <w:lang w:eastAsia="zh-CN"/>
        </w:rPr>
        <w:t>）</w:t>
      </w:r>
      <w:r>
        <w:rPr>
          <w:rFonts w:hint="eastAsia" w:ascii="Times New Roman" w:hAnsi="Times New Roman"/>
          <w:color w:val="000000"/>
          <w:sz w:val="24"/>
          <w:szCs w:val="24"/>
        </w:rPr>
        <w:t>。</w:t>
      </w:r>
    </w:p>
    <w:p>
      <w:pPr>
        <w:tabs>
          <w:tab w:val="left" w:pos="820"/>
        </w:tabs>
        <w:adjustRightInd w:val="0"/>
        <w:snapToGrid w:val="0"/>
        <w:spacing w:line="360" w:lineRule="auto"/>
        <w:ind w:firstLine="480" w:firstLineChars="200"/>
        <w:jc w:val="both"/>
        <w:rPr>
          <w:rFonts w:hint="default" w:ascii="Times New Roman" w:hAnsi="Times New Roman" w:eastAsia="宋体"/>
          <w:color w:val="000000"/>
          <w:sz w:val="24"/>
          <w:szCs w:val="24"/>
          <w:lang w:val="en-US" w:eastAsia="zh-CN"/>
        </w:rPr>
      </w:pPr>
      <w:r>
        <w:rPr>
          <w:rFonts w:hint="eastAsia" w:ascii="Times New Roman" w:hAnsi="Times New Roman"/>
          <w:color w:val="000000"/>
          <w:sz w:val="24"/>
          <w:szCs w:val="24"/>
          <w:lang w:eastAsia="zh-CN"/>
        </w:rPr>
        <w:t>根据调查统计，排放污水主要包括集聚区工业废水及大召营镇生活污水，集聚区内中7家重点推污企业污水排放量约为1137 m</w:t>
      </w:r>
      <w:r>
        <w:rPr>
          <w:rFonts w:hint="eastAsia" w:ascii="Times New Roman" w:hAnsi="Times New Roman"/>
          <w:color w:val="000000"/>
          <w:sz w:val="24"/>
          <w:szCs w:val="24"/>
          <w:vertAlign w:val="superscript"/>
          <w:lang w:val="en-US" w:eastAsia="zh-CN"/>
        </w:rPr>
        <w:t>3</w:t>
      </w:r>
      <w:r>
        <w:rPr>
          <w:rFonts w:hint="eastAsia" w:ascii="Times New Roman" w:hAnsi="Times New Roman"/>
          <w:color w:val="000000"/>
          <w:sz w:val="24"/>
          <w:szCs w:val="24"/>
          <w:lang w:eastAsia="zh-CN"/>
        </w:rPr>
        <w:t>/d。剩余企业不涉及工业生产废水，以员工生活污水为主，废水量约为1100 m</w:t>
      </w:r>
      <w:r>
        <w:rPr>
          <w:rFonts w:hint="eastAsia" w:ascii="Times New Roman" w:hAnsi="Times New Roman"/>
          <w:color w:val="000000"/>
          <w:sz w:val="24"/>
          <w:szCs w:val="24"/>
          <w:vertAlign w:val="superscript"/>
          <w:lang w:val="en-US" w:eastAsia="zh-CN"/>
        </w:rPr>
        <w:t>3</w:t>
      </w:r>
      <w:r>
        <w:rPr>
          <w:rFonts w:hint="eastAsia" w:ascii="Times New Roman" w:hAnsi="Times New Roman"/>
          <w:color w:val="000000"/>
          <w:sz w:val="24"/>
          <w:szCs w:val="24"/>
          <w:lang w:eastAsia="zh-CN"/>
        </w:rPr>
        <w:t>/d。专业园区内化工企业按照《河南省地方标准</w:t>
      </w:r>
      <w:r>
        <w:rPr>
          <w:rFonts w:hint="eastAsia" w:ascii="Times New Roman" w:hAnsi="Times New Roman"/>
          <w:color w:val="000000"/>
          <w:sz w:val="24"/>
          <w:szCs w:val="24"/>
          <w:lang w:val="en-US" w:eastAsia="zh-CN"/>
        </w:rPr>
        <w:t>-</w:t>
      </w:r>
      <w:r>
        <w:rPr>
          <w:rFonts w:hint="eastAsia" w:ascii="Times New Roman" w:hAnsi="Times New Roman"/>
          <w:color w:val="000000"/>
          <w:sz w:val="24"/>
          <w:szCs w:val="24"/>
          <w:lang w:eastAsia="zh-CN"/>
        </w:rPr>
        <w:t>化工行业水污染物间接排放标准》（DB41/1</w:t>
      </w:r>
      <w:r>
        <w:rPr>
          <w:rFonts w:hint="eastAsia" w:ascii="Times New Roman" w:hAnsi="Times New Roman"/>
          <w:color w:val="000000"/>
          <w:sz w:val="24"/>
          <w:szCs w:val="24"/>
          <w:lang w:val="en-US" w:eastAsia="zh-CN"/>
        </w:rPr>
        <w:t>1</w:t>
      </w:r>
      <w:r>
        <w:rPr>
          <w:rFonts w:hint="eastAsia" w:ascii="Times New Roman" w:hAnsi="Times New Roman"/>
          <w:color w:val="000000"/>
          <w:sz w:val="24"/>
          <w:szCs w:val="24"/>
          <w:lang w:eastAsia="zh-CN"/>
        </w:rPr>
        <w:t>35-2016）进行排放。专业园区部分工业企业污水排放水质按照《污水排入城镇下水道水质标准》（</w:t>
      </w:r>
      <w:r>
        <w:rPr>
          <w:rFonts w:hint="eastAsia" w:ascii="Times New Roman" w:hAnsi="Times New Roman"/>
          <w:color w:val="000000"/>
          <w:sz w:val="24"/>
          <w:szCs w:val="24"/>
          <w:lang w:val="en-US" w:eastAsia="zh-CN"/>
        </w:rPr>
        <w:t>CJ</w:t>
      </w:r>
      <w:r>
        <w:rPr>
          <w:rFonts w:hint="eastAsia" w:ascii="Times New Roman" w:hAnsi="Times New Roman"/>
          <w:color w:val="000000"/>
          <w:sz w:val="24"/>
          <w:szCs w:val="24"/>
          <w:lang w:eastAsia="zh-CN"/>
        </w:rPr>
        <w:t>343-2015）表1进行排放，综合考虑《污水综合排放标准》(GB8978-1996 )三级标准，确定专业园区的工业废水排放水质详见下表。</w:t>
      </w:r>
    </w:p>
    <w:p>
      <w:pPr>
        <w:adjustRightInd w:val="0"/>
        <w:snapToGrid w:val="0"/>
        <w:jc w:val="center"/>
        <w:rPr>
          <w:rFonts w:hint="default" w:ascii="Times New Roman" w:hAnsi="Times New Roman" w:eastAsia="黑体"/>
          <w:color w:val="000000"/>
          <w:sz w:val="24"/>
          <w:szCs w:val="24"/>
          <w:lang w:val="en-US" w:eastAsia="zh-CN"/>
        </w:rPr>
      </w:pPr>
      <w:r>
        <w:rPr>
          <w:rFonts w:hint="eastAsia" w:ascii="Times New Roman" w:hAnsi="Times New Roman" w:eastAsia="黑体"/>
          <w:color w:val="000000"/>
          <w:sz w:val="24"/>
          <w:szCs w:val="24"/>
          <w:lang w:val="en-US" w:eastAsia="zh-CN"/>
        </w:rPr>
        <w:t>表4-1  工业废水水质</w:t>
      </w:r>
    </w:p>
    <w:tbl>
      <w:tblPr>
        <w:tblStyle w:val="14"/>
        <w:tblW w:w="8504" w:type="dxa"/>
        <w:jc w:val="center"/>
        <w:tblLayout w:type="fixed"/>
        <w:tblCellMar>
          <w:top w:w="0" w:type="dxa"/>
          <w:left w:w="0" w:type="dxa"/>
          <w:bottom w:w="0" w:type="dxa"/>
          <w:right w:w="0" w:type="dxa"/>
        </w:tblCellMar>
      </w:tblPr>
      <w:tblGrid>
        <w:gridCol w:w="2461"/>
        <w:gridCol w:w="1006"/>
        <w:gridCol w:w="1008"/>
        <w:gridCol w:w="1007"/>
        <w:gridCol w:w="1007"/>
        <w:gridCol w:w="1008"/>
        <w:gridCol w:w="1007"/>
      </w:tblGrid>
      <w:tr>
        <w:tblPrEx>
          <w:tblCellMar>
            <w:top w:w="0" w:type="dxa"/>
            <w:left w:w="0" w:type="dxa"/>
            <w:bottom w:w="0" w:type="dxa"/>
            <w:right w:w="0" w:type="dxa"/>
          </w:tblCellMar>
        </w:tblPrEx>
        <w:trPr>
          <w:trHeight w:val="420" w:hRule="exact"/>
          <w:jc w:val="center"/>
        </w:trPr>
        <w:tc>
          <w:tcPr>
            <w:tcW w:w="2169" w:type="dxa"/>
            <w:tcBorders>
              <w:top w:val="single" w:color="000000" w:sz="12" w:space="0"/>
              <w:left w:val="nil"/>
              <w:bottom w:val="single" w:color="000000" w:sz="6" w:space="0"/>
              <w:right w:val="single" w:color="000000" w:sz="6" w:space="0"/>
            </w:tcBorders>
            <w:noWrap w:val="0"/>
            <w:vAlign w:val="top"/>
          </w:tcPr>
          <w:p>
            <w:pPr>
              <w:pStyle w:val="13"/>
              <w:spacing w:before="47"/>
              <w:ind w:left="666"/>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水质指标</w:t>
            </w:r>
          </w:p>
        </w:tc>
        <w:tc>
          <w:tcPr>
            <w:tcW w:w="887" w:type="dxa"/>
            <w:tcBorders>
              <w:top w:val="single" w:color="000000" w:sz="12" w:space="0"/>
              <w:left w:val="single" w:color="000000" w:sz="6" w:space="0"/>
              <w:bottom w:val="single" w:color="000000" w:sz="6" w:space="0"/>
              <w:right w:val="single" w:color="000000" w:sz="6" w:space="0"/>
            </w:tcBorders>
            <w:noWrap w:val="0"/>
            <w:vAlign w:val="top"/>
          </w:tcPr>
          <w:p>
            <w:pPr>
              <w:pStyle w:val="13"/>
              <w:spacing w:before="92"/>
              <w:ind w:left="216"/>
              <w:rPr>
                <w:rFonts w:ascii="Times New Roman" w:hAnsi="Times New Roman" w:eastAsia="Times New Roman" w:cs="Times New Roman"/>
                <w:color w:val="000000"/>
                <w:sz w:val="21"/>
                <w:szCs w:val="21"/>
              </w:rPr>
            </w:pPr>
            <w:r>
              <w:rPr>
                <w:rFonts w:ascii="Times New Roman"/>
                <w:color w:val="000000"/>
                <w:sz w:val="21"/>
              </w:rPr>
              <w:t>COD</w:t>
            </w:r>
          </w:p>
        </w:tc>
        <w:tc>
          <w:tcPr>
            <w:tcW w:w="888" w:type="dxa"/>
            <w:tcBorders>
              <w:top w:val="single" w:color="000000" w:sz="12" w:space="0"/>
              <w:left w:val="single" w:color="000000" w:sz="6" w:space="0"/>
              <w:bottom w:val="single" w:color="000000" w:sz="6" w:space="0"/>
              <w:right w:val="single" w:color="000000" w:sz="6" w:space="0"/>
            </w:tcBorders>
            <w:noWrap w:val="0"/>
            <w:vAlign w:val="top"/>
          </w:tcPr>
          <w:p>
            <w:pPr>
              <w:pStyle w:val="13"/>
              <w:spacing w:before="89"/>
              <w:ind w:left="180"/>
              <w:rPr>
                <w:rFonts w:ascii="Times New Roman" w:hAnsi="Times New Roman" w:eastAsia="Times New Roman" w:cs="Times New Roman"/>
                <w:color w:val="000000"/>
                <w:sz w:val="13"/>
                <w:szCs w:val="13"/>
              </w:rPr>
            </w:pPr>
            <w:r>
              <w:rPr>
                <w:rFonts w:ascii="Times New Roman"/>
                <w:color w:val="000000"/>
                <w:position w:val="2"/>
                <w:sz w:val="21"/>
              </w:rPr>
              <w:t>BOD</w:t>
            </w:r>
            <w:r>
              <w:rPr>
                <w:rFonts w:ascii="Times New Roman"/>
                <w:color w:val="000000"/>
                <w:sz w:val="13"/>
              </w:rPr>
              <w:t>5</w:t>
            </w:r>
          </w:p>
        </w:tc>
        <w:tc>
          <w:tcPr>
            <w:tcW w:w="887" w:type="dxa"/>
            <w:tcBorders>
              <w:top w:val="single" w:color="000000" w:sz="12" w:space="0"/>
              <w:left w:val="single" w:color="000000" w:sz="6" w:space="0"/>
              <w:bottom w:val="single" w:color="000000" w:sz="6" w:space="0"/>
              <w:right w:val="single" w:color="000000" w:sz="6" w:space="0"/>
            </w:tcBorders>
            <w:noWrap w:val="0"/>
            <w:vAlign w:val="top"/>
          </w:tcPr>
          <w:p>
            <w:pPr>
              <w:pStyle w:val="13"/>
              <w:spacing w:before="92"/>
              <w:jc w:val="center"/>
              <w:rPr>
                <w:rFonts w:ascii="Times New Roman" w:hAnsi="Times New Roman" w:eastAsia="Times New Roman" w:cs="Times New Roman"/>
                <w:color w:val="000000"/>
                <w:sz w:val="21"/>
                <w:szCs w:val="21"/>
              </w:rPr>
            </w:pPr>
            <w:r>
              <w:rPr>
                <w:rFonts w:ascii="Times New Roman"/>
                <w:color w:val="000000"/>
                <w:spacing w:val="-1"/>
                <w:sz w:val="21"/>
              </w:rPr>
              <w:t>SS</w:t>
            </w:r>
          </w:p>
        </w:tc>
        <w:tc>
          <w:tcPr>
            <w:tcW w:w="887" w:type="dxa"/>
            <w:tcBorders>
              <w:top w:val="single" w:color="000000" w:sz="12" w:space="0"/>
              <w:left w:val="single" w:color="000000" w:sz="6" w:space="0"/>
              <w:bottom w:val="single" w:color="000000" w:sz="6" w:space="0"/>
              <w:right w:val="single" w:color="000000" w:sz="6" w:space="0"/>
            </w:tcBorders>
            <w:noWrap w:val="0"/>
            <w:vAlign w:val="top"/>
          </w:tcPr>
          <w:p>
            <w:pPr>
              <w:pStyle w:val="13"/>
              <w:spacing w:before="92"/>
              <w:ind w:right="2" w:rightChars="0"/>
              <w:jc w:val="center"/>
              <w:rPr>
                <w:rFonts w:ascii="Times New Roman" w:hAnsi="Times New Roman" w:eastAsia="Times New Roman" w:cs="Times New Roman"/>
                <w:color w:val="000000"/>
                <w:kern w:val="0"/>
                <w:sz w:val="21"/>
                <w:szCs w:val="21"/>
                <w:lang w:val="en-US" w:eastAsia="en-US" w:bidi="ar-SA"/>
              </w:rPr>
            </w:pPr>
            <w:r>
              <w:rPr>
                <w:rFonts w:ascii="Times New Roman"/>
                <w:color w:val="000000"/>
                <w:spacing w:val="-1"/>
                <w:sz w:val="21"/>
              </w:rPr>
              <w:t>TN</w:t>
            </w:r>
          </w:p>
        </w:tc>
        <w:tc>
          <w:tcPr>
            <w:tcW w:w="888" w:type="dxa"/>
            <w:tcBorders>
              <w:top w:val="single" w:color="000000" w:sz="12" w:space="0"/>
              <w:left w:val="single" w:color="000000" w:sz="6" w:space="0"/>
              <w:bottom w:val="single" w:color="000000" w:sz="6" w:space="0"/>
              <w:right w:val="single" w:color="000000" w:sz="6" w:space="0"/>
            </w:tcBorders>
            <w:noWrap w:val="0"/>
            <w:vAlign w:val="top"/>
          </w:tcPr>
          <w:p>
            <w:pPr>
              <w:pStyle w:val="13"/>
              <w:spacing w:before="92"/>
              <w:ind w:right="6" w:rightChars="0"/>
              <w:jc w:val="center"/>
              <w:rPr>
                <w:rFonts w:ascii="Times New Roman" w:hAnsi="Times New Roman" w:eastAsia="Times New Roman" w:cs="Times New Roman"/>
                <w:color w:val="000000"/>
                <w:kern w:val="0"/>
                <w:sz w:val="21"/>
                <w:szCs w:val="21"/>
                <w:lang w:val="en-US" w:eastAsia="en-US" w:bidi="ar-SA"/>
              </w:rPr>
            </w:pPr>
            <w:r>
              <w:rPr>
                <w:rFonts w:ascii="Times New Roman"/>
                <w:color w:val="000000"/>
                <w:spacing w:val="-1"/>
                <w:sz w:val="21"/>
              </w:rPr>
              <w:t>TP</w:t>
            </w:r>
          </w:p>
        </w:tc>
        <w:tc>
          <w:tcPr>
            <w:tcW w:w="887" w:type="dxa"/>
            <w:tcBorders>
              <w:top w:val="single" w:color="000000" w:sz="12" w:space="0"/>
              <w:left w:val="single" w:color="000000" w:sz="6" w:space="0"/>
              <w:bottom w:val="single" w:color="000000" w:sz="6" w:space="0"/>
              <w:right w:val="nil"/>
            </w:tcBorders>
            <w:noWrap w:val="0"/>
            <w:vAlign w:val="top"/>
          </w:tcPr>
          <w:p>
            <w:pPr>
              <w:pStyle w:val="13"/>
              <w:spacing w:before="92"/>
              <w:ind w:right="6"/>
              <w:jc w:val="center"/>
              <w:rPr>
                <w:rFonts w:hint="default" w:ascii="Times New Roman" w:hAnsi="Times New Roman" w:eastAsia="宋体" w:cs="Times New Roman"/>
                <w:color w:val="000000"/>
                <w:sz w:val="21"/>
                <w:szCs w:val="21"/>
                <w:lang w:val="en-US" w:eastAsia="zh-CN"/>
              </w:rPr>
            </w:pPr>
            <w:r>
              <w:rPr>
                <w:rFonts w:hint="eastAsia" w:ascii="Times New Roman" w:eastAsia="宋体"/>
                <w:color w:val="000000"/>
                <w:spacing w:val="-1"/>
                <w:sz w:val="21"/>
                <w:lang w:val="en-US" w:eastAsia="zh-CN"/>
              </w:rPr>
              <w:t>NH</w:t>
            </w:r>
            <w:r>
              <w:rPr>
                <w:rFonts w:hint="eastAsia" w:ascii="Times New Roman" w:eastAsia="宋体"/>
                <w:color w:val="000000"/>
                <w:spacing w:val="-1"/>
                <w:sz w:val="21"/>
                <w:vertAlign w:val="subscript"/>
                <w:lang w:val="en-US" w:eastAsia="zh-CN"/>
              </w:rPr>
              <w:t>3</w:t>
            </w:r>
            <w:r>
              <w:rPr>
                <w:rFonts w:hint="eastAsia" w:ascii="Times New Roman" w:eastAsia="宋体"/>
                <w:color w:val="000000"/>
                <w:spacing w:val="-1"/>
                <w:sz w:val="21"/>
                <w:lang w:val="en-US" w:eastAsia="zh-CN"/>
              </w:rPr>
              <w:t>-N</w:t>
            </w:r>
          </w:p>
        </w:tc>
      </w:tr>
      <w:tr>
        <w:tblPrEx>
          <w:tblCellMar>
            <w:top w:w="0" w:type="dxa"/>
            <w:left w:w="0" w:type="dxa"/>
            <w:bottom w:w="0" w:type="dxa"/>
            <w:right w:w="0" w:type="dxa"/>
          </w:tblCellMar>
        </w:tblPrEx>
        <w:trPr>
          <w:trHeight w:val="419" w:hRule="exact"/>
          <w:jc w:val="center"/>
        </w:trPr>
        <w:tc>
          <w:tcPr>
            <w:tcW w:w="2169" w:type="dxa"/>
            <w:tcBorders>
              <w:top w:val="single" w:color="000000" w:sz="6" w:space="0"/>
              <w:left w:val="nil"/>
              <w:bottom w:val="single" w:color="000000" w:sz="12" w:space="0"/>
              <w:right w:val="single" w:color="000000" w:sz="6" w:space="0"/>
            </w:tcBorders>
            <w:noWrap w:val="0"/>
            <w:vAlign w:val="top"/>
          </w:tcPr>
          <w:p>
            <w:pPr>
              <w:pStyle w:val="13"/>
              <w:spacing w:before="47"/>
              <w:ind w:left="455"/>
              <w:rPr>
                <w:rFonts w:hint="eastAsia" w:ascii="宋体" w:hAnsi="宋体" w:eastAsia="宋体" w:cs="宋体"/>
                <w:color w:val="000000"/>
                <w:sz w:val="21"/>
                <w:szCs w:val="21"/>
                <w:lang w:eastAsia="zh-CN"/>
              </w:rPr>
            </w:pPr>
            <w:r>
              <w:rPr>
                <w:rFonts w:ascii="宋体" w:hAnsi="宋体" w:eastAsia="宋体" w:cs="宋体"/>
                <w:color w:val="000000"/>
                <w:sz w:val="21"/>
                <w:szCs w:val="21"/>
              </w:rPr>
              <w:t>工业废水</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mg/L</w:t>
            </w:r>
            <w:r>
              <w:rPr>
                <w:rFonts w:hint="eastAsia" w:ascii="宋体" w:hAnsi="宋体" w:eastAsia="宋体" w:cs="宋体"/>
                <w:color w:val="000000"/>
                <w:sz w:val="21"/>
                <w:szCs w:val="21"/>
                <w:lang w:eastAsia="zh-CN"/>
              </w:rPr>
              <w:t>）</w:t>
            </w:r>
          </w:p>
        </w:tc>
        <w:tc>
          <w:tcPr>
            <w:tcW w:w="887" w:type="dxa"/>
            <w:tcBorders>
              <w:top w:val="single" w:color="000000" w:sz="6" w:space="0"/>
              <w:left w:val="single" w:color="000000" w:sz="6" w:space="0"/>
              <w:bottom w:val="single" w:color="000000" w:sz="12" w:space="0"/>
              <w:right w:val="single" w:color="000000" w:sz="6" w:space="0"/>
            </w:tcBorders>
            <w:noWrap w:val="0"/>
            <w:vAlign w:val="top"/>
          </w:tcPr>
          <w:p>
            <w:pPr>
              <w:pStyle w:val="13"/>
              <w:spacing w:before="78"/>
              <w:ind w:left="278"/>
              <w:rPr>
                <w:rFonts w:ascii="Times New Roman" w:hAnsi="Times New Roman" w:eastAsia="Times New Roman" w:cs="Times New Roman"/>
                <w:color w:val="000000"/>
                <w:sz w:val="21"/>
                <w:szCs w:val="21"/>
              </w:rPr>
            </w:pPr>
            <w:r>
              <w:rPr>
                <w:rFonts w:hint="eastAsia" w:ascii="Times New Roman"/>
                <w:color w:val="000000"/>
                <w:sz w:val="21"/>
                <w:lang w:val="en-US" w:eastAsia="zh-CN"/>
              </w:rPr>
              <w:t>50</w:t>
            </w:r>
            <w:r>
              <w:rPr>
                <w:rFonts w:ascii="Times New Roman"/>
                <w:color w:val="000000"/>
                <w:sz w:val="21"/>
              </w:rPr>
              <w:t>0</w:t>
            </w:r>
          </w:p>
        </w:tc>
        <w:tc>
          <w:tcPr>
            <w:tcW w:w="888" w:type="dxa"/>
            <w:tcBorders>
              <w:top w:val="single" w:color="000000" w:sz="6" w:space="0"/>
              <w:left w:val="single" w:color="000000" w:sz="6" w:space="0"/>
              <w:bottom w:val="single" w:color="000000" w:sz="12" w:space="0"/>
              <w:right w:val="single" w:color="000000" w:sz="6" w:space="0"/>
            </w:tcBorders>
            <w:noWrap w:val="0"/>
            <w:vAlign w:val="top"/>
          </w:tcPr>
          <w:p>
            <w:pPr>
              <w:pStyle w:val="13"/>
              <w:spacing w:before="78"/>
              <w:ind w:left="278"/>
              <w:rPr>
                <w:rFonts w:ascii="Times New Roman" w:hAnsi="Times New Roman" w:eastAsia="Times New Roman" w:cs="Times New Roman"/>
                <w:color w:val="000000"/>
                <w:sz w:val="21"/>
                <w:szCs w:val="21"/>
              </w:rPr>
            </w:pPr>
            <w:r>
              <w:rPr>
                <w:rFonts w:hint="eastAsia" w:ascii="Times New Roman"/>
                <w:color w:val="000000"/>
                <w:sz w:val="21"/>
                <w:lang w:val="en-US" w:eastAsia="zh-CN"/>
              </w:rPr>
              <w:t>30</w:t>
            </w:r>
            <w:r>
              <w:rPr>
                <w:rFonts w:ascii="Times New Roman"/>
                <w:color w:val="000000"/>
                <w:sz w:val="21"/>
              </w:rPr>
              <w:t>0</w:t>
            </w:r>
          </w:p>
        </w:tc>
        <w:tc>
          <w:tcPr>
            <w:tcW w:w="887" w:type="dxa"/>
            <w:tcBorders>
              <w:top w:val="single" w:color="000000" w:sz="6" w:space="0"/>
              <w:left w:val="single" w:color="000000" w:sz="6" w:space="0"/>
              <w:bottom w:val="single" w:color="000000" w:sz="12" w:space="0"/>
              <w:right w:val="single" w:color="000000" w:sz="6" w:space="0"/>
            </w:tcBorders>
            <w:noWrap w:val="0"/>
            <w:vAlign w:val="top"/>
          </w:tcPr>
          <w:p>
            <w:pPr>
              <w:pStyle w:val="13"/>
              <w:spacing w:before="78"/>
              <w:ind w:left="277"/>
              <w:rPr>
                <w:rFonts w:ascii="Times New Roman" w:hAnsi="Times New Roman" w:eastAsia="Times New Roman" w:cs="Times New Roman"/>
                <w:color w:val="000000"/>
                <w:sz w:val="21"/>
                <w:szCs w:val="21"/>
              </w:rPr>
            </w:pPr>
            <w:r>
              <w:rPr>
                <w:rFonts w:hint="eastAsia" w:ascii="Times New Roman"/>
                <w:color w:val="000000"/>
                <w:sz w:val="21"/>
                <w:lang w:val="en-US" w:eastAsia="zh-CN"/>
              </w:rPr>
              <w:t>40</w:t>
            </w:r>
            <w:r>
              <w:rPr>
                <w:rFonts w:ascii="Times New Roman"/>
                <w:color w:val="000000"/>
                <w:sz w:val="21"/>
              </w:rPr>
              <w:t>0</w:t>
            </w:r>
          </w:p>
        </w:tc>
        <w:tc>
          <w:tcPr>
            <w:tcW w:w="887" w:type="dxa"/>
            <w:tcBorders>
              <w:top w:val="single" w:color="000000" w:sz="6" w:space="0"/>
              <w:left w:val="single" w:color="000000" w:sz="6" w:space="0"/>
              <w:bottom w:val="single" w:color="000000" w:sz="12" w:space="0"/>
              <w:right w:val="single" w:color="000000" w:sz="6" w:space="0"/>
            </w:tcBorders>
            <w:noWrap w:val="0"/>
            <w:vAlign w:val="top"/>
          </w:tcPr>
          <w:p>
            <w:pPr>
              <w:pStyle w:val="13"/>
              <w:spacing w:before="78"/>
              <w:ind w:right="1"/>
              <w:jc w:val="center"/>
              <w:rPr>
                <w:rFonts w:hint="default" w:ascii="Times New Roman" w:hAnsi="Times New Roman" w:eastAsia="宋体" w:cs="Times New Roman"/>
                <w:color w:val="000000"/>
                <w:sz w:val="21"/>
                <w:szCs w:val="21"/>
                <w:lang w:val="en-US" w:eastAsia="zh-CN"/>
              </w:rPr>
            </w:pPr>
            <w:r>
              <w:rPr>
                <w:rFonts w:hint="eastAsia" w:ascii="Times New Roman" w:eastAsia="宋体"/>
                <w:color w:val="000000"/>
                <w:sz w:val="21"/>
                <w:lang w:val="en-US" w:eastAsia="zh-CN"/>
              </w:rPr>
              <w:t>45</w:t>
            </w:r>
          </w:p>
        </w:tc>
        <w:tc>
          <w:tcPr>
            <w:tcW w:w="888" w:type="dxa"/>
            <w:tcBorders>
              <w:top w:val="single" w:color="000000" w:sz="6" w:space="0"/>
              <w:left w:val="single" w:color="000000" w:sz="6" w:space="0"/>
              <w:bottom w:val="single" w:color="000000" w:sz="12" w:space="0"/>
              <w:right w:val="single" w:color="000000" w:sz="6" w:space="0"/>
            </w:tcBorders>
            <w:noWrap w:val="0"/>
            <w:vAlign w:val="top"/>
          </w:tcPr>
          <w:p>
            <w:pPr>
              <w:pStyle w:val="13"/>
              <w:spacing w:before="78"/>
              <w:ind w:right="2"/>
              <w:jc w:val="center"/>
              <w:rPr>
                <w:rFonts w:hint="default" w:ascii="Times New Roman" w:hAnsi="Times New Roman" w:eastAsia="宋体" w:cs="Times New Roman"/>
                <w:color w:val="000000"/>
                <w:sz w:val="21"/>
                <w:szCs w:val="21"/>
                <w:lang w:val="en-US" w:eastAsia="zh-CN"/>
              </w:rPr>
            </w:pPr>
            <w:r>
              <w:rPr>
                <w:rFonts w:hint="eastAsia" w:ascii="Times New Roman" w:eastAsia="宋体"/>
                <w:color w:val="000000"/>
                <w:sz w:val="21"/>
                <w:lang w:val="en-US" w:eastAsia="zh-CN"/>
              </w:rPr>
              <w:t>5.0</w:t>
            </w:r>
          </w:p>
        </w:tc>
        <w:tc>
          <w:tcPr>
            <w:tcW w:w="887" w:type="dxa"/>
            <w:tcBorders>
              <w:top w:val="single" w:color="000000" w:sz="6" w:space="0"/>
              <w:left w:val="single" w:color="000000" w:sz="6" w:space="0"/>
              <w:bottom w:val="single" w:color="000000" w:sz="12" w:space="0"/>
              <w:right w:val="nil"/>
            </w:tcBorders>
            <w:noWrap w:val="0"/>
            <w:vAlign w:val="top"/>
          </w:tcPr>
          <w:p>
            <w:pPr>
              <w:pStyle w:val="13"/>
              <w:spacing w:before="78"/>
              <w:ind w:right="6"/>
              <w:jc w:val="center"/>
              <w:rPr>
                <w:rFonts w:hint="default" w:ascii="Times New Roman" w:hAnsi="Times New Roman" w:eastAsia="宋体" w:cs="Times New Roman"/>
                <w:color w:val="000000"/>
                <w:sz w:val="21"/>
                <w:szCs w:val="21"/>
                <w:lang w:val="en-US" w:eastAsia="zh-CN"/>
              </w:rPr>
            </w:pPr>
            <w:r>
              <w:rPr>
                <w:rFonts w:hint="eastAsia" w:ascii="Times New Roman" w:eastAsia="宋体"/>
                <w:color w:val="000000"/>
                <w:sz w:val="21"/>
                <w:lang w:val="en-US" w:eastAsia="zh-CN"/>
              </w:rPr>
              <w:t>35</w:t>
            </w:r>
          </w:p>
        </w:tc>
      </w:tr>
    </w:tbl>
    <w:p>
      <w:pPr>
        <w:tabs>
          <w:tab w:val="left" w:pos="820"/>
        </w:tabs>
        <w:adjustRightInd w:val="0"/>
        <w:snapToGrid w:val="0"/>
        <w:spacing w:line="360" w:lineRule="auto"/>
        <w:ind w:firstLine="480" w:firstLineChars="200"/>
        <w:jc w:val="both"/>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eastAsia="zh-CN"/>
        </w:rPr>
        <w:t>根据预测生活污水、新乡县大召营专业园区工业污水的排水水量及水质，理论计算混合污水水质如下表所示。</w:t>
      </w:r>
    </w:p>
    <w:p>
      <w:pPr>
        <w:adjustRightInd w:val="0"/>
        <w:snapToGrid w:val="0"/>
        <w:jc w:val="center"/>
        <w:rPr>
          <w:rFonts w:hint="default" w:ascii="Times New Roman" w:hAnsi="Times New Roman" w:eastAsia="黑体"/>
          <w:color w:val="000000"/>
          <w:sz w:val="24"/>
          <w:szCs w:val="24"/>
          <w:lang w:val="en-US" w:eastAsia="zh-CN"/>
        </w:rPr>
      </w:pPr>
      <w:r>
        <w:rPr>
          <w:rFonts w:hint="eastAsia" w:ascii="Times New Roman" w:hAnsi="Times New Roman" w:eastAsia="黑体"/>
          <w:color w:val="000000"/>
          <w:sz w:val="24"/>
          <w:szCs w:val="24"/>
          <w:lang w:val="en-US" w:eastAsia="zh-CN"/>
        </w:rPr>
        <w:t>表4-2  混合废水水质</w:t>
      </w:r>
    </w:p>
    <w:tbl>
      <w:tblPr>
        <w:tblStyle w:val="14"/>
        <w:tblW w:w="8504" w:type="dxa"/>
        <w:jc w:val="center"/>
        <w:tblLayout w:type="fixed"/>
        <w:tblCellMar>
          <w:top w:w="0" w:type="dxa"/>
          <w:left w:w="0" w:type="dxa"/>
          <w:bottom w:w="0" w:type="dxa"/>
          <w:right w:w="0" w:type="dxa"/>
        </w:tblCellMar>
      </w:tblPr>
      <w:tblGrid>
        <w:gridCol w:w="2461"/>
        <w:gridCol w:w="1006"/>
        <w:gridCol w:w="1008"/>
        <w:gridCol w:w="1007"/>
        <w:gridCol w:w="1007"/>
        <w:gridCol w:w="1008"/>
        <w:gridCol w:w="1007"/>
      </w:tblGrid>
      <w:tr>
        <w:tblPrEx>
          <w:tblCellMar>
            <w:top w:w="0" w:type="dxa"/>
            <w:left w:w="0" w:type="dxa"/>
            <w:bottom w:w="0" w:type="dxa"/>
            <w:right w:w="0" w:type="dxa"/>
          </w:tblCellMar>
        </w:tblPrEx>
        <w:trPr>
          <w:trHeight w:val="420" w:hRule="exact"/>
          <w:jc w:val="center"/>
        </w:trPr>
        <w:tc>
          <w:tcPr>
            <w:tcW w:w="2169" w:type="dxa"/>
            <w:tcBorders>
              <w:top w:val="single" w:color="000000" w:sz="12" w:space="0"/>
              <w:left w:val="nil"/>
              <w:bottom w:val="single" w:color="000000" w:sz="6" w:space="0"/>
              <w:right w:val="single" w:color="000000" w:sz="6" w:space="0"/>
            </w:tcBorders>
            <w:noWrap w:val="0"/>
            <w:vAlign w:val="top"/>
          </w:tcPr>
          <w:p>
            <w:pPr>
              <w:pStyle w:val="13"/>
              <w:spacing w:before="47"/>
              <w:ind w:left="666"/>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项目</w:t>
            </w:r>
          </w:p>
        </w:tc>
        <w:tc>
          <w:tcPr>
            <w:tcW w:w="887" w:type="dxa"/>
            <w:tcBorders>
              <w:top w:val="single" w:color="000000" w:sz="12" w:space="0"/>
              <w:left w:val="single" w:color="000000" w:sz="6" w:space="0"/>
              <w:bottom w:val="single" w:color="000000" w:sz="6" w:space="0"/>
              <w:right w:val="single" w:color="000000" w:sz="6" w:space="0"/>
            </w:tcBorders>
            <w:noWrap w:val="0"/>
            <w:vAlign w:val="top"/>
          </w:tcPr>
          <w:p>
            <w:pPr>
              <w:pStyle w:val="13"/>
              <w:spacing w:before="92"/>
              <w:ind w:left="216"/>
              <w:rPr>
                <w:rFonts w:ascii="Times New Roman" w:hAnsi="Times New Roman" w:eastAsia="Times New Roman" w:cs="Times New Roman"/>
                <w:color w:val="000000"/>
                <w:sz w:val="21"/>
                <w:szCs w:val="21"/>
              </w:rPr>
            </w:pPr>
            <w:r>
              <w:rPr>
                <w:rFonts w:ascii="Times New Roman"/>
                <w:color w:val="000000"/>
                <w:sz w:val="21"/>
              </w:rPr>
              <w:t>COD</w:t>
            </w:r>
          </w:p>
        </w:tc>
        <w:tc>
          <w:tcPr>
            <w:tcW w:w="888" w:type="dxa"/>
            <w:tcBorders>
              <w:top w:val="single" w:color="000000" w:sz="12" w:space="0"/>
              <w:left w:val="single" w:color="000000" w:sz="6" w:space="0"/>
              <w:bottom w:val="single" w:color="000000" w:sz="6" w:space="0"/>
              <w:right w:val="single" w:color="000000" w:sz="6" w:space="0"/>
            </w:tcBorders>
            <w:noWrap w:val="0"/>
            <w:vAlign w:val="top"/>
          </w:tcPr>
          <w:p>
            <w:pPr>
              <w:pStyle w:val="13"/>
              <w:spacing w:before="89"/>
              <w:ind w:left="180"/>
              <w:rPr>
                <w:rFonts w:ascii="Times New Roman" w:hAnsi="Times New Roman" w:eastAsia="Times New Roman" w:cs="Times New Roman"/>
                <w:color w:val="000000"/>
                <w:sz w:val="13"/>
                <w:szCs w:val="13"/>
              </w:rPr>
            </w:pPr>
            <w:r>
              <w:rPr>
                <w:rFonts w:ascii="Times New Roman"/>
                <w:color w:val="000000"/>
                <w:position w:val="2"/>
                <w:sz w:val="21"/>
              </w:rPr>
              <w:t>BOD</w:t>
            </w:r>
            <w:r>
              <w:rPr>
                <w:rFonts w:ascii="Times New Roman"/>
                <w:color w:val="000000"/>
                <w:sz w:val="13"/>
              </w:rPr>
              <w:t>5</w:t>
            </w:r>
          </w:p>
        </w:tc>
        <w:tc>
          <w:tcPr>
            <w:tcW w:w="887" w:type="dxa"/>
            <w:tcBorders>
              <w:top w:val="single" w:color="000000" w:sz="12" w:space="0"/>
              <w:left w:val="single" w:color="000000" w:sz="6" w:space="0"/>
              <w:bottom w:val="single" w:color="000000" w:sz="6" w:space="0"/>
              <w:right w:val="single" w:color="000000" w:sz="6" w:space="0"/>
            </w:tcBorders>
            <w:noWrap w:val="0"/>
            <w:vAlign w:val="top"/>
          </w:tcPr>
          <w:p>
            <w:pPr>
              <w:pStyle w:val="13"/>
              <w:spacing w:before="92"/>
              <w:jc w:val="center"/>
              <w:rPr>
                <w:rFonts w:ascii="Times New Roman" w:hAnsi="Times New Roman" w:eastAsia="Times New Roman" w:cs="Times New Roman"/>
                <w:color w:val="000000"/>
                <w:sz w:val="21"/>
                <w:szCs w:val="21"/>
              </w:rPr>
            </w:pPr>
            <w:r>
              <w:rPr>
                <w:rFonts w:ascii="Times New Roman"/>
                <w:color w:val="000000"/>
                <w:spacing w:val="-1"/>
                <w:sz w:val="21"/>
              </w:rPr>
              <w:t>SS</w:t>
            </w:r>
          </w:p>
        </w:tc>
        <w:tc>
          <w:tcPr>
            <w:tcW w:w="887" w:type="dxa"/>
            <w:tcBorders>
              <w:top w:val="single" w:color="000000" w:sz="12" w:space="0"/>
              <w:left w:val="single" w:color="000000" w:sz="6" w:space="0"/>
              <w:bottom w:val="single" w:color="000000" w:sz="6" w:space="0"/>
              <w:right w:val="single" w:color="000000" w:sz="6" w:space="0"/>
            </w:tcBorders>
            <w:noWrap w:val="0"/>
            <w:vAlign w:val="top"/>
          </w:tcPr>
          <w:p>
            <w:pPr>
              <w:pStyle w:val="13"/>
              <w:spacing w:before="92"/>
              <w:ind w:right="2" w:rightChars="0"/>
              <w:jc w:val="center"/>
              <w:rPr>
                <w:rFonts w:ascii="Times New Roman" w:hAnsi="Times New Roman" w:eastAsia="Times New Roman" w:cs="Times New Roman"/>
                <w:color w:val="000000"/>
                <w:kern w:val="0"/>
                <w:sz w:val="21"/>
                <w:szCs w:val="21"/>
                <w:lang w:val="en-US" w:eastAsia="en-US" w:bidi="ar-SA"/>
              </w:rPr>
            </w:pPr>
            <w:r>
              <w:rPr>
                <w:rFonts w:ascii="Times New Roman"/>
                <w:color w:val="000000"/>
                <w:spacing w:val="-1"/>
                <w:sz w:val="21"/>
              </w:rPr>
              <w:t>TN</w:t>
            </w:r>
          </w:p>
        </w:tc>
        <w:tc>
          <w:tcPr>
            <w:tcW w:w="888" w:type="dxa"/>
            <w:tcBorders>
              <w:top w:val="single" w:color="000000" w:sz="12" w:space="0"/>
              <w:left w:val="single" w:color="000000" w:sz="6" w:space="0"/>
              <w:bottom w:val="single" w:color="000000" w:sz="6" w:space="0"/>
              <w:right w:val="single" w:color="000000" w:sz="6" w:space="0"/>
            </w:tcBorders>
            <w:noWrap w:val="0"/>
            <w:vAlign w:val="top"/>
          </w:tcPr>
          <w:p>
            <w:pPr>
              <w:pStyle w:val="13"/>
              <w:spacing w:before="92"/>
              <w:ind w:right="6" w:rightChars="0"/>
              <w:jc w:val="center"/>
              <w:rPr>
                <w:rFonts w:ascii="Times New Roman" w:hAnsi="Times New Roman" w:eastAsia="Times New Roman" w:cs="Times New Roman"/>
                <w:color w:val="000000"/>
                <w:kern w:val="0"/>
                <w:sz w:val="21"/>
                <w:szCs w:val="21"/>
                <w:lang w:val="en-US" w:eastAsia="en-US" w:bidi="ar-SA"/>
              </w:rPr>
            </w:pPr>
            <w:r>
              <w:rPr>
                <w:rFonts w:ascii="Times New Roman"/>
                <w:color w:val="000000"/>
                <w:spacing w:val="-1"/>
                <w:sz w:val="21"/>
              </w:rPr>
              <w:t>TP</w:t>
            </w:r>
          </w:p>
        </w:tc>
        <w:tc>
          <w:tcPr>
            <w:tcW w:w="887" w:type="dxa"/>
            <w:tcBorders>
              <w:top w:val="single" w:color="000000" w:sz="12" w:space="0"/>
              <w:left w:val="single" w:color="000000" w:sz="6" w:space="0"/>
              <w:bottom w:val="single" w:color="000000" w:sz="6" w:space="0"/>
              <w:right w:val="nil"/>
            </w:tcBorders>
            <w:noWrap w:val="0"/>
            <w:vAlign w:val="top"/>
          </w:tcPr>
          <w:p>
            <w:pPr>
              <w:pStyle w:val="13"/>
              <w:spacing w:before="92"/>
              <w:ind w:right="6"/>
              <w:jc w:val="center"/>
              <w:rPr>
                <w:rFonts w:hint="default" w:ascii="Times New Roman" w:hAnsi="Times New Roman" w:eastAsia="宋体" w:cs="Times New Roman"/>
                <w:color w:val="000000"/>
                <w:sz w:val="21"/>
                <w:szCs w:val="21"/>
                <w:lang w:val="en-US" w:eastAsia="zh-CN"/>
              </w:rPr>
            </w:pPr>
            <w:r>
              <w:rPr>
                <w:rFonts w:hint="eastAsia" w:ascii="Times New Roman" w:eastAsia="宋体"/>
                <w:color w:val="000000"/>
                <w:spacing w:val="-1"/>
                <w:sz w:val="21"/>
                <w:lang w:val="en-US" w:eastAsia="zh-CN"/>
              </w:rPr>
              <w:t>NH</w:t>
            </w:r>
            <w:r>
              <w:rPr>
                <w:rFonts w:hint="eastAsia" w:ascii="Times New Roman" w:eastAsia="宋体"/>
                <w:color w:val="000000"/>
                <w:spacing w:val="-1"/>
                <w:sz w:val="21"/>
                <w:vertAlign w:val="subscript"/>
                <w:lang w:val="en-US" w:eastAsia="zh-CN"/>
              </w:rPr>
              <w:t>3</w:t>
            </w:r>
            <w:r>
              <w:rPr>
                <w:rFonts w:hint="eastAsia" w:ascii="Times New Roman" w:eastAsia="宋体"/>
                <w:color w:val="000000"/>
                <w:spacing w:val="-1"/>
                <w:sz w:val="21"/>
                <w:lang w:val="en-US" w:eastAsia="zh-CN"/>
              </w:rPr>
              <w:t>-N</w:t>
            </w:r>
          </w:p>
        </w:tc>
      </w:tr>
      <w:tr>
        <w:tblPrEx>
          <w:tblCellMar>
            <w:top w:w="0" w:type="dxa"/>
            <w:left w:w="0" w:type="dxa"/>
            <w:bottom w:w="0" w:type="dxa"/>
            <w:right w:w="0" w:type="dxa"/>
          </w:tblCellMar>
        </w:tblPrEx>
        <w:trPr>
          <w:trHeight w:val="419" w:hRule="exact"/>
          <w:jc w:val="center"/>
        </w:trPr>
        <w:tc>
          <w:tcPr>
            <w:tcW w:w="2169" w:type="dxa"/>
            <w:tcBorders>
              <w:top w:val="single" w:color="000000" w:sz="6" w:space="0"/>
              <w:left w:val="nil"/>
              <w:bottom w:val="single" w:color="000000" w:sz="12" w:space="0"/>
              <w:right w:val="single" w:color="000000" w:sz="6" w:space="0"/>
            </w:tcBorders>
            <w:noWrap w:val="0"/>
            <w:vAlign w:val="top"/>
          </w:tcPr>
          <w:p>
            <w:pPr>
              <w:pStyle w:val="13"/>
              <w:spacing w:before="47"/>
              <w:ind w:left="455"/>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一期（</w:t>
            </w:r>
            <w:r>
              <w:rPr>
                <w:rFonts w:hint="eastAsia" w:ascii="宋体" w:hAnsi="宋体" w:eastAsia="宋体" w:cs="宋体"/>
                <w:color w:val="000000"/>
                <w:sz w:val="21"/>
                <w:szCs w:val="21"/>
                <w:lang w:val="en-US" w:eastAsia="zh-CN"/>
              </w:rPr>
              <w:t>mg/L</w:t>
            </w:r>
            <w:r>
              <w:rPr>
                <w:rFonts w:hint="eastAsia" w:ascii="宋体" w:hAnsi="宋体" w:eastAsia="宋体" w:cs="宋体"/>
                <w:color w:val="000000"/>
                <w:sz w:val="21"/>
                <w:szCs w:val="21"/>
                <w:lang w:eastAsia="zh-CN"/>
              </w:rPr>
              <w:t>）</w:t>
            </w:r>
          </w:p>
        </w:tc>
        <w:tc>
          <w:tcPr>
            <w:tcW w:w="887" w:type="dxa"/>
            <w:tcBorders>
              <w:top w:val="single" w:color="000000" w:sz="6" w:space="0"/>
              <w:left w:val="single" w:color="000000" w:sz="6" w:space="0"/>
              <w:bottom w:val="single" w:color="000000" w:sz="12" w:space="0"/>
              <w:right w:val="single" w:color="000000" w:sz="6" w:space="0"/>
            </w:tcBorders>
            <w:noWrap w:val="0"/>
            <w:vAlign w:val="top"/>
          </w:tcPr>
          <w:p>
            <w:pPr>
              <w:pStyle w:val="13"/>
              <w:spacing w:before="78"/>
              <w:ind w:left="278"/>
              <w:rPr>
                <w:rFonts w:hint="default" w:ascii="Times New Roman" w:hAnsi="Times New Roman" w:eastAsia="Times New Roman" w:cs="Times New Roman"/>
                <w:color w:val="000000"/>
                <w:sz w:val="21"/>
                <w:szCs w:val="21"/>
                <w:lang w:val="en-US"/>
              </w:rPr>
            </w:pPr>
            <w:r>
              <w:rPr>
                <w:rFonts w:hint="eastAsia" w:ascii="Times New Roman"/>
                <w:color w:val="000000"/>
                <w:sz w:val="21"/>
                <w:lang w:val="en-US" w:eastAsia="zh-CN"/>
              </w:rPr>
              <w:t>366</w:t>
            </w:r>
          </w:p>
        </w:tc>
        <w:tc>
          <w:tcPr>
            <w:tcW w:w="888" w:type="dxa"/>
            <w:tcBorders>
              <w:top w:val="single" w:color="000000" w:sz="6" w:space="0"/>
              <w:left w:val="single" w:color="000000" w:sz="6" w:space="0"/>
              <w:bottom w:val="single" w:color="000000" w:sz="12" w:space="0"/>
              <w:right w:val="single" w:color="000000" w:sz="6" w:space="0"/>
            </w:tcBorders>
            <w:noWrap w:val="0"/>
            <w:vAlign w:val="top"/>
          </w:tcPr>
          <w:p>
            <w:pPr>
              <w:pStyle w:val="13"/>
              <w:spacing w:before="78"/>
              <w:ind w:left="278"/>
              <w:rPr>
                <w:rFonts w:hint="default" w:ascii="Times New Roman" w:hAnsi="Times New Roman" w:eastAsia="Times New Roman" w:cs="Times New Roman"/>
                <w:color w:val="000000"/>
                <w:sz w:val="21"/>
                <w:szCs w:val="21"/>
                <w:lang w:val="en-US"/>
              </w:rPr>
            </w:pPr>
            <w:r>
              <w:rPr>
                <w:rFonts w:hint="eastAsia" w:ascii="Times New Roman"/>
                <w:color w:val="000000"/>
                <w:sz w:val="21"/>
                <w:lang w:val="en-US" w:eastAsia="zh-CN"/>
              </w:rPr>
              <w:t>199.6</w:t>
            </w:r>
          </w:p>
        </w:tc>
        <w:tc>
          <w:tcPr>
            <w:tcW w:w="887" w:type="dxa"/>
            <w:tcBorders>
              <w:top w:val="single" w:color="000000" w:sz="6" w:space="0"/>
              <w:left w:val="single" w:color="000000" w:sz="6" w:space="0"/>
              <w:bottom w:val="single" w:color="000000" w:sz="12" w:space="0"/>
              <w:right w:val="single" w:color="000000" w:sz="6" w:space="0"/>
            </w:tcBorders>
            <w:noWrap w:val="0"/>
            <w:vAlign w:val="top"/>
          </w:tcPr>
          <w:p>
            <w:pPr>
              <w:pStyle w:val="13"/>
              <w:spacing w:before="78"/>
              <w:ind w:left="277"/>
              <w:rPr>
                <w:rFonts w:hint="default" w:ascii="Times New Roman" w:hAnsi="Times New Roman" w:eastAsia="Times New Roman" w:cs="Times New Roman"/>
                <w:color w:val="000000"/>
                <w:sz w:val="21"/>
                <w:szCs w:val="21"/>
                <w:lang w:val="en-US"/>
              </w:rPr>
            </w:pPr>
            <w:r>
              <w:rPr>
                <w:rFonts w:hint="eastAsia" w:ascii="Times New Roman"/>
                <w:color w:val="000000"/>
                <w:sz w:val="21"/>
                <w:lang w:val="en-US" w:eastAsia="zh-CN"/>
              </w:rPr>
              <w:t>232.7</w:t>
            </w:r>
          </w:p>
        </w:tc>
        <w:tc>
          <w:tcPr>
            <w:tcW w:w="887" w:type="dxa"/>
            <w:tcBorders>
              <w:top w:val="single" w:color="000000" w:sz="6" w:space="0"/>
              <w:left w:val="single" w:color="000000" w:sz="6" w:space="0"/>
              <w:bottom w:val="single" w:color="000000" w:sz="12" w:space="0"/>
              <w:right w:val="single" w:color="000000" w:sz="6" w:space="0"/>
            </w:tcBorders>
            <w:noWrap w:val="0"/>
            <w:vAlign w:val="top"/>
          </w:tcPr>
          <w:p>
            <w:pPr>
              <w:pStyle w:val="13"/>
              <w:spacing w:before="78"/>
              <w:ind w:right="1"/>
              <w:jc w:val="center"/>
              <w:rPr>
                <w:rFonts w:hint="default" w:ascii="Times New Roman" w:hAnsi="Times New Roman" w:eastAsia="宋体" w:cs="Times New Roman"/>
                <w:color w:val="000000"/>
                <w:sz w:val="21"/>
                <w:szCs w:val="21"/>
                <w:lang w:val="en-US" w:eastAsia="zh-CN"/>
              </w:rPr>
            </w:pPr>
            <w:r>
              <w:rPr>
                <w:rFonts w:hint="eastAsia" w:ascii="Times New Roman" w:eastAsia="宋体"/>
                <w:color w:val="000000"/>
                <w:sz w:val="21"/>
                <w:lang w:val="en-US" w:eastAsia="zh-CN"/>
              </w:rPr>
              <w:t>47.75</w:t>
            </w:r>
          </w:p>
        </w:tc>
        <w:tc>
          <w:tcPr>
            <w:tcW w:w="888" w:type="dxa"/>
            <w:tcBorders>
              <w:top w:val="single" w:color="000000" w:sz="6" w:space="0"/>
              <w:left w:val="single" w:color="000000" w:sz="6" w:space="0"/>
              <w:bottom w:val="single" w:color="000000" w:sz="12" w:space="0"/>
              <w:right w:val="single" w:color="000000" w:sz="6" w:space="0"/>
            </w:tcBorders>
            <w:noWrap w:val="0"/>
            <w:vAlign w:val="top"/>
          </w:tcPr>
          <w:p>
            <w:pPr>
              <w:pStyle w:val="13"/>
              <w:spacing w:before="78"/>
              <w:ind w:right="2"/>
              <w:jc w:val="center"/>
              <w:rPr>
                <w:rFonts w:hint="default" w:ascii="Times New Roman" w:hAnsi="Times New Roman" w:eastAsia="宋体" w:cs="Times New Roman"/>
                <w:color w:val="000000"/>
                <w:sz w:val="21"/>
                <w:szCs w:val="21"/>
                <w:lang w:val="en-US" w:eastAsia="zh-CN"/>
              </w:rPr>
            </w:pPr>
            <w:r>
              <w:rPr>
                <w:rFonts w:hint="eastAsia" w:ascii="Times New Roman" w:eastAsia="宋体"/>
                <w:color w:val="000000"/>
                <w:sz w:val="21"/>
                <w:lang w:val="en-US" w:eastAsia="zh-CN"/>
              </w:rPr>
              <w:t>3.67</w:t>
            </w:r>
          </w:p>
        </w:tc>
        <w:tc>
          <w:tcPr>
            <w:tcW w:w="887" w:type="dxa"/>
            <w:tcBorders>
              <w:top w:val="single" w:color="000000" w:sz="6" w:space="0"/>
              <w:left w:val="single" w:color="000000" w:sz="6" w:space="0"/>
              <w:bottom w:val="single" w:color="000000" w:sz="12" w:space="0"/>
              <w:right w:val="nil"/>
            </w:tcBorders>
            <w:noWrap w:val="0"/>
            <w:vAlign w:val="top"/>
          </w:tcPr>
          <w:p>
            <w:pPr>
              <w:pStyle w:val="13"/>
              <w:spacing w:before="78"/>
              <w:ind w:right="6"/>
              <w:jc w:val="center"/>
              <w:rPr>
                <w:rFonts w:hint="default" w:ascii="Times New Roman" w:hAnsi="Times New Roman" w:eastAsia="宋体" w:cs="Times New Roman"/>
                <w:color w:val="000000"/>
                <w:sz w:val="21"/>
                <w:szCs w:val="21"/>
                <w:lang w:val="en-US" w:eastAsia="zh-CN"/>
              </w:rPr>
            </w:pPr>
            <w:r>
              <w:rPr>
                <w:rFonts w:hint="eastAsia" w:ascii="Times New Roman" w:eastAsia="宋体"/>
                <w:color w:val="000000"/>
                <w:sz w:val="21"/>
                <w:lang w:val="en-US" w:eastAsia="zh-CN"/>
              </w:rPr>
              <w:t>31.7</w:t>
            </w:r>
          </w:p>
        </w:tc>
      </w:tr>
    </w:tbl>
    <w:p>
      <w:pPr>
        <w:bidi w:val="0"/>
        <w:spacing w:line="360" w:lineRule="auto"/>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4.1.2.2污水处理厂设计出水水质</w:t>
      </w:r>
    </w:p>
    <w:p>
      <w:pPr>
        <w:bidi w:val="0"/>
        <w:spacing w:line="360" w:lineRule="auto"/>
        <w:ind w:firstLine="480" w:firstLineChars="200"/>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根据大召营镇总体发展规划要求，本项目污水厂出水水质达到《城镇污水处理厂污染物排放标准》</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GB18918-2002</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一级A标准，同时根据流域标准《地表水环境质量标准》</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GB3838-2002</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V类关标准</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COD≤40mg/L</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NH</w:t>
      </w:r>
      <w:r>
        <w:rPr>
          <w:rFonts w:hint="eastAsia" w:ascii="Times New Roman" w:hAnsi="Times New Roman" w:cs="Times New Roman"/>
          <w:color w:val="000000"/>
          <w:sz w:val="24"/>
          <w:szCs w:val="24"/>
          <w:vertAlign w:val="subscript"/>
          <w:lang w:val="en-US" w:eastAsia="zh-CN"/>
        </w:rPr>
        <w:t>3</w:t>
      </w:r>
      <w:r>
        <w:rPr>
          <w:rFonts w:hint="default" w:ascii="Times New Roman" w:hAnsi="Times New Roman" w:cs="Times New Roman"/>
          <w:color w:val="000000"/>
          <w:sz w:val="24"/>
          <w:szCs w:val="24"/>
          <w:lang w:val="en-US" w:eastAsia="zh-CN"/>
        </w:rPr>
        <w:t>-N≤2mg/L</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,并根据流</w:t>
      </w:r>
      <w:r>
        <w:rPr>
          <w:rFonts w:hint="eastAsia" w:ascii="Times New Roman" w:hAnsi="Times New Roman" w:cs="Times New Roman"/>
          <w:color w:val="000000"/>
          <w:sz w:val="24"/>
          <w:szCs w:val="24"/>
          <w:lang w:val="en-US" w:eastAsia="zh-CN"/>
        </w:rPr>
        <w:t>域</w:t>
      </w:r>
      <w:r>
        <w:rPr>
          <w:rFonts w:hint="default" w:ascii="Times New Roman" w:hAnsi="Times New Roman" w:cs="Times New Roman"/>
          <w:color w:val="000000"/>
          <w:sz w:val="24"/>
          <w:szCs w:val="24"/>
          <w:lang w:val="en-US" w:eastAsia="zh-CN"/>
        </w:rPr>
        <w:t>地表水现状情况，最终确定本项目设计出水水质主要指标如下表所示:：</w:t>
      </w:r>
    </w:p>
    <w:p>
      <w:pPr>
        <w:adjustRightInd w:val="0"/>
        <w:snapToGrid w:val="0"/>
        <w:jc w:val="center"/>
        <w:rPr>
          <w:rFonts w:hint="eastAsia" w:ascii="Times New Roman" w:hAnsi="Times New Roman" w:eastAsia="黑体"/>
          <w:color w:val="000000"/>
          <w:sz w:val="24"/>
          <w:szCs w:val="24"/>
          <w:lang w:val="en-US" w:eastAsia="zh-CN"/>
        </w:rPr>
      </w:pPr>
      <w:r>
        <w:rPr>
          <w:rFonts w:hint="eastAsia" w:ascii="Times New Roman" w:hAnsi="Times New Roman" w:eastAsia="黑体"/>
          <w:color w:val="000000"/>
          <w:sz w:val="24"/>
          <w:szCs w:val="24"/>
          <w:lang w:val="en-US" w:eastAsia="zh-CN"/>
        </w:rPr>
        <w:t>表4-3</w:t>
      </w:r>
      <w:r>
        <w:rPr>
          <w:rFonts w:hint="eastAsia" w:ascii="Times New Roman" w:hAnsi="Times New Roman" w:eastAsia="黑体"/>
          <w:color w:val="000000"/>
          <w:sz w:val="24"/>
          <w:szCs w:val="24"/>
          <w:lang w:val="en-US" w:eastAsia="zh-CN"/>
        </w:rPr>
        <w:tab/>
      </w:r>
      <w:r>
        <w:rPr>
          <w:rFonts w:hint="eastAsia" w:ascii="Times New Roman" w:hAnsi="Times New Roman" w:eastAsia="黑体"/>
          <w:color w:val="000000"/>
          <w:sz w:val="24"/>
          <w:szCs w:val="24"/>
          <w:lang w:val="en-US" w:eastAsia="zh-CN"/>
        </w:rPr>
        <w:t>本项目设计出水水质  单位：mg/L（pH除外）</w:t>
      </w:r>
    </w:p>
    <w:tbl>
      <w:tblPr>
        <w:tblStyle w:val="14"/>
        <w:tblW w:w="8504" w:type="dxa"/>
        <w:tblInd w:w="176" w:type="dxa"/>
        <w:tblLayout w:type="fixed"/>
        <w:tblCellMar>
          <w:top w:w="0" w:type="dxa"/>
          <w:left w:w="0" w:type="dxa"/>
          <w:bottom w:w="0" w:type="dxa"/>
          <w:right w:w="0" w:type="dxa"/>
        </w:tblCellMar>
      </w:tblPr>
      <w:tblGrid>
        <w:gridCol w:w="1328"/>
        <w:gridCol w:w="1515"/>
        <w:gridCol w:w="1264"/>
        <w:gridCol w:w="1263"/>
        <w:gridCol w:w="1405"/>
        <w:gridCol w:w="1729"/>
      </w:tblGrid>
      <w:tr>
        <w:tblPrEx>
          <w:tblCellMar>
            <w:top w:w="0" w:type="dxa"/>
            <w:left w:w="0" w:type="dxa"/>
            <w:bottom w:w="0" w:type="dxa"/>
            <w:right w:w="0" w:type="dxa"/>
          </w:tblCellMar>
        </w:tblPrEx>
        <w:trPr>
          <w:trHeight w:val="420" w:hRule="exact"/>
        </w:trPr>
        <w:tc>
          <w:tcPr>
            <w:tcW w:w="1328" w:type="dxa"/>
            <w:tcBorders>
              <w:top w:val="single" w:color="000000" w:sz="12" w:space="0"/>
              <w:left w:val="single" w:color="000000" w:sz="4" w:space="0"/>
              <w:bottom w:val="single" w:color="000000" w:sz="4" w:space="0"/>
              <w:right w:val="single" w:color="000000" w:sz="4" w:space="0"/>
            </w:tcBorders>
            <w:noWrap w:val="0"/>
            <w:vAlign w:val="center"/>
          </w:tcPr>
          <w:p>
            <w:pPr>
              <w:widowControl w:val="0"/>
              <w:spacing w:before="77"/>
              <w:ind w:left="211"/>
              <w:jc w:val="center"/>
              <w:rPr>
                <w:rFonts w:ascii="Times New Roman" w:hAnsi="Times New Roman" w:eastAsia="Times New Roman" w:cs="Times New Roman"/>
                <w:color w:val="000000"/>
                <w:sz w:val="21"/>
                <w:szCs w:val="21"/>
                <w:lang w:val="en-US" w:eastAsia="en-US" w:bidi="ar-SA"/>
              </w:rPr>
            </w:pPr>
            <w:r>
              <w:rPr>
                <w:rFonts w:ascii="Times New Roman" w:hAnsi="Calibri" w:eastAsia="宋体" w:cs="Times New Roman"/>
                <w:color w:val="000000"/>
                <w:sz w:val="21"/>
                <w:szCs w:val="22"/>
                <w:lang w:val="en-US" w:eastAsia="en-US" w:bidi="ar-SA"/>
              </w:rPr>
              <w:t>COD</w:t>
            </w:r>
          </w:p>
        </w:tc>
        <w:tc>
          <w:tcPr>
            <w:tcW w:w="1515" w:type="dxa"/>
            <w:tcBorders>
              <w:top w:val="single" w:color="000000" w:sz="12" w:space="0"/>
              <w:left w:val="single" w:color="000000" w:sz="4" w:space="0"/>
              <w:bottom w:val="single" w:color="000000" w:sz="4" w:space="0"/>
              <w:right w:val="single" w:color="000000" w:sz="4" w:space="0"/>
            </w:tcBorders>
            <w:noWrap w:val="0"/>
            <w:vAlign w:val="center"/>
          </w:tcPr>
          <w:p>
            <w:pPr>
              <w:widowControl w:val="0"/>
              <w:spacing w:before="74"/>
              <w:ind w:left="237"/>
              <w:jc w:val="center"/>
              <w:rPr>
                <w:rFonts w:ascii="Times New Roman" w:hAnsi="Times New Roman" w:eastAsia="Times New Roman" w:cs="Times New Roman"/>
                <w:color w:val="000000"/>
                <w:sz w:val="13"/>
                <w:szCs w:val="13"/>
                <w:lang w:val="en-US" w:eastAsia="en-US" w:bidi="ar-SA"/>
              </w:rPr>
            </w:pPr>
            <w:r>
              <w:rPr>
                <w:rFonts w:ascii="Times New Roman" w:hAnsi="Calibri" w:eastAsia="宋体" w:cs="Times New Roman"/>
                <w:color w:val="000000"/>
                <w:position w:val="2"/>
                <w:sz w:val="21"/>
                <w:szCs w:val="22"/>
                <w:lang w:val="en-US" w:eastAsia="en-US" w:bidi="ar-SA"/>
              </w:rPr>
              <w:t>BOD</w:t>
            </w:r>
            <w:r>
              <w:rPr>
                <w:rFonts w:ascii="Times New Roman" w:hAnsi="Calibri" w:eastAsia="宋体" w:cs="Times New Roman"/>
                <w:color w:val="000000"/>
                <w:sz w:val="13"/>
                <w:szCs w:val="22"/>
                <w:lang w:val="en-US" w:eastAsia="en-US" w:bidi="ar-SA"/>
              </w:rPr>
              <w:t>5</w:t>
            </w:r>
          </w:p>
        </w:tc>
        <w:tc>
          <w:tcPr>
            <w:tcW w:w="1264" w:type="dxa"/>
            <w:tcBorders>
              <w:top w:val="single" w:color="000000" w:sz="12" w:space="0"/>
              <w:left w:val="single" w:color="000000" w:sz="4" w:space="0"/>
              <w:bottom w:val="single" w:color="000000" w:sz="4" w:space="0"/>
              <w:right w:val="single" w:color="000000" w:sz="4" w:space="0"/>
            </w:tcBorders>
            <w:noWrap w:val="0"/>
            <w:vAlign w:val="center"/>
          </w:tcPr>
          <w:p>
            <w:pPr>
              <w:widowControl w:val="0"/>
              <w:spacing w:before="77"/>
              <w:ind w:right="2" w:rightChars="0"/>
              <w:jc w:val="center"/>
              <w:rPr>
                <w:rFonts w:ascii="Times New Roman" w:hAnsi="Times New Roman" w:eastAsia="Times New Roman" w:cs="Times New Roman"/>
                <w:color w:val="000000"/>
                <w:sz w:val="21"/>
                <w:szCs w:val="21"/>
                <w:lang w:val="en-US" w:eastAsia="en-US" w:bidi="ar-SA"/>
              </w:rPr>
            </w:pPr>
            <w:r>
              <w:rPr>
                <w:rFonts w:ascii="Times New Roman" w:hAnsi="Calibri" w:eastAsia="宋体" w:cs="Times New Roman"/>
                <w:color w:val="000000"/>
                <w:spacing w:val="-1"/>
                <w:sz w:val="21"/>
                <w:szCs w:val="22"/>
                <w:lang w:val="en-US" w:eastAsia="en-US" w:bidi="ar-SA"/>
              </w:rPr>
              <w:t>SS</w:t>
            </w:r>
          </w:p>
        </w:tc>
        <w:tc>
          <w:tcPr>
            <w:tcW w:w="1263" w:type="dxa"/>
            <w:tcBorders>
              <w:top w:val="single" w:color="000000" w:sz="12" w:space="0"/>
              <w:left w:val="single" w:color="000000" w:sz="4" w:space="0"/>
              <w:bottom w:val="single" w:color="000000" w:sz="4" w:space="0"/>
              <w:right w:val="single" w:color="000000" w:sz="4" w:space="0"/>
            </w:tcBorders>
            <w:noWrap w:val="0"/>
            <w:vAlign w:val="center"/>
          </w:tcPr>
          <w:p>
            <w:pPr>
              <w:widowControl w:val="0"/>
              <w:spacing w:before="77"/>
              <w:ind w:left="271"/>
              <w:jc w:val="center"/>
              <w:rPr>
                <w:rFonts w:ascii="Times New Roman" w:hAnsi="Times New Roman" w:eastAsia="Times New Roman" w:cs="Times New Roman"/>
                <w:color w:val="000000"/>
                <w:sz w:val="21"/>
                <w:szCs w:val="21"/>
                <w:lang w:val="en-US" w:eastAsia="en-US" w:bidi="ar-SA"/>
              </w:rPr>
            </w:pPr>
            <w:r>
              <w:rPr>
                <w:rFonts w:ascii="Times New Roman" w:hAnsi="Calibri" w:eastAsia="宋体" w:cs="Times New Roman"/>
                <w:color w:val="000000"/>
                <w:spacing w:val="-1"/>
                <w:sz w:val="21"/>
                <w:szCs w:val="22"/>
                <w:lang w:val="en-US" w:eastAsia="en-US" w:bidi="ar-SA"/>
              </w:rPr>
              <w:t>TN</w:t>
            </w:r>
          </w:p>
        </w:tc>
        <w:tc>
          <w:tcPr>
            <w:tcW w:w="1405" w:type="dxa"/>
            <w:tcBorders>
              <w:top w:val="single" w:color="000000" w:sz="12" w:space="0"/>
              <w:left w:val="single" w:color="000000" w:sz="4" w:space="0"/>
              <w:bottom w:val="single" w:color="000000" w:sz="4" w:space="0"/>
              <w:right w:val="single" w:color="000000" w:sz="4" w:space="0"/>
            </w:tcBorders>
            <w:noWrap w:val="0"/>
            <w:vAlign w:val="center"/>
          </w:tcPr>
          <w:p>
            <w:pPr>
              <w:widowControl w:val="0"/>
              <w:spacing w:before="77"/>
              <w:jc w:val="center"/>
              <w:rPr>
                <w:rFonts w:ascii="Times New Roman" w:hAnsi="Times New Roman" w:eastAsia="Times New Roman" w:cs="Times New Roman"/>
                <w:color w:val="000000"/>
                <w:sz w:val="21"/>
                <w:szCs w:val="21"/>
                <w:lang w:val="en-US" w:eastAsia="en-US" w:bidi="ar-SA"/>
              </w:rPr>
            </w:pPr>
            <w:r>
              <w:rPr>
                <w:rFonts w:ascii="Times New Roman" w:hAnsi="Calibri" w:eastAsia="宋体" w:cs="Times New Roman"/>
                <w:color w:val="000000"/>
                <w:spacing w:val="-1"/>
                <w:sz w:val="21"/>
                <w:szCs w:val="22"/>
                <w:lang w:val="en-US" w:eastAsia="en-US" w:bidi="ar-SA"/>
              </w:rPr>
              <w:t>TP</w:t>
            </w:r>
          </w:p>
        </w:tc>
        <w:tc>
          <w:tcPr>
            <w:tcW w:w="1729" w:type="dxa"/>
            <w:tcBorders>
              <w:top w:val="single" w:color="000000" w:sz="12" w:space="0"/>
              <w:left w:val="single" w:color="000000" w:sz="4" w:space="0"/>
              <w:bottom w:val="single" w:color="000000" w:sz="4" w:space="0"/>
              <w:right w:val="nil"/>
            </w:tcBorders>
            <w:noWrap w:val="0"/>
            <w:vAlign w:val="center"/>
          </w:tcPr>
          <w:p>
            <w:pPr>
              <w:widowControl w:val="0"/>
              <w:spacing w:before="74"/>
              <w:ind w:left="269" w:leftChars="0"/>
              <w:jc w:val="center"/>
              <w:rPr>
                <w:rFonts w:ascii="Times New Roman" w:hAnsi="Times New Roman" w:eastAsia="Times New Roman" w:cs="Times New Roman"/>
                <w:color w:val="000000"/>
                <w:sz w:val="21"/>
                <w:szCs w:val="21"/>
                <w:lang w:val="en-US" w:eastAsia="en-US" w:bidi="ar-SA"/>
              </w:rPr>
            </w:pPr>
            <w:r>
              <w:rPr>
                <w:rFonts w:ascii="Times New Roman" w:hAnsi="Calibri" w:eastAsia="宋体" w:cs="Times New Roman"/>
                <w:color w:val="000000"/>
                <w:spacing w:val="-1"/>
                <w:position w:val="2"/>
                <w:sz w:val="21"/>
                <w:szCs w:val="22"/>
                <w:lang w:val="en-US" w:eastAsia="en-US" w:bidi="ar-SA"/>
              </w:rPr>
              <w:t>NH</w:t>
            </w:r>
            <w:r>
              <w:rPr>
                <w:rFonts w:ascii="Times New Roman" w:hAnsi="Calibri" w:eastAsia="宋体" w:cs="Times New Roman"/>
                <w:color w:val="000000"/>
                <w:spacing w:val="-1"/>
                <w:sz w:val="13"/>
                <w:szCs w:val="22"/>
                <w:lang w:val="en-US" w:eastAsia="en-US" w:bidi="ar-SA"/>
              </w:rPr>
              <w:t>3</w:t>
            </w:r>
            <w:r>
              <w:rPr>
                <w:rFonts w:ascii="Times New Roman" w:hAnsi="Calibri" w:eastAsia="宋体" w:cs="Times New Roman"/>
                <w:color w:val="000000"/>
                <w:spacing w:val="-1"/>
                <w:position w:val="2"/>
                <w:sz w:val="21"/>
                <w:szCs w:val="22"/>
                <w:lang w:val="en-US" w:eastAsia="en-US" w:bidi="ar-SA"/>
              </w:rPr>
              <w:t>-N</w:t>
            </w:r>
          </w:p>
        </w:tc>
      </w:tr>
      <w:tr>
        <w:tblPrEx>
          <w:tblCellMar>
            <w:top w:w="0" w:type="dxa"/>
            <w:left w:w="0" w:type="dxa"/>
            <w:bottom w:w="0" w:type="dxa"/>
            <w:right w:w="0" w:type="dxa"/>
          </w:tblCellMar>
        </w:tblPrEx>
        <w:trPr>
          <w:trHeight w:val="420" w:hRule="exact"/>
        </w:trPr>
        <w:tc>
          <w:tcPr>
            <w:tcW w:w="1328" w:type="dxa"/>
            <w:tcBorders>
              <w:top w:val="single" w:color="000000" w:sz="4" w:space="0"/>
              <w:left w:val="single" w:color="000000" w:sz="4" w:space="0"/>
              <w:bottom w:val="single" w:color="000000" w:sz="12" w:space="0"/>
              <w:right w:val="single" w:color="000000" w:sz="4" w:space="0"/>
            </w:tcBorders>
            <w:noWrap w:val="0"/>
            <w:vAlign w:val="center"/>
          </w:tcPr>
          <w:p>
            <w:pPr>
              <w:widowControl w:val="0"/>
              <w:spacing w:before="77"/>
              <w:ind w:left="268"/>
              <w:jc w:val="center"/>
              <w:rPr>
                <w:rFonts w:ascii="Times New Roman" w:hAnsi="Times New Roman" w:eastAsia="Times New Roman" w:cs="Times New Roman"/>
                <w:color w:val="000000"/>
                <w:sz w:val="21"/>
                <w:szCs w:val="21"/>
                <w:lang w:val="en-US" w:eastAsia="en-US" w:bidi="ar-SA"/>
              </w:rPr>
            </w:pPr>
            <w:r>
              <w:rPr>
                <w:rFonts w:ascii="Times New Roman" w:hAnsi="Times New Roman" w:eastAsia="Times New Roman" w:cs="Times New Roman"/>
                <w:color w:val="000000"/>
                <w:sz w:val="21"/>
                <w:szCs w:val="21"/>
                <w:lang w:val="en-US" w:eastAsia="en-US" w:bidi="ar-SA"/>
              </w:rPr>
              <w:t>40</w:t>
            </w:r>
          </w:p>
        </w:tc>
        <w:tc>
          <w:tcPr>
            <w:tcW w:w="1515" w:type="dxa"/>
            <w:tcBorders>
              <w:top w:val="single" w:color="000000" w:sz="4" w:space="0"/>
              <w:left w:val="single" w:color="000000" w:sz="4" w:space="0"/>
              <w:bottom w:val="single" w:color="000000" w:sz="12" w:space="0"/>
              <w:right w:val="single" w:color="000000" w:sz="4" w:space="0"/>
            </w:tcBorders>
            <w:noWrap w:val="0"/>
            <w:vAlign w:val="center"/>
          </w:tcPr>
          <w:p>
            <w:pPr>
              <w:widowControl w:val="0"/>
              <w:spacing w:before="77"/>
              <w:jc w:val="center"/>
              <w:rPr>
                <w:rFonts w:ascii="Times New Roman" w:hAnsi="Times New Roman" w:eastAsia="Times New Roman" w:cs="Times New Roman"/>
                <w:color w:val="000000"/>
                <w:sz w:val="21"/>
                <w:szCs w:val="21"/>
                <w:lang w:val="en-US" w:eastAsia="en-US" w:bidi="ar-SA"/>
              </w:rPr>
            </w:pPr>
            <w:r>
              <w:rPr>
                <w:rFonts w:ascii="Times New Roman" w:hAnsi="Times New Roman" w:eastAsia="Times New Roman" w:cs="Times New Roman"/>
                <w:color w:val="000000"/>
                <w:sz w:val="21"/>
                <w:szCs w:val="21"/>
                <w:lang w:val="en-US" w:eastAsia="en-US" w:bidi="ar-SA"/>
              </w:rPr>
              <w:t>10</w:t>
            </w:r>
          </w:p>
        </w:tc>
        <w:tc>
          <w:tcPr>
            <w:tcW w:w="1264" w:type="dxa"/>
            <w:tcBorders>
              <w:top w:val="single" w:color="000000" w:sz="4" w:space="0"/>
              <w:left w:val="single" w:color="000000" w:sz="4" w:space="0"/>
              <w:bottom w:val="single" w:color="000000" w:sz="12" w:space="0"/>
              <w:right w:val="single" w:color="000000" w:sz="4" w:space="0"/>
            </w:tcBorders>
            <w:noWrap w:val="0"/>
            <w:vAlign w:val="center"/>
          </w:tcPr>
          <w:p>
            <w:pPr>
              <w:widowControl w:val="0"/>
              <w:spacing w:before="77"/>
              <w:ind w:left="248" w:leftChars="0"/>
              <w:jc w:val="center"/>
              <w:rPr>
                <w:rFonts w:ascii="Times New Roman" w:hAnsi="Times New Roman" w:eastAsia="Times New Roman" w:cs="Times New Roman"/>
                <w:color w:val="000000"/>
                <w:sz w:val="21"/>
                <w:szCs w:val="21"/>
                <w:lang w:val="en-US" w:eastAsia="en-US" w:bidi="ar-SA"/>
              </w:rPr>
            </w:pPr>
            <w:r>
              <w:rPr>
                <w:rFonts w:ascii="Times New Roman" w:hAnsi="Times New Roman" w:eastAsia="Times New Roman" w:cs="Times New Roman"/>
                <w:color w:val="000000"/>
                <w:sz w:val="21"/>
                <w:szCs w:val="21"/>
                <w:lang w:val="en-US" w:eastAsia="en-US" w:bidi="ar-SA"/>
              </w:rPr>
              <w:t>10</w:t>
            </w:r>
          </w:p>
        </w:tc>
        <w:tc>
          <w:tcPr>
            <w:tcW w:w="1263" w:type="dxa"/>
            <w:tcBorders>
              <w:top w:val="single" w:color="000000" w:sz="4" w:space="0"/>
              <w:left w:val="single" w:color="000000" w:sz="4" w:space="0"/>
              <w:bottom w:val="single" w:color="000000" w:sz="12" w:space="0"/>
              <w:right w:val="single" w:color="000000" w:sz="4" w:space="0"/>
            </w:tcBorders>
            <w:noWrap w:val="0"/>
            <w:vAlign w:val="center"/>
          </w:tcPr>
          <w:p>
            <w:pPr>
              <w:widowControl w:val="0"/>
              <w:spacing w:before="77"/>
              <w:ind w:left="247"/>
              <w:jc w:val="center"/>
              <w:rPr>
                <w:rFonts w:ascii="Times New Roman" w:hAnsi="Times New Roman" w:eastAsia="Times New Roman" w:cs="Times New Roman"/>
                <w:color w:val="000000"/>
                <w:sz w:val="21"/>
                <w:szCs w:val="21"/>
                <w:lang w:val="en-US" w:eastAsia="en-US" w:bidi="ar-SA"/>
              </w:rPr>
            </w:pPr>
            <w:r>
              <w:rPr>
                <w:rFonts w:ascii="Times New Roman" w:hAnsi="Times New Roman" w:eastAsia="Times New Roman" w:cs="Times New Roman"/>
                <w:color w:val="000000"/>
                <w:sz w:val="21"/>
                <w:szCs w:val="21"/>
                <w:lang w:val="en-US" w:eastAsia="en-US" w:bidi="ar-SA"/>
              </w:rPr>
              <w:t>15</w:t>
            </w:r>
          </w:p>
        </w:tc>
        <w:tc>
          <w:tcPr>
            <w:tcW w:w="1405" w:type="dxa"/>
            <w:tcBorders>
              <w:top w:val="single" w:color="000000" w:sz="4" w:space="0"/>
              <w:left w:val="single" w:color="000000" w:sz="4" w:space="0"/>
              <w:bottom w:val="single" w:color="000000" w:sz="12" w:space="0"/>
              <w:right w:val="single" w:color="000000" w:sz="4" w:space="0"/>
            </w:tcBorders>
            <w:noWrap w:val="0"/>
            <w:vAlign w:val="center"/>
          </w:tcPr>
          <w:p>
            <w:pPr>
              <w:widowControl w:val="0"/>
              <w:spacing w:before="77"/>
              <w:ind w:left="268"/>
              <w:jc w:val="center"/>
              <w:rPr>
                <w:rFonts w:ascii="Times New Roman" w:hAnsi="Times New Roman" w:eastAsia="Times New Roman" w:cs="Times New Roman"/>
                <w:color w:val="000000"/>
                <w:sz w:val="21"/>
                <w:szCs w:val="21"/>
                <w:lang w:val="en-US" w:eastAsia="en-US" w:bidi="ar-SA"/>
              </w:rPr>
            </w:pPr>
            <w:r>
              <w:rPr>
                <w:rFonts w:ascii="Times New Roman" w:hAnsi="Times New Roman" w:eastAsia="Times New Roman" w:cs="Times New Roman"/>
                <w:color w:val="000000"/>
                <w:sz w:val="21"/>
                <w:szCs w:val="21"/>
                <w:lang w:val="en-US" w:eastAsia="en-US" w:bidi="ar-SA"/>
              </w:rPr>
              <w:t>0.4</w:t>
            </w:r>
          </w:p>
        </w:tc>
        <w:tc>
          <w:tcPr>
            <w:tcW w:w="1729" w:type="dxa"/>
            <w:tcBorders>
              <w:top w:val="single" w:color="000000" w:sz="4" w:space="0"/>
              <w:left w:val="single" w:color="000000" w:sz="4" w:space="0"/>
              <w:bottom w:val="single" w:color="000000" w:sz="12" w:space="0"/>
              <w:right w:val="nil"/>
            </w:tcBorders>
            <w:noWrap w:val="0"/>
            <w:vAlign w:val="center"/>
          </w:tcPr>
          <w:p>
            <w:pPr>
              <w:widowControl w:val="0"/>
              <w:spacing w:before="77"/>
              <w:jc w:val="center"/>
              <w:rPr>
                <w:rFonts w:ascii="Times New Roman" w:hAnsi="Times New Roman" w:eastAsia="Times New Roman" w:cs="Times New Roman"/>
                <w:color w:val="000000"/>
                <w:sz w:val="21"/>
                <w:szCs w:val="21"/>
                <w:lang w:val="en-US" w:eastAsia="en-US" w:bidi="ar-SA"/>
              </w:rPr>
            </w:pPr>
            <w:r>
              <w:rPr>
                <w:rFonts w:ascii="Times New Roman" w:hAnsi="Times New Roman" w:eastAsia="Times New Roman" w:cs="Times New Roman"/>
                <w:color w:val="000000"/>
                <w:sz w:val="21"/>
                <w:szCs w:val="21"/>
                <w:lang w:val="en-US" w:eastAsia="en-US" w:bidi="ar-SA"/>
              </w:rPr>
              <w:t>2</w:t>
            </w:r>
          </w:p>
        </w:tc>
      </w:tr>
    </w:tbl>
    <w:p>
      <w:pPr>
        <w:tabs>
          <w:tab w:val="left" w:pos="820"/>
        </w:tabs>
        <w:adjustRightInd w:val="0"/>
        <w:snapToGrid w:val="0"/>
        <w:spacing w:line="360" w:lineRule="auto"/>
        <w:jc w:val="both"/>
        <w:rPr>
          <w:rFonts w:hint="default"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4.1.2.3技术经济可行性分析</w:t>
      </w:r>
    </w:p>
    <w:p>
      <w:pPr>
        <w:tabs>
          <w:tab w:val="left" w:pos="820"/>
        </w:tabs>
        <w:adjustRightInd w:val="0"/>
        <w:snapToGrid w:val="0"/>
        <w:spacing w:line="360" w:lineRule="auto"/>
        <w:ind w:firstLine="480" w:firstLineChars="200"/>
        <w:jc w:val="both"/>
        <w:rPr>
          <w:rFonts w:ascii="Times New Roman" w:hAnsi="Times New Roman"/>
          <w:color w:val="FF0000"/>
          <w:sz w:val="24"/>
          <w:szCs w:val="24"/>
        </w:rPr>
      </w:pPr>
      <w:r>
        <w:rPr>
          <w:rFonts w:hint="eastAsia" w:ascii="Times New Roman" w:hAnsi="Times New Roman"/>
          <w:color w:val="000000"/>
          <w:sz w:val="24"/>
          <w:szCs w:val="24"/>
          <w:lang w:eastAsia="zh-CN"/>
        </w:rPr>
        <w:t>本工程主要处理收纳范围内的工业废水和生活废水，采用“格栅</w:t>
      </w:r>
      <w:r>
        <w:rPr>
          <w:rFonts w:hint="eastAsia" w:ascii="Times New Roman" w:hAnsi="Times New Roman"/>
          <w:color w:val="000000"/>
          <w:sz w:val="24"/>
          <w:szCs w:val="24"/>
          <w:lang w:val="en-US" w:eastAsia="zh-CN"/>
        </w:rPr>
        <w:t>+沉砂、调节+选择厌氧、改良氧化沟+二沉池+混凝反应、不锈钢过滤器+消毒处理工艺</w:t>
      </w:r>
      <w:r>
        <w:rPr>
          <w:rFonts w:hint="eastAsia" w:ascii="Times New Roman" w:hAnsi="Times New Roman"/>
          <w:color w:val="000000"/>
          <w:sz w:val="24"/>
          <w:szCs w:val="24"/>
          <w:lang w:eastAsia="zh-CN"/>
        </w:rPr>
        <w:t>”工艺，属于常规污水处理工艺，从省内同类工程运行情况来看，工艺可以取得很好的处理效果，处理后的尾水能够稳定达到项目设计出水水质标准要求。</w:t>
      </w:r>
    </w:p>
    <w:p>
      <w:pPr>
        <w:tabs>
          <w:tab w:val="left" w:pos="820"/>
        </w:tabs>
        <w:adjustRightInd w:val="0"/>
        <w:snapToGrid w:val="0"/>
        <w:spacing w:line="360" w:lineRule="auto"/>
        <w:jc w:val="both"/>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4.1.2.4污水处理厂污染物去除效率</w:t>
      </w:r>
    </w:p>
    <w:p>
      <w:pPr>
        <w:numPr>
          <w:ilvl w:val="0"/>
          <w:numId w:val="0"/>
        </w:numPr>
        <w:tabs>
          <w:tab w:val="left" w:pos="820"/>
        </w:tabs>
        <w:adjustRightInd w:val="0"/>
        <w:snapToGrid w:val="0"/>
        <w:spacing w:line="360" w:lineRule="auto"/>
        <w:ind w:firstLine="480" w:firstLineChars="200"/>
        <w:jc w:val="both"/>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设计进出水水质条件下污染物的去除效率</w:t>
      </w:r>
    </w:p>
    <w:p>
      <w:pPr>
        <w:numPr>
          <w:ilvl w:val="0"/>
          <w:numId w:val="0"/>
        </w:numPr>
        <w:tabs>
          <w:tab w:val="left" w:pos="820"/>
        </w:tabs>
        <w:adjustRightInd w:val="0"/>
        <w:snapToGrid w:val="0"/>
        <w:spacing w:line="360" w:lineRule="auto"/>
        <w:ind w:firstLine="480" w:firstLineChars="200"/>
        <w:jc w:val="both"/>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根据项目设计进出水水质标准要求，项目污染物去除效率如下表所示：</w:t>
      </w:r>
    </w:p>
    <w:p>
      <w:pPr>
        <w:adjustRightInd w:val="0"/>
        <w:snapToGrid w:val="0"/>
        <w:jc w:val="center"/>
        <w:rPr>
          <w:rFonts w:hint="default" w:ascii="Times New Roman" w:hAnsi="Times New Roman" w:eastAsia="黑体"/>
          <w:color w:val="000000"/>
          <w:sz w:val="24"/>
          <w:szCs w:val="24"/>
          <w:lang w:val="en-US" w:eastAsia="zh-CN"/>
        </w:rPr>
      </w:pPr>
      <w:r>
        <w:rPr>
          <w:rFonts w:hint="eastAsia" w:ascii="Times New Roman" w:hAnsi="Times New Roman" w:eastAsia="黑体"/>
          <w:color w:val="000000"/>
          <w:sz w:val="24"/>
          <w:szCs w:val="24"/>
          <w:lang w:val="en-US" w:eastAsia="zh-CN"/>
        </w:rPr>
        <w:t>表4-5 设计水质条件下污染物的去除效率 单位mg/L</w:t>
      </w:r>
    </w:p>
    <w:tbl>
      <w:tblPr>
        <w:tblStyle w:val="14"/>
        <w:tblW w:w="8504" w:type="dxa"/>
        <w:jc w:val="center"/>
        <w:tblBorders>
          <w:top w:val="single" w:color="000000" w:sz="2" w:space="0"/>
          <w:left w:val="none" w:color="auto" w:sz="0" w:space="0"/>
          <w:bottom w:val="single" w:color="000000" w:sz="6" w:space="0"/>
          <w:right w:val="none" w:color="auto" w:sz="0" w:space="0"/>
          <w:insideH w:val="single" w:color="000000" w:sz="6" w:space="0"/>
          <w:insideV w:val="single" w:color="000000" w:sz="6" w:space="0"/>
        </w:tblBorders>
        <w:tblLayout w:type="fixed"/>
        <w:tblCellMar>
          <w:top w:w="0" w:type="dxa"/>
          <w:left w:w="0" w:type="dxa"/>
          <w:bottom w:w="0" w:type="dxa"/>
          <w:right w:w="0" w:type="dxa"/>
        </w:tblCellMar>
      </w:tblPr>
      <w:tblGrid>
        <w:gridCol w:w="1704"/>
        <w:gridCol w:w="1199"/>
        <w:gridCol w:w="1199"/>
        <w:gridCol w:w="1199"/>
        <w:gridCol w:w="1029"/>
        <w:gridCol w:w="860"/>
        <w:gridCol w:w="1314"/>
      </w:tblGrid>
      <w:tr>
        <w:tblPrEx>
          <w:tblBorders>
            <w:top w:val="single" w:color="000000" w:sz="2" w:space="0"/>
            <w:left w:val="none" w:color="auto" w:sz="0" w:space="0"/>
            <w:bottom w:val="single" w:color="000000" w:sz="6"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97" w:hRule="atLeast"/>
          <w:jc w:val="center"/>
        </w:trPr>
        <w:tc>
          <w:tcPr>
            <w:tcW w:w="1704"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水质类别</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COD</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BOD</w:t>
            </w:r>
            <w:r>
              <w:rPr>
                <w:rFonts w:hint="default" w:ascii="Times New Roman" w:hAnsi="Times New Roman" w:eastAsia="宋体" w:cs="Times New Roman"/>
                <w:color w:val="000000"/>
                <w:sz w:val="21"/>
                <w:szCs w:val="21"/>
                <w:vertAlign w:val="subscript"/>
              </w:rPr>
              <w:t>5</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rPr>
              <w:t>SS</w:t>
            </w:r>
          </w:p>
        </w:tc>
        <w:tc>
          <w:tcPr>
            <w:tcW w:w="102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rPr>
              <w:t>TN</w:t>
            </w:r>
          </w:p>
        </w:tc>
        <w:tc>
          <w:tcPr>
            <w:tcW w:w="860"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rPr>
              <w:t>TP</w:t>
            </w:r>
          </w:p>
        </w:tc>
        <w:tc>
          <w:tcPr>
            <w:tcW w:w="1314"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NH</w:t>
            </w:r>
            <w:r>
              <w:rPr>
                <w:rFonts w:hint="default" w:ascii="Times New Roman" w:hAnsi="Times New Roman" w:eastAsia="宋体" w:cs="Times New Roman"/>
                <w:color w:val="000000"/>
                <w:sz w:val="21"/>
                <w:szCs w:val="21"/>
                <w:vertAlign w:val="subscript"/>
              </w:rPr>
              <w:t>3</w:t>
            </w:r>
            <w:r>
              <w:rPr>
                <w:rFonts w:hint="default" w:ascii="Times New Roman" w:hAnsi="Times New Roman" w:eastAsia="宋体" w:cs="Times New Roman"/>
                <w:color w:val="000000"/>
                <w:sz w:val="21"/>
                <w:szCs w:val="21"/>
              </w:rPr>
              <w:t>-N</w:t>
            </w:r>
          </w:p>
        </w:tc>
      </w:tr>
      <w:tr>
        <w:tblPrEx>
          <w:tblBorders>
            <w:top w:val="single" w:color="000000" w:sz="2" w:space="0"/>
            <w:left w:val="none" w:color="auto" w:sz="0" w:space="0"/>
            <w:bottom w:val="single" w:color="000000" w:sz="6"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97" w:hRule="atLeast"/>
          <w:jc w:val="center"/>
        </w:trPr>
        <w:tc>
          <w:tcPr>
            <w:tcW w:w="1704"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设计</w:t>
            </w:r>
            <w:r>
              <w:rPr>
                <w:rFonts w:hint="default" w:ascii="Times New Roman" w:hAnsi="Times New Roman" w:eastAsia="宋体" w:cs="Times New Roman"/>
                <w:color w:val="000000"/>
                <w:sz w:val="21"/>
                <w:szCs w:val="21"/>
                <w:lang w:eastAsia="zh-CN"/>
              </w:rPr>
              <w:t>进水</w:t>
            </w:r>
            <w:r>
              <w:rPr>
                <w:rFonts w:hint="default" w:ascii="Times New Roman" w:hAnsi="Times New Roman" w:eastAsia="宋体" w:cs="Times New Roman"/>
                <w:color w:val="000000"/>
                <w:sz w:val="21"/>
                <w:szCs w:val="21"/>
              </w:rPr>
              <w:t>水质</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400</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200</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300</w:t>
            </w:r>
          </w:p>
        </w:tc>
        <w:tc>
          <w:tcPr>
            <w:tcW w:w="102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45</w:t>
            </w:r>
          </w:p>
        </w:tc>
        <w:tc>
          <w:tcPr>
            <w:tcW w:w="860"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4.5</w:t>
            </w:r>
          </w:p>
        </w:tc>
        <w:tc>
          <w:tcPr>
            <w:tcW w:w="1314"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35</w:t>
            </w:r>
          </w:p>
        </w:tc>
      </w:tr>
      <w:tr>
        <w:tblPrEx>
          <w:tblBorders>
            <w:top w:val="single" w:color="000000" w:sz="2" w:space="0"/>
            <w:left w:val="none" w:color="auto" w:sz="0" w:space="0"/>
            <w:bottom w:val="single" w:color="000000" w:sz="6"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97" w:hRule="atLeast"/>
          <w:jc w:val="center"/>
        </w:trPr>
        <w:tc>
          <w:tcPr>
            <w:tcW w:w="1704"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设计出水水质</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40</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10</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10</w:t>
            </w:r>
          </w:p>
        </w:tc>
        <w:tc>
          <w:tcPr>
            <w:tcW w:w="102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15</w:t>
            </w:r>
          </w:p>
        </w:tc>
        <w:tc>
          <w:tcPr>
            <w:tcW w:w="860"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0.4</w:t>
            </w:r>
          </w:p>
        </w:tc>
        <w:tc>
          <w:tcPr>
            <w:tcW w:w="1314"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2.0</w:t>
            </w:r>
          </w:p>
        </w:tc>
      </w:tr>
      <w:tr>
        <w:tblPrEx>
          <w:tblBorders>
            <w:top w:val="single" w:color="000000" w:sz="2" w:space="0"/>
            <w:left w:val="none" w:color="auto" w:sz="0" w:space="0"/>
            <w:bottom w:val="single" w:color="000000" w:sz="6"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97" w:hRule="atLeast"/>
          <w:jc w:val="center"/>
        </w:trPr>
        <w:tc>
          <w:tcPr>
            <w:tcW w:w="1704"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eastAsia="zh-CN"/>
              </w:rPr>
              <w:t>污染物处理效率（</w:t>
            </w:r>
            <w:r>
              <w:rPr>
                <w:rFonts w:hint="eastAsia"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eastAsia="zh-CN"/>
              </w:rPr>
              <w:t>）</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zh-CN"/>
              </w:rPr>
              <w:t>90</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zh-CN"/>
              </w:rPr>
              <w:t>95</w:t>
            </w:r>
          </w:p>
        </w:tc>
        <w:tc>
          <w:tcPr>
            <w:tcW w:w="119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96.7</w:t>
            </w:r>
          </w:p>
        </w:tc>
        <w:tc>
          <w:tcPr>
            <w:tcW w:w="1029"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66.7</w:t>
            </w:r>
          </w:p>
        </w:tc>
        <w:tc>
          <w:tcPr>
            <w:tcW w:w="860"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91.1</w:t>
            </w:r>
          </w:p>
        </w:tc>
        <w:tc>
          <w:tcPr>
            <w:tcW w:w="1314" w:type="dxa"/>
            <w:tcBorders>
              <w:tl2br w:val="nil"/>
              <w:tr2bl w:val="nil"/>
            </w:tcBorders>
            <w:noWrap w:val="0"/>
            <w:vAlign w:val="center"/>
          </w:tcPr>
          <w:p>
            <w:pPr>
              <w:bidi w:val="0"/>
              <w:jc w:val="center"/>
              <w:rPr>
                <w:rFonts w:hint="default"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zh-CN"/>
              </w:rPr>
              <w:t>94.2</w:t>
            </w:r>
          </w:p>
        </w:tc>
      </w:tr>
    </w:tbl>
    <w:p>
      <w:pPr>
        <w:adjustRightInd w:val="0"/>
        <w:snapToGrid w:val="0"/>
        <w:spacing w:line="360" w:lineRule="auto"/>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噪声</w:t>
      </w:r>
    </w:p>
    <w:p>
      <w:pPr>
        <w:adjustRightInd w:val="0"/>
        <w:snapToGrid w:val="0"/>
        <w:spacing w:line="360" w:lineRule="auto"/>
        <w:ind w:firstLine="480"/>
        <w:jc w:val="both"/>
        <w:rPr>
          <w:rFonts w:ascii="Times New Roman" w:hAnsi="Times New Roman"/>
          <w:sz w:val="24"/>
          <w:szCs w:val="24"/>
        </w:rPr>
      </w:pPr>
      <w:r>
        <w:rPr>
          <w:rFonts w:ascii="Times New Roman" w:hAnsi="Times New Roman"/>
          <w:sz w:val="24"/>
          <w:szCs w:val="24"/>
        </w:rPr>
        <w:t>主要为</w:t>
      </w:r>
      <w:r>
        <w:rPr>
          <w:rFonts w:hint="eastAsia"/>
          <w:color w:val="000000"/>
          <w:sz w:val="24"/>
          <w:lang w:eastAsia="zh-CN"/>
        </w:rPr>
        <w:t>厂区泵房、污泥浓缩脱水设备及一些鼓风设备</w:t>
      </w:r>
      <w:r>
        <w:rPr>
          <w:rFonts w:hint="eastAsia" w:ascii="Times New Roman" w:hAnsi="Times New Roman" w:eastAsia="宋体" w:cs="Times New Roman"/>
          <w:sz w:val="24"/>
          <w:szCs w:val="24"/>
        </w:rPr>
        <w:t>等机</w:t>
      </w:r>
      <w:r>
        <w:rPr>
          <w:rFonts w:hint="eastAsia" w:ascii="Times New Roman" w:hAnsi="Times New Roman"/>
          <w:sz w:val="24"/>
          <w:szCs w:val="24"/>
        </w:rPr>
        <w:t>器</w:t>
      </w:r>
      <w:r>
        <w:rPr>
          <w:rFonts w:ascii="Times New Roman" w:hAnsi="Times New Roman"/>
          <w:sz w:val="24"/>
          <w:szCs w:val="24"/>
        </w:rPr>
        <w:t>产生的机械噪声。</w:t>
      </w:r>
    </w:p>
    <w:p>
      <w:pPr>
        <w:adjustRightInd w:val="0"/>
        <w:snapToGrid w:val="0"/>
        <w:spacing w:line="360" w:lineRule="auto"/>
        <w:ind w:firstLine="480"/>
        <w:jc w:val="both"/>
        <w:rPr>
          <w:rFonts w:ascii="Times New Roman" w:hAnsi="Times New Roman"/>
          <w:sz w:val="24"/>
        </w:rPr>
      </w:pPr>
      <w:r>
        <w:rPr>
          <w:rFonts w:ascii="Times New Roman" w:hAnsi="Times New Roman"/>
          <w:sz w:val="24"/>
        </w:rPr>
        <w:t>经验收现场勘踏检查：</w:t>
      </w:r>
    </w:p>
    <w:p>
      <w:pPr>
        <w:adjustRightInd w:val="0"/>
        <w:snapToGrid w:val="0"/>
        <w:spacing w:line="360" w:lineRule="auto"/>
        <w:ind w:firstLine="480"/>
        <w:jc w:val="both"/>
        <w:rPr>
          <w:rFonts w:ascii="Times New Roman" w:hAnsi="Times New Roman"/>
          <w:sz w:val="24"/>
        </w:rPr>
      </w:pPr>
      <w:r>
        <w:rPr>
          <w:rFonts w:ascii="Times New Roman" w:hAnsi="Times New Roman"/>
          <w:sz w:val="24"/>
        </w:rPr>
        <w:t>1）选用低噪声的设备，厂区内合理平面布置；</w:t>
      </w:r>
    </w:p>
    <w:p>
      <w:pPr>
        <w:adjustRightInd w:val="0"/>
        <w:snapToGrid w:val="0"/>
        <w:spacing w:line="360" w:lineRule="auto"/>
        <w:ind w:firstLine="480" w:firstLineChars="200"/>
        <w:jc w:val="both"/>
        <w:rPr>
          <w:rFonts w:ascii="Times New Roman" w:hAnsi="Times New Roman"/>
          <w:sz w:val="24"/>
        </w:rPr>
      </w:pPr>
      <w:r>
        <w:rPr>
          <w:rFonts w:ascii="Times New Roman" w:hAnsi="Times New Roman"/>
          <w:sz w:val="24"/>
        </w:rPr>
        <w:t>2）加强设备维护保养，保证设备处于较好的工作状态；</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both"/>
        <w:textAlignment w:val="auto"/>
        <w:outlineLvl w:val="9"/>
        <w:rPr>
          <w:rFonts w:ascii="Times New Roman" w:hAnsi="Times New Roman"/>
          <w:sz w:val="24"/>
        </w:rPr>
      </w:pPr>
      <w:r>
        <w:rPr>
          <w:rFonts w:ascii="Times New Roman" w:hAnsi="Times New Roman"/>
          <w:sz w:val="24"/>
        </w:rPr>
        <w:t>3）对噪声设备</w:t>
      </w:r>
      <w:r>
        <w:rPr>
          <w:rFonts w:hint="eastAsia" w:ascii="Times New Roman" w:hAnsi="Times New Roman"/>
          <w:sz w:val="24"/>
          <w:lang w:eastAsia="zh-CN"/>
        </w:rPr>
        <w:t>采取消声、隔声罩、减振、绿化等措施</w:t>
      </w:r>
      <w:r>
        <w:rPr>
          <w:rFonts w:ascii="Times New Roman" w:hAnsi="Times New Roman"/>
          <w:sz w:val="24"/>
        </w:rPr>
        <w:t>；</w:t>
      </w:r>
    </w:p>
    <w:p>
      <w:pPr>
        <w:adjustRightInd w:val="0"/>
        <w:snapToGrid w:val="0"/>
        <w:spacing w:line="360" w:lineRule="auto"/>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4</w:t>
      </w:r>
      <w:r>
        <w:rPr>
          <w:rFonts w:hint="eastAsia" w:ascii="Times New Roman" w:hAnsi="Times New Roman"/>
          <w:sz w:val="24"/>
          <w:szCs w:val="24"/>
          <w:lang w:eastAsia="zh-CN"/>
        </w:rPr>
        <w:t>）</w:t>
      </w:r>
      <w:r>
        <w:rPr>
          <w:rFonts w:ascii="Times New Roman" w:hAnsi="Times New Roman"/>
          <w:sz w:val="24"/>
          <w:szCs w:val="24"/>
        </w:rPr>
        <w:t>固体废物</w:t>
      </w:r>
    </w:p>
    <w:p>
      <w:pPr>
        <w:adjustRightInd w:val="0"/>
        <w:snapToGrid w:val="0"/>
        <w:spacing w:line="360" w:lineRule="auto"/>
        <w:ind w:firstLine="480"/>
        <w:jc w:val="both"/>
        <w:rPr>
          <w:rFonts w:ascii="Times New Roman" w:hAnsi="Times New Roman" w:eastAsia="宋体" w:cs="Times New Roman"/>
          <w:sz w:val="24"/>
        </w:rPr>
      </w:pPr>
      <w:r>
        <w:rPr>
          <w:rFonts w:ascii="Times New Roman" w:hAnsi="Times New Roman" w:eastAsia="宋体" w:cs="Times New Roman"/>
          <w:sz w:val="24"/>
        </w:rPr>
        <w:t>主要为</w:t>
      </w:r>
      <w:r>
        <w:rPr>
          <w:rFonts w:hint="eastAsia" w:ascii="Times New Roman" w:hAnsi="Times New Roman" w:eastAsia="宋体" w:cs="Times New Roman"/>
          <w:sz w:val="24"/>
          <w:lang w:eastAsia="zh-CN"/>
        </w:rPr>
        <w:t>生活垃圾、栅渣沉砂、污泥、废生物活性炭</w:t>
      </w:r>
      <w:r>
        <w:rPr>
          <w:rFonts w:ascii="Times New Roman" w:hAnsi="Times New Roman" w:eastAsia="宋体" w:cs="Times New Roman"/>
          <w:sz w:val="24"/>
        </w:rPr>
        <w:t>。</w:t>
      </w:r>
    </w:p>
    <w:p>
      <w:pPr>
        <w:adjustRightInd w:val="0"/>
        <w:snapToGrid w:val="0"/>
        <w:spacing w:line="360" w:lineRule="auto"/>
        <w:ind w:firstLine="480"/>
        <w:jc w:val="both"/>
        <w:rPr>
          <w:rFonts w:ascii="Times New Roman" w:hAnsi="Times New Roman" w:eastAsia="宋体" w:cs="Times New Roman"/>
          <w:sz w:val="24"/>
        </w:rPr>
      </w:pPr>
      <w:r>
        <w:rPr>
          <w:rFonts w:ascii="Times New Roman" w:hAnsi="Times New Roman" w:eastAsia="宋体" w:cs="Times New Roman"/>
          <w:sz w:val="24"/>
        </w:rPr>
        <w:t>经验收现场勘踏检查：</w:t>
      </w:r>
    </w:p>
    <w:p>
      <w:pPr>
        <w:adjustRightInd w:val="0"/>
        <w:snapToGrid w:val="0"/>
        <w:spacing w:line="360" w:lineRule="auto"/>
        <w:ind w:firstLine="480"/>
        <w:jc w:val="both"/>
        <w:rPr>
          <w:rFonts w:hint="default" w:ascii="Times New Roman" w:hAnsi="Times New Roman" w:cs="Times New Roman" w:eastAsiaTheme="minorEastAsia"/>
          <w:b w:val="0"/>
          <w:bCs/>
          <w:sz w:val="24"/>
          <w:szCs w:val="24"/>
        </w:rPr>
      </w:pPr>
      <w:r>
        <w:rPr>
          <w:rFonts w:hint="eastAsia" w:ascii="Times New Roman" w:hAnsi="Times New Roman" w:cs="Times New Roman"/>
          <w:spacing w:val="0"/>
          <w:kern w:val="21"/>
          <w:position w:val="0"/>
          <w:sz w:val="24"/>
          <w:szCs w:val="24"/>
          <w:lang w:val="en-US" w:eastAsia="zh-CN"/>
        </w:rPr>
        <w:t>生活垃圾</w:t>
      </w:r>
      <w:r>
        <w:rPr>
          <w:rFonts w:hint="eastAsia"/>
          <w:sz w:val="24"/>
          <w:lang w:eastAsia="zh-CN"/>
        </w:rPr>
        <w:t>收集后交环卫部门统一处理；</w:t>
      </w:r>
      <w:r>
        <w:rPr>
          <w:rFonts w:hint="eastAsia" w:ascii="Times New Roman" w:hAnsi="Times New Roman" w:eastAsia="宋体" w:cs="Times New Roman"/>
          <w:sz w:val="24"/>
          <w:lang w:eastAsia="zh-CN"/>
        </w:rPr>
        <w:t>栅渣沉砂存放于临时废渣堆场后于新乡县垃圾处理场卫生填埋；污泥于污泥临时堆场存放，正常工况下送至新乡县垃圾填埋场填埋，非正常工况下污泥属危险废物，送有处理资质的单位安全处置；</w:t>
      </w:r>
      <w:r>
        <w:rPr>
          <w:rFonts w:hint="eastAsia" w:ascii="Times New Roman" w:hAnsi="Times New Roman" w:eastAsia="宋体" w:cs="Times New Roman"/>
          <w:color w:val="000000"/>
          <w:sz w:val="24"/>
          <w:lang w:eastAsia="zh-CN"/>
        </w:rPr>
        <w:t>废生物活性炭</w:t>
      </w:r>
      <w:r>
        <w:rPr>
          <w:rFonts w:hint="eastAsia" w:ascii="Calibri" w:hAnsi="Calibri"/>
          <w:b w:val="0"/>
          <w:bCs w:val="0"/>
          <w:color w:val="000000"/>
          <w:sz w:val="24"/>
          <w:szCs w:val="22"/>
          <w:lang w:val="en-US" w:eastAsia="zh-CN" w:bidi="ar-SA"/>
        </w:rPr>
        <w:t>经收集后由厂家回收</w:t>
      </w:r>
      <w:r>
        <w:rPr>
          <w:rFonts w:hint="eastAsia" w:ascii="Times New Roman" w:hAnsi="Times New Roman" w:eastAsia="宋体" w:cs="Times New Roman"/>
          <w:sz w:val="24"/>
          <w:lang w:eastAsia="zh-CN"/>
        </w:rPr>
        <w:t>。</w:t>
      </w:r>
      <w:r>
        <w:rPr>
          <w:rStyle w:val="10"/>
          <w:rFonts w:hint="eastAsia" w:ascii="Times New Roman" w:hAnsi="Times New Roman" w:cs="Times New Roman" w:eastAsiaTheme="minorEastAsia"/>
          <w:b w:val="0"/>
          <w:bCs/>
          <w:sz w:val="24"/>
          <w:szCs w:val="24"/>
          <w:lang w:eastAsia="zh-CN"/>
        </w:rPr>
        <w:br w:type="textWrapping"/>
      </w:r>
      <w:r>
        <w:rPr>
          <w:rStyle w:val="10"/>
          <w:rFonts w:hint="eastAsia" w:ascii="Times New Roman" w:hAnsi="Times New Roman" w:cs="Times New Roman" w:eastAsiaTheme="minorEastAsia"/>
          <w:b w:val="0"/>
          <w:bCs/>
          <w:sz w:val="24"/>
          <w:szCs w:val="24"/>
          <w:lang w:eastAsia="zh-CN"/>
        </w:rPr>
        <w:t>三</w:t>
      </w:r>
      <w:r>
        <w:rPr>
          <w:rStyle w:val="10"/>
          <w:rFonts w:hint="default" w:ascii="Times New Roman" w:hAnsi="Times New Roman" w:cs="Times New Roman" w:eastAsiaTheme="minorEastAsia"/>
          <w:b w:val="0"/>
          <w:bCs/>
          <w:sz w:val="24"/>
          <w:szCs w:val="24"/>
        </w:rPr>
        <w:t>、环境保护设施调试效果</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根据《</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新乡县大召营镇人民政府大召营镇污水处理厂工程</w:t>
      </w:r>
      <w:r>
        <w:rPr>
          <w:rFonts w:hint="default" w:ascii="Times New Roman" w:hAnsi="Times New Roman" w:cs="Times New Roman" w:eastAsiaTheme="minorEastAsia"/>
          <w:b w:val="0"/>
          <w:bCs/>
          <w:sz w:val="24"/>
          <w:szCs w:val="24"/>
        </w:rPr>
        <w:t>竣工环境保护验收监测报告表》，监测期间，各环保设施运行正常，生产负荷在</w:t>
      </w:r>
      <w:r>
        <w:rPr>
          <w:rFonts w:ascii="Times New Roman" w:hAnsi="Times New Roman"/>
          <w:color w:val="171717"/>
          <w:sz w:val="24"/>
          <w:szCs w:val="24"/>
        </w:rPr>
        <w:t>75%以上</w:t>
      </w:r>
      <w:r>
        <w:rPr>
          <w:rFonts w:hint="default" w:ascii="Times New Roman" w:hAnsi="Times New Roman" w:cs="Times New Roman" w:eastAsiaTheme="minorEastAsia"/>
          <w:b w:val="0"/>
          <w:bCs/>
          <w:sz w:val="24"/>
          <w:szCs w:val="24"/>
          <w:lang w:val="en-US" w:eastAsia="zh-CN"/>
        </w:rPr>
        <w:t>，</w:t>
      </w:r>
      <w:r>
        <w:rPr>
          <w:rFonts w:hint="default" w:ascii="Times New Roman" w:hAnsi="Times New Roman" w:cs="Times New Roman" w:eastAsiaTheme="minorEastAsia"/>
          <w:b w:val="0"/>
          <w:bCs/>
          <w:sz w:val="24"/>
          <w:szCs w:val="24"/>
        </w:rPr>
        <w:t>符合监测期间生产负荷大于75%的工况要求。</w:t>
      </w:r>
    </w:p>
    <w:p>
      <w:pPr>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olor w:val="171717"/>
          <w:sz w:val="24"/>
          <w:szCs w:val="24"/>
        </w:rPr>
      </w:pPr>
      <w:r>
        <w:rPr>
          <w:rFonts w:hint="default" w:ascii="Times New Roman" w:hAnsi="Times New Roman" w:cs="Times New Roman" w:eastAsiaTheme="minorEastAsia"/>
          <w:b w:val="0"/>
          <w:bCs/>
          <w:sz w:val="24"/>
          <w:szCs w:val="24"/>
        </w:rPr>
        <w:t>废气</w:t>
      </w:r>
      <w:bookmarkStart w:id="0" w:name="page44"/>
      <w:bookmarkEnd w:id="0"/>
      <w:r>
        <w:rPr>
          <w:rFonts w:hint="default" w:ascii="Times New Roman" w:hAnsi="Times New Roman" w:cs="Times New Roman" w:eastAsiaTheme="minorEastAsia"/>
          <w:b w:val="0"/>
          <w:bCs/>
          <w:sz w:val="24"/>
          <w:szCs w:val="24"/>
        </w:rPr>
        <w:t>：</w:t>
      </w:r>
      <w:r>
        <w:rPr>
          <w:rFonts w:hint="eastAsia" w:ascii="Times New Roman" w:hAnsi="Times New Roman"/>
          <w:sz w:val="24"/>
          <w:szCs w:val="24"/>
          <w:lang w:val="en-US" w:eastAsia="zh-CN"/>
        </w:rPr>
        <w:t>验收检测期间，项目生物过滤除臭装置有组织排放的氨排放速率为6.29</w:t>
      </w:r>
      <w:r>
        <w:rPr>
          <w:rFonts w:hint="default" w:ascii="Times New Roman" w:hAnsi="Times New Roman" w:eastAsia="宋体" w:cs="Times New Roman"/>
          <w:b w:val="0"/>
          <w:bCs w:val="0"/>
          <w:i w:val="0"/>
          <w:color w:val="auto"/>
          <w:kern w:val="0"/>
          <w:sz w:val="24"/>
          <w:szCs w:val="24"/>
          <w:u w:val="none"/>
          <w:lang w:val="en-US" w:eastAsia="zh-CN" w:bidi="ar"/>
        </w:rPr>
        <w:t>×10</w:t>
      </w:r>
      <w:r>
        <w:rPr>
          <w:rFonts w:hint="default" w:ascii="Times New Roman" w:hAnsi="Times New Roman" w:eastAsia="宋体" w:cs="Times New Roman"/>
          <w:b w:val="0"/>
          <w:bCs w:val="0"/>
          <w:i w:val="0"/>
          <w:color w:val="auto"/>
          <w:kern w:val="0"/>
          <w:sz w:val="24"/>
          <w:szCs w:val="24"/>
          <w:u w:val="none"/>
          <w:vertAlign w:val="superscript"/>
          <w:lang w:val="en-US" w:eastAsia="zh-CN" w:bidi="ar"/>
        </w:rPr>
        <w:t>-3</w:t>
      </w:r>
      <w:r>
        <w:rPr>
          <w:rFonts w:hint="eastAsia" w:ascii="Times New Roman" w:hAnsi="Times New Roman"/>
          <w:sz w:val="24"/>
          <w:szCs w:val="24"/>
          <w:lang w:val="en-US" w:eastAsia="zh-CN"/>
        </w:rPr>
        <w:t>~7.19</w:t>
      </w:r>
      <w:r>
        <w:rPr>
          <w:rFonts w:hint="default" w:ascii="Times New Roman" w:hAnsi="Times New Roman" w:eastAsia="宋体" w:cs="Times New Roman"/>
          <w:b w:val="0"/>
          <w:bCs w:val="0"/>
          <w:i w:val="0"/>
          <w:color w:val="auto"/>
          <w:kern w:val="0"/>
          <w:sz w:val="24"/>
          <w:szCs w:val="24"/>
          <w:u w:val="none"/>
          <w:lang w:val="en-US" w:eastAsia="zh-CN" w:bidi="ar"/>
        </w:rPr>
        <w:t>×10</w:t>
      </w:r>
      <w:r>
        <w:rPr>
          <w:rFonts w:hint="default" w:ascii="Times New Roman" w:hAnsi="Times New Roman" w:eastAsia="宋体" w:cs="Times New Roman"/>
          <w:b w:val="0"/>
          <w:bCs w:val="0"/>
          <w:i w:val="0"/>
          <w:color w:val="auto"/>
          <w:kern w:val="0"/>
          <w:sz w:val="24"/>
          <w:szCs w:val="24"/>
          <w:u w:val="none"/>
          <w:vertAlign w:val="superscript"/>
          <w:lang w:val="en-US" w:eastAsia="zh-CN" w:bidi="ar"/>
        </w:rPr>
        <w:t>-3</w:t>
      </w:r>
      <w:r>
        <w:rPr>
          <w:rFonts w:hint="eastAsia" w:ascii="Times New Roman" w:hAnsi="Times New Roman"/>
          <w:sz w:val="24"/>
          <w:szCs w:val="24"/>
          <w:lang w:val="en-US" w:eastAsia="zh-CN"/>
        </w:rPr>
        <w:t>kg/h，硫化氢排放速率为3.13</w:t>
      </w:r>
      <w:r>
        <w:rPr>
          <w:rFonts w:hint="default" w:ascii="Times New Roman" w:hAnsi="Times New Roman" w:eastAsia="宋体" w:cs="Times New Roman"/>
          <w:b w:val="0"/>
          <w:bCs w:val="0"/>
          <w:i w:val="0"/>
          <w:color w:val="auto"/>
          <w:kern w:val="0"/>
          <w:sz w:val="24"/>
          <w:szCs w:val="24"/>
          <w:u w:val="none"/>
          <w:lang w:val="en-US" w:eastAsia="zh-CN" w:bidi="ar"/>
        </w:rPr>
        <w:t>×10</w:t>
      </w:r>
      <w:r>
        <w:rPr>
          <w:rFonts w:hint="default" w:ascii="Times New Roman" w:hAnsi="Times New Roman" w:eastAsia="宋体" w:cs="Times New Roman"/>
          <w:b w:val="0"/>
          <w:bCs w:val="0"/>
          <w:i w:val="0"/>
          <w:color w:val="auto"/>
          <w:kern w:val="0"/>
          <w:sz w:val="24"/>
          <w:szCs w:val="24"/>
          <w:u w:val="none"/>
          <w:vertAlign w:val="superscript"/>
          <w:lang w:val="en-US" w:eastAsia="zh-CN" w:bidi="ar"/>
        </w:rPr>
        <w:t>-3</w:t>
      </w:r>
      <w:r>
        <w:rPr>
          <w:rFonts w:hint="eastAsia" w:ascii="Times New Roman" w:hAnsi="Times New Roman"/>
          <w:sz w:val="24"/>
          <w:szCs w:val="24"/>
          <w:lang w:val="en-US" w:eastAsia="zh-CN"/>
        </w:rPr>
        <w:t>~3.25</w:t>
      </w:r>
      <w:r>
        <w:rPr>
          <w:rFonts w:hint="default" w:ascii="Times New Roman" w:hAnsi="Times New Roman" w:eastAsia="宋体" w:cs="Times New Roman"/>
          <w:b w:val="0"/>
          <w:bCs w:val="0"/>
          <w:i w:val="0"/>
          <w:color w:val="auto"/>
          <w:kern w:val="0"/>
          <w:sz w:val="24"/>
          <w:szCs w:val="24"/>
          <w:u w:val="none"/>
          <w:lang w:val="en-US" w:eastAsia="zh-CN" w:bidi="ar"/>
        </w:rPr>
        <w:t>×10</w:t>
      </w:r>
      <w:r>
        <w:rPr>
          <w:rFonts w:hint="default" w:ascii="Times New Roman" w:hAnsi="Times New Roman" w:eastAsia="宋体" w:cs="Times New Roman"/>
          <w:b w:val="0"/>
          <w:bCs w:val="0"/>
          <w:i w:val="0"/>
          <w:color w:val="auto"/>
          <w:kern w:val="0"/>
          <w:sz w:val="24"/>
          <w:szCs w:val="24"/>
          <w:u w:val="none"/>
          <w:vertAlign w:val="superscript"/>
          <w:lang w:val="en-US" w:eastAsia="zh-CN" w:bidi="ar"/>
        </w:rPr>
        <w:t>-3</w:t>
      </w:r>
      <w:r>
        <w:rPr>
          <w:rFonts w:hint="eastAsia" w:ascii="Times New Roman" w:hAnsi="Times New Roman"/>
          <w:sz w:val="24"/>
          <w:szCs w:val="24"/>
          <w:lang w:val="en-US" w:eastAsia="zh-CN"/>
        </w:rPr>
        <w:t>kg/h，臭气浓度在412~732，能够满足《恶臭污染物排放标准》（GB14554-93）表2中15m高排气筒排放标准要求，项目厂界无组织排放氨浓度为0.054~0.174mg/m</w:t>
      </w:r>
      <w:r>
        <w:rPr>
          <w:rFonts w:hint="eastAsia" w:ascii="Times New Roman" w:hAnsi="Times New Roman"/>
          <w:sz w:val="24"/>
          <w:szCs w:val="24"/>
          <w:vertAlign w:val="superscript"/>
          <w:lang w:val="en-US" w:eastAsia="zh-CN"/>
        </w:rPr>
        <w:t>3</w:t>
      </w:r>
      <w:r>
        <w:rPr>
          <w:rFonts w:hint="eastAsia" w:ascii="Times New Roman" w:hAnsi="Times New Roman"/>
          <w:sz w:val="24"/>
          <w:szCs w:val="24"/>
          <w:lang w:val="en-US" w:eastAsia="zh-CN"/>
        </w:rPr>
        <w:t>，无组织排放硫化氢浓度为ND~0.017mg/m</w:t>
      </w:r>
      <w:r>
        <w:rPr>
          <w:rFonts w:hint="eastAsia" w:ascii="Times New Roman" w:hAnsi="Times New Roman"/>
          <w:sz w:val="24"/>
          <w:szCs w:val="24"/>
          <w:vertAlign w:val="superscript"/>
          <w:lang w:val="en-US" w:eastAsia="zh-CN"/>
        </w:rPr>
        <w:t>3</w:t>
      </w:r>
      <w:r>
        <w:rPr>
          <w:rFonts w:hint="eastAsia" w:ascii="Times New Roman" w:hAnsi="Times New Roman"/>
          <w:sz w:val="24"/>
          <w:szCs w:val="24"/>
          <w:lang w:val="en-US" w:eastAsia="zh-CN"/>
        </w:rPr>
        <w:t>，无组织臭气浓度排放为10~18，能够满足《城镇污水处理厂污染物排放标准》（GB18918-2002）二级标准要求</w:t>
      </w:r>
      <w:r>
        <w:rPr>
          <w:rFonts w:hint="eastAsia"/>
          <w:bCs/>
          <w:color w:val="000000"/>
          <w:sz w:val="24"/>
          <w:szCs w:val="24"/>
        </w:rPr>
        <w:t>。</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rPr>
      </w:pPr>
      <w:r>
        <w:rPr>
          <w:rFonts w:hint="eastAsia" w:ascii="Times New Roman" w:hAnsi="Times New Roman" w:cs="Times New Roman" w:eastAsiaTheme="minorEastAsia"/>
          <w:b w:val="0"/>
          <w:bCs/>
          <w:sz w:val="24"/>
          <w:szCs w:val="24"/>
          <w:lang w:val="en-US" w:eastAsia="zh-CN"/>
        </w:rPr>
        <w:t>2）</w:t>
      </w:r>
      <w:r>
        <w:rPr>
          <w:rFonts w:ascii="Times New Roman" w:hAnsi="Times New Roman"/>
          <w:color w:val="171717"/>
          <w:sz w:val="24"/>
          <w:szCs w:val="24"/>
        </w:rPr>
        <w:t>废水</w:t>
      </w:r>
      <w:r>
        <w:rPr>
          <w:rFonts w:hint="eastAsia" w:ascii="Times New Roman" w:hAnsi="Times New Roman"/>
          <w:color w:val="171717"/>
          <w:sz w:val="24"/>
          <w:szCs w:val="24"/>
        </w:rPr>
        <w:t>：</w:t>
      </w:r>
      <w:r>
        <w:rPr>
          <w:rFonts w:hint="eastAsia" w:ascii="Times New Roman" w:hAnsi="Times New Roman"/>
          <w:sz w:val="24"/>
          <w:szCs w:val="24"/>
          <w:lang w:val="en-US" w:eastAsia="zh-CN"/>
        </w:rPr>
        <w:t>验收检测期间，本项目化学需氧量、五日生化需氧量、悬浮物、氨氮、总磷、总氮排放浓度均能满足工程设计出水水质标准要求，即COD≤40mg/L、BOD</w:t>
      </w:r>
      <w:r>
        <w:rPr>
          <w:rFonts w:hint="eastAsia" w:ascii="Times New Roman" w:hAnsi="Times New Roman"/>
          <w:sz w:val="24"/>
          <w:szCs w:val="24"/>
          <w:vertAlign w:val="subscript"/>
          <w:lang w:val="en-US" w:eastAsia="zh-CN"/>
        </w:rPr>
        <w:t>5</w:t>
      </w:r>
      <w:r>
        <w:rPr>
          <w:rFonts w:hint="eastAsia" w:ascii="Times New Roman" w:hAnsi="Times New Roman"/>
          <w:sz w:val="24"/>
          <w:szCs w:val="24"/>
          <w:lang w:val="en-US" w:eastAsia="zh-CN"/>
        </w:rPr>
        <w:t>≤10mg/L、SS≤10mg/L、氨氮≤2mg/L、总磷≤0.4mg/L、总氮15≤mg/L</w:t>
      </w:r>
      <w:r>
        <w:rPr>
          <w:rFonts w:hint="eastAsia"/>
          <w:bCs/>
          <w:color w:val="000000"/>
          <w:sz w:val="24"/>
          <w:szCs w:val="24"/>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Style w:val="12"/>
          <w:rFonts w:ascii="Times New Roman" w:hAnsi="Times New Roman"/>
          <w:i w:val="0"/>
          <w:color w:val="171717"/>
          <w:sz w:val="24"/>
          <w:szCs w:val="24"/>
        </w:rPr>
      </w:pPr>
      <w:r>
        <w:rPr>
          <w:rFonts w:ascii="Times New Roman" w:hAnsi="Times New Roman"/>
          <w:color w:val="171717"/>
          <w:sz w:val="24"/>
          <w:szCs w:val="24"/>
        </w:rPr>
        <w:t>3）噪声</w:t>
      </w:r>
      <w:bookmarkStart w:id="1" w:name="page45"/>
      <w:bookmarkEnd w:id="1"/>
      <w:r>
        <w:rPr>
          <w:rFonts w:hint="eastAsia" w:ascii="Times New Roman" w:hAnsi="Times New Roman"/>
          <w:color w:val="171717"/>
          <w:sz w:val="24"/>
          <w:szCs w:val="24"/>
        </w:rPr>
        <w:t>：</w:t>
      </w:r>
      <w:r>
        <w:rPr>
          <w:rFonts w:hint="eastAsia" w:ascii="Times New Roman" w:hAnsi="Times New Roman"/>
          <w:color w:val="000000"/>
          <w:sz w:val="24"/>
          <w:szCs w:val="24"/>
        </w:rPr>
        <w:t>验收检测期间，</w:t>
      </w:r>
      <w:r>
        <w:rPr>
          <w:rFonts w:hint="eastAsia" w:ascii="Times New Roman" w:hAnsi="Times New Roman"/>
          <w:sz w:val="24"/>
          <w:szCs w:val="24"/>
        </w:rPr>
        <w:t>该公司四周厂界环境</w:t>
      </w:r>
      <w:r>
        <w:rPr>
          <w:rFonts w:hint="eastAsia" w:ascii="Times New Roman" w:hAnsi="Times New Roman" w:eastAsia="宋体" w:cs="Times New Roman"/>
          <w:sz w:val="24"/>
          <w:szCs w:val="24"/>
        </w:rPr>
        <w:t>昼间噪声值在</w:t>
      </w:r>
      <w:r>
        <w:rPr>
          <w:rFonts w:hint="eastAsia" w:ascii="Times New Roman" w:hAnsi="Times New Roman" w:eastAsia="宋体" w:cs="Times New Roman"/>
          <w:sz w:val="24"/>
          <w:szCs w:val="24"/>
          <w:lang w:val="en-US" w:eastAsia="zh-CN"/>
        </w:rPr>
        <w:t>52-55</w:t>
      </w:r>
      <w:r>
        <w:rPr>
          <w:rFonts w:hint="eastAsia" w:ascii="Times New Roman" w:hAnsi="Times New Roman" w:eastAsia="宋体" w:cs="Times New Roman"/>
          <w:sz w:val="24"/>
          <w:szCs w:val="24"/>
        </w:rPr>
        <w:t>dB(A)之间</w:t>
      </w:r>
      <w:r>
        <w:rPr>
          <w:rFonts w:hint="eastAsia" w:ascii="Times New Roman" w:hAnsi="Times New Roman" w:eastAsia="宋体" w:cs="Times New Roman"/>
          <w:sz w:val="24"/>
          <w:szCs w:val="24"/>
          <w:lang w:eastAsia="zh-CN"/>
        </w:rPr>
        <w:t>，夜间</w:t>
      </w:r>
      <w:r>
        <w:rPr>
          <w:rFonts w:hint="eastAsia" w:ascii="Times New Roman" w:hAnsi="Times New Roman" w:eastAsia="宋体" w:cs="Times New Roman"/>
          <w:sz w:val="24"/>
          <w:szCs w:val="24"/>
        </w:rPr>
        <w:t>噪声值在</w:t>
      </w:r>
      <w:r>
        <w:rPr>
          <w:rFonts w:hint="eastAsia" w:ascii="Times New Roman" w:hAnsi="Times New Roman" w:eastAsia="宋体" w:cs="Times New Roman"/>
          <w:sz w:val="24"/>
          <w:szCs w:val="24"/>
          <w:lang w:val="en-US" w:eastAsia="zh-CN"/>
        </w:rPr>
        <w:t>41-44</w:t>
      </w:r>
      <w:r>
        <w:rPr>
          <w:rFonts w:hint="eastAsia" w:ascii="Times New Roman" w:hAnsi="Times New Roman" w:eastAsia="宋体" w:cs="Times New Roman"/>
          <w:sz w:val="24"/>
          <w:szCs w:val="24"/>
        </w:rPr>
        <w:t>dB(A)之间</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能够达到</w:t>
      </w:r>
      <w:r>
        <w:rPr>
          <w:rFonts w:hint="eastAsia" w:ascii="Times New Roman" w:hAnsi="Times New Roman"/>
          <w:sz w:val="24"/>
          <w:szCs w:val="24"/>
        </w:rPr>
        <w:t>《工业企业厂界环境噪声排放标准》</w:t>
      </w:r>
      <w:r>
        <w:rPr>
          <w:rFonts w:hint="eastAsia" w:ascii="Times New Roman" w:hAnsi="Times New Roman"/>
          <w:sz w:val="24"/>
          <w:szCs w:val="24"/>
          <w:lang w:eastAsia="zh-CN"/>
        </w:rPr>
        <w:t>（</w:t>
      </w:r>
      <w:r>
        <w:rPr>
          <w:rFonts w:hint="eastAsia" w:ascii="Times New Roman" w:hAnsi="Times New Roman"/>
          <w:sz w:val="24"/>
          <w:szCs w:val="24"/>
        </w:rPr>
        <w:t>GB12348-2008</w:t>
      </w:r>
      <w:r>
        <w:rPr>
          <w:rFonts w:hint="eastAsia" w:ascii="Times New Roman" w:hAnsi="Times New Roman"/>
          <w:sz w:val="24"/>
          <w:szCs w:val="24"/>
          <w:lang w:eastAsia="zh-CN"/>
        </w:rPr>
        <w:t>）</w:t>
      </w:r>
      <w:r>
        <w:rPr>
          <w:rFonts w:hint="eastAsia" w:ascii="Times New Roman" w:hAnsi="Times New Roman"/>
          <w:sz w:val="24"/>
          <w:szCs w:val="24"/>
          <w:lang w:val="en-US" w:eastAsia="zh-CN"/>
        </w:rPr>
        <w:t>2</w:t>
      </w:r>
      <w:r>
        <w:rPr>
          <w:rFonts w:hint="eastAsia" w:ascii="Times New Roman" w:hAnsi="Times New Roman"/>
          <w:sz w:val="24"/>
          <w:szCs w:val="24"/>
        </w:rPr>
        <w:t>类标准限值：昼间≤6</w:t>
      </w:r>
      <w:r>
        <w:rPr>
          <w:rFonts w:hint="eastAsia" w:ascii="Times New Roman" w:hAnsi="Times New Roman"/>
          <w:sz w:val="24"/>
          <w:szCs w:val="24"/>
          <w:lang w:val="en-US" w:eastAsia="zh-CN"/>
        </w:rPr>
        <w:t>0</w:t>
      </w:r>
      <w:r>
        <w:rPr>
          <w:rFonts w:hint="eastAsia" w:ascii="Times New Roman" w:hAnsi="Times New Roman"/>
          <w:sz w:val="24"/>
          <w:szCs w:val="24"/>
        </w:rPr>
        <w:t>dB</w:t>
      </w:r>
      <w:r>
        <w:rPr>
          <w:rFonts w:hint="eastAsia" w:ascii="Times New Roman" w:hAnsi="Times New Roman"/>
          <w:sz w:val="24"/>
          <w:szCs w:val="24"/>
          <w:lang w:eastAsia="zh-CN"/>
        </w:rPr>
        <w:t>（</w:t>
      </w:r>
      <w:r>
        <w:rPr>
          <w:rFonts w:hint="eastAsia" w:ascii="Times New Roman" w:hAnsi="Times New Roman"/>
          <w:sz w:val="24"/>
          <w:szCs w:val="24"/>
        </w:rPr>
        <w:t>A</w:t>
      </w:r>
      <w:r>
        <w:rPr>
          <w:rFonts w:hint="eastAsia" w:ascii="Times New Roman" w:hAnsi="Times New Roman"/>
          <w:sz w:val="24"/>
          <w:szCs w:val="24"/>
          <w:lang w:eastAsia="zh-CN"/>
        </w:rPr>
        <w:t>），夜间≤</w:t>
      </w:r>
      <w:r>
        <w:rPr>
          <w:rFonts w:hint="eastAsia" w:ascii="Times New Roman" w:hAnsi="Times New Roman"/>
          <w:sz w:val="24"/>
          <w:szCs w:val="24"/>
          <w:lang w:val="en-US" w:eastAsia="zh-CN"/>
        </w:rPr>
        <w:t>50</w:t>
      </w:r>
      <w:r>
        <w:rPr>
          <w:rFonts w:hint="eastAsia" w:ascii="Times New Roman" w:hAnsi="Times New Roman"/>
          <w:sz w:val="24"/>
          <w:szCs w:val="24"/>
        </w:rPr>
        <w:t>dB</w:t>
      </w:r>
      <w:r>
        <w:rPr>
          <w:rFonts w:hint="eastAsia" w:ascii="Times New Roman" w:hAnsi="Times New Roman"/>
          <w:sz w:val="24"/>
          <w:szCs w:val="24"/>
          <w:lang w:eastAsia="zh-CN"/>
        </w:rPr>
        <w:t>（</w:t>
      </w:r>
      <w:r>
        <w:rPr>
          <w:rFonts w:hint="eastAsia" w:ascii="Times New Roman" w:hAnsi="Times New Roman"/>
          <w:sz w:val="24"/>
          <w:szCs w:val="24"/>
        </w:rPr>
        <w:t>A</w:t>
      </w:r>
      <w:r>
        <w:rPr>
          <w:rFonts w:hint="eastAsia" w:ascii="Times New Roman" w:hAnsi="Times New Roman"/>
          <w:sz w:val="24"/>
          <w:szCs w:val="24"/>
          <w:lang w:eastAsia="zh-CN"/>
        </w:rPr>
        <w:t>）</w:t>
      </w:r>
      <w:r>
        <w:rPr>
          <w:rFonts w:hint="eastAsia" w:ascii="Times New Roman" w:hAnsi="Times New Roman"/>
          <w:sz w:val="24"/>
          <w:szCs w:val="24"/>
        </w:rPr>
        <w:t>的要求。</w:t>
      </w:r>
    </w:p>
    <w:p>
      <w:pPr>
        <w:adjustRightInd w:val="0"/>
        <w:snapToGrid w:val="0"/>
        <w:spacing w:line="360" w:lineRule="auto"/>
        <w:ind w:firstLine="480" w:firstLineChars="200"/>
        <w:jc w:val="both"/>
        <w:outlineLvl w:val="1"/>
        <w:rPr>
          <w:rFonts w:hint="eastAsia" w:ascii="Times New Roman" w:hAnsi="Times New Roman" w:eastAsiaTheme="minorEastAsia"/>
          <w:color w:val="171717"/>
          <w:sz w:val="24"/>
          <w:szCs w:val="24"/>
          <w:lang w:eastAsia="zh-CN"/>
        </w:rPr>
      </w:pPr>
      <w:r>
        <w:rPr>
          <w:rFonts w:ascii="Times New Roman" w:hAnsi="Times New Roman"/>
          <w:color w:val="171717"/>
          <w:sz w:val="24"/>
          <w:szCs w:val="24"/>
        </w:rPr>
        <w:t>4）固体废物</w:t>
      </w:r>
      <w:r>
        <w:rPr>
          <w:rFonts w:hint="eastAsia" w:ascii="Times New Roman" w:hAnsi="Times New Roman"/>
          <w:color w:val="171717"/>
          <w:sz w:val="24"/>
          <w:szCs w:val="24"/>
        </w:rPr>
        <w:t>：</w:t>
      </w:r>
      <w:r>
        <w:rPr>
          <w:rFonts w:hint="eastAsia" w:ascii="Times New Roman" w:hAnsi="Times New Roman" w:cs="Times New Roman"/>
          <w:color w:val="000000"/>
          <w:spacing w:val="0"/>
          <w:kern w:val="21"/>
          <w:position w:val="0"/>
          <w:sz w:val="24"/>
          <w:szCs w:val="24"/>
          <w:lang w:val="en-US" w:eastAsia="zh-CN"/>
        </w:rPr>
        <w:t>生活垃圾</w:t>
      </w:r>
      <w:r>
        <w:rPr>
          <w:rFonts w:hint="eastAsia"/>
          <w:color w:val="000000"/>
          <w:sz w:val="24"/>
          <w:lang w:eastAsia="zh-CN"/>
        </w:rPr>
        <w:t>收集后交环卫部门统一处理；</w:t>
      </w:r>
      <w:r>
        <w:rPr>
          <w:rFonts w:hint="eastAsia" w:ascii="Times New Roman" w:hAnsi="Times New Roman" w:eastAsia="宋体" w:cs="Times New Roman"/>
          <w:color w:val="000000"/>
          <w:sz w:val="24"/>
          <w:lang w:eastAsia="zh-CN"/>
        </w:rPr>
        <w:t>栅渣沉砂存放于临时废渣堆场后于新乡县垃圾处理场卫生填埋；污泥于污泥临时堆场存放，正常工况下送至新乡县垃圾填埋场填埋，非正常工况下污泥属危险废物，送有处理资质的单位安全处置；废生物活性炭</w:t>
      </w:r>
      <w:r>
        <w:rPr>
          <w:rFonts w:hint="eastAsia" w:ascii="Calibri" w:hAnsi="Calibri"/>
          <w:b w:val="0"/>
          <w:bCs w:val="0"/>
          <w:color w:val="000000"/>
          <w:sz w:val="24"/>
          <w:szCs w:val="22"/>
          <w:lang w:val="en-US" w:eastAsia="zh-CN" w:bidi="ar-SA"/>
        </w:rPr>
        <w:t>经收集后由厂家回收</w:t>
      </w:r>
      <w:r>
        <w:rPr>
          <w:rFonts w:hint="eastAsia" w:ascii="Times New Roman" w:hAnsi="Times New Roman" w:eastAsia="宋体" w:cs="Times New Roman"/>
          <w:color w:val="000000"/>
          <w:spacing w:val="0"/>
          <w:kern w:val="21"/>
          <w:position w:val="0"/>
          <w:sz w:val="24"/>
          <w:szCs w:val="24"/>
          <w:lang w:val="en-US" w:eastAsia="zh-CN"/>
        </w:rPr>
        <w:t>。</w:t>
      </w:r>
      <w:r>
        <w:rPr>
          <w:rFonts w:hint="eastAsia" w:ascii="Times New Roman" w:hAnsi="Times New Roman"/>
          <w:color w:val="000000"/>
          <w:sz w:val="24"/>
          <w:szCs w:val="24"/>
        </w:rPr>
        <w:t>经采取以</w:t>
      </w:r>
      <w:r>
        <w:rPr>
          <w:rFonts w:ascii="Times New Roman" w:hAnsi="Times New Roman"/>
          <w:color w:val="000000"/>
          <w:sz w:val="24"/>
          <w:szCs w:val="24"/>
        </w:rPr>
        <w:t>上措施后，本项目固体废物均能够得到合理处置，对周围环境影响可以接受</w:t>
      </w:r>
      <w:r>
        <w:rPr>
          <w:rFonts w:ascii="Times New Roman" w:hAnsi="Times New Roman"/>
          <w:sz w:val="24"/>
          <w:szCs w:val="24"/>
        </w:rPr>
        <w:t>。</w:t>
      </w:r>
    </w:p>
    <w:p>
      <w:pPr>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olor w:val="171717"/>
          <w:sz w:val="24"/>
          <w:szCs w:val="24"/>
        </w:rPr>
      </w:pPr>
      <w:r>
        <w:rPr>
          <w:rFonts w:hint="eastAsia" w:ascii="Times New Roman" w:hAnsi="Times New Roman"/>
          <w:color w:val="171717"/>
          <w:sz w:val="24"/>
          <w:szCs w:val="24"/>
          <w:lang w:eastAsia="zh-CN"/>
        </w:rPr>
        <w:t>四</w:t>
      </w:r>
      <w:r>
        <w:rPr>
          <w:rFonts w:hint="default" w:ascii="Times New Roman" w:hAnsi="Times New Roman"/>
          <w:color w:val="171717"/>
          <w:sz w:val="24"/>
          <w:szCs w:val="24"/>
        </w:rPr>
        <w:t>、验收结论</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综上所述，</w:t>
      </w:r>
      <w:r>
        <w:rPr>
          <w:rFonts w:hint="eastAsia" w:ascii="Times New Roman" w:hAnsi="Times New Roman"/>
          <w:color w:val="171717"/>
          <w:sz w:val="24"/>
          <w:szCs w:val="24"/>
          <w:lang w:eastAsia="zh-CN"/>
        </w:rPr>
        <w:t>新乡县大召营镇人民政府大召营镇污水处理厂工程</w:t>
      </w:r>
      <w:r>
        <w:rPr>
          <w:rFonts w:hint="default" w:ascii="Times New Roman" w:hAnsi="Times New Roman"/>
          <w:color w:val="171717"/>
          <w:sz w:val="24"/>
          <w:szCs w:val="24"/>
        </w:rPr>
        <w:t>不存在《建设项目竣工环境保护暂行办法》中所规定的验收不合格情形，验收组一致同意本项目通过项目竣工环境保护验收。</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建议：</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1.企业对各种污染防治措施加强管理，发现问题及时采取措施解决，确保污染治理设施能够长期稳定运行，做到污染物稳定达标排放。</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lang w:val="en-US" w:eastAsia="zh-CN"/>
        </w:rPr>
        <w:t>2</w:t>
      </w:r>
      <w:r>
        <w:rPr>
          <w:rFonts w:hint="default" w:ascii="Times New Roman" w:hAnsi="Times New Roman" w:cs="Times New Roman" w:eastAsiaTheme="minorEastAsia"/>
          <w:b w:val="0"/>
          <w:bCs/>
          <w:sz w:val="24"/>
          <w:szCs w:val="24"/>
        </w:rPr>
        <w:t>.完善排污口管理，规范环保标识。</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 xml:space="preserve">            新乡县中蓝污水处理有限公司</w:t>
      </w:r>
    </w:p>
    <w:p>
      <w:pPr>
        <w:pStyle w:val="7"/>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right"/>
        <w:textAlignment w:val="auto"/>
        <w:outlineLvl w:val="9"/>
        <w:rPr>
          <w:rFonts w:hint="eastAsia" w:ascii="Times New Roman" w:hAnsi="Times New Roman" w:cs="Times New Roman" w:eastAsiaTheme="minorEastAsia"/>
          <w:b w:val="0"/>
          <w:bCs/>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r>
        <w:rPr>
          <w:rFonts w:hint="eastAsia" w:ascii="Times New Roman" w:hAnsi="Times New Roman" w:cs="Times New Roman" w:eastAsiaTheme="minorEastAsia"/>
          <w:b w:val="0"/>
          <w:bCs/>
          <w:sz w:val="24"/>
          <w:szCs w:val="24"/>
          <w:lang w:val="en-US" w:eastAsia="zh-CN"/>
        </w:rPr>
        <w:t>2021年8月</w:t>
      </w:r>
    </w:p>
    <w:p>
      <w:pPr>
        <w:bidi w:val="0"/>
        <w:rPr>
          <w:lang w:val="en-US" w:eastAsia="zh-CN"/>
        </w:rPr>
      </w:pPr>
      <w:bookmarkStart w:id="2" w:name="_GoBack"/>
      <w:bookmarkEnd w:id="2"/>
      <w:r>
        <w:rPr>
          <w:lang w:val="en-US" w:eastAsia="zh-CN"/>
        </w:rPr>
        <w:drawing>
          <wp:anchor distT="0" distB="0" distL="114300" distR="114300" simplePos="0" relativeHeight="251658240" behindDoc="0" locked="0" layoutInCell="1" allowOverlap="1">
            <wp:simplePos x="0" y="0"/>
            <wp:positionH relativeFrom="column">
              <wp:posOffset>-1571625</wp:posOffset>
            </wp:positionH>
            <wp:positionV relativeFrom="paragraph">
              <wp:posOffset>-950595</wp:posOffset>
            </wp:positionV>
            <wp:extent cx="7571740" cy="10709275"/>
            <wp:effectExtent l="0" t="0" r="10160" b="15875"/>
            <wp:wrapSquare wrapText="bothSides"/>
            <wp:docPr id="2" name="图片 2" descr="92484740fea46e9b054cb34f9a172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2484740fea46e9b054cb34f9a172db"/>
                    <pic:cNvPicPr>
                      <a:picLocks noChangeAspect="1"/>
                    </pic:cNvPicPr>
                  </pic:nvPicPr>
                  <pic:blipFill>
                    <a:blip r:embed="rId7"/>
                    <a:stretch>
                      <a:fillRect/>
                    </a:stretch>
                  </pic:blipFill>
                  <pic:spPr>
                    <a:xfrm>
                      <a:off x="0" y="0"/>
                      <a:ext cx="7571740" cy="10709275"/>
                    </a:xfrm>
                    <a:prstGeom prst="rect">
                      <a:avLst/>
                    </a:prstGeom>
                  </pic:spPr>
                </pic:pic>
              </a:graphicData>
            </a:graphic>
          </wp:anchor>
        </w:drawing>
      </w: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BF0851"/>
    <w:multiLevelType w:val="singleLevel"/>
    <w:tmpl w:val="3DBF085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18E50CF"/>
    <w:rsid w:val="12205622"/>
    <w:rsid w:val="15C863E5"/>
    <w:rsid w:val="16F51E4F"/>
    <w:rsid w:val="1ACF3CCC"/>
    <w:rsid w:val="1FB94AE4"/>
    <w:rsid w:val="2A8052D9"/>
    <w:rsid w:val="2C3B4FD3"/>
    <w:rsid w:val="2D467213"/>
    <w:rsid w:val="338B348A"/>
    <w:rsid w:val="3B0F24E3"/>
    <w:rsid w:val="3FBE472E"/>
    <w:rsid w:val="40D50E2B"/>
    <w:rsid w:val="426A4EED"/>
    <w:rsid w:val="480E2F84"/>
    <w:rsid w:val="4B0E362D"/>
    <w:rsid w:val="4F4808A1"/>
    <w:rsid w:val="50B01FE7"/>
    <w:rsid w:val="557F4BBB"/>
    <w:rsid w:val="5A0C661C"/>
    <w:rsid w:val="5D154EA4"/>
    <w:rsid w:val="5E102968"/>
    <w:rsid w:val="5EC822B6"/>
    <w:rsid w:val="5ECD31A7"/>
    <w:rsid w:val="5FDA21C6"/>
    <w:rsid w:val="60210EA7"/>
    <w:rsid w:val="621C01AC"/>
    <w:rsid w:val="68100534"/>
    <w:rsid w:val="6A1343E1"/>
    <w:rsid w:val="6A5B2E41"/>
    <w:rsid w:val="705A1725"/>
    <w:rsid w:val="710570A6"/>
    <w:rsid w:val="710A2963"/>
    <w:rsid w:val="72014564"/>
    <w:rsid w:val="74AE7AC2"/>
    <w:rsid w:val="78A45A6E"/>
    <w:rsid w:val="7D3072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qFormat/>
    <w:uiPriority w:val="0"/>
    <w:pPr>
      <w:spacing w:line="480" w:lineRule="auto"/>
    </w:pPr>
    <w:rPr>
      <w:b/>
      <w:bCs/>
      <w:sz w:val="24"/>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paragraph" w:customStyle="1" w:styleId="11">
    <w:name w:val="Default"/>
    <w:basedOn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Times New Roman" w:eastAsia="宋体" w:cs="宋体"/>
      <w:color w:val="000000"/>
      <w:kern w:val="0"/>
      <w:sz w:val="24"/>
      <w:szCs w:val="24"/>
      <w:lang w:val="en-US" w:eastAsia="zh-CN" w:bidi="ar"/>
    </w:rPr>
  </w:style>
  <w:style w:type="character" w:customStyle="1" w:styleId="12">
    <w:name w:val="Subtle Emphasis"/>
    <w:basedOn w:val="9"/>
    <w:qFormat/>
    <w:uiPriority w:val="19"/>
    <w:rPr>
      <w:i/>
      <w:iCs/>
      <w:color w:val="7F7F7F"/>
    </w:rPr>
  </w:style>
  <w:style w:type="paragraph" w:customStyle="1" w:styleId="13">
    <w:name w:val="Table Paragraph"/>
    <w:basedOn w:val="1"/>
    <w:qFormat/>
    <w:uiPriority w:val="1"/>
    <w:pPr>
      <w:jc w:val="left"/>
    </w:pPr>
    <w:rPr>
      <w:rFonts w:ascii="Calibri" w:hAnsi="Calibri"/>
      <w:kern w:val="0"/>
      <w:sz w:val="22"/>
      <w:szCs w:val="22"/>
      <w:lang w:eastAsia="en-US"/>
    </w:rPr>
  </w:style>
  <w:style w:type="table" w:customStyle="1" w:styleId="14">
    <w:name w:val="Table Normal"/>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4</Pages>
  <Words>1557</Words>
  <Characters>1707</Characters>
  <Lines>0</Lines>
  <Paragraphs>0</Paragraphs>
  <TotalTime>0</TotalTime>
  <ScaleCrop>false</ScaleCrop>
  <LinksUpToDate>false</LinksUpToDate>
  <CharactersWithSpaces>1724</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未央</cp:lastModifiedBy>
  <cp:lastPrinted>2021-05-06T03:08:00Z</cp:lastPrinted>
  <dcterms:modified xsi:type="dcterms:W3CDTF">2021-08-17T02:36:25Z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C568E4059967491D8BBF3025CCA8E98D</vt:lpwstr>
  </property>
</Properties>
</file>