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建设项目竣工环境保护验收“其他需要</w:t>
      </w:r>
    </w:p>
    <w:p>
      <w:pPr>
        <w:spacing w:after="0" w:line="360" w:lineRule="auto"/>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说明的事项”相关说明</w:t>
      </w:r>
    </w:p>
    <w:p>
      <w:pPr>
        <w:spacing w:after="0" w:line="360" w:lineRule="auto"/>
        <w:jc w:val="center"/>
        <w:rPr>
          <w:rFonts w:asciiTheme="minorEastAsia" w:hAnsiTheme="minorEastAsia" w:eastAsiaTheme="minorEastAsia"/>
          <w:b/>
          <w:sz w:val="32"/>
          <w:szCs w:val="32"/>
        </w:rPr>
      </w:pPr>
    </w:p>
    <w:p>
      <w:pPr>
        <w:spacing w:after="0"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根据《建设项目竣工环境保护验收暂行办法》，“其他需要说明的事项”中应如实记载的内容包括环境保护设施设计、施工和验收简况，环境影响报告表及其审批部门审批决定中提出的除环境保护设施外的其他环境保护设施的实施情况以及整改工作情况等，现将建设单位需要说明的具体内容和要求梳理如下：</w:t>
      </w:r>
    </w:p>
    <w:p>
      <w:pPr>
        <w:spacing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1 环境保护设施设计、施工和验收过程概况</w:t>
      </w:r>
    </w:p>
    <w:p>
      <w:pPr>
        <w:spacing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1.1 设计简况</w:t>
      </w:r>
    </w:p>
    <w:p>
      <w:pPr>
        <w:spacing w:after="0"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lang w:eastAsia="zh-CN"/>
        </w:rPr>
        <w:t>广东首熙智能装备有限公司建设项目</w:t>
      </w:r>
      <w:r>
        <w:rPr>
          <w:rFonts w:hint="eastAsia" w:asciiTheme="minorEastAsia" w:hAnsiTheme="minorEastAsia" w:eastAsiaTheme="minorEastAsia"/>
          <w:sz w:val="28"/>
          <w:szCs w:val="28"/>
        </w:rPr>
        <w:t>在设计时已将环保设施纳入了初步设计，环保设计符合设计规范要求，落实了防止污染的措施。</w:t>
      </w:r>
    </w:p>
    <w:p>
      <w:pPr>
        <w:spacing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1.2 施工简况</w:t>
      </w:r>
    </w:p>
    <w:p>
      <w:pPr>
        <w:spacing w:after="0" w:line="360" w:lineRule="auto"/>
        <w:ind w:firstLine="560" w:firstLineChars="200"/>
        <w:rPr>
          <w:rFonts w:ascii="宋体" w:hAnsi="宋体" w:eastAsia="宋体" w:cs="Times New Roman"/>
          <w:sz w:val="28"/>
          <w:szCs w:val="28"/>
        </w:rPr>
      </w:pPr>
      <w:r>
        <w:rPr>
          <w:rFonts w:hint="eastAsia" w:asciiTheme="minorEastAsia" w:hAnsiTheme="minorEastAsia" w:eastAsiaTheme="minorEastAsia"/>
          <w:sz w:val="28"/>
          <w:szCs w:val="28"/>
        </w:rPr>
        <w:t>本项目建设工程在建设过程已将环境保护设施纳入了施工合同，环境保护设施的建设进度和资金能得到保证，项目建设过程中已组织实施了环境影响报告表及其审批部门审批决定中提出的环境保护对策措施。</w:t>
      </w:r>
    </w:p>
    <w:p>
      <w:pPr>
        <w:spacing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1.3 验收过程简况</w:t>
      </w:r>
    </w:p>
    <w:p>
      <w:pPr>
        <w:spacing w:after="0"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本项目建设竣工后，企业经自查满足验收要求，然后委托</w:t>
      </w:r>
      <w:r>
        <w:rPr>
          <w:rFonts w:hint="eastAsia" w:asciiTheme="minorEastAsia" w:hAnsiTheme="minorEastAsia" w:eastAsiaTheme="minorEastAsia"/>
          <w:sz w:val="28"/>
          <w:szCs w:val="28"/>
          <w:lang w:eastAsia="zh-CN"/>
        </w:rPr>
        <w:t>深圳市政科检验有限公司</w:t>
      </w:r>
      <w:r>
        <w:rPr>
          <w:rFonts w:hint="eastAsia" w:asciiTheme="minorEastAsia" w:hAnsiTheme="minorEastAsia" w:eastAsiaTheme="minorEastAsia"/>
          <w:sz w:val="28"/>
          <w:szCs w:val="28"/>
        </w:rPr>
        <w:t>对本项目进行竣工环境保护验收监测，并于20</w:t>
      </w:r>
      <w:r>
        <w:rPr>
          <w:rFonts w:hint="eastAsia" w:asciiTheme="minorEastAsia" w:hAnsiTheme="minorEastAsia" w:eastAsiaTheme="minorEastAsia"/>
          <w:sz w:val="28"/>
          <w:szCs w:val="28"/>
          <w:lang w:val="en-US" w:eastAsia="zh-CN"/>
        </w:rPr>
        <w:t>21</w:t>
      </w:r>
      <w:r>
        <w:rPr>
          <w:rFonts w:hint="eastAsia" w:asciiTheme="minorEastAsia" w:hAnsiTheme="minorEastAsia" w:eastAsiaTheme="minorEastAsia"/>
          <w:sz w:val="28"/>
          <w:szCs w:val="28"/>
        </w:rPr>
        <w:t>年</w:t>
      </w:r>
      <w:r>
        <w:rPr>
          <w:rFonts w:hint="eastAsia" w:asciiTheme="minorEastAsia" w:hAnsiTheme="minorEastAsia" w:eastAsiaTheme="minorEastAsia"/>
          <w:sz w:val="28"/>
          <w:szCs w:val="28"/>
          <w:lang w:val="en-US" w:eastAsia="zh-CN"/>
        </w:rPr>
        <w:t>8月</w:t>
      </w:r>
      <w:r>
        <w:rPr>
          <w:rFonts w:hint="eastAsia" w:asciiTheme="minorEastAsia" w:hAnsiTheme="minorEastAsia" w:eastAsiaTheme="minorEastAsia"/>
          <w:sz w:val="28"/>
          <w:szCs w:val="28"/>
        </w:rPr>
        <w:t>出具了《</w:t>
      </w:r>
      <w:r>
        <w:rPr>
          <w:rFonts w:hint="eastAsia" w:asciiTheme="minorEastAsia" w:hAnsiTheme="minorEastAsia" w:eastAsiaTheme="minorEastAsia"/>
          <w:sz w:val="28"/>
          <w:szCs w:val="28"/>
          <w:lang w:eastAsia="zh-CN"/>
        </w:rPr>
        <w:t>广东首熙智能装备有限公司建设项目</w:t>
      </w:r>
      <w:r>
        <w:rPr>
          <w:rFonts w:hint="eastAsia" w:asciiTheme="minorEastAsia" w:hAnsiTheme="minorEastAsia" w:eastAsiaTheme="minorEastAsia"/>
          <w:sz w:val="28"/>
          <w:szCs w:val="28"/>
        </w:rPr>
        <w:t>监测报告》（</w:t>
      </w:r>
      <w:r>
        <w:rPr>
          <w:rFonts w:hint="eastAsia" w:asciiTheme="minorEastAsia" w:hAnsiTheme="minorEastAsia" w:eastAsiaTheme="minorEastAsia"/>
          <w:sz w:val="28"/>
          <w:szCs w:val="28"/>
          <w:lang w:eastAsia="zh-CN"/>
        </w:rPr>
        <w:t>报告编号为：</w:t>
      </w:r>
      <w:r>
        <w:rPr>
          <w:rFonts w:hint="eastAsia" w:asciiTheme="minorEastAsia" w:hAnsiTheme="minorEastAsia" w:eastAsiaTheme="minorEastAsia"/>
          <w:sz w:val="28"/>
          <w:szCs w:val="28"/>
        </w:rPr>
        <w:t>Z</w:t>
      </w:r>
      <w:bookmarkStart w:id="0" w:name="_GoBack"/>
      <w:bookmarkEnd w:id="0"/>
      <w:r>
        <w:rPr>
          <w:rFonts w:hint="eastAsia" w:asciiTheme="minorEastAsia" w:hAnsiTheme="minorEastAsia" w:eastAsiaTheme="minorEastAsia"/>
          <w:sz w:val="28"/>
          <w:szCs w:val="28"/>
        </w:rPr>
        <w:t>KT21072903）。</w:t>
      </w:r>
    </w:p>
    <w:p>
      <w:pPr>
        <w:spacing w:after="0"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color w:val="auto"/>
          <w:sz w:val="28"/>
          <w:szCs w:val="28"/>
        </w:rPr>
        <w:t>20</w:t>
      </w:r>
      <w:r>
        <w:rPr>
          <w:rFonts w:hint="eastAsia" w:asciiTheme="minorEastAsia" w:hAnsiTheme="minorEastAsia" w:eastAsiaTheme="minorEastAsia"/>
          <w:color w:val="auto"/>
          <w:sz w:val="28"/>
          <w:szCs w:val="28"/>
          <w:lang w:val="en-US" w:eastAsia="zh-CN"/>
        </w:rPr>
        <w:t>21</w:t>
      </w:r>
      <w:r>
        <w:rPr>
          <w:rFonts w:hint="eastAsia" w:asciiTheme="minorEastAsia" w:hAnsiTheme="minorEastAsia" w:eastAsiaTheme="minorEastAsia"/>
          <w:color w:val="auto"/>
          <w:sz w:val="28"/>
          <w:szCs w:val="28"/>
        </w:rPr>
        <w:t>年</w:t>
      </w:r>
      <w:r>
        <w:rPr>
          <w:rFonts w:hint="eastAsia" w:asciiTheme="minorEastAsia" w:hAnsiTheme="minorEastAsia" w:eastAsiaTheme="minorEastAsia"/>
          <w:color w:val="auto"/>
          <w:sz w:val="28"/>
          <w:szCs w:val="28"/>
          <w:lang w:val="en-US" w:eastAsia="zh-CN"/>
        </w:rPr>
        <w:t>8</w:t>
      </w:r>
      <w:r>
        <w:rPr>
          <w:rFonts w:hint="eastAsia" w:asciiTheme="minorEastAsia" w:hAnsiTheme="minorEastAsia" w:eastAsiaTheme="minorEastAsia"/>
          <w:color w:val="auto"/>
          <w:sz w:val="28"/>
          <w:szCs w:val="28"/>
        </w:rPr>
        <w:t>月</w:t>
      </w:r>
      <w:r>
        <w:rPr>
          <w:rFonts w:hint="eastAsia" w:asciiTheme="minorEastAsia" w:hAnsiTheme="minorEastAsia" w:eastAsiaTheme="minorEastAsia"/>
          <w:color w:val="auto"/>
          <w:sz w:val="28"/>
          <w:szCs w:val="28"/>
          <w:lang w:val="en-US" w:eastAsia="zh-CN"/>
        </w:rPr>
        <w:t>12</w:t>
      </w:r>
      <w:r>
        <w:rPr>
          <w:rFonts w:hint="eastAsia" w:asciiTheme="minorEastAsia" w:hAnsiTheme="minorEastAsia" w:eastAsiaTheme="minorEastAsia"/>
          <w:color w:val="auto"/>
          <w:sz w:val="28"/>
          <w:szCs w:val="28"/>
        </w:rPr>
        <w:t>日公</w:t>
      </w:r>
      <w:r>
        <w:rPr>
          <w:rFonts w:hint="eastAsia" w:asciiTheme="minorEastAsia" w:hAnsiTheme="minorEastAsia" w:eastAsiaTheme="minorEastAsia"/>
          <w:sz w:val="28"/>
          <w:szCs w:val="28"/>
        </w:rPr>
        <w:t>司组织了验收工作会议，验收会议成员由建设单位、环评单位、验收监测单位和特邀技术专家组成，验收会议对本项目建设工程提出了整改建议，经整改完善后出具了验收意见，最终验收结论简要如下：按照《建设项目竣工环境保护验收暂行办法》中所规定的验收要求，验收组认为该项目基本符合验收条件，原则上同意通过验收。</w:t>
      </w:r>
    </w:p>
    <w:p>
      <w:pPr>
        <w:spacing w:after="0" w:line="360" w:lineRule="auto"/>
        <w:ind w:firstLine="562" w:firstLineChars="200"/>
        <w:rPr>
          <w:rFonts w:asciiTheme="minorEastAsia" w:hAnsiTheme="minorEastAsia" w:eastAsiaTheme="minorEastAsia"/>
          <w:sz w:val="28"/>
          <w:szCs w:val="28"/>
        </w:rPr>
      </w:pPr>
      <w:r>
        <w:rPr>
          <w:rFonts w:hint="eastAsia" w:asciiTheme="minorEastAsia" w:hAnsiTheme="minorEastAsia" w:eastAsiaTheme="minorEastAsia"/>
          <w:b/>
          <w:sz w:val="28"/>
          <w:szCs w:val="28"/>
        </w:rPr>
        <w:t>1.4公众反馈意见及处理情况</w:t>
      </w:r>
    </w:p>
    <w:p>
      <w:pPr>
        <w:spacing w:after="0"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项目在设计、施工和验收期间未收到过公众反馈意见或投诉。</w:t>
      </w:r>
    </w:p>
    <w:p>
      <w:pPr>
        <w:spacing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2 其他环境保护措施的实施情况</w:t>
      </w:r>
    </w:p>
    <w:p>
      <w:pPr>
        <w:spacing w:after="0"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环境影响报告表及其审批部门审批决定中提出的除环境保护设施外的其他环境保护措施主要包括制度措施和配套措施等，现将需要说明的措施内容和要求梳理如下：</w:t>
      </w:r>
    </w:p>
    <w:p>
      <w:pPr>
        <w:spacing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2.1 制度措施落实情况</w:t>
      </w:r>
    </w:p>
    <w:p>
      <w:pPr>
        <w:spacing w:after="0" w:line="360" w:lineRule="auto"/>
        <w:ind w:firstLine="420" w:firstLineChars="150"/>
        <w:rPr>
          <w:rFonts w:asciiTheme="minorEastAsia" w:hAnsiTheme="minorEastAsia" w:eastAsiaTheme="minorEastAsia"/>
          <w:sz w:val="28"/>
          <w:szCs w:val="28"/>
        </w:rPr>
      </w:pPr>
      <w:r>
        <w:rPr>
          <w:rFonts w:hint="eastAsia" w:asciiTheme="minorEastAsia" w:hAnsiTheme="minorEastAsia" w:eastAsiaTheme="minorEastAsia"/>
          <w:sz w:val="28"/>
          <w:szCs w:val="28"/>
        </w:rPr>
        <w:t>（1）环保组织机构及规章制度</w:t>
      </w:r>
    </w:p>
    <w:p>
      <w:pPr>
        <w:spacing w:after="0"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公司的环保工作由总经理全面负责，并设定专人负责各生产环节环境保护工作，落实各环节的环境保护管理，保证环保设施的正常运行。</w:t>
      </w:r>
    </w:p>
    <w:p>
      <w:pPr>
        <w:spacing w:after="0" w:line="360" w:lineRule="auto"/>
        <w:ind w:firstLine="420" w:firstLineChars="150"/>
        <w:rPr>
          <w:rFonts w:asciiTheme="minorEastAsia" w:hAnsiTheme="minorEastAsia" w:eastAsiaTheme="minorEastAsia"/>
          <w:sz w:val="28"/>
          <w:szCs w:val="28"/>
        </w:rPr>
      </w:pPr>
      <w:r>
        <w:rPr>
          <w:rFonts w:hint="eastAsia" w:asciiTheme="minorEastAsia" w:hAnsiTheme="minorEastAsia" w:eastAsiaTheme="minorEastAsia"/>
          <w:sz w:val="28"/>
          <w:szCs w:val="28"/>
        </w:rPr>
        <w:t>（2）环境监测计划</w:t>
      </w:r>
    </w:p>
    <w:p>
      <w:pPr>
        <w:spacing w:after="0" w:line="360" w:lineRule="auto"/>
        <w:ind w:firstLine="555"/>
        <w:rPr>
          <w:rFonts w:asciiTheme="minorEastAsia" w:hAnsiTheme="minorEastAsia" w:eastAsiaTheme="minorEastAsia"/>
          <w:sz w:val="28"/>
          <w:szCs w:val="28"/>
        </w:rPr>
      </w:pPr>
      <w:r>
        <w:rPr>
          <w:rFonts w:hint="eastAsia" w:asciiTheme="minorEastAsia" w:hAnsiTheme="minorEastAsia" w:eastAsiaTheme="minorEastAsia"/>
          <w:sz w:val="28"/>
          <w:szCs w:val="28"/>
        </w:rPr>
        <w:t>环境影响报告表要求制定环境监测计划。</w:t>
      </w:r>
    </w:p>
    <w:p>
      <w:pPr>
        <w:spacing w:after="0" w:line="360" w:lineRule="auto"/>
        <w:ind w:firstLine="555"/>
        <w:rPr>
          <w:rFonts w:asciiTheme="minorEastAsia" w:hAnsiTheme="minorEastAsia" w:eastAsiaTheme="minorEastAsia"/>
          <w:b/>
          <w:sz w:val="28"/>
          <w:szCs w:val="28"/>
        </w:rPr>
      </w:pPr>
      <w:r>
        <w:rPr>
          <w:rFonts w:hint="eastAsia" w:asciiTheme="minorEastAsia" w:hAnsiTheme="minorEastAsia" w:eastAsiaTheme="minorEastAsia"/>
          <w:b/>
          <w:sz w:val="28"/>
          <w:szCs w:val="28"/>
        </w:rPr>
        <w:t>2.2 配套措施落实情况</w:t>
      </w:r>
    </w:p>
    <w:p>
      <w:pPr>
        <w:spacing w:after="0" w:line="360" w:lineRule="auto"/>
        <w:ind w:firstLine="555"/>
        <w:rPr>
          <w:rFonts w:asciiTheme="minorEastAsia" w:hAnsiTheme="minorEastAsia" w:eastAsiaTheme="minorEastAsia"/>
          <w:sz w:val="28"/>
          <w:szCs w:val="28"/>
        </w:rPr>
      </w:pPr>
      <w:r>
        <w:rPr>
          <w:rFonts w:hint="eastAsia" w:asciiTheme="minorEastAsia" w:hAnsiTheme="minorEastAsia" w:eastAsiaTheme="minorEastAsia"/>
          <w:sz w:val="28"/>
          <w:szCs w:val="28"/>
        </w:rPr>
        <w:t>（1）区域削减及淘汰落后产能</w:t>
      </w:r>
    </w:p>
    <w:p>
      <w:pPr>
        <w:spacing w:after="0" w:line="360" w:lineRule="auto"/>
        <w:ind w:firstLine="555"/>
        <w:rPr>
          <w:rFonts w:asciiTheme="minorEastAsia" w:hAnsiTheme="minorEastAsia" w:eastAsiaTheme="minorEastAsia"/>
          <w:sz w:val="28"/>
          <w:szCs w:val="28"/>
        </w:rPr>
      </w:pPr>
      <w:r>
        <w:rPr>
          <w:rFonts w:hint="eastAsia" w:asciiTheme="minorEastAsia" w:hAnsiTheme="minorEastAsia" w:eastAsiaTheme="minorEastAsia"/>
          <w:sz w:val="28"/>
          <w:szCs w:val="28"/>
        </w:rPr>
        <w:t>本项目建设工程不涉及区域内削减污染物总量措施和淘汰落后产能。</w:t>
      </w:r>
    </w:p>
    <w:p>
      <w:pPr>
        <w:spacing w:after="0" w:line="360" w:lineRule="auto"/>
        <w:ind w:firstLine="555"/>
        <w:rPr>
          <w:rFonts w:asciiTheme="minorEastAsia" w:hAnsiTheme="minorEastAsia" w:eastAsiaTheme="minorEastAsia"/>
          <w:sz w:val="28"/>
          <w:szCs w:val="28"/>
        </w:rPr>
      </w:pPr>
      <w:r>
        <w:rPr>
          <w:rFonts w:hint="eastAsia" w:asciiTheme="minorEastAsia" w:hAnsiTheme="minorEastAsia" w:eastAsiaTheme="minorEastAsia"/>
          <w:sz w:val="28"/>
          <w:szCs w:val="28"/>
        </w:rPr>
        <w:t>（2）防护距离控制及居民搬迁</w:t>
      </w:r>
    </w:p>
    <w:p>
      <w:pPr>
        <w:spacing w:after="0" w:line="360" w:lineRule="auto"/>
        <w:ind w:firstLine="555"/>
        <w:rPr>
          <w:rFonts w:asciiTheme="minorEastAsia" w:hAnsiTheme="minorEastAsia" w:eastAsiaTheme="minorEastAsia"/>
          <w:sz w:val="28"/>
          <w:szCs w:val="28"/>
        </w:rPr>
      </w:pPr>
      <w:r>
        <w:rPr>
          <w:rFonts w:hint="eastAsia" w:asciiTheme="minorEastAsia" w:hAnsiTheme="minorEastAsia" w:eastAsiaTheme="minorEastAsia"/>
          <w:sz w:val="28"/>
          <w:szCs w:val="28"/>
        </w:rPr>
        <w:t>本项目建设工程不涉及防护距离控制及居民搬迁。</w:t>
      </w:r>
    </w:p>
    <w:p>
      <w:pPr>
        <w:spacing w:after="0" w:line="360" w:lineRule="auto"/>
        <w:ind w:firstLine="555"/>
        <w:rPr>
          <w:rFonts w:asciiTheme="minorEastAsia" w:hAnsiTheme="minorEastAsia" w:eastAsiaTheme="minorEastAsia"/>
          <w:b/>
          <w:sz w:val="28"/>
          <w:szCs w:val="28"/>
        </w:rPr>
      </w:pPr>
      <w:r>
        <w:rPr>
          <w:rFonts w:hint="eastAsia" w:asciiTheme="minorEastAsia" w:hAnsiTheme="minorEastAsia" w:eastAsiaTheme="minorEastAsia"/>
          <w:b/>
          <w:sz w:val="28"/>
          <w:szCs w:val="28"/>
        </w:rPr>
        <w:t>3 整改工作情况</w:t>
      </w:r>
    </w:p>
    <w:p>
      <w:pPr>
        <w:spacing w:after="0" w:line="360" w:lineRule="auto"/>
        <w:ind w:firstLine="555"/>
        <w:rPr>
          <w:rFonts w:asciiTheme="minorEastAsia" w:hAnsiTheme="minorEastAsia" w:eastAsiaTheme="minorEastAsia"/>
          <w:sz w:val="28"/>
          <w:szCs w:val="28"/>
        </w:rPr>
      </w:pPr>
      <w:r>
        <w:rPr>
          <w:rFonts w:hint="eastAsia" w:asciiTheme="minorEastAsia" w:hAnsiTheme="minorEastAsia" w:eastAsiaTheme="minorEastAsia"/>
          <w:sz w:val="28"/>
          <w:szCs w:val="28"/>
        </w:rPr>
        <w:t>本项目在竣工验收期间所完成的整改内容有：</w:t>
      </w:r>
    </w:p>
    <w:p>
      <w:pPr>
        <w:spacing w:after="0" w:line="360" w:lineRule="auto"/>
        <w:ind w:firstLine="555"/>
        <w:rPr>
          <w:rFonts w:hint="eastAsia" w:asciiTheme="minorEastAsia" w:hAnsiTheme="minorEastAsia" w:eastAsiaTheme="minorEastAsia"/>
          <w:sz w:val="28"/>
          <w:szCs w:val="28"/>
        </w:rPr>
      </w:pPr>
      <w:r>
        <w:rPr>
          <w:rFonts w:hint="eastAsia" w:asciiTheme="minorEastAsia" w:hAnsiTheme="minorEastAsia" w:eastAsiaTheme="minorEastAsia"/>
          <w:sz w:val="28"/>
          <w:szCs w:val="28"/>
        </w:rPr>
        <w:t>1、加强各类污染物治理设施的管理，严格按环评和批复等文件要求执行。</w:t>
      </w:r>
    </w:p>
    <w:p>
      <w:pPr>
        <w:spacing w:after="0" w:line="360" w:lineRule="auto"/>
        <w:ind w:firstLine="555"/>
        <w:rPr>
          <w:rFonts w:hint="eastAsia" w:asciiTheme="minorEastAsia" w:hAnsiTheme="minorEastAsia" w:eastAsiaTheme="minorEastAsia"/>
          <w:sz w:val="28"/>
          <w:szCs w:val="28"/>
        </w:rPr>
      </w:pPr>
      <w:r>
        <w:rPr>
          <w:rFonts w:hint="eastAsia" w:asciiTheme="minorEastAsia" w:hAnsiTheme="minorEastAsia" w:eastAsiaTheme="minorEastAsia"/>
          <w:sz w:val="28"/>
          <w:szCs w:val="28"/>
        </w:rPr>
        <w:t>2、加强环保管理人员培训，健全环保规章制度，完善环保台账记录，做好监视性监测。</w:t>
      </w:r>
    </w:p>
    <w:p>
      <w:pPr>
        <w:spacing w:after="0" w:line="360" w:lineRule="auto"/>
        <w:ind w:firstLine="560" w:firstLineChars="200"/>
        <w:rPr>
          <w:rFonts w:hint="eastAsia" w:asciiTheme="minorEastAsia" w:hAnsiTheme="minorEastAsia" w:eastAsiaTheme="minorEastAsia"/>
          <w:sz w:val="28"/>
          <w:szCs w:val="28"/>
          <w:lang w:eastAsia="zh-CN"/>
        </w:rPr>
      </w:pPr>
    </w:p>
    <w:sectPr>
      <w:footerReference r:id="rId3" w:type="default"/>
      <w:pgSz w:w="11906" w:h="16838"/>
      <w:pgMar w:top="1440" w:right="1800" w:bottom="1440" w:left="1800" w:header="708" w:footer="708"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 PAGE   \* MERGEFORMAT </w:instrText>
    </w:r>
    <w:r>
      <w:fldChar w:fldCharType="separate"/>
    </w:r>
    <w:r>
      <w:rPr>
        <w:lang w:val="zh-CN"/>
      </w:rPr>
      <w:t>3</w:t>
    </w:r>
    <w:r>
      <w:rPr>
        <w:lang w:val="zh-CN"/>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characterSpacingControl w:val="doNotCompress"/>
  <w:compat>
    <w:useFELayout/>
    <w:compatSetting w:name="compatibilityMode" w:uri="http://schemas.microsoft.com/office/word" w:val="12"/>
  </w:compat>
  <w:rsids>
    <w:rsidRoot w:val="00D31D50"/>
    <w:rsid w:val="0004343C"/>
    <w:rsid w:val="00075735"/>
    <w:rsid w:val="00121A5D"/>
    <w:rsid w:val="00130B9C"/>
    <w:rsid w:val="00133067"/>
    <w:rsid w:val="00151AD5"/>
    <w:rsid w:val="0019713A"/>
    <w:rsid w:val="001E2BB5"/>
    <w:rsid w:val="002159C3"/>
    <w:rsid w:val="00233BD6"/>
    <w:rsid w:val="00237BCF"/>
    <w:rsid w:val="00245E6A"/>
    <w:rsid w:val="002546ED"/>
    <w:rsid w:val="002601AF"/>
    <w:rsid w:val="002621A5"/>
    <w:rsid w:val="00290594"/>
    <w:rsid w:val="00294827"/>
    <w:rsid w:val="002D20E6"/>
    <w:rsid w:val="002E6DCB"/>
    <w:rsid w:val="0030263C"/>
    <w:rsid w:val="00323B43"/>
    <w:rsid w:val="00352BC1"/>
    <w:rsid w:val="00356A23"/>
    <w:rsid w:val="00382B1E"/>
    <w:rsid w:val="003C7541"/>
    <w:rsid w:val="003D37D8"/>
    <w:rsid w:val="00426133"/>
    <w:rsid w:val="004358AB"/>
    <w:rsid w:val="004772AA"/>
    <w:rsid w:val="004817DB"/>
    <w:rsid w:val="0059767E"/>
    <w:rsid w:val="005A0F6F"/>
    <w:rsid w:val="0066097D"/>
    <w:rsid w:val="006E3883"/>
    <w:rsid w:val="006F326D"/>
    <w:rsid w:val="007A39E9"/>
    <w:rsid w:val="008311A9"/>
    <w:rsid w:val="00833947"/>
    <w:rsid w:val="008950AB"/>
    <w:rsid w:val="008B7726"/>
    <w:rsid w:val="008E01A7"/>
    <w:rsid w:val="00933C91"/>
    <w:rsid w:val="00993493"/>
    <w:rsid w:val="00993B29"/>
    <w:rsid w:val="009A647E"/>
    <w:rsid w:val="009B75B4"/>
    <w:rsid w:val="00A26C54"/>
    <w:rsid w:val="00AC3358"/>
    <w:rsid w:val="00AC479F"/>
    <w:rsid w:val="00AF44FF"/>
    <w:rsid w:val="00B01C7C"/>
    <w:rsid w:val="00BF2D2A"/>
    <w:rsid w:val="00BF536F"/>
    <w:rsid w:val="00C07844"/>
    <w:rsid w:val="00C300D2"/>
    <w:rsid w:val="00C706C1"/>
    <w:rsid w:val="00CE55CD"/>
    <w:rsid w:val="00CF7224"/>
    <w:rsid w:val="00D31D50"/>
    <w:rsid w:val="00D947FA"/>
    <w:rsid w:val="00E30ACB"/>
    <w:rsid w:val="00E4261E"/>
    <w:rsid w:val="00E72079"/>
    <w:rsid w:val="00E95786"/>
    <w:rsid w:val="00EA5710"/>
    <w:rsid w:val="00EC65E0"/>
    <w:rsid w:val="00F12C8F"/>
    <w:rsid w:val="00F1356E"/>
    <w:rsid w:val="00F21B96"/>
    <w:rsid w:val="00F27D0E"/>
    <w:rsid w:val="00F63642"/>
    <w:rsid w:val="00F850ED"/>
    <w:rsid w:val="00FA775A"/>
    <w:rsid w:val="0E556D3D"/>
    <w:rsid w:val="1719378B"/>
    <w:rsid w:val="21025840"/>
    <w:rsid w:val="309530D5"/>
    <w:rsid w:val="3CCC3127"/>
    <w:rsid w:val="4F017B4F"/>
    <w:rsid w:val="5D7B38A9"/>
    <w:rsid w:val="67AE264E"/>
    <w:rsid w:val="6DD01E5C"/>
    <w:rsid w:val="7E107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sz w:val="28"/>
      <w:szCs w:val="20"/>
    </w:rPr>
  </w:style>
  <w:style w:type="paragraph" w:styleId="3">
    <w:name w:val="Balloon Text"/>
    <w:basedOn w:val="1"/>
    <w:link w:val="12"/>
    <w:semiHidden/>
    <w:unhideWhenUsed/>
    <w:qFormat/>
    <w:uiPriority w:val="99"/>
    <w:pPr>
      <w:spacing w:after="0"/>
    </w:pPr>
    <w:rPr>
      <w:sz w:val="18"/>
      <w:szCs w:val="18"/>
    </w:rPr>
  </w:style>
  <w:style w:type="paragraph" w:styleId="4">
    <w:name w:val="footer"/>
    <w:basedOn w:val="1"/>
    <w:link w:val="9"/>
    <w:unhideWhenUsed/>
    <w:qFormat/>
    <w:uiPriority w:val="99"/>
    <w:pPr>
      <w:tabs>
        <w:tab w:val="center" w:pos="4153"/>
        <w:tab w:val="right" w:pos="8306"/>
      </w:tabs>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jc w:val="center"/>
    </w:pPr>
    <w:rPr>
      <w:sz w:val="18"/>
      <w:szCs w:val="18"/>
    </w:rPr>
  </w:style>
  <w:style w:type="character" w:customStyle="1" w:styleId="8">
    <w:name w:val="页眉 Char"/>
    <w:basedOn w:val="7"/>
    <w:link w:val="5"/>
    <w:qFormat/>
    <w:uiPriority w:val="99"/>
    <w:rPr>
      <w:rFonts w:ascii="Tahoma" w:hAnsi="Tahoma"/>
      <w:sz w:val="18"/>
      <w:szCs w:val="18"/>
    </w:rPr>
  </w:style>
  <w:style w:type="character" w:customStyle="1" w:styleId="9">
    <w:name w:val="页脚 Char"/>
    <w:basedOn w:val="7"/>
    <w:link w:val="4"/>
    <w:qFormat/>
    <w:uiPriority w:val="99"/>
    <w:rPr>
      <w:rFonts w:ascii="Tahoma" w:hAnsi="Tahoma"/>
      <w:sz w:val="18"/>
      <w:szCs w:val="18"/>
    </w:rPr>
  </w:style>
  <w:style w:type="paragraph" w:styleId="10">
    <w:name w:val="No Spacing"/>
    <w:link w:val="11"/>
    <w:qFormat/>
    <w:uiPriority w:val="1"/>
    <w:pPr>
      <w:spacing w:after="0" w:line="240" w:lineRule="auto"/>
    </w:pPr>
    <w:rPr>
      <w:rFonts w:asciiTheme="minorHAnsi" w:hAnsiTheme="minorHAnsi" w:eastAsiaTheme="minorEastAsia" w:cstheme="minorBidi"/>
      <w:sz w:val="22"/>
      <w:szCs w:val="22"/>
      <w:lang w:val="en-US" w:eastAsia="zh-CN" w:bidi="ar-SA"/>
    </w:rPr>
  </w:style>
  <w:style w:type="character" w:customStyle="1" w:styleId="11">
    <w:name w:val="无间隔 Char"/>
    <w:basedOn w:val="7"/>
    <w:link w:val="10"/>
    <w:qFormat/>
    <w:uiPriority w:val="1"/>
    <w:rPr>
      <w:rFonts w:eastAsiaTheme="minorEastAsia"/>
    </w:rPr>
  </w:style>
  <w:style w:type="character" w:customStyle="1" w:styleId="12">
    <w:name w:val="批注框文本 Char"/>
    <w:basedOn w:val="7"/>
    <w:link w:val="3"/>
    <w:semiHidden/>
    <w:qFormat/>
    <w:uiPriority w:val="99"/>
    <w:rPr>
      <w:rFonts w:ascii="Tahoma" w:hAnsi="Tahoma"/>
      <w:sz w:val="18"/>
      <w:szCs w:val="18"/>
    </w:rPr>
  </w:style>
  <w:style w:type="paragraph" w:customStyle="1" w:styleId="13">
    <w:name w:val="Char"/>
    <w:basedOn w:val="1"/>
    <w:qFormat/>
    <w:uiPriority w:val="0"/>
    <w:pPr>
      <w:tabs>
        <w:tab w:val="left" w:pos="4665"/>
        <w:tab w:val="left" w:pos="8970"/>
      </w:tabs>
      <w:ind w:firstLine="400"/>
    </w:pPr>
    <w:rPr>
      <w:rFonts w:cs="Tahoma"/>
      <w:sz w:val="24"/>
    </w:rPr>
  </w:style>
  <w:style w:type="paragraph"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172</Words>
  <Characters>983</Characters>
  <Lines>8</Lines>
  <Paragraphs>2</Paragraphs>
  <TotalTime>12</TotalTime>
  <ScaleCrop>false</ScaleCrop>
  <LinksUpToDate>false</LinksUpToDate>
  <CharactersWithSpaces>1153</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feng</cp:lastModifiedBy>
  <cp:lastPrinted>2018-09-03T02:33:00Z</cp:lastPrinted>
  <dcterms:modified xsi:type="dcterms:W3CDTF">2021-08-16T08:31:29Z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y fmtid="{D5CDD505-2E9C-101B-9397-08002B2CF9AE}" pid="3" name="ICV">
    <vt:lpwstr>D576007D7D894BDD8E3FA21879E4444C</vt:lpwstr>
  </property>
</Properties>
</file>