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outlineLvl w:val="0"/>
        <w:rPr>
          <w:rFonts w:hint="eastAsia" w:eastAsia="宋体"/>
          <w:b/>
          <w:spacing w:val="50"/>
          <w:sz w:val="72"/>
          <w:lang w:val="en-US" w:eastAsia="zh-CN"/>
        </w:rPr>
      </w:pPr>
      <w:r>
        <w:rPr>
          <w:rFonts w:hint="eastAsia"/>
          <w:b/>
          <w:spacing w:val="50"/>
          <w:sz w:val="72"/>
          <w:lang w:val="en-US" w:eastAsia="zh-CN"/>
        </w:rPr>
        <w:t xml:space="preserve"> </w:t>
      </w:r>
    </w:p>
    <w:p>
      <w:pPr>
        <w:spacing w:line="480" w:lineRule="auto"/>
        <w:jc w:val="center"/>
        <w:outlineLvl w:val="0"/>
        <w:rPr>
          <w:b/>
          <w:spacing w:val="50"/>
          <w:sz w:val="72"/>
        </w:rPr>
      </w:pPr>
    </w:p>
    <w:p>
      <w:pPr>
        <w:spacing w:line="900" w:lineRule="exact"/>
        <w:jc w:val="center"/>
        <w:outlineLvl w:val="0"/>
        <w:rPr>
          <w:rFonts w:ascii="方正小标宋简体" w:eastAsia="方正小标宋简体"/>
          <w:sz w:val="64"/>
          <w:szCs w:val="44"/>
        </w:rPr>
      </w:pPr>
      <w:r>
        <w:rPr>
          <w:rFonts w:hint="eastAsia" w:ascii="方正小标宋简体" w:eastAsia="方正小标宋简体"/>
          <w:spacing w:val="50"/>
          <w:sz w:val="64"/>
          <w:szCs w:val="44"/>
        </w:rPr>
        <w:t>山东省重点监控企业自行监测方案</w:t>
      </w:r>
    </w:p>
    <w:p>
      <w:pPr>
        <w:jc w:val="center"/>
        <w:rPr>
          <w:sz w:val="30"/>
          <w:szCs w:val="30"/>
        </w:rPr>
      </w:pPr>
    </w:p>
    <w:p>
      <w:pPr>
        <w:spacing w:line="800" w:lineRule="exact"/>
        <w:jc w:val="center"/>
        <w:rPr>
          <w:sz w:val="30"/>
          <w:szCs w:val="30"/>
        </w:rPr>
      </w:pPr>
    </w:p>
    <w:p>
      <w:pPr>
        <w:spacing w:line="1200" w:lineRule="exact"/>
        <w:jc w:val="center"/>
        <w:rPr>
          <w:sz w:val="30"/>
          <w:szCs w:val="30"/>
        </w:rPr>
      </w:pPr>
    </w:p>
    <w:p>
      <w:pPr>
        <w:spacing w:line="1200" w:lineRule="exact"/>
        <w:ind w:left="2619" w:leftChars="713" w:hanging="1136" w:hangingChars="381"/>
        <w:rPr>
          <w:bCs/>
          <w:spacing w:val="-20"/>
          <w:sz w:val="30"/>
          <w:szCs w:val="30"/>
          <w:u w:val="single"/>
        </w:rPr>
      </w:pPr>
      <w:r>
        <w:rPr>
          <w:rFonts w:hint="eastAsia"/>
          <w:b/>
          <w:sz w:val="30"/>
        </w:rPr>
        <w:t>企业</w:t>
      </w:r>
      <w:r>
        <w:rPr>
          <w:b/>
          <w:sz w:val="30"/>
        </w:rPr>
        <w:t>名称</w:t>
      </w:r>
      <w:r>
        <w:rPr>
          <w:b/>
          <w:sz w:val="30"/>
          <w:u w:val="single"/>
        </w:rPr>
        <w:t>：</w:t>
      </w:r>
      <w:r>
        <w:rPr>
          <w:rFonts w:hint="eastAsia"/>
          <w:bCs/>
          <w:sz w:val="30"/>
          <w:szCs w:val="30"/>
          <w:u w:val="single"/>
        </w:rPr>
        <w:t xml:space="preserve">新泰正大焦化有限公司  </w:t>
      </w:r>
    </w:p>
    <w:p>
      <w:pPr>
        <w:spacing w:line="1200" w:lineRule="exact"/>
        <w:ind w:firstLine="1461" w:firstLineChars="490"/>
        <w:rPr>
          <w:b/>
          <w:sz w:val="30"/>
        </w:rPr>
      </w:pPr>
      <w:r>
        <w:rPr>
          <w:rFonts w:hint="eastAsia"/>
          <w:b/>
          <w:sz w:val="30"/>
        </w:rPr>
        <w:t>委托监测单位</w:t>
      </w:r>
      <w:r>
        <w:rPr>
          <w:sz w:val="30"/>
          <w:u w:val="single"/>
        </w:rPr>
        <w:t>：</w:t>
      </w:r>
      <w:r>
        <w:rPr>
          <w:rFonts w:hint="eastAsia"/>
          <w:sz w:val="30"/>
          <w:u w:val="single"/>
          <w:lang w:eastAsia="zh-CN"/>
        </w:rPr>
        <w:t>山东泰山安评环境监测有限公司</w:t>
      </w:r>
      <w:r>
        <w:rPr>
          <w:rFonts w:hint="eastAsia"/>
          <w:b/>
          <w:sz w:val="30"/>
        </w:rPr>
        <w:t xml:space="preserve">                          </w:t>
      </w:r>
    </w:p>
    <w:p>
      <w:pPr>
        <w:spacing w:line="1200" w:lineRule="exact"/>
        <w:ind w:left="2619" w:leftChars="713" w:right="210" w:hanging="1136" w:hangingChars="381"/>
        <w:rPr>
          <w:rFonts w:hint="default" w:eastAsia="宋体"/>
          <w:sz w:val="24"/>
          <w:u w:val="single"/>
          <w:lang w:val="en-US" w:eastAsia="zh-CN"/>
        </w:rPr>
      </w:pPr>
      <w:r>
        <w:rPr>
          <w:rFonts w:hint="eastAsia"/>
          <w:b/>
          <w:sz w:val="30"/>
        </w:rPr>
        <w:t>备案</w:t>
      </w:r>
      <w:r>
        <w:rPr>
          <w:b/>
          <w:sz w:val="30"/>
        </w:rPr>
        <w:t>日期：</w:t>
      </w:r>
      <w:r>
        <w:rPr>
          <w:rFonts w:hint="eastAsia"/>
          <w:b/>
          <w:sz w:val="30"/>
          <w:u w:val="single"/>
          <w:lang w:val="en-US" w:eastAsia="zh-CN"/>
        </w:rPr>
        <w:t>2021年6月23日</w:t>
      </w:r>
    </w:p>
    <w:p>
      <w:pPr>
        <w:spacing w:line="400" w:lineRule="atLeast"/>
        <w:jc w:val="center"/>
        <w:rPr>
          <w:b/>
          <w:bCs/>
          <w:sz w:val="28"/>
        </w:rPr>
      </w:pPr>
    </w:p>
    <w:p>
      <w:pPr>
        <w:spacing w:line="400" w:lineRule="atLeast"/>
        <w:jc w:val="center"/>
        <w:rPr>
          <w:b/>
          <w:bCs/>
          <w:sz w:val="28"/>
        </w:rPr>
      </w:pPr>
    </w:p>
    <w:p>
      <w:pPr>
        <w:spacing w:line="400" w:lineRule="atLeast"/>
        <w:jc w:val="center"/>
        <w:rPr>
          <w:b/>
          <w:bCs/>
          <w:sz w:val="28"/>
        </w:rPr>
        <w:sectPr>
          <w:pgSz w:w="11906" w:h="16838"/>
          <w:pgMar w:top="1440" w:right="1588" w:bottom="1440" w:left="1588" w:header="851" w:footer="992" w:gutter="0"/>
          <w:cols w:space="720" w:num="1"/>
          <w:docGrid w:type="linesAndChars" w:linePitch="312" w:charSpace="-439"/>
        </w:sectPr>
      </w:pPr>
    </w:p>
    <w:p>
      <w:pPr>
        <w:jc w:val="center"/>
        <w:rPr>
          <w:rFonts w:hint="eastAsia" w:ascii="黑体" w:hAnsi="黑体" w:eastAsia="黑体"/>
          <w:b/>
          <w:kern w:val="0"/>
          <w:sz w:val="36"/>
          <w:szCs w:val="36"/>
        </w:rPr>
      </w:pPr>
      <w:r>
        <w:rPr>
          <w:rFonts w:hint="eastAsia" w:ascii="黑体" w:hAnsi="黑体" w:eastAsia="黑体"/>
          <w:b/>
          <w:kern w:val="0"/>
          <w:sz w:val="36"/>
          <w:szCs w:val="36"/>
        </w:rPr>
        <w:t>新泰正大焦化有限公司</w:t>
      </w:r>
    </w:p>
    <w:p>
      <w:pPr>
        <w:jc w:val="center"/>
        <w:rPr>
          <w:rFonts w:hint="eastAsia" w:ascii="黑体" w:hAnsi="黑体" w:eastAsia="黑体"/>
          <w:b/>
          <w:kern w:val="0"/>
          <w:sz w:val="36"/>
          <w:szCs w:val="36"/>
        </w:rPr>
      </w:pPr>
      <w:r>
        <w:rPr>
          <w:rFonts w:hint="eastAsia" w:ascii="黑体" w:hAnsi="黑体" w:eastAsia="黑体"/>
          <w:b/>
          <w:kern w:val="0"/>
          <w:sz w:val="36"/>
          <w:szCs w:val="36"/>
        </w:rPr>
        <w:t>自行监测方案</w:t>
      </w:r>
    </w:p>
    <w:p>
      <w:pPr>
        <w:pStyle w:val="5"/>
        <w:adjustRightInd w:val="0"/>
        <w:snapToGrid w:val="0"/>
        <w:spacing w:line="600" w:lineRule="exact"/>
        <w:ind w:firstLine="640"/>
        <w:outlineLvl w:val="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根据《国家重点监控企业自行监测及信息公开办法（试行）》的规定及省、市工作要求，制定本单位自行监测方案。</w:t>
      </w:r>
    </w:p>
    <w:p>
      <w:pPr>
        <w:pStyle w:val="5"/>
        <w:adjustRightInd w:val="0"/>
        <w:snapToGrid w:val="0"/>
        <w:spacing w:line="600" w:lineRule="exact"/>
        <w:ind w:firstLine="640"/>
        <w:outlineLvl w:val="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一、基本情况</w:t>
      </w:r>
    </w:p>
    <w:p>
      <w:pPr>
        <w:adjustRightInd w:val="0"/>
        <w:snapToGrid w:val="0"/>
        <w:spacing w:line="600" w:lineRule="exact"/>
        <w:ind w:firstLine="640" w:firstLineChars="200"/>
        <w:outlineLvl w:val="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（一）企业生产情况</w:t>
      </w:r>
    </w:p>
    <w:p>
      <w:pPr>
        <w:spacing w:line="220" w:lineRule="atLeas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新泰正大焦化有限公司是浩宇集团的全资子公司，是以生产焦炭、煤焦油、粗苯、硫铵、煤气、甲醇等产品于一体的煤化工企业，座落于新泰化工产业园，占地800亩，总投资21亿元，拥有员工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sz w:val="32"/>
          <w:szCs w:val="32"/>
        </w:rPr>
        <w:t>00余人。年生产能力：二级冶金焦180万吨、煤气3.2亿m</w:t>
      </w:r>
      <w:r>
        <w:rPr>
          <w:rFonts w:hint="eastAsia" w:ascii="宋体" w:hAnsi="宋体" w:eastAsia="宋体" w:cs="宋体"/>
          <w:sz w:val="32"/>
          <w:szCs w:val="32"/>
        </w:rPr>
        <w:t>³</w:t>
      </w:r>
      <w:r>
        <w:rPr>
          <w:rFonts w:hint="eastAsia" w:ascii="仿宋" w:hAnsi="仿宋" w:eastAsia="仿宋" w:cs="仿宋"/>
          <w:sz w:val="32"/>
          <w:szCs w:val="32"/>
        </w:rPr>
        <w:t>、煤焦油</w:t>
      </w:r>
      <w:r>
        <w:rPr>
          <w:rFonts w:hint="eastAsia" w:ascii="仿宋" w:hAnsi="仿宋" w:eastAsia="仿宋"/>
          <w:sz w:val="32"/>
          <w:szCs w:val="32"/>
        </w:rPr>
        <w:t>10.2万吨、粗苯2.4万多吨、硫铵2万多吨、甲醇25万吨。</w:t>
      </w:r>
    </w:p>
    <w:p>
      <w:pPr>
        <w:spacing w:line="220" w:lineRule="atLeas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公司采用目前最为先进的2×62孔JNDX3-6.78-13型复热式捣固焦炉，年产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焦炭180万吨，采用干法熄焦（含发电系统），新型湿法熄焦作为备用，并配套建设备煤、贮焦、煤气净化和办公及生产辅助设施。主要以洗精煤为原料，经捣固成饼在炭化室内950-1050℃的高温下干馏，在干馏过程中产生的荒煤气依次经电捕焦油器、脱硫、脱氨、脱苯、甲醇合成，生产出煤焦油、硫酸铵、粗苯、甲醇等。</w:t>
      </w:r>
    </w:p>
    <w:p>
      <w:pPr>
        <w:spacing w:line="220" w:lineRule="atLeas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项目在环保、安全、节能、工艺、设备等方面均达到国际、国内先进水平，形成“煤—焦—热—电—化”绿色循环经济发展模式，对增加地方财政收入、发展区域经济具有重要的促进作用。</w:t>
      </w:r>
    </w:p>
    <w:p>
      <w:pPr>
        <w:numPr>
          <w:ilvl w:val="0"/>
          <w:numId w:val="1"/>
        </w:numPr>
        <w:adjustRightInd w:val="0"/>
        <w:snapToGrid w:val="0"/>
        <w:spacing w:line="600" w:lineRule="exact"/>
        <w:ind w:firstLine="640" w:firstLineChars="200"/>
        <w:outlineLvl w:val="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企业污染治理情况</w:t>
      </w:r>
    </w:p>
    <w:p>
      <w:pPr>
        <w:numPr>
          <w:ilvl w:val="0"/>
          <w:numId w:val="2"/>
        </w:numPr>
        <w:adjustRightInd w:val="0"/>
        <w:snapToGrid w:val="0"/>
        <w:spacing w:line="600" w:lineRule="exact"/>
        <w:outlineLvl w:val="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各有组织废气经收集并经相应的废气治理措施处理后,分别通过排气筒排放。其中:预粉碎机室、粉碎机室、煤焦制样室等粉尘经脉冲袋式除尘器处理分别由23m、15m高排气筒排放;装煤地面除尘站、出焦地面除尘站、干熄焦地面除尘站均设置脉冲袋式除尘器,处理后烟气分别由25m高排气筒排放;焦炉加热烟气经“钙基干法脱硫+低温SCR脱硝+余热回收一体化”处理由140m烟囱排放;备用湿熄焦废气经捕尘设备处理由50m塔顶出口排放;焦炭加水中间仓顶、焦炭加水中间仓底、贮焦楼等粉尘经脉冲袋式除尘器处理分别由23m、25m高排气筒排放;硫铵干燥废气经旋风除尘+水膜除尘处理由25m高排气筒排放;脱硫尾气经酸洗塔、碱洗塔、水洗塔洗涤处理由25m高排气筒排放;制酸单元“两转两吸”未转化吸收尾气经蒸氨废水洗涤+电除雾器处理由30m高排气筒排放;锅炉以净化后焦炉煤气为燃料,低氮燃烧器处理由40m高排气筒排放;酚氰废水处理站臭气经“喷+离子除臭(预过滤器+UV光解段+纳米催化段+活性炭吸附段)+碱喷”处理由20m高排气筒排放。上述各废气,锅炉烟气满足《山东省锅炉大气污染物排放标准》(DB37/2374-2018)表2重点控制区要求,烟粉尘、SO2、NOx满足《山东省区域性大气污染物综合排放标准》(DB37/2376-2013)表2重点控制区及修改单要求,苯并芘(B[a]P)等特征污染物满足《炼焦化学工业污染物排放标准》(GB16171-2012)表5标准要求,H2S、NH3满足《恶臭污染物排放标准》(GB14554-93)表2二级标准要求,H2SO满足《硫酸工业污染物排放标准》(GB26132-2010表5标准要求,酚氰废水处理站废气满足《有机化工企业污水处理厂(站)挥发性有机物及恶臭污染物排放标准》(DB37/3161-2018)表1标准要求;烟粉尘、SO2、NOx、苯并芘(B[a]P)、H2SO4排放速率满足《大气污染物综合排放标准》(GB16297-1996)表2二级标准要求</w:t>
      </w:r>
    </w:p>
    <w:p>
      <w:pPr>
        <w:numPr>
          <w:ilvl w:val="0"/>
          <w:numId w:val="0"/>
        </w:numPr>
        <w:adjustRightInd w:val="0"/>
        <w:snapToGrid w:val="0"/>
        <w:spacing w:line="600" w:lineRule="exact"/>
        <w:outlineLvl w:val="0"/>
        <w:rPr>
          <w:rFonts w:hint="eastAsia" w:ascii="宋体" w:hAnsi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2、无组织废气防治措施,焦炉炉体</w:t>
      </w:r>
      <w:r>
        <w:rPr>
          <w:rFonts w:hint="eastAsia" w:ascii="宋体" w:hAnsi="宋体" w:cs="宋体"/>
          <w:sz w:val="32"/>
          <w:szCs w:val="32"/>
          <w:lang w:eastAsia="zh-CN"/>
        </w:rPr>
        <w:t>采用</w:t>
      </w:r>
      <w:r>
        <w:rPr>
          <w:rFonts w:hint="eastAsia" w:ascii="宋体" w:hAnsi="宋体" w:eastAsia="宋体" w:cs="宋体"/>
          <w:sz w:val="32"/>
          <w:szCs w:val="32"/>
        </w:rPr>
        <w:t>密闭措施,确保密闭有效</w:t>
      </w:r>
      <w:r>
        <w:rPr>
          <w:rFonts w:hint="eastAsia" w:ascii="宋体" w:hAnsi="宋体" w:cs="宋体"/>
          <w:sz w:val="32"/>
          <w:szCs w:val="32"/>
          <w:lang w:eastAsia="zh-CN"/>
        </w:rPr>
        <w:t>，加煤时采用高压氨水喷射、顺序加煤烟气收集至地面除尘站</w:t>
      </w:r>
      <w:r>
        <w:rPr>
          <w:rFonts w:hint="eastAsia" w:ascii="宋体" w:hAnsi="宋体" w:eastAsia="宋体" w:cs="宋体"/>
          <w:sz w:val="32"/>
          <w:szCs w:val="32"/>
        </w:rPr>
        <w:t>。焦炉炉顶各污染物满足《炼焦化学工业污染物排放标准》(GB16171-2012)表7标准限值要求;厂界各污染物满足《炼焦化学工业污染物排放标准》(GB16171-2012)表7标准限值要求、《硫酸工业污染物排放标准》(GB26132-2010)表8标准、《有机化工企业污水处理厂(站)挥发性有机物及恶臭污染物排放标准XDB37/3161-2018)表2标准</w:t>
      </w:r>
      <w:r>
        <w:rPr>
          <w:rFonts w:hint="eastAsia" w:ascii="宋体" w:hAnsi="宋体" w:cs="宋体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spacing w:beforeLines="50" w:afterLines="50" w:line="360" w:lineRule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bCs/>
          <w:sz w:val="32"/>
          <w:szCs w:val="32"/>
        </w:rPr>
        <w:t>污染物监测情况</w:t>
      </w:r>
    </w:p>
    <w:p>
      <w:pPr>
        <w:numPr>
          <w:ilvl w:val="0"/>
          <w:numId w:val="0"/>
        </w:numPr>
        <w:spacing w:beforeLines="50" w:afterLines="50" w:line="360" w:lineRule="auto"/>
        <w:ind w:firstLine="640" w:firstLineChars="200"/>
        <w:rPr>
          <w:rFonts w:hint="eastAsia" w:ascii="宋体" w:hAnsi="宋体" w:eastAsia="宋体" w:cs="宋体"/>
          <w:bCs/>
          <w:sz w:val="32"/>
          <w:szCs w:val="32"/>
        </w:rPr>
      </w:pPr>
      <w:r>
        <w:rPr>
          <w:rFonts w:hint="eastAsia" w:ascii="宋体" w:hAnsi="宋体" w:eastAsia="宋体" w:cs="宋体"/>
          <w:bCs/>
          <w:sz w:val="32"/>
          <w:szCs w:val="32"/>
        </w:rPr>
        <w:t>201</w:t>
      </w:r>
      <w:r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  <w:t>9</w:t>
      </w:r>
      <w:r>
        <w:rPr>
          <w:rFonts w:hint="eastAsia" w:ascii="宋体" w:hAnsi="宋体" w:eastAsia="宋体" w:cs="宋体"/>
          <w:bCs/>
          <w:sz w:val="32"/>
          <w:szCs w:val="32"/>
        </w:rPr>
        <w:t>年</w:t>
      </w:r>
      <w:r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bCs/>
          <w:sz w:val="32"/>
          <w:szCs w:val="32"/>
        </w:rPr>
        <w:t>月</w:t>
      </w:r>
      <w:r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  <w:t>30</w:t>
      </w:r>
      <w:r>
        <w:rPr>
          <w:rFonts w:hint="eastAsia" w:ascii="宋体" w:hAnsi="宋体" w:eastAsia="宋体" w:cs="宋体"/>
          <w:bCs/>
          <w:sz w:val="32"/>
          <w:szCs w:val="32"/>
        </w:rPr>
        <w:t>日公司与</w:t>
      </w:r>
      <w:r>
        <w:rPr>
          <w:rFonts w:hint="eastAsia" w:ascii="宋体" w:hAnsi="宋体" w:eastAsia="宋体" w:cs="宋体"/>
          <w:bCs/>
          <w:sz w:val="32"/>
          <w:szCs w:val="32"/>
          <w:lang w:eastAsia="zh-CN"/>
        </w:rPr>
        <w:t>山东泰山安评环境</w:t>
      </w:r>
      <w:r>
        <w:rPr>
          <w:rFonts w:hint="eastAsia" w:ascii="宋体" w:hAnsi="宋体" w:eastAsia="宋体" w:cs="宋体"/>
          <w:bCs/>
          <w:sz w:val="32"/>
          <w:szCs w:val="32"/>
        </w:rPr>
        <w:t>检测有限公司签订环境监测协议对公司进行</w:t>
      </w:r>
      <w:r>
        <w:rPr>
          <w:rFonts w:hint="eastAsia" w:ascii="宋体" w:hAnsi="宋体" w:eastAsia="宋体" w:cs="宋体"/>
          <w:bCs/>
          <w:sz w:val="32"/>
          <w:szCs w:val="32"/>
          <w:lang w:eastAsia="zh-CN"/>
        </w:rPr>
        <w:t>环境质量</w:t>
      </w:r>
      <w:r>
        <w:rPr>
          <w:rFonts w:hint="eastAsia" w:ascii="宋体" w:hAnsi="宋体" w:eastAsia="宋体" w:cs="宋体"/>
          <w:bCs/>
          <w:sz w:val="32"/>
          <w:szCs w:val="32"/>
        </w:rPr>
        <w:t>检测</w:t>
      </w:r>
    </w:p>
    <w:p>
      <w:pPr>
        <w:numPr>
          <w:ilvl w:val="0"/>
          <w:numId w:val="0"/>
        </w:numPr>
        <w:spacing w:beforeLines="50" w:afterLines="50" w:line="360" w:lineRule="auto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b/>
          <w:sz w:val="32"/>
          <w:szCs w:val="32"/>
        </w:rPr>
        <w:t>、监测内容</w:t>
      </w:r>
    </w:p>
    <w:p>
      <w:pPr>
        <w:widowControl/>
        <w:jc w:val="left"/>
        <w:rPr>
          <w:rFonts w:ascii="仿宋_GB2312" w:hAnsi="Adobe 仿宋 Std R" w:eastAsia="仿宋_GB2312"/>
          <w:sz w:val="24"/>
        </w:rPr>
        <w:sectPr>
          <w:pgSz w:w="11906" w:h="16838"/>
          <w:pgMar w:top="1440" w:right="1588" w:bottom="1440" w:left="1588" w:header="851" w:footer="992" w:gutter="0"/>
          <w:cols w:space="720" w:num="1"/>
          <w:docGrid w:type="lines" w:linePitch="312" w:charSpace="0"/>
        </w:sectPr>
      </w:pPr>
    </w:p>
    <w:p>
      <w:pPr>
        <w:spacing w:line="380" w:lineRule="exact"/>
        <w:ind w:firstLine="803" w:firstLineChars="250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（有组织废气）</w:t>
      </w:r>
    </w:p>
    <w:tbl>
      <w:tblPr>
        <w:tblStyle w:val="3"/>
        <w:tblW w:w="137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422"/>
        <w:gridCol w:w="1292"/>
        <w:gridCol w:w="1816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12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3" w:firstLineChars="3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监测项目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监测内容</w:t>
            </w:r>
          </w:p>
        </w:tc>
        <w:tc>
          <w:tcPr>
            <w:tcW w:w="1611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监测点位</w:t>
            </w:r>
          </w:p>
        </w:tc>
        <w:tc>
          <w:tcPr>
            <w:tcW w:w="1217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监测频次</w:t>
            </w:r>
          </w:p>
        </w:tc>
        <w:tc>
          <w:tcPr>
            <w:tcW w:w="2422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执行排放标准</w:t>
            </w:r>
          </w:p>
        </w:tc>
        <w:tc>
          <w:tcPr>
            <w:tcW w:w="1292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标准限值</w:t>
            </w:r>
          </w:p>
        </w:tc>
        <w:tc>
          <w:tcPr>
            <w:tcW w:w="1816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监测方法</w:t>
            </w:r>
          </w:p>
        </w:tc>
        <w:tc>
          <w:tcPr>
            <w:tcW w:w="1852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分析仪器</w:t>
            </w:r>
          </w:p>
        </w:tc>
        <w:tc>
          <w:tcPr>
            <w:tcW w:w="1274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82" w:type="dxa"/>
            <w:vMerge w:val="restart"/>
            <w:tcBorders>
              <w:top w:val="single" w:color="auto" w:sz="12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监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测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指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标</w:t>
            </w:r>
          </w:p>
          <w:p>
            <w:pPr>
              <w:spacing w:line="320" w:lineRule="exact"/>
              <w:jc w:val="center"/>
              <w:rPr>
                <w:bCs/>
                <w:sz w:val="24"/>
              </w:rPr>
            </w:pPr>
          </w:p>
        </w:tc>
        <w:tc>
          <w:tcPr>
            <w:tcW w:w="1459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颗粒物</w:t>
            </w:r>
          </w:p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（煤尘、焦尘）</w:t>
            </w:r>
          </w:p>
        </w:tc>
        <w:tc>
          <w:tcPr>
            <w:tcW w:w="161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预粉碎机房</w:t>
            </w:r>
          </w:p>
        </w:tc>
        <w:tc>
          <w:tcPr>
            <w:tcW w:w="1217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每</w:t>
            </w:r>
            <w:r>
              <w:rPr>
                <w:rFonts w:hint="eastAsia" w:ascii="仿宋" w:eastAsia="仿宋"/>
                <w:sz w:val="24"/>
                <w:lang w:eastAsia="zh-CN"/>
              </w:rPr>
              <w:t>年</w:t>
            </w:r>
            <w:r>
              <w:rPr>
                <w:rFonts w:hint="eastAsia" w:ascii="仿宋" w:eastAsia="仿宋"/>
                <w:sz w:val="24"/>
              </w:rPr>
              <w:t>监测一次</w:t>
            </w:r>
          </w:p>
        </w:tc>
        <w:tc>
          <w:tcPr>
            <w:tcW w:w="2422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山东省区域性大气污染物综合排放标准DB37/2376-2013表2重点控制区及修改单</w:t>
            </w:r>
          </w:p>
        </w:tc>
        <w:tc>
          <w:tcPr>
            <w:tcW w:w="1292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74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粉碎机房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242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9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16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61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煤焦制样室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242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9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16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61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湿熄焦炉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242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9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16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61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val="en-US"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焦炭中间加水仓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242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9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16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61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贮焦楼地面除尘站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242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9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16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61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储焦槽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242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9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16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颗粒物（粉尘、烟尘）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硫铵排气筒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山东省区域性大气污染物综合排放标准DB37/2376-2013表2重点控制区及修改单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备用锅炉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eastAsia="仿宋"/>
                <w:sz w:val="24"/>
                <w:lang w:val="en-US"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山东省锅炉大气污染物排放标准DB37/2374-2018表2重点重点控制区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eastAsia="仿宋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氮氧化物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装煤地面除尘站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山东省区域性大气污染物综合排放标准DB37/2376-2013表2重点控制区及修改单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100mg/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出焦地面除尘站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山东省区域性大气污染物综合排放标准DB37/2376-2013表2重点控制区及修改单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100mg/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备用锅炉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山东省锅炉大气污染物排放标准DB37/2374-2018表2重点重点控制区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100mg/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制酸尾气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山东省区域性大气污染物综合排放标准DB37/2376-2013表2重点控制区及修改单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100mg/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转化预热炉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山东省区域性大气污染物综合排放标准DB37/2376-2013表2重点控制区及修改单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100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bCs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苯并芘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装煤地面除尘站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0.0003mg/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出焦地面除尘站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0.0003mg/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一氧化碳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装煤地面除尘站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--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--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bCs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出焦地面除尘站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--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--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bCs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硫化氢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装煤地面除尘站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恶臭污染物排放标准</w:t>
            </w:r>
            <w:r>
              <w:rPr>
                <w:rFonts w:hint="eastAsia"/>
                <w:sz w:val="24"/>
                <w:lang w:val="en-US" w:eastAsia="zh-CN"/>
              </w:rPr>
              <w:t>GB14554-93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/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出焦地面除尘站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恶臭污染物排放标准</w:t>
            </w:r>
            <w:r>
              <w:rPr>
                <w:rFonts w:hint="eastAsia"/>
                <w:sz w:val="24"/>
                <w:lang w:val="en-US" w:eastAsia="zh-CN"/>
              </w:rPr>
              <w:t>GB14554-93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/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脱硫尾气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酚氰废水处理站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有机化工企业污水处理厂挥发性有机物及恶臭污染物排放标准GB37/3161-2018表1标准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氨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装煤地面除尘站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恶臭污染物排放标准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GB14554-93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/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出焦地面除尘站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恶臭污染物排放标准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GB14554-93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/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脱硫尾气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硫铵排气筒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酚氰废水处理站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有机化工企业污水处理厂挥发性有机物及恶臭污染物排放标准GB37/3161-2018表1标准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二氧化硫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制酸尾气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山东省区域性大气污染物综合排放标准DB37/2376-2013表2重点控制区及修改单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50mg/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备用锅炉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山东省锅炉大气污染物排放标准DB37/2374-2018表2重点重点控制区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50mg/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转化预热炉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eastAsia="仿宋"/>
                <w:sz w:val="24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山东省区域性大气污染物综合排放标准DB37/2376-2013表2重点控制区及修改单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仿宋" w:eastAsia="仿宋"/>
                <w:sz w:val="24"/>
                <w:lang w:val="en-US" w:eastAsia="zh-CN"/>
              </w:rPr>
              <w:t>50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bCs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硫酸雾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制酸尾气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硫酸工业污染物排放标准GB26132-2010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30mg/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苯系物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酚氰废水处理站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 w:eastAsia="zh-CN"/>
              </w:rPr>
              <w:t>有机化工企业污水处理厂挥发性有机物及恶臭污染物排放标准GB37/3161-2018表1标准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10mg/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酚类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有机化工企业污水处理厂挥发性有机物及恶臭污染物排放标准GB37/3161-2018表1标准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8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臭气浓度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有机化工企业污水处理厂挥发性有机物及恶臭污染物排放标准GB37/3161-2018表1标准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800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m3（无量纲）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VOCs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有机化工企业污水处理厂挥发性有机物及恶臭污染物排放标准GB37/3161-2018表1标准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100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甲醇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罐区尾气净化装置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每半年检测一次</w:t>
            </w:r>
          </w:p>
        </w:tc>
        <w:tc>
          <w:tcPr>
            <w:tcW w:w="242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2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kern w:val="2"/>
                <w:sz w:val="21"/>
                <w:szCs w:val="21"/>
                <w:shd w:val="clear" w:fill="FFFFFF"/>
                <w:lang w:val="en-US" w:eastAsia="zh-CN"/>
              </w:rPr>
              <w:t>挥发性有机物排放标准  第6部分：有机化工行业(DB37/2802.6-2018) 表2标准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50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81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bCs/>
              </w:rPr>
            </w:pPr>
            <w:r>
              <w:rPr>
                <w:rFonts w:hint="eastAsia" w:eastAsia="宋体"/>
                <w:bCs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及排放去向</w:t>
            </w:r>
          </w:p>
        </w:tc>
        <w:tc>
          <w:tcPr>
            <w:tcW w:w="11484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eastAsia="zh-CN"/>
              </w:rPr>
              <w:t>处理达标后经排气筒排放至大气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监测质量控制措施</w:t>
            </w:r>
          </w:p>
        </w:tc>
        <w:tc>
          <w:tcPr>
            <w:tcW w:w="11484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2241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监测结果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公开时限</w:t>
            </w:r>
          </w:p>
        </w:tc>
        <w:tc>
          <w:tcPr>
            <w:tcW w:w="11484" w:type="dxa"/>
            <w:gridSpan w:val="7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依据《国家重点监控企业自行监测及信息公开办法》的要求，监测数据于每次监测完成后次日公布。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备注：</w:t>
      </w: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 = 1 \* GB3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  <w:sz w:val="24"/>
        </w:rPr>
        <w:t>①</w:t>
      </w:r>
      <w:r>
        <w:rPr>
          <w:rFonts w:hint="eastAsia" w:ascii="仿宋_GB2312" w:hAnsi="仿宋_GB2312" w:eastAsia="仿宋_GB2312" w:cs="仿宋_GB2312"/>
          <w:sz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</w:rPr>
        <w:t>按照水污染物排放、大气污染物排放、厂界噪声和周边环境质量分表填写。</w:t>
      </w:r>
    </w:p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 = 2 \* GB3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  <w:sz w:val="24"/>
        </w:rPr>
        <w:t>②</w:t>
      </w:r>
      <w:r>
        <w:rPr>
          <w:rFonts w:hint="eastAsia" w:ascii="仿宋_GB2312" w:hAnsi="仿宋_GB2312" w:eastAsia="仿宋_GB2312" w:cs="仿宋_GB2312"/>
          <w:sz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</w:rPr>
        <w:t>监测方式是指自动监测、企业手工监测和委托监测。</w:t>
      </w:r>
    </w:p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③根据实际情况，明确、细化监测质量控制措施。</w:t>
      </w:r>
    </w:p>
    <w:p>
      <w:pPr>
        <w:spacing w:line="400" w:lineRule="exact"/>
        <w:jc w:val="left"/>
        <w:rPr>
          <w:b/>
          <w:sz w:val="24"/>
        </w:rPr>
        <w:sectPr>
          <w:pgSz w:w="16838" w:h="11906" w:orient="landscape"/>
          <w:pgMar w:top="1091" w:right="1440" w:bottom="1134" w:left="144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24"/>
        </w:rPr>
        <w:t xml:space="preserve"> </w:t>
      </w:r>
    </w:p>
    <w:p>
      <w:pPr>
        <w:spacing w:line="380" w:lineRule="exact"/>
        <w:ind w:firstLine="800" w:firstLineChars="250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（无组织废气）</w:t>
      </w:r>
    </w:p>
    <w:tbl>
      <w:tblPr>
        <w:tblStyle w:val="3"/>
        <w:tblW w:w="13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239"/>
        <w:gridCol w:w="1620"/>
        <w:gridCol w:w="1727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41" w:type="dxa"/>
            <w:gridSpan w:val="2"/>
            <w:tcBorders>
              <w:top w:val="single" w:color="auto" w:sz="12" w:space="0"/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0" w:firstLineChars="3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监测项目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监测内容</w:t>
            </w:r>
          </w:p>
        </w:tc>
        <w:tc>
          <w:tcPr>
            <w:tcW w:w="1611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监测点位</w:t>
            </w:r>
          </w:p>
        </w:tc>
        <w:tc>
          <w:tcPr>
            <w:tcW w:w="121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监测频次</w:t>
            </w:r>
          </w:p>
        </w:tc>
        <w:tc>
          <w:tcPr>
            <w:tcW w:w="2239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执行排放标准</w:t>
            </w:r>
          </w:p>
        </w:tc>
        <w:tc>
          <w:tcPr>
            <w:tcW w:w="162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标准限值</w:t>
            </w:r>
          </w:p>
        </w:tc>
        <w:tc>
          <w:tcPr>
            <w:tcW w:w="172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监测方法</w:t>
            </w:r>
          </w:p>
        </w:tc>
        <w:tc>
          <w:tcPr>
            <w:tcW w:w="185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分析仪器</w:t>
            </w:r>
          </w:p>
        </w:tc>
        <w:tc>
          <w:tcPr>
            <w:tcW w:w="1274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</w:t>
            </w:r>
            <w:r>
              <w:rPr>
                <w:rFonts w:hint="eastAsia" w:ascii="黑体" w:hAnsi="黑体" w:eastAsia="黑体"/>
                <w:b/>
                <w:sz w:val="24"/>
                <w:lang w:val="en-US" w:eastAsia="zh-CN"/>
              </w:rPr>
              <w:t>744</w:t>
            </w:r>
            <w:r>
              <w:rPr>
                <w:rFonts w:hint="eastAsia" w:ascii="黑体" w:hAnsi="黑体" w:eastAsia="黑体"/>
                <w:b/>
                <w:sz w:val="24"/>
              </w:rPr>
              <w:t>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检测指标</w:t>
            </w: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颗粒物（烟尘）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焦炉炉顶</w:t>
            </w: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每季度一次</w:t>
            </w: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2.5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苯并芘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2.5u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硫化氢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0.1mg/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氨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2.0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苯可溶物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0.6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颗粒物（烟尘）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厂界</w:t>
            </w: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每季度一次</w:t>
            </w: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二氧化硫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0.5mg/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氮氧化物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0.25mg/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苯并芘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0.00001mg/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硫化氢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0.01mg/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氨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0.2mg/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氰化氢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0.024mg/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0.4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酚类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0.02mg/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非甲烷总烃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 w:eastAsia="zh-CN"/>
              </w:rPr>
              <w:t>大气污染物综合排放标准GB16297-1996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4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硫酸雾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硫酸工业污染物排放标准GB26132-2010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0.4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甲醇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大气污染物综合排放标准GB 16297-1996表2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12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苯可溶物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/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及排放去向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hint="eastAsia" w:ascii="仿宋_GB2312" w:hAnsi="宋体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</w:rPr>
              <w:t>直接排放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至大气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监测质量控制措施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2241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监测结果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公开时限</w:t>
            </w:r>
          </w:p>
        </w:tc>
        <w:tc>
          <w:tcPr>
            <w:tcW w:w="11540" w:type="dxa"/>
            <w:gridSpan w:val="7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依据《国家重点监控企业自行监测及信息公开办法》的要求，监测数据于每次监测完成后次日公布。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备注：</w:t>
      </w: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 = 1 \* GB3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  <w:sz w:val="24"/>
        </w:rPr>
        <w:t>①</w:t>
      </w:r>
      <w:r>
        <w:rPr>
          <w:rFonts w:hint="eastAsia" w:ascii="仿宋_GB2312" w:hAnsi="仿宋_GB2312" w:eastAsia="仿宋_GB2312" w:cs="仿宋_GB2312"/>
          <w:sz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</w:rPr>
        <w:t>按照水污染物排放、大气污染物排放、厂界噪声和周边环境质量分表填写。</w:t>
      </w:r>
    </w:p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 = 2 \* GB3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  <w:sz w:val="24"/>
        </w:rPr>
        <w:t>②</w:t>
      </w:r>
      <w:r>
        <w:rPr>
          <w:rFonts w:hint="eastAsia" w:ascii="仿宋_GB2312" w:hAnsi="仿宋_GB2312" w:eastAsia="仿宋_GB2312" w:cs="仿宋_GB2312"/>
          <w:sz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</w:rPr>
        <w:t>监测方式是指自动监测、企业手工监测和委托监测。</w:t>
      </w:r>
    </w:p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③根据实际情况，明确、细化监测质量控制措施。</w:t>
      </w:r>
    </w:p>
    <w:p>
      <w:pPr>
        <w:pStyle w:val="6"/>
        <w:snapToGrid w:val="0"/>
        <w:spacing w:after="0" w:line="360" w:lineRule="auto"/>
        <w:rPr>
          <w:rFonts w:hint="eastAsia" w:ascii="黑体" w:hAnsi="黑体" w:eastAsia="黑体"/>
          <w:sz w:val="32"/>
          <w:szCs w:val="32"/>
          <w:lang w:eastAsia="zh-CN"/>
        </w:rPr>
      </w:pPr>
    </w:p>
    <w:p>
      <w:pPr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br w:type="page"/>
      </w:r>
    </w:p>
    <w:p>
      <w:pPr>
        <w:spacing w:line="380" w:lineRule="exact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commentRangeStart w:id="0"/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（开式循环冷却水系统）</w:t>
      </w:r>
      <w:commentRangeEnd w:id="0"/>
      <w:r>
        <w:commentReference w:id="0"/>
      </w:r>
    </w:p>
    <w:tbl>
      <w:tblPr>
        <w:tblStyle w:val="3"/>
        <w:tblW w:w="13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239"/>
        <w:gridCol w:w="1620"/>
        <w:gridCol w:w="1727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41" w:type="dxa"/>
            <w:gridSpan w:val="2"/>
            <w:tcBorders>
              <w:top w:val="single" w:color="auto" w:sz="12" w:space="0"/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0" w:firstLineChars="3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监测项目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监测内容</w:t>
            </w:r>
          </w:p>
        </w:tc>
        <w:tc>
          <w:tcPr>
            <w:tcW w:w="1611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监测点位</w:t>
            </w:r>
          </w:p>
        </w:tc>
        <w:tc>
          <w:tcPr>
            <w:tcW w:w="121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监测频次</w:t>
            </w:r>
          </w:p>
        </w:tc>
        <w:tc>
          <w:tcPr>
            <w:tcW w:w="2239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执行排放标准</w:t>
            </w:r>
          </w:p>
        </w:tc>
        <w:tc>
          <w:tcPr>
            <w:tcW w:w="162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标准限值</w:t>
            </w:r>
          </w:p>
        </w:tc>
        <w:tc>
          <w:tcPr>
            <w:tcW w:w="172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监测方法</w:t>
            </w:r>
          </w:p>
        </w:tc>
        <w:tc>
          <w:tcPr>
            <w:tcW w:w="185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分析仪器</w:t>
            </w:r>
          </w:p>
        </w:tc>
        <w:tc>
          <w:tcPr>
            <w:tcW w:w="1274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检测指标</w:t>
            </w: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总有机碳（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TOC</w:t>
            </w:r>
            <w:r>
              <w:rPr>
                <w:rFonts w:hint="eastAsia"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换热器进出口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6个月/1次</w:t>
            </w: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挥发性有机物无组织排放控制标准</w:t>
            </w:r>
          </w:p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GB37822-2019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出口浓度小于进口浓度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10％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及排放去向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hint="eastAsia" w:ascii="仿宋_GB2312" w:hAnsi="宋体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</w:rPr>
              <w:t>直接排放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至大气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监测质量控制措施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 w:cs="Times New Roman"/>
                <w:kern w:val="2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</w:rPr>
              <w:t>依据《国家重点监控企业自行监测及信息公开办法》的要求，监测数据于每次监测完成后次日公布。</w:t>
            </w:r>
          </w:p>
        </w:tc>
      </w:tr>
    </w:tbl>
    <w:p>
      <w:pPr>
        <w:rPr>
          <w:rFonts w:hint="eastAsia" w:ascii="黑体" w:hAnsi="黑体" w:eastAsia="黑体"/>
          <w:b/>
          <w:sz w:val="32"/>
          <w:szCs w:val="32"/>
        </w:rPr>
      </w:pPr>
    </w:p>
    <w:p>
      <w:pPr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br w:type="page"/>
      </w:r>
    </w:p>
    <w:p>
      <w:pPr>
        <w:spacing w:line="380" w:lineRule="exact"/>
        <w:ind w:firstLine="800" w:firstLineChars="250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（废水）</w:t>
      </w:r>
    </w:p>
    <w:tbl>
      <w:tblPr>
        <w:tblStyle w:val="3"/>
        <w:tblW w:w="13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239"/>
        <w:gridCol w:w="1620"/>
        <w:gridCol w:w="1727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41" w:type="dxa"/>
            <w:gridSpan w:val="2"/>
            <w:tcBorders>
              <w:top w:val="single" w:color="auto" w:sz="12" w:space="0"/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0" w:firstLineChars="3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监测项目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监测内容</w:t>
            </w:r>
          </w:p>
        </w:tc>
        <w:tc>
          <w:tcPr>
            <w:tcW w:w="1611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监测点位</w:t>
            </w:r>
          </w:p>
        </w:tc>
        <w:tc>
          <w:tcPr>
            <w:tcW w:w="121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监测频次</w:t>
            </w:r>
          </w:p>
        </w:tc>
        <w:tc>
          <w:tcPr>
            <w:tcW w:w="2239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执行排放标准</w:t>
            </w:r>
          </w:p>
        </w:tc>
        <w:tc>
          <w:tcPr>
            <w:tcW w:w="162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标准限值</w:t>
            </w:r>
          </w:p>
        </w:tc>
        <w:tc>
          <w:tcPr>
            <w:tcW w:w="172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监测方法</w:t>
            </w:r>
          </w:p>
        </w:tc>
        <w:tc>
          <w:tcPr>
            <w:tcW w:w="185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分析仪器</w:t>
            </w:r>
          </w:p>
        </w:tc>
        <w:tc>
          <w:tcPr>
            <w:tcW w:w="1274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检测指标</w:t>
            </w: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总磷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污水处理站进出口</w:t>
            </w: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每周一次</w:t>
            </w: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总氮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20mg/L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挥发酚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每月一次</w:t>
            </w: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0.3mg/L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氰化物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0.2mg/L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BOD</w:t>
            </w:r>
            <w:r>
              <w:rPr>
                <w:rFonts w:hint="eastAsia"/>
                <w:sz w:val="24"/>
                <w:vertAlign w:val="subscript"/>
                <w:lang w:val="en-US" w:eastAsia="zh-CN"/>
              </w:rPr>
              <w:t>5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悬浮物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50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硫化物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0.1mg/L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石油类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2.5mg/L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苯并芘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车间或生产设施排水口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0.03ug/L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多环芳烃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炼焦化学工业污染物排放标准GB 16171-2012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表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2直接排放标准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及排放去向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hint="eastAsia" w:ascii="仿宋_GB2312" w:hAnsi="宋体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lang w:eastAsia="zh-CN"/>
              </w:rPr>
              <w:t>经处理合格后排至楼德污水处理厂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监测质量控制措施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2241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监测结果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公开时限</w:t>
            </w:r>
          </w:p>
        </w:tc>
        <w:tc>
          <w:tcPr>
            <w:tcW w:w="11540" w:type="dxa"/>
            <w:gridSpan w:val="7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依据《国家重点监控企业自行监测及信息公开办法》的要求，监测数据于每次监测完成后次日公布。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备注：</w:t>
      </w: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 = 1 \* GB3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  <w:sz w:val="24"/>
        </w:rPr>
        <w:t>①</w:t>
      </w:r>
      <w:r>
        <w:rPr>
          <w:rFonts w:hint="eastAsia" w:ascii="仿宋_GB2312" w:hAnsi="仿宋_GB2312" w:eastAsia="仿宋_GB2312" w:cs="仿宋_GB2312"/>
          <w:sz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</w:rPr>
        <w:t>按照水污染物排放、大气污染物排放、厂界噪声和周边环境质量分表填写。</w:t>
      </w:r>
    </w:p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 = 2 \* GB3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  <w:sz w:val="24"/>
        </w:rPr>
        <w:t>②</w:t>
      </w:r>
      <w:r>
        <w:rPr>
          <w:rFonts w:hint="eastAsia" w:ascii="仿宋_GB2312" w:hAnsi="仿宋_GB2312" w:eastAsia="仿宋_GB2312" w:cs="仿宋_GB2312"/>
          <w:sz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</w:rPr>
        <w:t>监测方式是指自动监测、企业手工监测和委托监测。</w:t>
      </w:r>
    </w:p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③根据实际情况，明确、细化监测质量控制措施。</w:t>
      </w:r>
    </w:p>
    <w:p>
      <w:pPr>
        <w:pStyle w:val="6"/>
        <w:snapToGrid w:val="0"/>
        <w:spacing w:after="0" w:line="360" w:lineRule="auto"/>
        <w:rPr>
          <w:rFonts w:hint="eastAsia" w:ascii="黑体" w:hAnsi="黑体" w:eastAsia="黑体"/>
          <w:sz w:val="32"/>
          <w:szCs w:val="32"/>
          <w:lang w:eastAsia="zh-CN"/>
        </w:rPr>
      </w:pPr>
    </w:p>
    <w:p>
      <w:pPr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br w:type="page"/>
      </w:r>
    </w:p>
    <w:p>
      <w:pPr>
        <w:spacing w:line="380" w:lineRule="exact"/>
        <w:ind w:firstLine="800" w:firstLineChars="250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（噪声）</w:t>
      </w:r>
    </w:p>
    <w:tbl>
      <w:tblPr>
        <w:tblStyle w:val="3"/>
        <w:tblW w:w="13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239"/>
        <w:gridCol w:w="810"/>
        <w:gridCol w:w="810"/>
        <w:gridCol w:w="1727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241" w:type="dxa"/>
            <w:gridSpan w:val="2"/>
            <w:vMerge w:val="restart"/>
            <w:tcBorders>
              <w:top w:val="single" w:color="auto" w:sz="12" w:space="0"/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0" w:firstLineChars="3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监测项目</w:t>
            </w:r>
          </w:p>
          <w:p>
            <w:pPr>
              <w:spacing w:line="320" w:lineRule="exact"/>
              <w:jc w:val="both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监测内容</w:t>
            </w:r>
          </w:p>
        </w:tc>
        <w:tc>
          <w:tcPr>
            <w:tcW w:w="1611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监测点位</w:t>
            </w:r>
          </w:p>
        </w:tc>
        <w:tc>
          <w:tcPr>
            <w:tcW w:w="1217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监测频次</w:t>
            </w:r>
          </w:p>
        </w:tc>
        <w:tc>
          <w:tcPr>
            <w:tcW w:w="2239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执行排放标准</w:t>
            </w:r>
          </w:p>
        </w:tc>
        <w:tc>
          <w:tcPr>
            <w:tcW w:w="1620" w:type="dxa"/>
            <w:gridSpan w:val="2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标准限值：</w:t>
            </w:r>
            <w:r>
              <w:rPr>
                <w:rFonts w:ascii="黑体" w:hAnsi="黑体" w:eastAsia="黑体"/>
                <w:b/>
                <w:sz w:val="24"/>
              </w:rPr>
              <w:t>Db</w:t>
            </w:r>
            <w:r>
              <w:rPr>
                <w:rFonts w:hint="eastAsia" w:ascii="黑体" w:hAnsi="黑体" w:eastAsia="黑体"/>
                <w:b/>
                <w:sz w:val="24"/>
              </w:rPr>
              <w:t>(A)</w:t>
            </w:r>
          </w:p>
        </w:tc>
        <w:tc>
          <w:tcPr>
            <w:tcW w:w="1727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监测方法</w:t>
            </w:r>
          </w:p>
        </w:tc>
        <w:tc>
          <w:tcPr>
            <w:tcW w:w="1852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分析仪器</w:t>
            </w:r>
          </w:p>
        </w:tc>
        <w:tc>
          <w:tcPr>
            <w:tcW w:w="1274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241" w:type="dxa"/>
            <w:gridSpan w:val="2"/>
            <w:vMerge w:val="continue"/>
            <w:tcBorders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12" w:leftChars="-61" w:right="-98" w:rightChars="-47" w:hanging="16" w:hangingChars="8"/>
              <w:jc w:val="center"/>
            </w:pP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ind w:left="-112" w:leftChars="-61" w:right="-98" w:rightChars="-47" w:hanging="16" w:hangingChars="8"/>
              <w:jc w:val="center"/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ind w:left="-112" w:leftChars="-61" w:right="-98" w:rightChars="-47" w:hanging="16" w:hangingChars="8"/>
              <w:jc w:val="center"/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ind w:left="-112" w:leftChars="-61" w:right="-98" w:rightChars="-47" w:hanging="16" w:hangingChars="8"/>
              <w:jc w:val="center"/>
            </w:pPr>
          </w:p>
        </w:tc>
        <w:tc>
          <w:tcPr>
            <w:tcW w:w="81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/>
                <w:color w:val="000000"/>
                <w:sz w:val="24"/>
              </w:rPr>
              <w:t>昼间</w:t>
            </w:r>
          </w:p>
        </w:tc>
        <w:tc>
          <w:tcPr>
            <w:tcW w:w="81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/>
                <w:color w:val="000000"/>
                <w:sz w:val="24"/>
              </w:rPr>
              <w:t>夜间</w:t>
            </w:r>
          </w:p>
        </w:tc>
        <w:tc>
          <w:tcPr>
            <w:tcW w:w="1727" w:type="dxa"/>
            <w:vMerge w:val="continue"/>
            <w:noWrap w:val="0"/>
            <w:vAlign w:val="center"/>
          </w:tcPr>
          <w:p>
            <w:pPr>
              <w:spacing w:line="320" w:lineRule="exact"/>
              <w:ind w:left="-112" w:leftChars="-61" w:right="-98" w:rightChars="-47" w:hanging="16" w:hangingChars="8"/>
              <w:jc w:val="center"/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spacing w:line="320" w:lineRule="exact"/>
              <w:ind w:left="-112" w:leftChars="-61" w:right="-98" w:rightChars="-47" w:hanging="16" w:hangingChars="8"/>
              <w:jc w:val="center"/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spacing w:line="320" w:lineRule="exact"/>
              <w:ind w:left="-112" w:leftChars="-61" w:right="-98" w:rightChars="-47" w:hanging="16" w:hangingChars="8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restart"/>
            <w:tcBorders>
              <w:left w:val="single" w:color="auto" w:sz="4" w:space="0"/>
            </w:tcBorders>
            <w:noWrap w:val="0"/>
            <w:textDirection w:val="tbLrV"/>
            <w:vAlign w:val="center"/>
          </w:tcPr>
          <w:p>
            <w:pPr>
              <w:spacing w:line="320" w:lineRule="exact"/>
              <w:ind w:left="113" w:right="113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lang w:val="en-US" w:eastAsia="zh-CN"/>
              </w:rPr>
              <w:t>检测指标</w:t>
            </w:r>
          </w:p>
        </w:tc>
        <w:tc>
          <w:tcPr>
            <w:tcW w:w="1459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等级声效</w:t>
            </w: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厂区东</w:t>
            </w: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1次/季度</w:t>
            </w:r>
            <w:r>
              <w:rPr>
                <w:rFonts w:hint="eastAsia"/>
                <w:sz w:val="24"/>
                <w:lang w:eastAsia="zh-CN"/>
              </w:rPr>
              <w:t>，每次昼夜均检测</w:t>
            </w:r>
          </w:p>
        </w:tc>
        <w:tc>
          <w:tcPr>
            <w:tcW w:w="2239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</w:rPr>
              <w:t>《</w:t>
            </w:r>
            <w:r>
              <w:rPr>
                <w:rFonts w:hint="eastAsia"/>
                <w:color w:val="000000"/>
                <w:sz w:val="24"/>
                <w:lang w:eastAsia="zh-CN"/>
              </w:rPr>
              <w:t>声环境质量</w:t>
            </w:r>
            <w:r>
              <w:rPr>
                <w:rFonts w:hint="eastAsia"/>
                <w:color w:val="000000"/>
                <w:sz w:val="24"/>
              </w:rPr>
              <w:t>标准》GB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3096</w:t>
            </w:r>
            <w:r>
              <w:rPr>
                <w:rFonts w:hint="eastAsia"/>
                <w:color w:val="000000"/>
                <w:sz w:val="24"/>
              </w:rPr>
              <w:t>-2008中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3</w:t>
            </w:r>
            <w:r>
              <w:rPr>
                <w:rFonts w:hint="eastAsia"/>
                <w:color w:val="000000"/>
                <w:sz w:val="24"/>
              </w:rPr>
              <w:t>类</w:t>
            </w:r>
            <w:r>
              <w:rPr>
                <w:rFonts w:hint="eastAsia"/>
                <w:color w:val="000000"/>
                <w:sz w:val="24"/>
                <w:lang w:eastAsia="zh-CN"/>
              </w:rPr>
              <w:t>声功能区对应的标准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65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55</w:t>
            </w:r>
          </w:p>
        </w:tc>
        <w:tc>
          <w:tcPr>
            <w:tcW w:w="172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default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厂区南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10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65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55</w:t>
            </w:r>
          </w:p>
        </w:tc>
        <w:tc>
          <w:tcPr>
            <w:tcW w:w="172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厂区西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10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65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55</w:t>
            </w:r>
          </w:p>
        </w:tc>
        <w:tc>
          <w:tcPr>
            <w:tcW w:w="172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1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厂区北</w:t>
            </w: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810" w:type="dxa"/>
            <w:noWrap w:val="0"/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65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55</w:t>
            </w:r>
          </w:p>
        </w:tc>
        <w:tc>
          <w:tcPr>
            <w:tcW w:w="172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及排放去向</w:t>
            </w:r>
          </w:p>
        </w:tc>
        <w:tc>
          <w:tcPr>
            <w:tcW w:w="11540" w:type="dxa"/>
            <w:gridSpan w:val="8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直接排放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监测质量控制措施</w:t>
            </w:r>
          </w:p>
        </w:tc>
        <w:tc>
          <w:tcPr>
            <w:tcW w:w="11540" w:type="dxa"/>
            <w:gridSpan w:val="8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</w:p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2241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监测结果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公开时限</w:t>
            </w:r>
          </w:p>
        </w:tc>
        <w:tc>
          <w:tcPr>
            <w:tcW w:w="11540" w:type="dxa"/>
            <w:gridSpan w:val="8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依据《国家重点监控企业自行监测及信息公开办法》的要求，监测数据于每次监测完成后次日公布。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备注：</w:t>
      </w: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 = 1 \* GB3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  <w:sz w:val="24"/>
        </w:rPr>
        <w:t>①</w:t>
      </w:r>
      <w:r>
        <w:rPr>
          <w:rFonts w:hint="eastAsia" w:ascii="仿宋_GB2312" w:hAnsi="仿宋_GB2312" w:eastAsia="仿宋_GB2312" w:cs="仿宋_GB2312"/>
          <w:sz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</w:rPr>
        <w:t>按照水污染物排放、大气污染物排放、厂界噪声和周边环境质量分表填写。</w:t>
      </w:r>
    </w:p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 = 2 \* GB3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  <w:sz w:val="24"/>
        </w:rPr>
        <w:t>②</w:t>
      </w:r>
      <w:r>
        <w:rPr>
          <w:rFonts w:hint="eastAsia" w:ascii="仿宋_GB2312" w:hAnsi="仿宋_GB2312" w:eastAsia="仿宋_GB2312" w:cs="仿宋_GB2312"/>
          <w:sz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</w:rPr>
        <w:t>监测方式是指自动监测、企业手工监测和委托监测。</w:t>
      </w:r>
    </w:p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③根据实际情况，明确、细化监测质量控制</w:t>
      </w:r>
      <w:r>
        <w:rPr>
          <w:rFonts w:hint="eastAsia" w:ascii="仿宋_GB2312" w:hAnsi="仿宋_GB2312" w:eastAsia="仿宋_GB2312" w:cs="仿宋_GB2312"/>
          <w:sz w:val="24"/>
          <w:lang w:eastAsia="zh-CN"/>
        </w:rPr>
        <w:t>措施。</w:t>
      </w:r>
    </w:p>
    <w:p>
      <w:pPr>
        <w:rPr>
          <w:rFonts w:hint="eastAsia" w:ascii="仿宋_GB2312" w:hAnsi="仿宋_GB2312" w:eastAsia="仿宋_GB2312" w:cs="仿宋_GB2312"/>
          <w:sz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lang w:eastAsia="zh-CN"/>
        </w:rPr>
        <w:br w:type="page"/>
      </w:r>
    </w:p>
    <w:p>
      <w:pPr>
        <w:spacing w:line="380" w:lineRule="exact"/>
        <w:ind w:firstLine="800" w:firstLineChars="250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（土壤）</w:t>
      </w:r>
    </w:p>
    <w:tbl>
      <w:tblPr>
        <w:tblStyle w:val="3"/>
        <w:tblW w:w="13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239"/>
        <w:gridCol w:w="1620"/>
        <w:gridCol w:w="1727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41" w:type="dxa"/>
            <w:gridSpan w:val="2"/>
            <w:tcBorders>
              <w:top w:val="single" w:color="auto" w:sz="12" w:space="0"/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0" w:firstLineChars="3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监测项目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监测内容</w:t>
            </w:r>
          </w:p>
        </w:tc>
        <w:tc>
          <w:tcPr>
            <w:tcW w:w="1611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监测点位</w:t>
            </w:r>
          </w:p>
        </w:tc>
        <w:tc>
          <w:tcPr>
            <w:tcW w:w="121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监测频次</w:t>
            </w:r>
          </w:p>
        </w:tc>
        <w:tc>
          <w:tcPr>
            <w:tcW w:w="2239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执行排放标准</w:t>
            </w:r>
          </w:p>
        </w:tc>
        <w:tc>
          <w:tcPr>
            <w:tcW w:w="162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标准限值</w:t>
            </w:r>
          </w:p>
        </w:tc>
        <w:tc>
          <w:tcPr>
            <w:tcW w:w="172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监测方法</w:t>
            </w:r>
          </w:p>
        </w:tc>
        <w:tc>
          <w:tcPr>
            <w:tcW w:w="185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分析仪器</w:t>
            </w:r>
          </w:p>
        </w:tc>
        <w:tc>
          <w:tcPr>
            <w:tcW w:w="1274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8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检测指标</w:t>
            </w: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碑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厂区6个点（柱状样品3层）</w:t>
            </w: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commentRangeStart w:id="1"/>
            <w:r>
              <w:rPr>
                <w:rFonts w:hint="eastAsia"/>
                <w:sz w:val="24"/>
                <w:lang w:eastAsia="zh-CN"/>
              </w:rPr>
              <w:t>每年两次次（</w:t>
            </w:r>
            <w:r>
              <w:rPr>
                <w:rFonts w:hint="eastAsia"/>
                <w:sz w:val="24"/>
                <w:lang w:val="en-US" w:eastAsia="zh-CN"/>
              </w:rPr>
              <w:t>5月、10月</w:t>
            </w:r>
            <w:commentRangeEnd w:id="1"/>
            <w:r>
              <w:commentReference w:id="1"/>
            </w:r>
            <w:r>
              <w:rPr>
                <w:rFonts w:hint="eastAsia"/>
                <w:sz w:val="24"/>
                <w:lang w:eastAsia="zh-CN"/>
              </w:rPr>
              <w:t>）</w:t>
            </w:r>
          </w:p>
        </w:tc>
        <w:tc>
          <w:tcPr>
            <w:tcW w:w="2239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《土壤环境质量建设用地 土壤污染风险管控标准（试 行）》（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GB36600-2018）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筛选 值第一类用地</w:t>
            </w: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60mg/kg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镉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65mg/kg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铭（六价）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5.7mg/kg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铜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18000mg/kg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铅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800mg/kg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汞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38mg/kg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镣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900mg/kg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四氯化碳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2.8mg/kg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氯仿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0.9mg/kg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氯甲烷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37mg/kg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1,1-二氯乙烷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9mg/kg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1,2-二氯乙烷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1,1-二氯乙烯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66mg/kg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顺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-1,2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-二氯乙烯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596mg/kg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反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-1,2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-—氯乙烯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54mg/kg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二氯甲烷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616mg/kg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1,2-二氯丙烷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1,1,1,2-四氯乙烷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1,1,2,2-四氯乙烷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6.8mg/kg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四氯乙烯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53mg/kg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1,1,1-三氯乙烷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840mg/kg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1,1,2-三氯乙烷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2.8mg/kg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三氯乙烯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2.8mg/kg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1,2,3-三氯丙烷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0.5mg/kg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氯乙烯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0.43mg/kg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4mg/kg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氯苯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270mg/kg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1,2-二氯苯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560mg/kg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1,4-—氯苯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20mg/kg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乙苯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28mg/kg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苯乙烯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1290mg/kg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甲苯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1200mg/kg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间二甲苯+对二甲苯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570mg/kg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邻二甲苯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640mg/kg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硝基苯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76mg/kg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苯胺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260mg/kg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2-氯酚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2256mg/kg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苯并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［a］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蔥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苯并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［a］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苗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1.5mg/kg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苯并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［b］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荧蔥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苯并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［k］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荧蔥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151mg/kg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菌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1293mg/kg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二苯并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［a,h］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蔥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1.5mg/kg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薊并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［1,2,3-cd］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苗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15mg/kg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zh-TW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</w:rPr>
              <w:t>荼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en-US" w:bidi="en-US"/>
              </w:rPr>
              <w:t>70mg/kg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及排放去向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hint="eastAsia" w:ascii="仿宋_GB2312" w:hAnsi="宋体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监测质量控制措施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仿宋_GB2312" w:cs="仿宋_GB2312"/>
          <w:sz w:val="24"/>
          <w:lang w:eastAsia="zh-CN"/>
        </w:rPr>
        <w:sectPr>
          <w:pgSz w:w="16838" w:h="11906" w:orient="landscape"/>
          <w:pgMar w:top="1558" w:right="1440" w:bottom="1558" w:left="1440" w:header="851" w:footer="992" w:gutter="0"/>
          <w:cols w:space="720" w:num="1"/>
          <w:docGrid w:type="linesAndChars" w:linePitch="312" w:charSpace="0"/>
        </w:sectPr>
      </w:pPr>
    </w:p>
    <w:p>
      <w:pPr>
        <w:spacing w:line="380" w:lineRule="exact"/>
        <w:ind w:firstLine="803" w:firstLineChars="250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（地下水）</w:t>
      </w:r>
    </w:p>
    <w:tbl>
      <w:tblPr>
        <w:tblStyle w:val="3"/>
        <w:tblW w:w="13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239"/>
        <w:gridCol w:w="1620"/>
        <w:gridCol w:w="1727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41" w:type="dxa"/>
            <w:gridSpan w:val="2"/>
            <w:tcBorders>
              <w:top w:val="single" w:color="auto" w:sz="12" w:space="0"/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3" w:firstLineChars="3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监测项目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监测内容</w:t>
            </w:r>
          </w:p>
        </w:tc>
        <w:tc>
          <w:tcPr>
            <w:tcW w:w="1611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监测点位</w:t>
            </w:r>
          </w:p>
        </w:tc>
        <w:tc>
          <w:tcPr>
            <w:tcW w:w="121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监测频次</w:t>
            </w:r>
          </w:p>
        </w:tc>
        <w:tc>
          <w:tcPr>
            <w:tcW w:w="2239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执行排放标准</w:t>
            </w:r>
          </w:p>
        </w:tc>
        <w:tc>
          <w:tcPr>
            <w:tcW w:w="162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标准限值</w:t>
            </w:r>
          </w:p>
        </w:tc>
        <w:tc>
          <w:tcPr>
            <w:tcW w:w="172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监测方法</w:t>
            </w:r>
          </w:p>
        </w:tc>
        <w:tc>
          <w:tcPr>
            <w:tcW w:w="185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分析仪器</w:t>
            </w:r>
          </w:p>
        </w:tc>
        <w:tc>
          <w:tcPr>
            <w:tcW w:w="1274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检测指标</w:t>
            </w: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PH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厂内监测井、兴隆村、东</w:t>
            </w:r>
          </w:p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岭庄</w:t>
            </w: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每年丰水期、枯水期各监测一次</w:t>
            </w:r>
          </w:p>
          <w:p>
            <w:pPr>
              <w:spacing w:line="320" w:lineRule="exact"/>
              <w:jc w:val="both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2239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地下水质量标准GB/T14848-2017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ш</w:t>
            </w:r>
            <w:r>
              <w:rPr>
                <w:rFonts w:hint="eastAsia" w:cs="Times New Roman"/>
                <w:sz w:val="24"/>
                <w:lang w:val="en-US" w:eastAsia="zh-CN"/>
              </w:rPr>
              <w:t>类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6.5-6.8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总硬度（以碳酸钙计）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450mg/L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溶解性总固体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耗氧量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氟化物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1.0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氯化物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250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硝酸盐（以氮计）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亚硝酸盐（以氮计）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硫酸盐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250mg/L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氨氮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0.5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总大肠杆菌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3CFU/100ml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氰化物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0.05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细菌总数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100CFU/ml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挥发性酚类（以苯酚计）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0.002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硫化物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0.02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汞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0.001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b/>
                <w:bCs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0.01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铅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0.01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铜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1.0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锌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1.0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镉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0.005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六价铬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0.05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铁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0.3</w:t>
            </w:r>
            <w:r>
              <w:rPr>
                <w:rFonts w:hint="eastAsia"/>
                <w:sz w:val="24"/>
                <w:lang w:val="en-US" w:eastAsia="zh-CN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及排放去向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hint="eastAsia" w:ascii="仿宋_GB2312" w:hAnsi="宋体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监测质量控制措施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</w:tbl>
    <w:p>
      <w:r>
        <w:br w:type="page"/>
      </w:r>
    </w:p>
    <w:p>
      <w:pPr>
        <w:spacing w:line="380" w:lineRule="exact"/>
        <w:ind w:firstLine="803" w:firstLineChars="250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（环境空气）</w:t>
      </w:r>
    </w:p>
    <w:tbl>
      <w:tblPr>
        <w:tblStyle w:val="3"/>
        <w:tblW w:w="13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239"/>
        <w:gridCol w:w="1620"/>
        <w:gridCol w:w="1727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41" w:type="dxa"/>
            <w:gridSpan w:val="2"/>
            <w:tcBorders>
              <w:top w:val="single" w:color="auto" w:sz="12" w:space="0"/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3" w:firstLineChars="3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监测项目</w:t>
            </w:r>
          </w:p>
          <w:p>
            <w:pPr>
              <w:spacing w:line="320" w:lineRule="exact"/>
              <w:jc w:val="both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监测内容</w:t>
            </w:r>
          </w:p>
        </w:tc>
        <w:tc>
          <w:tcPr>
            <w:tcW w:w="1611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监测点位</w:t>
            </w:r>
          </w:p>
        </w:tc>
        <w:tc>
          <w:tcPr>
            <w:tcW w:w="121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监测频次</w:t>
            </w:r>
          </w:p>
        </w:tc>
        <w:tc>
          <w:tcPr>
            <w:tcW w:w="2239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执行排放标准</w:t>
            </w:r>
          </w:p>
        </w:tc>
        <w:tc>
          <w:tcPr>
            <w:tcW w:w="162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标准限值</w:t>
            </w:r>
          </w:p>
        </w:tc>
        <w:tc>
          <w:tcPr>
            <w:tcW w:w="172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监测方法</w:t>
            </w:r>
          </w:p>
        </w:tc>
        <w:tc>
          <w:tcPr>
            <w:tcW w:w="185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分析仪器</w:t>
            </w:r>
          </w:p>
        </w:tc>
        <w:tc>
          <w:tcPr>
            <w:tcW w:w="1274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78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检测指标</w:t>
            </w: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SO2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兴隆村、西柴城村、后柴城村</w:t>
            </w: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每年一次</w:t>
            </w:r>
          </w:p>
        </w:tc>
        <w:tc>
          <w:tcPr>
            <w:tcW w:w="2239" w:type="dxa"/>
            <w:vMerge w:val="restart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firstLine="0" w:firstLineChars="0"/>
              <w:jc w:val="left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《环境空气质量标准》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 xml:space="preserve">(GB3095-2012)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一级标准</w:t>
            </w: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0.15mg/m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  <w:r>
              <w:rPr>
                <w:rFonts w:hint="eastAsia" w:ascii="Times New Roman" w:hAnsi="Times New Roman" w:eastAsia="宋体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zh-CN" w:bidi="en-US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>24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小时平均</w:t>
            </w:r>
          </w:p>
        </w:tc>
        <w:tc>
          <w:tcPr>
            <w:tcW w:w="172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0.50mg/m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  <w:r>
              <w:rPr>
                <w:rFonts w:hint="eastAsia" w:ascii="Times New Roman" w:hAnsi="Times New Roman" w:eastAsia="宋体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zh-CN" w:bidi="en-US"/>
              </w:rPr>
              <w:t xml:space="preserve">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>1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小时平均</w:t>
            </w:r>
          </w:p>
        </w:tc>
        <w:tc>
          <w:tcPr>
            <w:tcW w:w="1727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NO2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0.08mg/m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zh-CN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>24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小时平均</w:t>
            </w:r>
          </w:p>
        </w:tc>
        <w:tc>
          <w:tcPr>
            <w:tcW w:w="172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0.20mg/m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>1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小时平均</w:t>
            </w:r>
          </w:p>
        </w:tc>
        <w:tc>
          <w:tcPr>
            <w:tcW w:w="1727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PM2.5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0.075mg/m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PM10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0.15mg/m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TSP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0.30mg/m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vMerge w:val="restart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CO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4mg/m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zh-CN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>24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小时平均</w:t>
            </w:r>
          </w:p>
        </w:tc>
        <w:tc>
          <w:tcPr>
            <w:tcW w:w="172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vMerge w:val="continue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10mg/m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>1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小时平均</w:t>
            </w:r>
          </w:p>
        </w:tc>
        <w:tc>
          <w:tcPr>
            <w:tcW w:w="1727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852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274" w:type="dxa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苯并芘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0.0025gg/m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氨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《工业企业设计卫生标准》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(TJ36-79)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居住区大气中有 害物质的最高容许浓度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0.2mg/m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硫化氢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0.01mg/m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酚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0.02mg/m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硫酸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0.30mg/m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甲苯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4" w:lineRule="exact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《前苏联居民区大气中有害 物质的最高容许浓度》</w:t>
            </w:r>
          </w:p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(CH245-71)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0.6mg/m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《大气污染物综合排放标准 详解》</w:t>
            </w: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0.1mg/m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二甲苯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bottom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0.2mg/m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top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exact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非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甲烷总</w:t>
            </w: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烃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(VOCs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参照</w:t>
            </w: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非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甲烷</w:t>
            </w: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总烃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)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2mg/m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臭气浓度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参照《恶臭污染物排放标准》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(GB14554-93)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二级标准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20（无量纲）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甲醇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kern w:val="2"/>
                <w:sz w:val="21"/>
                <w:szCs w:val="21"/>
                <w:shd w:val="clear" w:fill="FFFFFF"/>
                <w:lang w:val="en-US" w:eastAsia="zh-CN"/>
              </w:rPr>
              <w:t>挥发性有机物排放标准  第6部分：有机化工行业(DB37/2802.6-2018) 表2标准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50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mg/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m3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及排放去向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hint="eastAsia" w:ascii="仿宋_GB2312" w:hAnsi="宋体" w:eastAsia="仿宋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监测质量控制措施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</w:tbl>
    <w:p/>
    <w:p>
      <w:r>
        <w:br w:type="page"/>
      </w:r>
    </w:p>
    <w:p>
      <w:pPr>
        <w:spacing w:line="380" w:lineRule="exact"/>
        <w:ind w:firstLine="803" w:firstLineChars="250"/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自行监测内容表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（地表水）</w:t>
      </w:r>
    </w:p>
    <w:tbl>
      <w:tblPr>
        <w:tblStyle w:val="3"/>
        <w:tblW w:w="13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459"/>
        <w:gridCol w:w="1611"/>
        <w:gridCol w:w="1217"/>
        <w:gridCol w:w="2239"/>
        <w:gridCol w:w="1620"/>
        <w:gridCol w:w="1727"/>
        <w:gridCol w:w="185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41" w:type="dxa"/>
            <w:gridSpan w:val="2"/>
            <w:tcBorders>
              <w:top w:val="single" w:color="auto" w:sz="12" w:space="0"/>
              <w:lef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843" w:firstLineChars="350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监测项目</w:t>
            </w:r>
          </w:p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监测内容</w:t>
            </w:r>
          </w:p>
        </w:tc>
        <w:tc>
          <w:tcPr>
            <w:tcW w:w="1611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监测点位</w:t>
            </w:r>
          </w:p>
        </w:tc>
        <w:tc>
          <w:tcPr>
            <w:tcW w:w="121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监测频次</w:t>
            </w:r>
          </w:p>
        </w:tc>
        <w:tc>
          <w:tcPr>
            <w:tcW w:w="2239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执行排放标准</w:t>
            </w:r>
          </w:p>
        </w:tc>
        <w:tc>
          <w:tcPr>
            <w:tcW w:w="1620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标准限值</w:t>
            </w:r>
          </w:p>
        </w:tc>
        <w:tc>
          <w:tcPr>
            <w:tcW w:w="172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监测方法</w:t>
            </w:r>
          </w:p>
        </w:tc>
        <w:tc>
          <w:tcPr>
            <w:tcW w:w="185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分析仪器</w:t>
            </w:r>
          </w:p>
        </w:tc>
        <w:tc>
          <w:tcPr>
            <w:tcW w:w="1274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ind w:left="-109" w:leftChars="-61" w:right="-99" w:rightChars="-47" w:hanging="19" w:hangingChars="8"/>
              <w:jc w:val="center"/>
              <w:rPr>
                <w:rFonts w:ascii="黑体" w:hAnsi="黑体" w:eastAsia="黑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监测方式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检测指标</w:t>
            </w: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 xml:space="preserve">pH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（无量纲）</w:t>
            </w:r>
          </w:p>
        </w:tc>
        <w:tc>
          <w:tcPr>
            <w:tcW w:w="1611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排污口入柴汶河上游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100米、下游1500米</w:t>
            </w:r>
          </w:p>
        </w:tc>
        <w:tc>
          <w:tcPr>
            <w:tcW w:w="12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每年一次</w:t>
            </w:r>
          </w:p>
        </w:tc>
        <w:tc>
          <w:tcPr>
            <w:tcW w:w="2239" w:type="dxa"/>
            <w:vMerge w:val="restart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exact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《地表水环境质量标准》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 xml:space="preserve">（GB3838-2002）IV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类（注：</w:t>
            </w:r>
          </w:p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全盐量参考鲁质监标发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[2014]7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号文）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6</w:t>
            </w:r>
            <w:r>
              <w:rPr>
                <w:rFonts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〜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9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DO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3mg/L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mallCaps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cod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30mg/L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BOD5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6mg/L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高锰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酸盐指数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10mg/L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氨氮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1.5mg/L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总磷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0.3mg/L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硝酸盐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10mg/L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石油类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挥发酚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0.01mg/L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氰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0.2mg/L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氟化物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1.5mg/L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硫化物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氯化物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250mg/L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硫酸盐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250mg/L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铜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1.0mg/L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锌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b/>
                <w:bCs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2.0mg/L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铅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汞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0.001mg/L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镉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0.005mg/L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六价</w:t>
            </w: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铬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0.05mg/L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砷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0.1mg/L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粪大肠菌群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20000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个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苯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0.01mg/L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苯并芘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2.8x10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vertAlign w:val="superscript"/>
                <w:lang w:val="en-US" w:eastAsia="en-US" w:bidi="en-US"/>
              </w:rPr>
              <w:t>-6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nil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全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盐量</w:t>
            </w:r>
          </w:p>
        </w:tc>
        <w:tc>
          <w:tcPr>
            <w:tcW w:w="1611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en-US" w:bidi="en-US"/>
              </w:rPr>
              <w:t>1000mg/L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污染物排放方式</w:t>
            </w:r>
          </w:p>
          <w:p>
            <w:pPr>
              <w:spacing w:line="3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及排放去向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hint="eastAsia" w:ascii="仿宋_GB2312" w:hAnsi="宋体" w:eastAsia="仿宋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24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监测质量控制措施</w:t>
            </w:r>
          </w:p>
        </w:tc>
        <w:tc>
          <w:tcPr>
            <w:tcW w:w="11540" w:type="dxa"/>
            <w:gridSpan w:val="7"/>
            <w:noWrap w:val="0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</w:tbl>
    <w:p/>
    <w:p/>
    <w:sectPr>
      <w:pgSz w:w="16838" w:h="11906" w:orient="landscape"/>
      <w:pgMar w:top="1559" w:right="1440" w:bottom="1559" w:left="1440" w:header="851" w:footer="992" w:gutter="0"/>
      <w:cols w:space="720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Administrator" w:date="2021-06-11T17:14:29Z" w:initials="A">
    <w:p w14:paraId="16A1676B">
      <w:pPr>
        <w:pStyle w:val="2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新增</w:t>
      </w:r>
    </w:p>
  </w:comment>
  <w:comment w:id="1" w:author="Administrator" w:date="2021-06-11T17:00:57Z" w:initials="A">
    <w:p w14:paraId="7D747C2D">
      <w:pPr>
        <w:pStyle w:val="2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新增一次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16A1676B" w15:done="0"/>
  <w15:commentEx w15:paraId="7D747C2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09F" w:csb1="00000000"/>
  </w:font>
  <w:font w:name="MingLiU">
    <w:panose1 w:val="02020309000000000000"/>
    <w:charset w:val="88"/>
    <w:family w:val="auto"/>
    <w:pitch w:val="default"/>
    <w:sig w:usb0="00000003" w:usb1="082E0000" w:usb2="00000016" w:usb3="00000000" w:csb0="00100001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dobe 仿宋 Std R">
    <w:altName w:val="仿宋_GB2312"/>
    <w:panose1 w:val="00000000000000000000"/>
    <w:charset w:val="86"/>
    <w:family w:val="roman"/>
    <w:pitch w:val="default"/>
    <w:sig w:usb0="00000000" w:usb1="00000000" w:usb2="00000016" w:usb3="00000000" w:csb0="00060007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8BE3F1"/>
    <w:multiLevelType w:val="singleLevel"/>
    <w:tmpl w:val="8C8BE3F1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4D9C16B"/>
    <w:multiLevelType w:val="singleLevel"/>
    <w:tmpl w:val="24D9C16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2CED"/>
    <w:rsid w:val="01D41A9F"/>
    <w:rsid w:val="03051C1E"/>
    <w:rsid w:val="03826B73"/>
    <w:rsid w:val="06A40F22"/>
    <w:rsid w:val="0A212909"/>
    <w:rsid w:val="0DBF61F4"/>
    <w:rsid w:val="0EBF4A9E"/>
    <w:rsid w:val="0EED177F"/>
    <w:rsid w:val="10056A7D"/>
    <w:rsid w:val="14B00CB3"/>
    <w:rsid w:val="16704BC2"/>
    <w:rsid w:val="18424AD2"/>
    <w:rsid w:val="1AF87D0F"/>
    <w:rsid w:val="1B5C420A"/>
    <w:rsid w:val="1D1B437F"/>
    <w:rsid w:val="1E07245C"/>
    <w:rsid w:val="20CF4AF7"/>
    <w:rsid w:val="20D50164"/>
    <w:rsid w:val="218B76ED"/>
    <w:rsid w:val="2242524F"/>
    <w:rsid w:val="22983589"/>
    <w:rsid w:val="23B8393B"/>
    <w:rsid w:val="25932AE3"/>
    <w:rsid w:val="27BB60E5"/>
    <w:rsid w:val="2BD3436F"/>
    <w:rsid w:val="310E1E2F"/>
    <w:rsid w:val="333D1460"/>
    <w:rsid w:val="373707F7"/>
    <w:rsid w:val="373E3C6C"/>
    <w:rsid w:val="37A77526"/>
    <w:rsid w:val="38CA07C9"/>
    <w:rsid w:val="3940496B"/>
    <w:rsid w:val="39F9220B"/>
    <w:rsid w:val="3BEB0139"/>
    <w:rsid w:val="3C9F25AA"/>
    <w:rsid w:val="3D78498C"/>
    <w:rsid w:val="3FB64151"/>
    <w:rsid w:val="40AD1D79"/>
    <w:rsid w:val="4196400E"/>
    <w:rsid w:val="41A00AE9"/>
    <w:rsid w:val="434B6CE8"/>
    <w:rsid w:val="454734A9"/>
    <w:rsid w:val="45AF16CB"/>
    <w:rsid w:val="4B4C3704"/>
    <w:rsid w:val="4B8F0D74"/>
    <w:rsid w:val="4C5A343C"/>
    <w:rsid w:val="4C8A25B2"/>
    <w:rsid w:val="4C910A62"/>
    <w:rsid w:val="4DAD5C14"/>
    <w:rsid w:val="4EB2732E"/>
    <w:rsid w:val="4EC01B2A"/>
    <w:rsid w:val="4F7E6295"/>
    <w:rsid w:val="50B741D1"/>
    <w:rsid w:val="53682BD8"/>
    <w:rsid w:val="55541E34"/>
    <w:rsid w:val="56A158C1"/>
    <w:rsid w:val="573F1382"/>
    <w:rsid w:val="57CB7274"/>
    <w:rsid w:val="59700FDA"/>
    <w:rsid w:val="59832599"/>
    <w:rsid w:val="5A0B7142"/>
    <w:rsid w:val="5B011C03"/>
    <w:rsid w:val="5BB90EBC"/>
    <w:rsid w:val="5F4E77C0"/>
    <w:rsid w:val="6053685D"/>
    <w:rsid w:val="61372A54"/>
    <w:rsid w:val="643F48F6"/>
    <w:rsid w:val="65A72FFA"/>
    <w:rsid w:val="69EC67A3"/>
    <w:rsid w:val="6A4D02F5"/>
    <w:rsid w:val="6AA3018F"/>
    <w:rsid w:val="6E5D36A2"/>
    <w:rsid w:val="6F883432"/>
    <w:rsid w:val="6FAA3CD4"/>
    <w:rsid w:val="70B40D23"/>
    <w:rsid w:val="70ED5B6C"/>
    <w:rsid w:val="71933F8E"/>
    <w:rsid w:val="71C21A23"/>
    <w:rsid w:val="74777648"/>
    <w:rsid w:val="76852E90"/>
    <w:rsid w:val="76922297"/>
    <w:rsid w:val="77261AB9"/>
    <w:rsid w:val="7789487D"/>
    <w:rsid w:val="786949FB"/>
    <w:rsid w:val="78C452C2"/>
    <w:rsid w:val="78C75BB4"/>
    <w:rsid w:val="79994F00"/>
    <w:rsid w:val="7DB37E44"/>
    <w:rsid w:val="7FA349AC"/>
    <w:rsid w:val="7FEB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customStyle="1" w:styleId="5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6">
    <w:name w:val="List Paragraph"/>
    <w:basedOn w:val="1"/>
    <w:qFormat/>
    <w:uiPriority w:val="0"/>
    <w:pPr>
      <w:widowControl/>
      <w:spacing w:after="200" w:line="252" w:lineRule="auto"/>
      <w:ind w:left="720"/>
      <w:contextualSpacing/>
      <w:jc w:val="left"/>
    </w:pPr>
    <w:rPr>
      <w:rFonts w:ascii="Cambria" w:hAnsi="Cambria"/>
      <w:kern w:val="0"/>
      <w:sz w:val="22"/>
      <w:szCs w:val="22"/>
      <w:lang w:eastAsia="en-US" w:bidi="en-US"/>
    </w:rPr>
  </w:style>
  <w:style w:type="paragraph" w:customStyle="1" w:styleId="7">
    <w:name w:val="Other|1"/>
    <w:basedOn w:val="1"/>
    <w:qFormat/>
    <w:uiPriority w:val="0"/>
    <w:pPr>
      <w:widowControl w:val="0"/>
      <w:shd w:val="clear" w:color="auto" w:fill="auto"/>
      <w:spacing w:line="422" w:lineRule="auto"/>
      <w:ind w:firstLine="400"/>
    </w:pPr>
    <w:rPr>
      <w:rFonts w:ascii="MingLiU" w:hAnsi="MingLiU" w:eastAsia="MingLiU" w:cs="MingLiU"/>
      <w:sz w:val="22"/>
      <w:szCs w:val="22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microsoft.com/office/2011/relationships/people" Target="people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2019-10-01T07:59:00Z</dcterms:created>
  <dc:creator>Administrator</dc:creator>
  <cp:lastModifiedBy>Administrator</cp:lastModifiedBy>
  <dcterms:modified xsi:type="dcterms:W3CDTF">2021-06-23T01:09:12Z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