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6"/>
        <w:spacing w:before="0" w:afterLines="100"/>
        <w:ind w:firstLine="482"/>
        <w:rPr>
          <w:rFonts w:hint="eastAsia" w:ascii="Times New Roman" w:hAnsi="Times New Roman" w:eastAsia="宋体" w:cs="Times New Roman"/>
          <w:b/>
          <w:bCs/>
          <w:kern w:val="0"/>
          <w:sz w:val="44"/>
          <w:szCs w:val="44"/>
          <w:lang w:val="en-US" w:eastAsia="zh-CN" w:bidi="ar-SA"/>
        </w:rPr>
      </w:pPr>
      <w:bookmarkStart w:id="0" w:name="_Toc30080"/>
      <w:bookmarkStart w:id="1" w:name="_Toc21895"/>
      <w:bookmarkStart w:id="2" w:name="_Toc523864810"/>
    </w:p>
    <w:p>
      <w:pPr>
        <w:pStyle w:val="6"/>
        <w:spacing w:before="0" w:afterLines="100"/>
        <w:ind w:firstLine="482"/>
        <w:rPr>
          <w:rFonts w:hint="eastAsia" w:ascii="Times New Roman" w:hAnsi="Times New Roman" w:eastAsia="宋体" w:cs="Times New Roman"/>
          <w:b/>
          <w:bCs/>
          <w:kern w:val="0"/>
          <w:sz w:val="44"/>
          <w:szCs w:val="44"/>
          <w:lang w:val="en-US" w:eastAsia="zh-CN" w:bidi="ar-SA"/>
        </w:rPr>
      </w:pPr>
    </w:p>
    <w:p>
      <w:pPr>
        <w:pStyle w:val="6"/>
        <w:spacing w:before="0" w:afterLines="100"/>
        <w:ind w:firstLine="482"/>
        <w:rPr>
          <w:rFonts w:hint="eastAsia" w:ascii="Times New Roman" w:hAnsi="Times New Roman" w:eastAsia="宋体" w:cs="Times New Roman"/>
          <w:b/>
          <w:bCs/>
          <w:kern w:val="0"/>
          <w:sz w:val="44"/>
          <w:szCs w:val="44"/>
          <w:lang w:val="en-US" w:eastAsia="zh-CN" w:bidi="ar-SA"/>
        </w:rPr>
      </w:pPr>
    </w:p>
    <w:p>
      <w:pPr>
        <w:pStyle w:val="6"/>
        <w:spacing w:before="0" w:afterLines="100"/>
        <w:ind w:firstLine="482"/>
        <w:rPr>
          <w:rFonts w:hint="eastAsia" w:ascii="Times New Roman" w:hAnsi="Times New Roman" w:eastAsia="宋体" w:cs="Times New Roman"/>
          <w:b/>
          <w:bCs/>
          <w:kern w:val="0"/>
          <w:sz w:val="44"/>
          <w:szCs w:val="44"/>
          <w:lang w:val="en-US" w:eastAsia="zh-CN" w:bidi="ar-SA"/>
        </w:rPr>
      </w:pPr>
    </w:p>
    <w:p>
      <w:pPr>
        <w:pStyle w:val="6"/>
        <w:spacing w:before="0" w:afterLines="100"/>
        <w:ind w:firstLine="482"/>
        <w:rPr>
          <w:rFonts w:hint="eastAsia" w:ascii="Times New Roman" w:hAnsi="Times New Roman" w:eastAsia="宋体" w:cs="Times New Roman"/>
          <w:b/>
          <w:bCs/>
          <w:kern w:val="0"/>
          <w:sz w:val="44"/>
          <w:szCs w:val="44"/>
          <w:lang w:val="en-US" w:eastAsia="zh-CN" w:bidi="ar-SA"/>
        </w:rPr>
      </w:pPr>
    </w:p>
    <w:p>
      <w:pPr>
        <w:pStyle w:val="6"/>
        <w:spacing w:before="0" w:afterLines="100"/>
        <w:ind w:firstLine="482"/>
        <w:rPr>
          <w:rFonts w:hint="eastAsia" w:ascii="Times New Roman" w:hAnsi="Times New Roman" w:eastAsia="宋体" w:cs="Times New Roman"/>
          <w:b/>
          <w:bCs/>
          <w:kern w:val="0"/>
          <w:sz w:val="44"/>
          <w:szCs w:val="44"/>
          <w:lang w:val="en-US" w:eastAsia="zh-CN" w:bidi="ar-SA"/>
        </w:rPr>
      </w:pPr>
    </w:p>
    <w:p>
      <w:pPr>
        <w:pStyle w:val="6"/>
        <w:spacing w:before="0" w:afterLines="100"/>
        <w:ind w:firstLine="482"/>
        <w:rPr>
          <w:rFonts w:hint="eastAsia" w:ascii="Times New Roman" w:hAnsi="Times New Roman" w:eastAsia="宋体" w:cs="Times New Roman"/>
          <w:b/>
          <w:bCs/>
          <w:kern w:val="0"/>
          <w:sz w:val="44"/>
          <w:szCs w:val="44"/>
          <w:lang w:val="en-US" w:eastAsia="zh-CN" w:bidi="ar-SA"/>
        </w:rPr>
      </w:pPr>
    </w:p>
    <w:p>
      <w:pPr>
        <w:pStyle w:val="6"/>
        <w:spacing w:before="0" w:afterLines="100"/>
        <w:ind w:firstLine="482"/>
        <w:rPr>
          <w:rFonts w:hint="eastAsia" w:ascii="Times New Roman" w:hAnsi="Times New Roman" w:eastAsia="宋体" w:cs="Times New Roman"/>
          <w:b/>
          <w:bCs/>
          <w:kern w:val="0"/>
          <w:sz w:val="44"/>
          <w:szCs w:val="44"/>
          <w:lang w:val="en-US" w:eastAsia="zh-CN" w:bidi="ar-SA"/>
        </w:rPr>
      </w:pPr>
    </w:p>
    <w:p>
      <w:pPr>
        <w:pStyle w:val="6"/>
        <w:spacing w:before="0" w:afterLines="100"/>
        <w:ind w:firstLine="482"/>
        <w:rPr>
          <w:rFonts w:hint="eastAsia" w:ascii="Times New Roman" w:hAnsi="Times New Roman" w:eastAsia="宋体" w:cs="Times New Roman"/>
          <w:b/>
          <w:bCs/>
          <w:kern w:val="0"/>
          <w:sz w:val="44"/>
          <w:szCs w:val="44"/>
          <w:lang w:val="en-US" w:eastAsia="zh-CN" w:bidi="ar-SA"/>
        </w:rPr>
      </w:pPr>
      <w:r>
        <w:rPr>
          <w:rFonts w:hint="eastAsia" w:ascii="Times New Roman" w:hAnsi="Times New Roman" w:eastAsia="宋体" w:cs="Times New Roman"/>
          <w:b/>
          <w:bCs/>
          <w:kern w:val="0"/>
          <w:sz w:val="44"/>
          <w:szCs w:val="44"/>
          <w:lang w:val="en-US" w:eastAsia="zh-CN" w:bidi="ar-SA"/>
        </w:rPr>
        <w:t>第三部分  其他需要说明的事项</w:t>
      </w:r>
      <w:bookmarkEnd w:id="0"/>
      <w:bookmarkEnd w:id="1"/>
      <w:bookmarkEnd w:id="2"/>
    </w:p>
    <w:p>
      <w:pPr>
        <w:spacing w:after="0" w:line="360" w:lineRule="auto"/>
        <w:jc w:val="center"/>
        <w:rPr>
          <w:rFonts w:hint="eastAsia" w:ascii="Times New Roman" w:hAnsi="宋体" w:eastAsia="宋体" w:cs="Times New Roman"/>
          <w:b/>
          <w:bCs/>
          <w:sz w:val="24"/>
          <w:szCs w:val="24"/>
          <w:lang w:eastAsia="zh-CN"/>
        </w:rPr>
      </w:pPr>
    </w:p>
    <w:p>
      <w:pPr>
        <w:spacing w:after="0" w:line="360" w:lineRule="auto"/>
        <w:jc w:val="center"/>
        <w:rPr>
          <w:rFonts w:hint="eastAsia" w:ascii="Times New Roman" w:hAnsi="宋体" w:eastAsia="宋体" w:cs="Times New Roman"/>
          <w:b/>
          <w:bCs/>
          <w:sz w:val="24"/>
          <w:szCs w:val="24"/>
          <w:lang w:eastAsia="zh-CN"/>
        </w:rPr>
      </w:pPr>
    </w:p>
    <w:p>
      <w:pPr>
        <w:spacing w:after="0" w:line="360" w:lineRule="auto"/>
        <w:jc w:val="center"/>
        <w:rPr>
          <w:rFonts w:hint="eastAsia" w:ascii="Times New Roman" w:hAnsi="宋体" w:eastAsia="宋体" w:cs="Times New Roman"/>
          <w:b/>
          <w:bCs/>
          <w:sz w:val="24"/>
          <w:szCs w:val="24"/>
          <w:lang w:eastAsia="zh-CN"/>
        </w:rPr>
      </w:pPr>
    </w:p>
    <w:p>
      <w:pPr>
        <w:spacing w:after="0" w:line="360" w:lineRule="auto"/>
        <w:jc w:val="center"/>
        <w:rPr>
          <w:rFonts w:hint="eastAsia" w:ascii="Times New Roman" w:hAnsi="宋体" w:eastAsia="宋体" w:cs="Times New Roman"/>
          <w:b/>
          <w:bCs/>
          <w:sz w:val="24"/>
          <w:szCs w:val="24"/>
          <w:lang w:eastAsia="zh-CN"/>
        </w:rPr>
      </w:pPr>
    </w:p>
    <w:p>
      <w:pPr>
        <w:spacing w:after="0" w:line="360" w:lineRule="auto"/>
        <w:jc w:val="center"/>
        <w:rPr>
          <w:rFonts w:hint="eastAsia" w:ascii="Times New Roman" w:hAnsi="宋体" w:eastAsia="宋体" w:cs="Times New Roman"/>
          <w:b/>
          <w:bCs/>
          <w:sz w:val="24"/>
          <w:szCs w:val="24"/>
          <w:lang w:eastAsia="zh-CN"/>
        </w:rPr>
      </w:pPr>
    </w:p>
    <w:p>
      <w:pPr>
        <w:spacing w:after="0" w:line="360" w:lineRule="auto"/>
        <w:ind w:left="0" w:leftChars="0" w:firstLine="0" w:firstLineChars="0"/>
        <w:jc w:val="both"/>
        <w:rPr>
          <w:rFonts w:hint="eastAsia" w:ascii="Times New Roman" w:hAnsi="宋体" w:eastAsia="宋体" w:cs="Times New Roman"/>
          <w:b/>
          <w:bCs/>
          <w:sz w:val="24"/>
          <w:szCs w:val="24"/>
          <w:lang w:eastAsia="zh-CN"/>
        </w:rPr>
      </w:pPr>
    </w:p>
    <w:p>
      <w:pPr>
        <w:spacing w:after="0" w:line="360" w:lineRule="auto"/>
        <w:jc w:val="center"/>
        <w:rPr>
          <w:rFonts w:hint="eastAsia" w:ascii="Times New Roman" w:hAnsi="宋体" w:eastAsia="宋体" w:cs="Times New Roman"/>
          <w:b/>
          <w:bCs/>
          <w:sz w:val="24"/>
          <w:szCs w:val="24"/>
          <w:lang w:eastAsia="zh-CN"/>
        </w:rPr>
      </w:pPr>
    </w:p>
    <w:p>
      <w:pPr>
        <w:spacing w:after="0" w:line="360" w:lineRule="auto"/>
        <w:jc w:val="center"/>
        <w:rPr>
          <w:rFonts w:hint="eastAsia" w:ascii="Times New Roman" w:hAnsi="宋体" w:eastAsia="宋体" w:cs="Times New Roman"/>
          <w:b/>
          <w:bCs/>
          <w:sz w:val="24"/>
          <w:szCs w:val="24"/>
          <w:lang w:eastAsia="zh-CN"/>
        </w:rPr>
      </w:pPr>
    </w:p>
    <w:p>
      <w:pPr>
        <w:spacing w:after="0" w:line="360" w:lineRule="auto"/>
        <w:ind w:left="0" w:leftChars="0" w:firstLine="0" w:firstLineChars="0"/>
        <w:jc w:val="both"/>
        <w:rPr>
          <w:rFonts w:hint="eastAsia" w:ascii="Times New Roman" w:hAnsi="宋体" w:eastAsia="宋体" w:cs="Times New Roman"/>
          <w:b/>
          <w:bCs/>
          <w:sz w:val="24"/>
          <w:szCs w:val="24"/>
          <w:lang w:eastAsia="zh-CN"/>
        </w:rPr>
      </w:pPr>
    </w:p>
    <w:p>
      <w:pPr>
        <w:spacing w:after="0" w:line="360" w:lineRule="auto"/>
        <w:jc w:val="center"/>
        <w:rPr>
          <w:rFonts w:hint="eastAsia" w:ascii="Times New Roman" w:hAnsi="宋体" w:eastAsia="宋体" w:cs="Times New Roman"/>
          <w:b/>
          <w:bCs/>
          <w:sz w:val="24"/>
          <w:szCs w:val="24"/>
          <w:lang w:eastAsia="zh-CN"/>
        </w:rPr>
      </w:pPr>
    </w:p>
    <w:p>
      <w:pPr>
        <w:pStyle w:val="2"/>
        <w:rPr>
          <w:rFonts w:hint="eastAsia" w:ascii="Times New Roman" w:hAnsi="宋体" w:eastAsia="宋体" w:cs="Times New Roman"/>
          <w:b/>
          <w:bCs/>
          <w:sz w:val="24"/>
          <w:szCs w:val="24"/>
          <w:lang w:eastAsia="zh-CN"/>
        </w:rPr>
      </w:pPr>
    </w:p>
    <w:p>
      <w:pPr>
        <w:rPr>
          <w:rFonts w:hint="eastAsia" w:ascii="Times New Roman" w:hAnsi="宋体" w:eastAsia="宋体" w:cs="Times New Roman"/>
          <w:b/>
          <w:bCs/>
          <w:sz w:val="24"/>
          <w:szCs w:val="24"/>
          <w:lang w:eastAsia="zh-CN"/>
        </w:rPr>
      </w:pPr>
    </w:p>
    <w:p>
      <w:pPr>
        <w:pStyle w:val="2"/>
        <w:rPr>
          <w:rFonts w:hint="eastAsia" w:ascii="Times New Roman" w:hAnsi="宋体" w:eastAsia="宋体" w:cs="Times New Roman"/>
          <w:b/>
          <w:bCs/>
          <w:sz w:val="24"/>
          <w:szCs w:val="24"/>
          <w:lang w:eastAsia="zh-CN"/>
        </w:rPr>
      </w:pPr>
    </w:p>
    <w:p>
      <w:pPr>
        <w:rPr>
          <w:rFonts w:hint="eastAsia" w:ascii="Times New Roman" w:hAnsi="宋体" w:eastAsia="宋体" w:cs="Times New Roman"/>
          <w:b/>
          <w:bCs/>
          <w:sz w:val="24"/>
          <w:szCs w:val="24"/>
          <w:lang w:eastAsia="zh-CN"/>
        </w:rPr>
      </w:pPr>
    </w:p>
    <w:p>
      <w:pPr>
        <w:spacing w:after="0" w:line="360" w:lineRule="auto"/>
        <w:jc w:val="center"/>
        <w:rPr>
          <w:rFonts w:hint="eastAsia" w:ascii="Times New Roman" w:hAnsi="宋体" w:cs="Times New Roman"/>
          <w:b/>
          <w:bCs/>
          <w:sz w:val="24"/>
          <w:szCs w:val="24"/>
          <w:lang w:eastAsia="zh-CN"/>
        </w:rPr>
      </w:pPr>
      <w:r>
        <w:rPr>
          <w:rFonts w:hint="eastAsia" w:ascii="Times New Roman" w:hAnsi="宋体" w:cs="Times New Roman"/>
          <w:b/>
          <w:bCs/>
          <w:sz w:val="24"/>
          <w:szCs w:val="24"/>
          <w:lang w:eastAsia="zh-CN"/>
        </w:rPr>
        <w:t>沂南县佳乐食品有限公司改扩建项目</w:t>
      </w:r>
    </w:p>
    <w:p>
      <w:pPr>
        <w:spacing w:after="0" w:line="360" w:lineRule="auto"/>
        <w:jc w:val="center"/>
        <w:rPr>
          <w:rFonts w:ascii="Times New Roman" w:hAnsi="Times New Roman" w:eastAsia="宋体" w:cs="Times New Roman"/>
          <w:b/>
          <w:bCs/>
          <w:sz w:val="24"/>
          <w:szCs w:val="24"/>
        </w:rPr>
      </w:pPr>
      <w:r>
        <w:rPr>
          <w:rFonts w:ascii="Times New Roman" w:hAnsi="宋体" w:eastAsia="宋体" w:cs="Times New Roman"/>
          <w:b/>
          <w:bCs/>
          <w:sz w:val="24"/>
          <w:szCs w:val="24"/>
        </w:rPr>
        <w:t>竣工环境保护验收工作其他需要说明的事项</w:t>
      </w:r>
    </w:p>
    <w:p>
      <w:pPr>
        <w:ind w:firstLine="482"/>
        <w:rPr>
          <w:rFonts w:ascii="Times New Roman" w:hAnsi="Times New Roman" w:eastAsia="宋体" w:cs="Times New Roman"/>
          <w:b/>
          <w:sz w:val="24"/>
          <w:szCs w:val="24"/>
        </w:rPr>
      </w:pPr>
      <w:r>
        <w:rPr>
          <w:rFonts w:ascii="Times New Roman" w:hAnsi="宋体" w:eastAsia="宋体" w:cs="Times New Roman"/>
          <w:b/>
          <w:sz w:val="24"/>
          <w:szCs w:val="24"/>
        </w:rPr>
        <w:t>一、验收过程简况</w:t>
      </w:r>
    </w:p>
    <w:p>
      <w:pPr>
        <w:spacing w:after="0" w:line="360" w:lineRule="auto"/>
        <w:ind w:firstLine="482"/>
        <w:rPr>
          <w:rFonts w:ascii="Times New Roman" w:hAnsi="Times New Roman" w:eastAsia="宋体" w:cs="Times New Roman"/>
          <w:sz w:val="24"/>
          <w:szCs w:val="24"/>
        </w:rPr>
      </w:pPr>
      <w:r>
        <w:rPr>
          <w:rFonts w:hint="eastAsia" w:ascii="Times New Roman" w:hAnsi="宋体" w:cs="Times New Roman"/>
          <w:sz w:val="24"/>
          <w:szCs w:val="24"/>
          <w:lang w:eastAsia="zh-CN"/>
        </w:rPr>
        <w:t>沂南县佳乐食品有限公司改扩建项目属于</w:t>
      </w:r>
      <w:r>
        <w:rPr>
          <w:rFonts w:ascii="Times New Roman" w:hAnsi="宋体" w:eastAsia="宋体" w:cs="Times New Roman"/>
          <w:sz w:val="24"/>
          <w:szCs w:val="24"/>
        </w:rPr>
        <w:t>，厂址位于</w:t>
      </w:r>
      <w:r>
        <w:rPr>
          <w:rFonts w:hint="eastAsia" w:ascii="Times New Roman" w:hAnsi="宋体" w:cs="Times New Roman"/>
          <w:sz w:val="24"/>
          <w:szCs w:val="24"/>
          <w:lang w:eastAsia="zh-CN"/>
        </w:rPr>
        <w:t>沂南县依汶镇薄板台村西北</w:t>
      </w:r>
      <w:r>
        <w:rPr>
          <w:rFonts w:ascii="Times New Roman" w:hAnsi="宋体" w:eastAsia="宋体" w:cs="Times New Roman"/>
          <w:sz w:val="24"/>
          <w:szCs w:val="24"/>
        </w:rPr>
        <w:t>。</w:t>
      </w:r>
      <w:r>
        <w:rPr>
          <w:rFonts w:hint="eastAsia" w:ascii="Times New Roman" w:hAnsi="Times New Roman" w:cs="Times New Roman"/>
          <w:bCs/>
          <w:sz w:val="24"/>
          <w:szCs w:val="24"/>
          <w:lang w:eastAsia="zh-CN"/>
        </w:rPr>
        <w:t>22019年7月，沂南县佳乐食品有限公司委托山东圣元环保科技有限公司承担该项目的环境影响评价工作</w:t>
      </w:r>
      <w:r>
        <w:rPr>
          <w:rFonts w:ascii="Times New Roman" w:hAnsi="宋体" w:eastAsia="宋体" w:cs="Times New Roman"/>
          <w:bCs/>
          <w:sz w:val="24"/>
          <w:szCs w:val="24"/>
        </w:rPr>
        <w:t>，并编制该项目建设环境影响报告</w:t>
      </w:r>
      <w:r>
        <w:rPr>
          <w:rFonts w:hint="eastAsia" w:ascii="Times New Roman" w:hAnsi="宋体" w:cs="Times New Roman"/>
          <w:bCs/>
          <w:sz w:val="24"/>
          <w:szCs w:val="24"/>
          <w:lang w:eastAsia="zh-CN"/>
        </w:rPr>
        <w:t>书</w:t>
      </w:r>
      <w:r>
        <w:rPr>
          <w:rFonts w:ascii="Times New Roman" w:hAnsi="宋体" w:eastAsia="宋体" w:cs="Times New Roman"/>
          <w:bCs/>
          <w:sz w:val="24"/>
          <w:szCs w:val="24"/>
        </w:rPr>
        <w:t>。</w:t>
      </w:r>
      <w:r>
        <w:rPr>
          <w:rFonts w:hint="eastAsia" w:ascii="Times New Roman" w:hAnsi="宋体" w:eastAsia="宋体" w:cs="Times New Roman"/>
          <w:bCs/>
          <w:sz w:val="24"/>
          <w:szCs w:val="24"/>
          <w:lang w:eastAsia="zh-CN"/>
        </w:rPr>
        <w:t>沂南县环境保护局</w:t>
      </w:r>
      <w:r>
        <w:rPr>
          <w:rFonts w:hint="eastAsia" w:ascii="Times New Roman" w:hAnsi="宋体" w:eastAsia="宋体" w:cs="Times New Roman"/>
          <w:bCs/>
          <w:sz w:val="24"/>
          <w:szCs w:val="24"/>
        </w:rPr>
        <w:t>于</w:t>
      </w:r>
      <w:r>
        <w:rPr>
          <w:rFonts w:hint="eastAsia" w:ascii="Times New Roman" w:hAnsi="宋体" w:eastAsia="宋体" w:cs="Times New Roman"/>
          <w:bCs/>
          <w:sz w:val="24"/>
          <w:szCs w:val="24"/>
          <w:lang w:eastAsia="zh-CN"/>
        </w:rPr>
        <w:t>2019年11月21日</w:t>
      </w:r>
      <w:r>
        <w:rPr>
          <w:rFonts w:hint="eastAsia" w:ascii="Times New Roman" w:hAnsi="宋体" w:eastAsia="宋体" w:cs="Times New Roman"/>
          <w:bCs/>
          <w:sz w:val="24"/>
          <w:szCs w:val="24"/>
        </w:rPr>
        <w:t>以</w:t>
      </w:r>
      <w:r>
        <w:rPr>
          <w:rFonts w:hint="eastAsia" w:ascii="Times New Roman" w:hAnsi="宋体" w:eastAsia="宋体" w:cs="Times New Roman"/>
          <w:bCs/>
          <w:sz w:val="24"/>
          <w:szCs w:val="24"/>
          <w:lang w:eastAsia="zh-CN"/>
        </w:rPr>
        <w:t>沂环评函[2019]37号</w:t>
      </w:r>
      <w:r>
        <w:rPr>
          <w:rFonts w:hint="eastAsia" w:ascii="Times New Roman" w:hAnsi="宋体" w:eastAsia="宋体" w:cs="Times New Roman"/>
          <w:bCs/>
          <w:sz w:val="24"/>
          <w:szCs w:val="24"/>
        </w:rPr>
        <w:t>予以批复。</w:t>
      </w:r>
      <w:r>
        <w:rPr>
          <w:rFonts w:ascii="Times New Roman" w:hAnsi="Times New Roman" w:eastAsia="宋体" w:cs="Times New Roman"/>
          <w:sz w:val="24"/>
          <w:szCs w:val="24"/>
        </w:rPr>
        <w:t>委托</w:t>
      </w:r>
      <w:r>
        <w:rPr>
          <w:rFonts w:hint="eastAsia" w:ascii="Times New Roman" w:hAnsi="Times New Roman" w:cs="Times New Roman"/>
          <w:sz w:val="24"/>
          <w:szCs w:val="24"/>
          <w:lang w:eastAsia="zh-CN"/>
        </w:rPr>
        <w:t>山东汇运环境科技有限公司</w:t>
      </w:r>
      <w:r>
        <w:rPr>
          <w:rFonts w:ascii="Times New Roman" w:hAnsi="Times New Roman" w:eastAsia="宋体" w:cs="Times New Roman"/>
          <w:sz w:val="24"/>
          <w:szCs w:val="24"/>
        </w:rPr>
        <w:t>对该项目进行了现场检测，并出具了检测报告。</w:t>
      </w:r>
      <w:r>
        <w:rPr>
          <w:rFonts w:hint="eastAsia" w:ascii="Times New Roman" w:hAnsi="Times New Roman" w:cs="Times New Roman"/>
          <w:sz w:val="24"/>
          <w:szCs w:val="24"/>
          <w:lang w:eastAsia="zh-CN"/>
        </w:rPr>
        <w:t>沂南县佳乐食品有限公司</w:t>
      </w:r>
      <w:r>
        <w:rPr>
          <w:rFonts w:ascii="Times New Roman" w:hAnsi="Times New Roman" w:eastAsia="宋体" w:cs="Times New Roman"/>
          <w:sz w:val="24"/>
          <w:szCs w:val="24"/>
        </w:rPr>
        <w:t>根据检测结果和现场检查情况进行整理和总结在此基础上编制了</w:t>
      </w:r>
      <w:r>
        <w:rPr>
          <w:rFonts w:hint="eastAsia" w:ascii="Times New Roman" w:hAnsi="Times New Roman" w:eastAsia="宋体" w:cs="Times New Roman"/>
          <w:sz w:val="24"/>
          <w:szCs w:val="24"/>
        </w:rPr>
        <w:t>该项目</w:t>
      </w:r>
      <w:r>
        <w:rPr>
          <w:rFonts w:ascii="Times New Roman" w:hAnsi="Times New Roman" w:eastAsia="宋体" w:cs="Times New Roman"/>
          <w:sz w:val="24"/>
          <w:szCs w:val="24"/>
        </w:rPr>
        <w:t>验收监测报告。</w:t>
      </w:r>
    </w:p>
    <w:p>
      <w:pPr>
        <w:spacing w:after="0" w:line="360" w:lineRule="auto"/>
        <w:ind w:firstLine="482"/>
        <w:rPr>
          <w:rFonts w:ascii="Times New Roman" w:hAnsi="Times New Roman" w:eastAsia="宋体" w:cs="Times New Roman"/>
          <w:sz w:val="24"/>
          <w:szCs w:val="24"/>
        </w:rPr>
      </w:pPr>
      <w:r>
        <w:rPr>
          <w:rFonts w:hint="eastAsia" w:ascii="Times New Roman" w:hAnsi="宋体" w:cs="Times New Roman"/>
          <w:color w:val="auto"/>
          <w:sz w:val="24"/>
          <w:szCs w:val="24"/>
          <w:lang w:eastAsia="zh-CN"/>
        </w:rPr>
        <w:t>沂南县佳乐食品有限公司</w:t>
      </w:r>
      <w:r>
        <w:rPr>
          <w:rFonts w:ascii="Times New Roman" w:hAnsi="宋体" w:eastAsia="宋体" w:cs="Times New Roman"/>
          <w:color w:val="auto"/>
          <w:sz w:val="24"/>
          <w:szCs w:val="24"/>
        </w:rPr>
        <w:t>根据《</w:t>
      </w:r>
      <w:r>
        <w:rPr>
          <w:rFonts w:hint="eastAsia" w:ascii="Times New Roman" w:hAnsi="宋体" w:cs="Times New Roman"/>
          <w:color w:val="auto"/>
          <w:sz w:val="24"/>
          <w:szCs w:val="24"/>
          <w:lang w:eastAsia="zh-CN"/>
        </w:rPr>
        <w:t>沂南县佳乐食品有限公司改扩建项目</w:t>
      </w:r>
      <w:r>
        <w:rPr>
          <w:rFonts w:ascii="Times New Roman" w:hAnsi="宋体" w:eastAsia="宋体" w:cs="Times New Roman"/>
          <w:color w:val="auto"/>
          <w:sz w:val="24"/>
          <w:szCs w:val="24"/>
        </w:rPr>
        <w:t>竣工环境保护验收监测报告》并对照《</w:t>
      </w:r>
      <w:r>
        <w:rPr>
          <w:rFonts w:ascii="Times New Roman" w:hAnsi="宋体" w:eastAsia="宋体" w:cs="Times New Roman"/>
          <w:sz w:val="24"/>
          <w:szCs w:val="24"/>
        </w:rPr>
        <w:t>建设项目竣工环境保护验收暂行办法》，严格依照国家有关法律法规、建设项目竣工环境保护验收技术规范、本项目环境影响评价报告表和审批部门审批决定等要求组织了项目竣工环境保护验收现场检查会。验收会成立了项目竣工环境保护验收工作组，听取了建设单位关于项目环保执行情况的介绍、</w:t>
      </w:r>
      <w:r>
        <w:rPr>
          <w:rFonts w:hint="eastAsia" w:ascii="Times New Roman" w:hAnsi="宋体" w:cs="Times New Roman"/>
          <w:sz w:val="24"/>
          <w:szCs w:val="24"/>
          <w:lang w:eastAsia="zh-CN"/>
        </w:rPr>
        <w:t>山东汇运环境科技有限公司</w:t>
      </w:r>
      <w:r>
        <w:rPr>
          <w:rFonts w:ascii="Times New Roman" w:hAnsi="宋体" w:eastAsia="宋体" w:cs="Times New Roman"/>
          <w:sz w:val="24"/>
          <w:szCs w:val="24"/>
        </w:rPr>
        <w:t>关于项目竣工环境保护验收监测等情况的汇报，现场检查了项目及环保设施的建设、运行情况，审阅并核实了有关资料。经认真讨论，形成验收意见如下：</w:t>
      </w:r>
    </w:p>
    <w:p>
      <w:pPr>
        <w:spacing w:after="0" w:line="360" w:lineRule="auto"/>
        <w:ind w:firstLine="480"/>
        <w:rPr>
          <w:rFonts w:ascii="Times New Roman" w:hAnsi="Times New Roman" w:eastAsia="宋体" w:cs="Times New Roman"/>
          <w:sz w:val="24"/>
          <w:szCs w:val="24"/>
        </w:rPr>
      </w:pPr>
      <w:r>
        <w:rPr>
          <w:rFonts w:ascii="宋体" w:hAnsi="宋体" w:eastAsia="宋体" w:cs="Times New Roman"/>
          <w:sz w:val="24"/>
          <w:szCs w:val="24"/>
        </w:rPr>
        <w:t>“</w:t>
      </w:r>
      <w:r>
        <w:rPr>
          <w:rFonts w:hint="eastAsia" w:ascii="Times New Roman" w:hAnsi="宋体" w:cs="Times New Roman"/>
          <w:sz w:val="24"/>
          <w:szCs w:val="24"/>
          <w:lang w:eastAsia="zh-CN"/>
        </w:rPr>
        <w:t>沂南县佳乐食品有限公司改扩建项目</w:t>
      </w:r>
      <w:r>
        <w:rPr>
          <w:rFonts w:ascii="宋体" w:hAnsi="宋体" w:eastAsia="宋体" w:cs="Times New Roman"/>
          <w:sz w:val="24"/>
          <w:szCs w:val="24"/>
        </w:rPr>
        <w:t>”</w:t>
      </w:r>
      <w:r>
        <w:rPr>
          <w:rFonts w:ascii="Times New Roman" w:hAnsi="宋体" w:eastAsia="宋体" w:cs="Times New Roman"/>
          <w:sz w:val="24"/>
          <w:szCs w:val="24"/>
        </w:rPr>
        <w:t>遵守了环境影响评价制度，环境影响评价文件及批复、企业环保管理制度等资料齐全。项目基本落实了环评批复中的各项环保要求，环境保护管理制度基本满足日常工作需要，废气、废水、噪声、固体废弃物能够实现达标排放或综合利用。项目总体符合建设项目竣工环境保护验收条件，同意通过验收。</w:t>
      </w:r>
    </w:p>
    <w:p>
      <w:pPr>
        <w:spacing w:after="0" w:line="360" w:lineRule="auto"/>
        <w:ind w:firstLine="482"/>
        <w:rPr>
          <w:rFonts w:ascii="Times New Roman" w:hAnsi="Times New Roman" w:eastAsia="宋体" w:cs="Times New Roman"/>
          <w:b/>
          <w:sz w:val="24"/>
          <w:szCs w:val="24"/>
        </w:rPr>
      </w:pPr>
      <w:r>
        <w:rPr>
          <w:rFonts w:ascii="Times New Roman" w:hAnsi="宋体" w:eastAsia="宋体" w:cs="Times New Roman"/>
          <w:b/>
          <w:sz w:val="24"/>
          <w:szCs w:val="24"/>
        </w:rPr>
        <w:t>二、其他环境保护措施落实情况</w:t>
      </w:r>
    </w:p>
    <w:p>
      <w:pPr>
        <w:spacing w:after="0" w:line="360" w:lineRule="auto"/>
        <w:ind w:firstLine="480"/>
        <w:rPr>
          <w:rFonts w:ascii="Times New Roman" w:hAnsi="Times New Roman" w:eastAsia="宋体" w:cs="Times New Roman"/>
          <w:sz w:val="24"/>
          <w:szCs w:val="24"/>
        </w:rPr>
      </w:pPr>
      <w:r>
        <w:rPr>
          <w:rFonts w:ascii="Times New Roman" w:hAnsi="Times New Roman" w:eastAsia="宋体" w:cs="Times New Roman"/>
          <w:sz w:val="24"/>
          <w:szCs w:val="24"/>
        </w:rPr>
        <w:t>1</w:t>
      </w:r>
      <w:r>
        <w:rPr>
          <w:rFonts w:ascii="Times New Roman" w:hAnsi="宋体" w:eastAsia="宋体" w:cs="Times New Roman"/>
          <w:sz w:val="24"/>
          <w:szCs w:val="24"/>
        </w:rPr>
        <w:t>、制度措施落实情况</w:t>
      </w:r>
    </w:p>
    <w:p>
      <w:pPr>
        <w:spacing w:after="0" w:line="360" w:lineRule="auto"/>
        <w:ind w:firstLine="480"/>
        <w:rPr>
          <w:rFonts w:ascii="Times New Roman" w:hAnsi="Times New Roman" w:eastAsia="宋体" w:cs="Times New Roman"/>
          <w:sz w:val="24"/>
          <w:szCs w:val="24"/>
        </w:rPr>
      </w:pPr>
      <w:r>
        <w:rPr>
          <w:rFonts w:ascii="Times New Roman" w:hAnsi="宋体" w:eastAsia="宋体" w:cs="Times New Roman"/>
          <w:sz w:val="24"/>
          <w:szCs w:val="24"/>
        </w:rPr>
        <w:t>（</w:t>
      </w:r>
      <w:r>
        <w:rPr>
          <w:rFonts w:ascii="Times New Roman" w:hAnsi="Times New Roman" w:eastAsia="宋体" w:cs="Times New Roman"/>
          <w:sz w:val="24"/>
          <w:szCs w:val="24"/>
        </w:rPr>
        <w:t>1</w:t>
      </w:r>
      <w:r>
        <w:rPr>
          <w:rFonts w:ascii="Times New Roman" w:hAnsi="宋体" w:eastAsia="宋体" w:cs="Times New Roman"/>
          <w:sz w:val="24"/>
          <w:szCs w:val="24"/>
        </w:rPr>
        <w:t>）环保组织机构及规章制度</w:t>
      </w:r>
    </w:p>
    <w:p>
      <w:pPr>
        <w:spacing w:after="0" w:line="360" w:lineRule="auto"/>
        <w:ind w:firstLine="480"/>
        <w:rPr>
          <w:rFonts w:ascii="Times New Roman" w:hAnsi="Times New Roman" w:eastAsia="宋体" w:cs="Times New Roman"/>
          <w:sz w:val="24"/>
          <w:szCs w:val="24"/>
        </w:rPr>
      </w:pPr>
      <w:r>
        <w:rPr>
          <w:rFonts w:ascii="Times New Roman" w:hAnsi="宋体" w:eastAsia="宋体" w:cs="Times New Roman"/>
          <w:sz w:val="24"/>
          <w:szCs w:val="24"/>
        </w:rPr>
        <w:t>项目设置了安全环保部门，制定了完善的环境管理制度</w:t>
      </w:r>
      <w:r>
        <w:rPr>
          <w:rFonts w:hint="eastAsia" w:ascii="Times New Roman" w:hAnsi="宋体" w:eastAsia="宋体" w:cs="Times New Roman"/>
          <w:sz w:val="24"/>
          <w:szCs w:val="24"/>
        </w:rPr>
        <w:t>，正在按要求制定环境</w:t>
      </w:r>
      <w:r>
        <w:rPr>
          <w:rFonts w:ascii="Times New Roman" w:hAnsi="宋体" w:eastAsia="宋体" w:cs="Times New Roman"/>
          <w:sz w:val="24"/>
          <w:szCs w:val="24"/>
        </w:rPr>
        <w:t>监测计划</w:t>
      </w:r>
      <w:r>
        <w:rPr>
          <w:rFonts w:hint="eastAsia" w:ascii="Times New Roman" w:hAnsi="宋体" w:eastAsia="宋体" w:cs="Times New Roman"/>
          <w:sz w:val="24"/>
          <w:szCs w:val="24"/>
        </w:rPr>
        <w:t>并委托有能力单位进行监测</w:t>
      </w:r>
      <w:r>
        <w:rPr>
          <w:rFonts w:ascii="Times New Roman" w:hAnsi="宋体" w:eastAsia="宋体" w:cs="Times New Roman"/>
          <w:sz w:val="24"/>
          <w:szCs w:val="24"/>
        </w:rPr>
        <w:t>，</w:t>
      </w:r>
      <w:r>
        <w:rPr>
          <w:rFonts w:hint="eastAsia" w:ascii="Times New Roman" w:hAnsi="宋体" w:eastAsia="宋体" w:cs="Times New Roman"/>
          <w:sz w:val="24"/>
          <w:szCs w:val="24"/>
        </w:rPr>
        <w:t>定期按要求落实</w:t>
      </w:r>
      <w:r>
        <w:rPr>
          <w:rFonts w:hint="eastAsia" w:ascii="Times New Roman" w:hAnsi="宋体" w:cs="Times New Roman"/>
          <w:sz w:val="24"/>
          <w:szCs w:val="24"/>
          <w:lang w:eastAsia="zh-CN"/>
        </w:rPr>
        <w:t>环境管理</w:t>
      </w:r>
      <w:r>
        <w:rPr>
          <w:rFonts w:ascii="Times New Roman" w:hAnsi="宋体" w:eastAsia="宋体" w:cs="Times New Roman"/>
          <w:sz w:val="24"/>
          <w:szCs w:val="24"/>
        </w:rPr>
        <w:t>台账记录等。</w:t>
      </w:r>
    </w:p>
    <w:p>
      <w:pPr>
        <w:numPr>
          <w:ilvl w:val="0"/>
          <w:numId w:val="1"/>
        </w:numPr>
        <w:spacing w:after="0" w:line="360" w:lineRule="auto"/>
        <w:ind w:left="0" w:leftChars="0" w:firstLine="480" w:firstLineChars="200"/>
        <w:rPr>
          <w:rFonts w:ascii="Times New Roman" w:hAnsi="宋体" w:eastAsia="宋体" w:cs="Times New Roman"/>
          <w:sz w:val="24"/>
          <w:szCs w:val="24"/>
        </w:rPr>
      </w:pPr>
      <w:r>
        <w:rPr>
          <w:rFonts w:ascii="Times New Roman" w:hAnsi="宋体" w:eastAsia="宋体" w:cs="Times New Roman"/>
          <w:sz w:val="24"/>
          <w:szCs w:val="24"/>
        </w:rPr>
        <w:t>环境风险防范措施</w:t>
      </w:r>
    </w:p>
    <w:p>
      <w:pPr>
        <w:pStyle w:val="5"/>
        <w:keepNext w:val="0"/>
        <w:keepLines w:val="0"/>
        <w:pageBreakBefore w:val="0"/>
        <w:widowControl w:val="0"/>
        <w:kinsoku/>
        <w:wordWrap/>
        <w:overflowPunct/>
        <w:topLinePunct w:val="0"/>
        <w:autoSpaceDE w:val="0"/>
        <w:autoSpaceDN w:val="0"/>
        <w:bidi w:val="0"/>
        <w:adjustRightInd w:val="0"/>
        <w:snapToGrid w:val="0"/>
        <w:spacing w:before="0" w:line="360" w:lineRule="auto"/>
        <w:ind w:left="0" w:right="0" w:firstLine="480" w:firstLineChars="200"/>
        <w:textAlignment w:val="auto"/>
        <w:rPr>
          <w:rFonts w:ascii="Calibri" w:hAnsi="Calibri" w:eastAsia="Calibri"/>
          <w:position w:val="2"/>
        </w:rPr>
      </w:pPr>
      <w:bookmarkStart w:id="3" w:name="_Toc29731"/>
      <w:bookmarkStart w:id="4" w:name="_Toc30013"/>
      <w:r>
        <w:rPr>
          <w:rFonts w:hint="eastAsia" w:ascii="Calibri" w:hAnsi="Calibri" w:eastAsia="Calibri" w:cs="宋体"/>
          <w:position w:val="2"/>
          <w:lang w:eastAsia="zh-CN"/>
        </w:rPr>
        <w:t>根据项目环评，</w:t>
      </w:r>
      <w:r>
        <w:rPr>
          <w:rFonts w:hint="default" w:ascii="Calibri" w:hAnsi="Calibri" w:eastAsia="Calibri" w:cs="宋体"/>
          <w:position w:val="2"/>
        </w:rPr>
        <w:t>项目具有潜在的泄露、火灾、爆炸、环境污染等事故风险，事故发生的概率较低，</w:t>
      </w:r>
      <w:r>
        <w:rPr>
          <w:rFonts w:hint="eastAsia" w:ascii="Calibri" w:hAnsi="Calibri" w:eastAsia="Calibri" w:cs="宋体"/>
          <w:position w:val="2"/>
          <w:lang w:eastAsia="zh-CN"/>
        </w:rPr>
        <w:t>项目</w:t>
      </w:r>
      <w:r>
        <w:rPr>
          <w:rFonts w:hint="default" w:ascii="Calibri" w:hAnsi="Calibri" w:eastAsia="Calibri" w:cs="宋体"/>
          <w:position w:val="2"/>
        </w:rPr>
        <w:t>从管理、储存、使用等环节采取相应的预防保护措施</w:t>
      </w:r>
      <w:r>
        <w:rPr>
          <w:rFonts w:hint="eastAsia" w:ascii="Calibri" w:hAnsi="Calibri" w:eastAsia="Calibri" w:cs="宋体"/>
          <w:position w:val="2"/>
          <w:lang w:eastAsia="zh-CN"/>
        </w:rPr>
        <w:t>确保安全生产</w:t>
      </w:r>
      <w:r>
        <w:rPr>
          <w:rFonts w:ascii="Calibri" w:hAnsi="Calibri" w:eastAsia="Calibri"/>
          <w:position w:val="2"/>
        </w:rPr>
        <w:t>。</w:t>
      </w:r>
    </w:p>
    <w:bookmarkEnd w:id="3"/>
    <w:p>
      <w:pPr>
        <w:pStyle w:val="5"/>
        <w:keepNext w:val="0"/>
        <w:keepLines w:val="0"/>
        <w:pageBreakBefore w:val="0"/>
        <w:widowControl w:val="0"/>
        <w:numPr>
          <w:ilvl w:val="0"/>
          <w:numId w:val="2"/>
        </w:numPr>
        <w:kinsoku/>
        <w:wordWrap/>
        <w:overflowPunct/>
        <w:topLinePunct w:val="0"/>
        <w:autoSpaceDE w:val="0"/>
        <w:autoSpaceDN w:val="0"/>
        <w:bidi w:val="0"/>
        <w:adjustRightInd w:val="0"/>
        <w:snapToGrid w:val="0"/>
        <w:spacing w:before="0" w:line="360" w:lineRule="auto"/>
        <w:ind w:left="0" w:right="0" w:firstLine="480" w:firstLineChars="200"/>
        <w:textAlignment w:val="auto"/>
        <w:rPr>
          <w:rFonts w:hint="eastAsia" w:ascii="Calibri" w:hAnsi="Calibri" w:eastAsia="Calibri"/>
          <w:position w:val="2"/>
          <w:lang w:eastAsia="zh-CN"/>
        </w:rPr>
      </w:pPr>
      <w:r>
        <w:rPr>
          <w:rFonts w:hint="eastAsia" w:ascii="Calibri" w:hAnsi="Calibri" w:eastAsia="Calibri"/>
          <w:position w:val="2"/>
          <w:lang w:eastAsia="zh-CN"/>
        </w:rPr>
        <w:t>运输</w:t>
      </w:r>
    </w:p>
    <w:p>
      <w:pPr>
        <w:pStyle w:val="5"/>
        <w:keepNext w:val="0"/>
        <w:keepLines w:val="0"/>
        <w:pageBreakBefore w:val="0"/>
        <w:widowControl w:val="0"/>
        <w:numPr>
          <w:ilvl w:val="0"/>
          <w:numId w:val="0"/>
        </w:numPr>
        <w:kinsoku/>
        <w:wordWrap/>
        <w:overflowPunct/>
        <w:topLinePunct w:val="0"/>
        <w:autoSpaceDE w:val="0"/>
        <w:autoSpaceDN w:val="0"/>
        <w:bidi w:val="0"/>
        <w:adjustRightInd w:val="0"/>
        <w:snapToGrid w:val="0"/>
        <w:spacing w:before="0" w:line="360" w:lineRule="auto"/>
        <w:ind w:right="0" w:rightChars="0" w:firstLine="480" w:firstLineChars="200"/>
        <w:textAlignment w:val="auto"/>
        <w:rPr>
          <w:rFonts w:hint="eastAsia" w:ascii="Calibri" w:hAnsi="Calibri" w:eastAsia="Calibri"/>
          <w:position w:val="2"/>
          <w:lang w:eastAsia="zh-CN"/>
        </w:rPr>
      </w:pPr>
      <w:r>
        <w:rPr>
          <w:rFonts w:hint="eastAsia" w:ascii="Calibri" w:hAnsi="Calibri" w:eastAsia="Calibri"/>
          <w:position w:val="2"/>
          <w:lang w:eastAsia="zh-CN"/>
        </w:rPr>
        <w:t>液氨在公路运输过程中易发生危险事故，运输全部由供货商负责。</w:t>
      </w:r>
    </w:p>
    <w:p>
      <w:pPr>
        <w:pStyle w:val="5"/>
        <w:keepNext w:val="0"/>
        <w:keepLines w:val="0"/>
        <w:pageBreakBefore w:val="0"/>
        <w:widowControl w:val="0"/>
        <w:numPr>
          <w:ilvl w:val="0"/>
          <w:numId w:val="2"/>
        </w:numPr>
        <w:kinsoku/>
        <w:wordWrap/>
        <w:overflowPunct/>
        <w:topLinePunct w:val="0"/>
        <w:autoSpaceDE w:val="0"/>
        <w:autoSpaceDN w:val="0"/>
        <w:bidi w:val="0"/>
        <w:adjustRightInd w:val="0"/>
        <w:snapToGrid w:val="0"/>
        <w:spacing w:before="0" w:line="360" w:lineRule="auto"/>
        <w:ind w:left="0" w:leftChars="0" w:right="0" w:rightChars="0" w:firstLine="480" w:firstLineChars="200"/>
        <w:textAlignment w:val="auto"/>
        <w:rPr>
          <w:rFonts w:hint="eastAsia" w:ascii="Calibri" w:hAnsi="Calibri" w:eastAsia="Calibri"/>
          <w:position w:val="2"/>
          <w:lang w:eastAsia="zh-CN"/>
        </w:rPr>
      </w:pPr>
      <w:r>
        <w:rPr>
          <w:rFonts w:hint="eastAsia" w:ascii="Calibri" w:hAnsi="Calibri" w:eastAsia="Calibri"/>
          <w:position w:val="2"/>
          <w:lang w:eastAsia="zh-CN"/>
        </w:rPr>
        <w:t>储存</w:t>
      </w:r>
    </w:p>
    <w:p>
      <w:pPr>
        <w:pStyle w:val="5"/>
        <w:keepNext w:val="0"/>
        <w:keepLines w:val="0"/>
        <w:pageBreakBefore w:val="0"/>
        <w:widowControl w:val="0"/>
        <w:kinsoku/>
        <w:wordWrap/>
        <w:overflowPunct/>
        <w:topLinePunct w:val="0"/>
        <w:autoSpaceDE w:val="0"/>
        <w:autoSpaceDN w:val="0"/>
        <w:bidi w:val="0"/>
        <w:adjustRightInd w:val="0"/>
        <w:snapToGrid w:val="0"/>
        <w:spacing w:before="0" w:line="360" w:lineRule="auto"/>
        <w:ind w:right="0" w:firstLine="480" w:firstLineChars="200"/>
        <w:textAlignment w:val="auto"/>
      </w:pPr>
      <w:r>
        <w:rPr>
          <w:rFonts w:hint="eastAsia"/>
          <w:lang w:eastAsia="zh-CN"/>
        </w:rPr>
        <w:t>项目</w:t>
      </w:r>
      <w:r>
        <w:t>仓储要密封、单独储存，与性质相抵触的危险物品分开储存。</w:t>
      </w:r>
      <w:r>
        <w:rPr>
          <w:rFonts w:hint="eastAsia"/>
          <w:lang w:eastAsia="zh-CN"/>
        </w:rPr>
        <w:t>项目所用</w:t>
      </w:r>
      <w:r>
        <w:t>储存氨的容器为压力容器，定期检验，仓库储存通风，阴凉，</w:t>
      </w:r>
      <w:r>
        <w:rPr>
          <w:rFonts w:hint="eastAsia"/>
          <w:lang w:eastAsia="zh-CN"/>
        </w:rPr>
        <w:t>仓库</w:t>
      </w:r>
      <w:r>
        <w:t>远离热源、火种，防止阳光直射。</w:t>
      </w:r>
      <w:r>
        <w:rPr>
          <w:rFonts w:hint="eastAsia"/>
          <w:lang w:eastAsia="zh-CN"/>
        </w:rPr>
        <w:t>仓库</w:t>
      </w:r>
      <w:r>
        <w:t>现场配有固定消防设施。</w:t>
      </w:r>
      <w:r>
        <w:rPr>
          <w:rFonts w:hint="eastAsia"/>
          <w:lang w:eastAsia="zh-CN"/>
        </w:rPr>
        <w:t>项目配备</w:t>
      </w:r>
      <w:r>
        <w:t>液氨储罐专门的氨储罐房</w:t>
      </w:r>
      <w:r>
        <w:rPr>
          <w:rFonts w:hint="eastAsia"/>
          <w:lang w:eastAsia="zh-CN"/>
        </w:rPr>
        <w:t>，</w:t>
      </w:r>
      <w:r>
        <w:t>并设有事故污水收集系统。</w:t>
      </w:r>
    </w:p>
    <w:p>
      <w:pPr>
        <w:pStyle w:val="5"/>
        <w:keepNext w:val="0"/>
        <w:keepLines w:val="0"/>
        <w:pageBreakBefore w:val="0"/>
        <w:widowControl w:val="0"/>
        <w:numPr>
          <w:ilvl w:val="0"/>
          <w:numId w:val="2"/>
        </w:numPr>
        <w:kinsoku/>
        <w:wordWrap/>
        <w:overflowPunct/>
        <w:topLinePunct w:val="0"/>
        <w:autoSpaceDE w:val="0"/>
        <w:autoSpaceDN w:val="0"/>
        <w:bidi w:val="0"/>
        <w:adjustRightInd w:val="0"/>
        <w:snapToGrid w:val="0"/>
        <w:spacing w:before="0" w:line="360" w:lineRule="auto"/>
        <w:ind w:left="0" w:leftChars="0" w:right="0" w:rightChars="0" w:firstLine="480" w:firstLineChars="200"/>
        <w:textAlignment w:val="auto"/>
        <w:rPr>
          <w:rFonts w:hint="eastAsia" w:ascii="Calibri" w:hAnsi="Calibri" w:eastAsia="Calibri"/>
          <w:position w:val="2"/>
          <w:lang w:val="en-US" w:eastAsia="zh-CN"/>
        </w:rPr>
      </w:pPr>
      <w:r>
        <w:rPr>
          <w:rFonts w:hint="eastAsia" w:ascii="Calibri" w:hAnsi="Calibri" w:eastAsia="Calibri"/>
          <w:position w:val="2"/>
          <w:lang w:val="en-US" w:eastAsia="zh-CN"/>
        </w:rPr>
        <w:t>三级防控体系</w:t>
      </w:r>
    </w:p>
    <w:p>
      <w:pPr>
        <w:adjustRightInd w:val="0"/>
        <w:snapToGrid w:val="0"/>
        <w:spacing w:line="360" w:lineRule="auto"/>
        <w:ind w:firstLine="480"/>
      </w:pPr>
      <w:r>
        <w:rPr>
          <w:rFonts w:hint="default" w:ascii="Calibri" w:hAnsi="Calibri" w:eastAsia="Calibri"/>
          <w:position w:val="2"/>
          <w:lang w:val="en-US" w:eastAsia="zh-CN"/>
        </w:rPr>
        <w:t>为了防止事故污水对周围环境水体的影响，项目按照鲁环发[2009]80号文的要求，建立三级防控体系，确保事故状态下污染物不外排</w:t>
      </w:r>
      <w:r>
        <w:rPr>
          <w:rFonts w:hint="eastAsia" w:eastAsia="Calibri"/>
          <w:position w:val="2"/>
          <w:lang w:val="en-US" w:eastAsia="zh-CN"/>
        </w:rPr>
        <w:t>。</w:t>
      </w:r>
    </w:p>
    <w:bookmarkEnd w:id="4"/>
    <w:p>
      <w:pPr>
        <w:spacing w:after="0" w:line="360" w:lineRule="auto"/>
        <w:ind w:firstLine="480"/>
        <w:rPr>
          <w:rFonts w:ascii="Times New Roman" w:hAnsi="Times New Roman" w:eastAsia="宋体" w:cs="Times New Roman"/>
          <w:sz w:val="24"/>
          <w:szCs w:val="24"/>
        </w:rPr>
      </w:pPr>
      <w:r>
        <w:rPr>
          <w:rFonts w:ascii="Times New Roman" w:hAnsi="宋体" w:eastAsia="宋体" w:cs="Times New Roman"/>
          <w:sz w:val="24"/>
          <w:szCs w:val="24"/>
        </w:rPr>
        <w:t>（</w:t>
      </w:r>
      <w:r>
        <w:rPr>
          <w:rFonts w:ascii="Times New Roman" w:hAnsi="Times New Roman" w:eastAsia="宋体" w:cs="Times New Roman"/>
          <w:sz w:val="24"/>
          <w:szCs w:val="24"/>
        </w:rPr>
        <w:t>3</w:t>
      </w:r>
      <w:r>
        <w:rPr>
          <w:rFonts w:ascii="Times New Roman" w:hAnsi="宋体" w:eastAsia="宋体" w:cs="Times New Roman"/>
          <w:sz w:val="24"/>
          <w:szCs w:val="24"/>
        </w:rPr>
        <w:t>）环境监测计划</w:t>
      </w:r>
    </w:p>
    <w:p>
      <w:pPr>
        <w:spacing w:after="0" w:line="360" w:lineRule="auto"/>
        <w:ind w:firstLine="480"/>
        <w:rPr>
          <w:rFonts w:ascii="Times New Roman" w:hAnsi="Times New Roman" w:eastAsia="宋体" w:cs="Times New Roman"/>
          <w:sz w:val="24"/>
          <w:szCs w:val="24"/>
        </w:rPr>
      </w:pPr>
      <w:r>
        <w:rPr>
          <w:rFonts w:hint="eastAsia" w:ascii="Times New Roman" w:hAnsi="宋体" w:cs="Times New Roman"/>
          <w:sz w:val="24"/>
          <w:szCs w:val="24"/>
          <w:lang w:eastAsia="zh-CN"/>
        </w:rPr>
        <w:t>沂南县佳乐食品有限公司</w:t>
      </w:r>
      <w:r>
        <w:rPr>
          <w:rFonts w:ascii="Times New Roman" w:hAnsi="宋体" w:eastAsia="宋体" w:cs="Times New Roman"/>
          <w:sz w:val="24"/>
          <w:szCs w:val="24"/>
        </w:rPr>
        <w:t>定期委托有相应监测能力单位对外排污染物进行监测，对厂区的废气、噪声定期进行监测，定期统计固废产生、处置记录。</w:t>
      </w:r>
    </w:p>
    <w:p>
      <w:pPr>
        <w:spacing w:after="0" w:line="360" w:lineRule="auto"/>
        <w:ind w:firstLine="480"/>
        <w:rPr>
          <w:rFonts w:ascii="Times New Roman" w:hAnsi="Times New Roman" w:eastAsia="宋体" w:cs="Times New Roman"/>
          <w:sz w:val="24"/>
          <w:szCs w:val="24"/>
        </w:rPr>
      </w:pPr>
      <w:r>
        <w:rPr>
          <w:rFonts w:ascii="Times New Roman" w:hAnsi="Times New Roman" w:eastAsia="宋体" w:cs="Times New Roman"/>
          <w:sz w:val="24"/>
          <w:szCs w:val="24"/>
        </w:rPr>
        <w:t>2</w:t>
      </w:r>
      <w:r>
        <w:rPr>
          <w:rFonts w:ascii="Times New Roman" w:hAnsi="宋体" w:eastAsia="宋体" w:cs="Times New Roman"/>
          <w:sz w:val="24"/>
          <w:szCs w:val="24"/>
        </w:rPr>
        <w:t>、配套措施落实情况</w:t>
      </w:r>
    </w:p>
    <w:p>
      <w:pPr>
        <w:spacing w:after="0" w:line="360" w:lineRule="auto"/>
        <w:ind w:firstLine="480"/>
        <w:rPr>
          <w:rFonts w:ascii="Times New Roman" w:hAnsi="Times New Roman" w:eastAsia="宋体" w:cs="Times New Roman"/>
          <w:sz w:val="24"/>
          <w:szCs w:val="24"/>
        </w:rPr>
      </w:pPr>
      <w:r>
        <w:rPr>
          <w:rFonts w:ascii="Times New Roman" w:hAnsi="宋体" w:eastAsia="宋体" w:cs="Times New Roman"/>
          <w:sz w:val="24"/>
          <w:szCs w:val="24"/>
        </w:rPr>
        <w:t>（</w:t>
      </w:r>
      <w:r>
        <w:rPr>
          <w:rFonts w:ascii="Times New Roman" w:hAnsi="Times New Roman" w:eastAsia="宋体" w:cs="Times New Roman"/>
          <w:sz w:val="24"/>
          <w:szCs w:val="24"/>
        </w:rPr>
        <w:t>1</w:t>
      </w:r>
      <w:r>
        <w:rPr>
          <w:rFonts w:ascii="Times New Roman" w:hAnsi="宋体" w:eastAsia="宋体" w:cs="Times New Roman"/>
          <w:sz w:val="24"/>
          <w:szCs w:val="24"/>
        </w:rPr>
        <w:t>）防护距离控制</w:t>
      </w:r>
    </w:p>
    <w:p>
      <w:pPr>
        <w:ind w:firstLine="480"/>
        <w:rPr>
          <w:rFonts w:hint="default" w:ascii="Times New Roman" w:hAnsi="Times New Roman" w:eastAsia="宋体" w:cs="Times New Roman"/>
          <w:color w:val="auto"/>
          <w:lang w:eastAsia="zh-CN"/>
        </w:rPr>
      </w:pPr>
      <w:r>
        <w:rPr>
          <w:rFonts w:hint="eastAsia" w:ascii="Times New Roman" w:hAnsi="Times New Roman" w:eastAsia="宋体" w:cs="Times New Roman"/>
          <w:kern w:val="0"/>
          <w:sz w:val="24"/>
          <w:szCs w:val="24"/>
          <w:lang w:val="en-US" w:eastAsia="zh-CN" w:bidi="ar-SA"/>
        </w:rPr>
        <w:t>根据项目环评确定本</w:t>
      </w:r>
      <w:r>
        <w:rPr>
          <w:rFonts w:hint="default" w:ascii="Times New Roman" w:hAnsi="Times New Roman" w:eastAsia="宋体" w:cs="Times New Roman"/>
          <w:kern w:val="0"/>
          <w:sz w:val="24"/>
          <w:szCs w:val="24"/>
          <w:lang w:val="en-US" w:eastAsia="zh-CN" w:bidi="ar-SA"/>
        </w:rPr>
        <w:t>项</w:t>
      </w:r>
      <w:r>
        <w:rPr>
          <w:rFonts w:hint="eastAsia" w:ascii="Times New Roman" w:hAnsi="Times New Roman" w:eastAsia="宋体" w:cs="Times New Roman"/>
          <w:kern w:val="0"/>
          <w:sz w:val="24"/>
          <w:szCs w:val="24"/>
          <w:lang w:val="en-US" w:eastAsia="zh-CN" w:bidi="ar-SA"/>
        </w:rPr>
        <w:t>目</w:t>
      </w:r>
      <w:r>
        <w:rPr>
          <w:rFonts w:hint="default" w:ascii="Times New Roman" w:hAnsi="Times New Roman" w:eastAsia="宋体" w:cs="Times New Roman"/>
          <w:color w:val="auto"/>
          <w:kern w:val="0"/>
          <w:sz w:val="24"/>
          <w:szCs w:val="24"/>
        </w:rPr>
        <w:t>卫生防护距离</w:t>
      </w:r>
      <w:r>
        <w:rPr>
          <w:rFonts w:hint="eastAsia" w:ascii="Times New Roman" w:hAnsi="Times New Roman" w:cs="Times New Roman"/>
          <w:color w:val="auto"/>
          <w:kern w:val="0"/>
          <w:sz w:val="24"/>
          <w:szCs w:val="24"/>
          <w:lang w:eastAsia="zh-CN"/>
        </w:rPr>
        <w:t>污水站、待宰圈、屠宰车间外围100m</w:t>
      </w:r>
      <w:r>
        <w:rPr>
          <w:rFonts w:hint="default" w:ascii="Times New Roman" w:hAnsi="Times New Roman" w:eastAsia="宋体" w:cs="Times New Roman"/>
          <w:color w:val="auto"/>
          <w:kern w:val="0"/>
          <w:sz w:val="24"/>
          <w:szCs w:val="24"/>
        </w:rPr>
        <w:t>。</w:t>
      </w:r>
      <w:r>
        <w:rPr>
          <w:rFonts w:hint="default" w:ascii="Times New Roman" w:hAnsi="Times New Roman" w:eastAsia="宋体" w:cs="Times New Roman"/>
          <w:kern w:val="0"/>
          <w:sz w:val="24"/>
          <w:szCs w:val="24"/>
          <w:lang w:val="en-US" w:eastAsia="zh-CN" w:bidi="ar-SA"/>
        </w:rPr>
        <w:t>当前卫生防护距离范围内均无学校、医院、居民区等敏感点</w:t>
      </w:r>
      <w:r>
        <w:rPr>
          <w:rFonts w:hint="eastAsia" w:ascii="Times New Roman" w:hAnsi="Times New Roman" w:eastAsia="宋体" w:cs="Times New Roman"/>
          <w:kern w:val="0"/>
          <w:sz w:val="24"/>
          <w:szCs w:val="24"/>
          <w:lang w:val="en-US" w:eastAsia="zh-CN" w:bidi="ar-SA"/>
        </w:rPr>
        <w:t>，</w:t>
      </w:r>
      <w:r>
        <w:rPr>
          <w:rFonts w:hint="default" w:ascii="Times New Roman" w:hAnsi="Times New Roman" w:eastAsia="宋体" w:cs="Times New Roman"/>
          <w:kern w:val="0"/>
          <w:sz w:val="24"/>
          <w:szCs w:val="24"/>
          <w:lang w:val="en-US" w:eastAsia="zh-CN" w:bidi="ar-SA"/>
        </w:rPr>
        <w:t>项目厂址周围1.0km范围内无重要历史文物古迹、自然保护区、风景名胜区</w:t>
      </w:r>
      <w:r>
        <w:rPr>
          <w:rFonts w:hint="eastAsia" w:ascii="Times New Roman" w:hAnsi="Times New Roman" w:eastAsia="宋体" w:cs="Times New Roman"/>
          <w:kern w:val="0"/>
          <w:sz w:val="24"/>
          <w:szCs w:val="24"/>
          <w:lang w:val="en-US" w:eastAsia="zh-CN" w:bidi="ar-SA"/>
        </w:rPr>
        <w:t>等</w:t>
      </w:r>
      <w:r>
        <w:rPr>
          <w:rFonts w:hint="default" w:ascii="Times New Roman" w:hAnsi="Times New Roman" w:eastAsia="宋体" w:cs="Times New Roman"/>
          <w:kern w:val="0"/>
          <w:sz w:val="24"/>
          <w:szCs w:val="24"/>
          <w:lang w:val="en-US" w:eastAsia="zh-CN" w:bidi="ar-SA"/>
        </w:rPr>
        <w:t>重要生</w:t>
      </w:r>
      <w:r>
        <w:rPr>
          <w:rFonts w:hint="eastAsia" w:ascii="Times New Roman" w:hAnsi="Times New Roman" w:eastAsia="宋体" w:cs="Times New Roman"/>
          <w:kern w:val="0"/>
          <w:sz w:val="24"/>
          <w:szCs w:val="24"/>
          <w:lang w:val="en-US" w:eastAsia="zh-CN" w:bidi="ar-SA"/>
        </w:rPr>
        <w:t>态</w:t>
      </w:r>
      <w:r>
        <w:rPr>
          <w:rFonts w:hint="default" w:ascii="Times New Roman" w:hAnsi="Times New Roman" w:eastAsia="宋体" w:cs="Times New Roman"/>
          <w:kern w:val="0"/>
          <w:sz w:val="24"/>
          <w:szCs w:val="24"/>
          <w:lang w:val="en-US" w:eastAsia="zh-CN" w:bidi="ar-SA"/>
        </w:rPr>
        <w:t>功能区，</w:t>
      </w:r>
      <w:r>
        <w:rPr>
          <w:rFonts w:hint="eastAsia" w:ascii="Times New Roman" w:hAnsi="Times New Roman" w:cs="Times New Roman"/>
          <w:color w:val="auto"/>
          <w:kern w:val="0"/>
          <w:sz w:val="24"/>
          <w:szCs w:val="24"/>
          <w:lang w:eastAsia="zh-CN"/>
        </w:rPr>
        <w:t>项目生产车间距最近敏感目标</w:t>
      </w:r>
      <w:r>
        <w:rPr>
          <w:rFonts w:hint="default" w:ascii="Times New Roman" w:hAnsi="Times New Roman" w:cs="Times New Roman"/>
          <w:spacing w:val="-12"/>
          <w:lang w:val="en-US" w:eastAsia="zh-CN"/>
        </w:rPr>
        <w:t>薄板台村</w:t>
      </w:r>
      <w:r>
        <w:rPr>
          <w:rFonts w:hint="eastAsia" w:ascii="Times New Roman" w:hAnsi="Times New Roman" w:cs="Times New Roman"/>
          <w:color w:val="auto"/>
          <w:kern w:val="0"/>
          <w:sz w:val="24"/>
          <w:szCs w:val="24"/>
          <w:lang w:eastAsia="zh-CN"/>
        </w:rPr>
        <w:t>距离为</w:t>
      </w:r>
      <w:r>
        <w:rPr>
          <w:rFonts w:hint="eastAsia" w:ascii="Times New Roman" w:hAnsi="Times New Roman" w:cs="Times New Roman"/>
          <w:color w:val="auto"/>
          <w:kern w:val="0"/>
          <w:sz w:val="24"/>
          <w:szCs w:val="24"/>
          <w:lang w:val="en-US" w:eastAsia="zh-CN"/>
        </w:rPr>
        <w:t>321</w:t>
      </w:r>
      <w:r>
        <w:rPr>
          <w:rFonts w:hint="eastAsia" w:ascii="Times New Roman" w:hAnsi="Times New Roman" w:cs="Times New Roman"/>
          <w:color w:val="auto"/>
          <w:kern w:val="0"/>
          <w:sz w:val="24"/>
          <w:szCs w:val="24"/>
          <w:lang w:eastAsia="zh-CN"/>
        </w:rPr>
        <w:t>m，满足卫生防护距离要求</w:t>
      </w:r>
      <w:r>
        <w:rPr>
          <w:rFonts w:hint="default" w:ascii="Times New Roman" w:hAnsi="Times New Roman" w:eastAsia="宋体" w:cs="Times New Roman"/>
          <w:kern w:val="0"/>
          <w:sz w:val="24"/>
          <w:szCs w:val="24"/>
          <w:lang w:val="en-US" w:eastAsia="zh-CN" w:bidi="ar-SA"/>
        </w:rPr>
        <w:t>。</w:t>
      </w:r>
    </w:p>
    <w:p>
      <w:pPr>
        <w:spacing w:after="0" w:line="360" w:lineRule="auto"/>
        <w:ind w:firstLine="480"/>
        <w:rPr>
          <w:rFonts w:ascii="Times New Roman" w:hAnsi="Times New Roman" w:eastAsia="宋体" w:cs="Times New Roman"/>
          <w:sz w:val="24"/>
          <w:szCs w:val="24"/>
        </w:rPr>
      </w:pPr>
      <w:r>
        <w:rPr>
          <w:rFonts w:ascii="Times New Roman" w:hAnsi="宋体" w:eastAsia="宋体" w:cs="Times New Roman"/>
          <w:sz w:val="24"/>
          <w:szCs w:val="24"/>
        </w:rPr>
        <w:t>（</w:t>
      </w:r>
      <w:r>
        <w:rPr>
          <w:rFonts w:ascii="Times New Roman" w:hAnsi="Times New Roman" w:eastAsia="宋体" w:cs="Times New Roman"/>
          <w:sz w:val="24"/>
          <w:szCs w:val="24"/>
        </w:rPr>
        <w:t>2</w:t>
      </w:r>
      <w:r>
        <w:rPr>
          <w:rFonts w:ascii="Times New Roman" w:hAnsi="宋体" w:eastAsia="宋体" w:cs="Times New Roman"/>
          <w:sz w:val="24"/>
          <w:szCs w:val="24"/>
        </w:rPr>
        <w:t>）污染物排放口规范化</w:t>
      </w:r>
    </w:p>
    <w:p>
      <w:pPr>
        <w:ind w:firstLine="480"/>
        <w:rPr>
          <w:rFonts w:hint="default" w:ascii="Times New Roman" w:hAnsi="Times New Roman" w:eastAsia="宋体" w:cs="Times New Roman"/>
          <w:szCs w:val="24"/>
          <w:lang w:eastAsia="zh-CN"/>
        </w:rPr>
      </w:pPr>
      <w:r>
        <w:rPr>
          <w:rFonts w:hint="eastAsia" w:ascii="Times New Roman" w:hAnsi="Times New Roman" w:cs="Times New Roman"/>
          <w:szCs w:val="24"/>
          <w:lang w:eastAsia="zh-CN"/>
        </w:rPr>
        <w:t>项目</w:t>
      </w:r>
      <w:r>
        <w:rPr>
          <w:rFonts w:hint="default" w:ascii="Times New Roman" w:hAnsi="Times New Roman" w:cs="Times New Roman"/>
          <w:szCs w:val="24"/>
        </w:rPr>
        <w:t>按照GB 15562-1995《环境保护图形标志/排放口（源）》、GB 15562.2-1995《环境保护图形标志/固体废物贮存（处置）场》中有关规定执行，项目</w:t>
      </w:r>
      <w:r>
        <w:rPr>
          <w:rFonts w:hint="eastAsia" w:ascii="Times New Roman" w:hAnsi="Times New Roman" w:cs="Times New Roman"/>
          <w:szCs w:val="24"/>
          <w:lang w:eastAsia="zh-CN"/>
        </w:rPr>
        <w:t>危废库、排气筒</w:t>
      </w:r>
      <w:r>
        <w:rPr>
          <w:rFonts w:hint="default" w:ascii="Times New Roman" w:hAnsi="Times New Roman" w:cs="Times New Roman"/>
          <w:szCs w:val="24"/>
        </w:rPr>
        <w:t>等设置了相应的警告标志或提示标识</w:t>
      </w:r>
      <w:r>
        <w:rPr>
          <w:rFonts w:hint="default" w:ascii="Times New Roman" w:hAnsi="Times New Roman" w:cs="Times New Roman"/>
          <w:szCs w:val="24"/>
          <w:lang w:eastAsia="zh-CN"/>
        </w:rPr>
        <w:t>。</w:t>
      </w:r>
    </w:p>
    <w:p>
      <w:pPr>
        <w:spacing w:after="0" w:line="360" w:lineRule="auto"/>
        <w:ind w:firstLine="482"/>
        <w:rPr>
          <w:rFonts w:ascii="Times New Roman" w:hAnsi="Times New Roman" w:eastAsia="宋体" w:cs="Times New Roman"/>
          <w:b/>
          <w:sz w:val="24"/>
          <w:szCs w:val="24"/>
        </w:rPr>
      </w:pPr>
      <w:r>
        <w:rPr>
          <w:rFonts w:ascii="Times New Roman" w:hAnsi="宋体" w:eastAsia="宋体" w:cs="Times New Roman"/>
          <w:b/>
          <w:sz w:val="24"/>
          <w:szCs w:val="24"/>
        </w:rPr>
        <w:t>三、整改工作落实情况</w:t>
      </w:r>
    </w:p>
    <w:p>
      <w:pPr>
        <w:spacing w:after="0" w:line="360" w:lineRule="auto"/>
        <w:ind w:firstLine="480"/>
        <w:rPr>
          <w:rFonts w:ascii="Times New Roman" w:hAnsi="Times New Roman" w:eastAsia="宋体" w:cs="Times New Roman"/>
          <w:color w:val="FF0000"/>
          <w:sz w:val="24"/>
          <w:szCs w:val="24"/>
        </w:rPr>
      </w:pPr>
      <w:r>
        <w:rPr>
          <w:rFonts w:ascii="Times New Roman" w:hAnsi="宋体" w:eastAsia="宋体" w:cs="Times New Roman"/>
          <w:sz w:val="24"/>
          <w:szCs w:val="24"/>
        </w:rPr>
        <w:t>根据验收工作组提出的整改要求及建议</w:t>
      </w:r>
      <w:r>
        <w:rPr>
          <w:rFonts w:ascii="Times New Roman" w:hAnsi="宋体" w:eastAsia="宋体" w:cs="Times New Roman"/>
          <w:color w:val="auto"/>
          <w:sz w:val="24"/>
          <w:szCs w:val="24"/>
        </w:rPr>
        <w:t>，</w:t>
      </w:r>
      <w:r>
        <w:rPr>
          <w:rFonts w:hint="eastAsia" w:ascii="Times New Roman" w:hAnsi="宋体" w:cs="Times New Roman"/>
          <w:color w:val="auto"/>
          <w:sz w:val="24"/>
          <w:szCs w:val="24"/>
          <w:lang w:eastAsia="zh-CN"/>
        </w:rPr>
        <w:t>沂南县佳乐食品有限公司</w:t>
      </w:r>
      <w:r>
        <w:rPr>
          <w:rFonts w:ascii="Times New Roman" w:hAnsi="宋体" w:eastAsia="宋体" w:cs="Times New Roman"/>
          <w:color w:val="auto"/>
          <w:sz w:val="24"/>
          <w:szCs w:val="24"/>
        </w:rPr>
        <w:t>已落实完成各项整改工作，具体整改落实情</w:t>
      </w:r>
      <w:bookmarkStart w:id="5" w:name="_GoBack"/>
      <w:bookmarkEnd w:id="5"/>
      <w:r>
        <w:rPr>
          <w:rFonts w:ascii="Times New Roman" w:hAnsi="宋体" w:eastAsia="宋体" w:cs="Times New Roman"/>
          <w:color w:val="auto"/>
          <w:sz w:val="24"/>
          <w:szCs w:val="24"/>
        </w:rPr>
        <w:t>况如下：</w:t>
      </w:r>
    </w:p>
    <w:p>
      <w:pPr>
        <w:pStyle w:val="9"/>
        <w:ind w:left="0" w:leftChars="0" w:firstLine="480" w:firstLineChars="200"/>
        <w:rPr>
          <w:rFonts w:hint="default" w:ascii="Times New Roman" w:hAnsi="Times New Roman" w:cs="Times New Roman"/>
          <w:sz w:val="24"/>
          <w:szCs w:val="24"/>
          <w:lang w:val="en-US" w:eastAsia="zh-CN" w:bidi="ar-SA"/>
        </w:rPr>
      </w:pPr>
      <w:r>
        <w:rPr>
          <w:rFonts w:hint="default" w:ascii="Times New Roman" w:hAnsi="Times New Roman" w:cs="Times New Roman"/>
          <w:sz w:val="24"/>
          <w:szCs w:val="24"/>
          <w:lang w:val="en-US" w:eastAsia="zh-CN" w:bidi="ar-SA"/>
        </w:rPr>
        <w:t>（1）环保组织机构及规章制度</w:t>
      </w:r>
    </w:p>
    <w:p>
      <w:pPr>
        <w:pStyle w:val="9"/>
        <w:rPr>
          <w:rFonts w:hint="default" w:ascii="Times New Roman" w:hAnsi="Times New Roman" w:cs="Times New Roman"/>
          <w:sz w:val="24"/>
          <w:szCs w:val="24"/>
          <w:lang w:val="en-US" w:eastAsia="zh-CN" w:bidi="ar-SA"/>
        </w:rPr>
      </w:pPr>
      <w:r>
        <w:rPr>
          <w:rFonts w:hint="eastAsia" w:ascii="Times New Roman" w:hAnsi="宋体" w:cs="Times New Roman"/>
          <w:color w:val="auto"/>
          <w:sz w:val="24"/>
          <w:szCs w:val="24"/>
          <w:lang w:eastAsia="zh-CN"/>
        </w:rPr>
        <w:t>沂南县佳乐食品有限公司</w:t>
      </w:r>
      <w:r>
        <w:rPr>
          <w:rFonts w:hint="default" w:ascii="Times New Roman" w:hAnsi="Times New Roman" w:cs="Times New Roman"/>
          <w:sz w:val="24"/>
          <w:szCs w:val="24"/>
          <w:lang w:val="en-US" w:eastAsia="zh-CN" w:bidi="ar-SA"/>
        </w:rPr>
        <w:t>由总经理负责环境保护管理工作，将环境管理和生产管理结合起来，企业已制定了环境管理制度，严格按操作规程执行，员工责任分工明确，确保安全生产。</w:t>
      </w:r>
    </w:p>
    <w:p>
      <w:pPr>
        <w:pStyle w:val="9"/>
        <w:ind w:left="0" w:leftChars="0" w:firstLine="0" w:firstLineChars="0"/>
        <w:rPr>
          <w:rStyle w:val="10"/>
          <w:rFonts w:hint="default"/>
          <w:lang w:val="en-US" w:eastAsia="zh-CN"/>
        </w:rPr>
      </w:pPr>
    </w:p>
    <w:p/>
    <w:sectPr>
      <w:pgSz w:w="11906" w:h="16838"/>
      <w:pgMar w:top="1440" w:right="1800" w:bottom="1440" w:left="1800" w:header="851" w:footer="992" w:gutter="0"/>
      <w:cols w:space="425" w:num="1"/>
      <w:docGrid w:type="lines" w:linePitch="312"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ind w:firstLine="480"/>
      </w:pPr>
      <w:r>
        <w:separator/>
      </w:r>
    </w:p>
  </w:endnote>
  <w:endnote w:type="continuationSeparator" w:id="1">
    <w:p>
      <w:pPr>
        <w:spacing w:line="240" w:lineRule="auto"/>
        <w:ind w:firstLine="48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0"/>
    <w:family w:val="auto"/>
    <w:pitch w:val="default"/>
    <w:sig w:usb0="E0002AFF" w:usb1="C0007841" w:usb2="00000009" w:usb3="00000000" w:csb0="400001FF" w:csb1="FFFF0000"/>
  </w:font>
  <w:font w:name="宋体">
    <w:panose1 w:val="02010600030101010101"/>
    <w:charset w:val="7A"/>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Cambria">
    <w:panose1 w:val="02040503050406030204"/>
    <w:charset w:val="00"/>
    <w:family w:val="roman"/>
    <w:pitch w:val="default"/>
    <w:sig w:usb0="E00002FF" w:usb1="400004FF" w:usb2="00000000" w:usb3="00000000" w:csb0="2000019F" w:csb1="00000000"/>
  </w:font>
  <w:font w:name="仿宋">
    <w:panose1 w:val="02010609060101010101"/>
    <w:charset w:val="86"/>
    <w:family w:val="auto"/>
    <w:pitch w:val="default"/>
    <w:sig w:usb0="800002BF" w:usb1="38CF7CFA" w:usb2="00000016" w:usb3="00000000" w:csb0="00040001"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line="360" w:lineRule="auto"/>
        <w:ind w:firstLine="480"/>
      </w:pPr>
      <w:r>
        <w:separator/>
      </w:r>
    </w:p>
  </w:footnote>
  <w:footnote w:type="continuationSeparator" w:id="1">
    <w:p>
      <w:pPr>
        <w:spacing w:line="360" w:lineRule="auto"/>
        <w:ind w:firstLine="480"/>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E252136F"/>
    <w:multiLevelType w:val="singleLevel"/>
    <w:tmpl w:val="E252136F"/>
    <w:lvl w:ilvl="0" w:tentative="0">
      <w:start w:val="1"/>
      <w:numFmt w:val="decimal"/>
      <w:suff w:val="nothing"/>
      <w:lvlText w:val="（%1）"/>
      <w:lvlJc w:val="left"/>
    </w:lvl>
  </w:abstractNum>
  <w:abstractNum w:abstractNumId="1">
    <w:nsid w:val="0E59B5CF"/>
    <w:multiLevelType w:val="singleLevel"/>
    <w:tmpl w:val="0E59B5CF"/>
    <w:lvl w:ilvl="0" w:tentative="0">
      <w:start w:val="1"/>
      <w:numFmt w:val="decimal"/>
      <w:suff w:val="nothing"/>
      <w:lvlText w:val="（%1）"/>
      <w:lvlJc w:val="left"/>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footnotePr>
    <w:footnote w:id="0"/>
    <w:footnote w:id="1"/>
  </w:footnotePr>
  <w:endnotePr>
    <w:endnote w:id="0"/>
    <w:endnote w:id="1"/>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3E6D7B0B"/>
    <w:rsid w:val="19646727"/>
    <w:rsid w:val="3E6D7B0B"/>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1"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qFormat="1"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adjustRightInd w:val="0"/>
      <w:snapToGrid w:val="0"/>
      <w:spacing w:line="360" w:lineRule="auto"/>
      <w:ind w:firstLine="200" w:firstLineChars="200"/>
    </w:pPr>
    <w:rPr>
      <w:rFonts w:ascii="Calibri" w:hAnsi="Calibri" w:eastAsia="宋体" w:cs="Times New Roman"/>
      <w:sz w:val="24"/>
      <w:szCs w:val="22"/>
      <w:lang w:val="en-US" w:eastAsia="zh-CN" w:bidi="ar-SA"/>
    </w:rPr>
  </w:style>
  <w:style w:type="paragraph" w:styleId="4">
    <w:name w:val="heading 1"/>
    <w:basedOn w:val="1"/>
    <w:next w:val="1"/>
    <w:link w:val="10"/>
    <w:qFormat/>
    <w:uiPriority w:val="0"/>
    <w:pPr>
      <w:keepNext/>
      <w:keepLines/>
      <w:spacing w:before="100" w:beforeAutospacing="1" w:after="100" w:afterAutospacing="1"/>
      <w:ind w:firstLine="0" w:firstLineChars="0"/>
      <w:outlineLvl w:val="0"/>
    </w:pPr>
    <w:rPr>
      <w:rFonts w:ascii="Times New Roman" w:hAnsi="Times New Roman"/>
      <w:b/>
      <w:kern w:val="44"/>
      <w:sz w:val="32"/>
      <w:szCs w:val="20"/>
    </w:rPr>
  </w:style>
  <w:style w:type="character" w:default="1" w:styleId="8">
    <w:name w:val="Default Paragraph Font"/>
    <w:semiHidden/>
    <w:qFormat/>
    <w:uiPriority w:val="0"/>
  </w:style>
  <w:style w:type="table" w:default="1" w:styleId="7">
    <w:name w:val="Normal Table"/>
    <w:semiHidden/>
    <w:uiPriority w:val="0"/>
    <w:tblPr>
      <w:tblCellMar>
        <w:top w:w="0" w:type="dxa"/>
        <w:left w:w="108" w:type="dxa"/>
        <w:bottom w:w="0" w:type="dxa"/>
        <w:right w:w="108" w:type="dxa"/>
      </w:tblCellMar>
    </w:tblPr>
  </w:style>
  <w:style w:type="paragraph" w:styleId="2">
    <w:name w:val="Body Text First Indent 2"/>
    <w:basedOn w:val="3"/>
    <w:next w:val="1"/>
    <w:qFormat/>
    <w:uiPriority w:val="0"/>
    <w:pPr>
      <w:ind w:firstLine="420"/>
    </w:pPr>
  </w:style>
  <w:style w:type="paragraph" w:styleId="3">
    <w:name w:val="Body Text Indent"/>
    <w:basedOn w:val="1"/>
    <w:next w:val="1"/>
    <w:qFormat/>
    <w:uiPriority w:val="0"/>
    <w:pPr>
      <w:spacing w:line="360" w:lineRule="auto"/>
      <w:ind w:firstLine="510"/>
      <w:jc w:val="left"/>
    </w:pPr>
    <w:rPr>
      <w:rFonts w:eastAsia="宋体"/>
      <w:spacing w:val="-6"/>
      <w:kern w:val="2"/>
      <w:sz w:val="28"/>
      <w:lang w:val="en-US" w:eastAsia="zh-CN" w:bidi="ar-SA"/>
    </w:rPr>
  </w:style>
  <w:style w:type="paragraph" w:styleId="5">
    <w:name w:val="Body Text"/>
    <w:basedOn w:val="1"/>
    <w:qFormat/>
    <w:uiPriority w:val="1"/>
    <w:rPr>
      <w:rFonts w:ascii="宋体" w:hAnsi="宋体" w:eastAsia="宋体" w:cs="宋体"/>
      <w:sz w:val="24"/>
      <w:szCs w:val="24"/>
      <w:lang w:val="zh-CN" w:eastAsia="zh-CN" w:bidi="zh-CN"/>
    </w:rPr>
  </w:style>
  <w:style w:type="paragraph" w:styleId="6">
    <w:name w:val="Title"/>
    <w:basedOn w:val="1"/>
    <w:next w:val="1"/>
    <w:qFormat/>
    <w:uiPriority w:val="0"/>
    <w:pPr>
      <w:widowControl w:val="0"/>
      <w:adjustRightInd/>
      <w:snapToGrid/>
      <w:spacing w:before="240" w:after="60" w:line="360" w:lineRule="auto"/>
      <w:ind w:firstLine="200" w:firstLineChars="200"/>
      <w:jc w:val="center"/>
      <w:outlineLvl w:val="0"/>
    </w:pPr>
    <w:rPr>
      <w:rFonts w:ascii="Cambria" w:hAnsi="Cambria" w:eastAsia="宋体" w:cs="Times New Roman"/>
      <w:b/>
      <w:bCs/>
      <w:kern w:val="2"/>
      <w:sz w:val="32"/>
      <w:szCs w:val="32"/>
    </w:rPr>
  </w:style>
  <w:style w:type="paragraph" w:customStyle="1" w:styleId="9">
    <w:name w:val="li_正文"/>
    <w:basedOn w:val="1"/>
    <w:qFormat/>
    <w:uiPriority w:val="0"/>
    <w:pPr>
      <w:tabs>
        <w:tab w:val="left" w:pos="2340"/>
        <w:tab w:val="left" w:pos="4320"/>
      </w:tabs>
      <w:jc w:val="left"/>
    </w:pPr>
    <w:rPr>
      <w:sz w:val="28"/>
      <w:szCs w:val="28"/>
    </w:rPr>
  </w:style>
  <w:style w:type="character" w:customStyle="1" w:styleId="10">
    <w:name w:val="标题 1 Char"/>
    <w:link w:val="4"/>
    <w:qFormat/>
    <w:uiPriority w:val="0"/>
    <w:rPr>
      <w:rFonts w:ascii="Times New Roman" w:hAnsi="Times New Roman"/>
      <w:b/>
      <w:kern w:val="44"/>
      <w:sz w:val="32"/>
      <w:szCs w:val="20"/>
    </w:rPr>
  </w:style>
</w:style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7" Type="http://schemas.openxmlformats.org/officeDocument/2006/relationships/numbering" Target="numbering.xml"/><Relationship Id="rId6" Type="http://schemas.openxmlformats.org/officeDocument/2006/relationships/customXml" Target="../customXml/item1.xml"/><Relationship Id="rId5" Type="http://schemas.openxmlformats.org/officeDocument/2006/relationships/theme" Target="theme/theme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1</TotalTime>
  <ScaleCrop>false</ScaleCrop>
  <LinksUpToDate>false</LinksUpToDate>
  <CharactersWithSpaces>0</CharactersWithSpaces>
  <Application>WPS Office_11.1.0.11045_F1E327BC-269C-435d-A152-05C5408002CA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2021-11-02T17:03:00Z</dcterms:created>
  <dc:creator>莹光百合</dc:creator>
  <cp:lastModifiedBy>莹光百合</cp:lastModifiedBy>
  <dcterms:modified xsi:type="dcterms:W3CDTF">2021-11-02T18:01:21Z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2052-11.1.0.11045</vt:lpwstr>
  </property>
  <property fmtid="{D5CDD505-2E9C-101B-9397-08002B2CF9AE}" pid="3" name="ICV">
    <vt:lpwstr>3D6E207DFFF14C669F6B24953C08149A</vt:lpwstr>
  </property>
</Properties>
</file>