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before="0" w:after="0" w:line="276" w:lineRule="auto"/>
        <w:ind w:firstLineChars="0"/>
        <w:jc w:val="center"/>
        <w:rPr>
          <w:rStyle w:val="13"/>
          <w:rFonts w:ascii="仿宋" w:hAnsi="仿宋" w:eastAsia="仿宋"/>
          <w:b/>
          <w:sz w:val="28"/>
          <w:szCs w:val="28"/>
        </w:rPr>
      </w:pPr>
      <w:r>
        <w:rPr>
          <w:rStyle w:val="13"/>
          <w:rFonts w:hint="eastAsia" w:ascii="仿宋" w:hAnsi="仿宋" w:eastAsia="仿宋"/>
          <w:b/>
          <w:sz w:val="28"/>
          <w:szCs w:val="28"/>
          <w:lang w:eastAsia="zh-CN"/>
        </w:rPr>
        <w:t>梁山润之畅玻璃有限公司年产30万m2蒙砂玻璃、10万m2中空玻璃、10万m2夹胶玻璃、10万m2复合防火玻璃生产项目（一期）</w:t>
      </w:r>
      <w:r>
        <w:rPr>
          <w:rStyle w:val="13"/>
          <w:rFonts w:ascii="仿宋" w:hAnsi="仿宋" w:eastAsia="仿宋"/>
          <w:b/>
          <w:sz w:val="28"/>
          <w:szCs w:val="28"/>
        </w:rPr>
        <w:t>竣工环境保护验收报告验收意见</w:t>
      </w:r>
    </w:p>
    <w:p>
      <w:pPr>
        <w:pStyle w:val="30"/>
        <w:spacing w:before="0" w:after="0" w:line="276" w:lineRule="auto"/>
        <w:ind w:firstLineChars="0"/>
        <w:rPr>
          <w:rStyle w:val="13"/>
          <w:b/>
          <w:sz w:val="28"/>
          <w:szCs w:val="28"/>
        </w:rPr>
      </w:pPr>
      <w:r>
        <w:rPr>
          <w:rStyle w:val="13"/>
          <w:sz w:val="28"/>
          <w:szCs w:val="28"/>
        </w:rPr>
        <w:t xml:space="preserve">    202</w:t>
      </w:r>
      <w:r>
        <w:rPr>
          <w:rStyle w:val="13"/>
          <w:rFonts w:hint="eastAsia"/>
          <w:sz w:val="28"/>
          <w:szCs w:val="28"/>
          <w:lang w:val="en-US" w:eastAsia="zh-CN"/>
        </w:rPr>
        <w:t>1</w:t>
      </w:r>
      <w:r>
        <w:rPr>
          <w:rStyle w:val="13"/>
          <w:sz w:val="28"/>
          <w:szCs w:val="28"/>
        </w:rPr>
        <w:t>年</w:t>
      </w:r>
      <w:r>
        <w:rPr>
          <w:rStyle w:val="13"/>
          <w:rFonts w:hint="eastAsia"/>
          <w:sz w:val="28"/>
          <w:szCs w:val="28"/>
          <w:lang w:val="en-US" w:eastAsia="zh-CN"/>
        </w:rPr>
        <w:t>11</w:t>
      </w:r>
      <w:r>
        <w:rPr>
          <w:rStyle w:val="13"/>
          <w:sz w:val="28"/>
          <w:szCs w:val="28"/>
        </w:rPr>
        <w:t>月</w:t>
      </w:r>
      <w:r>
        <w:rPr>
          <w:rStyle w:val="13"/>
          <w:rFonts w:hint="eastAsia"/>
          <w:sz w:val="28"/>
          <w:szCs w:val="28"/>
          <w:lang w:val="en-US" w:eastAsia="zh-CN"/>
        </w:rPr>
        <w:t>6</w:t>
      </w:r>
      <w:r>
        <w:rPr>
          <w:rStyle w:val="13"/>
          <w:sz w:val="28"/>
          <w:szCs w:val="28"/>
        </w:rPr>
        <w:t>日，</w:t>
      </w:r>
      <w:r>
        <w:rPr>
          <w:rStyle w:val="13"/>
          <w:rFonts w:hint="eastAsia"/>
          <w:sz w:val="28"/>
          <w:szCs w:val="28"/>
          <w:lang w:eastAsia="zh-CN"/>
        </w:rPr>
        <w:t>梁山润之畅玻璃有限公司</w:t>
      </w:r>
      <w:r>
        <w:rPr>
          <w:rStyle w:val="13"/>
          <w:sz w:val="28"/>
          <w:szCs w:val="28"/>
        </w:rPr>
        <w:t>根据《</w:t>
      </w:r>
      <w:r>
        <w:rPr>
          <w:rStyle w:val="13"/>
          <w:rFonts w:hint="eastAsia"/>
          <w:sz w:val="28"/>
          <w:szCs w:val="28"/>
          <w:lang w:eastAsia="zh-CN"/>
        </w:rPr>
        <w:t>年产30万m2蒙砂玻璃、10万m2中空玻璃、10万m2夹胶玻璃、10万m2复合防火玻璃生产项目（一期）</w:t>
      </w:r>
      <w:r>
        <w:rPr>
          <w:rStyle w:val="13"/>
          <w:sz w:val="28"/>
          <w:szCs w:val="28"/>
        </w:rPr>
        <w:t>竣工环境保护验收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30"/>
        <w:numPr>
          <w:ilvl w:val="0"/>
          <w:numId w:val="1"/>
        </w:numPr>
        <w:spacing w:before="0" w:after="0"/>
        <w:ind w:firstLineChars="0"/>
        <w:jc w:val="both"/>
        <w:rPr>
          <w:rStyle w:val="13"/>
          <w:b/>
          <w:sz w:val="28"/>
          <w:szCs w:val="28"/>
        </w:rPr>
      </w:pPr>
      <w:r>
        <w:rPr>
          <w:rStyle w:val="13"/>
          <w:b/>
          <w:sz w:val="28"/>
          <w:szCs w:val="28"/>
        </w:rPr>
        <w:t>工程建设基本情况</w:t>
      </w:r>
    </w:p>
    <w:p>
      <w:pPr>
        <w:ind w:left="562" w:firstLineChars="0"/>
        <w:rPr>
          <w:rStyle w:val="13"/>
          <w:rFonts w:ascii="宋体" w:hAnsi="宋体" w:eastAsia="宋体"/>
          <w:sz w:val="20"/>
          <w:szCs w:val="28"/>
        </w:rPr>
      </w:pPr>
      <w:r>
        <w:rPr>
          <w:rStyle w:val="13"/>
          <w:rFonts w:ascii="宋体" w:hAnsi="宋体" w:eastAsia="宋体"/>
          <w:szCs w:val="28"/>
        </w:rPr>
        <w:t>（一）建设地点、规模、主要建设内容</w:t>
      </w:r>
    </w:p>
    <w:p>
      <w:pPr>
        <w:ind w:firstLine="560"/>
        <w:rPr>
          <w:rStyle w:val="13"/>
          <w:rFonts w:ascii="宋体" w:hAnsi="宋体" w:eastAsia="宋体"/>
          <w:sz w:val="20"/>
          <w:szCs w:val="28"/>
        </w:rPr>
      </w:pPr>
      <w:r>
        <w:rPr>
          <w:rStyle w:val="13"/>
          <w:rFonts w:hint="eastAsia" w:ascii="宋体" w:hAnsi="宋体" w:eastAsia="宋体"/>
          <w:szCs w:val="28"/>
          <w:lang w:eastAsia="zh-CN"/>
        </w:rPr>
        <w:t>梁山润之畅玻璃有限公司</w:t>
      </w:r>
      <w:r>
        <w:rPr>
          <w:rFonts w:hint="eastAsia" w:ascii="宋体" w:hAnsi="宋体" w:eastAsia="宋体" w:cs="宋体"/>
          <w:b w:val="0"/>
          <w:bCs w:val="0"/>
          <w:sz w:val="28"/>
          <w:szCs w:val="28"/>
          <w:lang w:eastAsia="zh-CN"/>
        </w:rPr>
        <w:t>30万m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蒙砂玻璃、10万m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中空玻璃、10万m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夹胶玻璃、10万m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复合防火玻璃</w:t>
      </w:r>
      <w:r>
        <w:rPr>
          <w:rStyle w:val="13"/>
          <w:rFonts w:ascii="宋体" w:hAnsi="宋体" w:eastAsia="宋体"/>
          <w:szCs w:val="28"/>
        </w:rPr>
        <w:t>的生产规模，位于</w:t>
      </w:r>
      <w:r>
        <w:rPr>
          <w:rStyle w:val="13"/>
          <w:rFonts w:hint="eastAsia" w:ascii="宋体" w:hAnsi="宋体" w:eastAsia="宋体"/>
          <w:szCs w:val="28"/>
          <w:lang w:eastAsia="zh-CN"/>
        </w:rPr>
        <w:t>梁山县韩垓玻璃产业园</w:t>
      </w:r>
      <w:r>
        <w:rPr>
          <w:rStyle w:val="13"/>
          <w:rFonts w:ascii="宋体" w:hAnsi="宋体" w:eastAsia="宋体"/>
          <w:szCs w:val="28"/>
        </w:rPr>
        <w:t>。项目厂区中心地理坐标为</w:t>
      </w:r>
      <w:r>
        <w:rPr>
          <w:rStyle w:val="13"/>
          <w:rFonts w:ascii="宋体" w:hAnsi="宋体" w:eastAsia="宋体"/>
          <w:color w:val="000000" w:themeColor="text1"/>
          <w:szCs w:val="28"/>
          <w14:textFill>
            <w14:solidFill>
              <w14:schemeClr w14:val="tx1"/>
            </w14:solidFill>
          </w14:textFill>
        </w:rPr>
        <w:t>：</w:t>
      </w:r>
      <w:r>
        <w:rPr>
          <w:rStyle w:val="13"/>
          <w:rFonts w:ascii="宋体" w:hAnsi="宋体" w:eastAsia="宋体"/>
          <w:color w:val="000000" w:themeColor="text1"/>
          <w:szCs w:val="28"/>
          <w:shd w:val="clear" w:color="auto" w:fill="auto"/>
          <w14:textFill>
            <w14:solidFill>
              <w14:schemeClr w14:val="tx1"/>
            </w14:solidFill>
          </w14:textFill>
        </w:rPr>
        <w:t>东经</w:t>
      </w:r>
      <w:r>
        <w:rPr>
          <w:rStyle w:val="13"/>
          <w:rFonts w:hint="eastAsia" w:ascii="宋体" w:hAnsi="宋体" w:eastAsia="宋体"/>
          <w:color w:val="000000" w:themeColor="text1"/>
          <w:szCs w:val="28"/>
          <w:shd w:val="clear" w:color="auto" w:fill="auto"/>
          <w14:textFill>
            <w14:solidFill>
              <w14:schemeClr w14:val="tx1"/>
            </w14:solidFill>
          </w14:textFill>
        </w:rPr>
        <w:t>116.245</w:t>
      </w:r>
      <w:r>
        <w:rPr>
          <w:rStyle w:val="13"/>
          <w:rFonts w:ascii="宋体" w:hAnsi="宋体" w:eastAsia="宋体"/>
          <w:color w:val="000000" w:themeColor="text1"/>
          <w:szCs w:val="28"/>
          <w:shd w:val="clear" w:color="auto" w:fill="auto"/>
          <w14:textFill>
            <w14:solidFill>
              <w14:schemeClr w14:val="tx1"/>
            </w14:solidFill>
          </w14:textFill>
        </w:rPr>
        <w:t>°、北纬</w:t>
      </w:r>
      <w:r>
        <w:rPr>
          <w:rStyle w:val="13"/>
          <w:rFonts w:hint="eastAsia" w:ascii="宋体" w:hAnsi="宋体" w:eastAsia="宋体"/>
          <w:color w:val="000000" w:themeColor="text1"/>
          <w:szCs w:val="28"/>
          <w:shd w:val="clear" w:color="auto" w:fill="auto"/>
          <w14:textFill>
            <w14:solidFill>
              <w14:schemeClr w14:val="tx1"/>
            </w14:solidFill>
          </w14:textFill>
        </w:rPr>
        <w:t>35.670</w:t>
      </w:r>
      <w:r>
        <w:rPr>
          <w:rStyle w:val="13"/>
          <w:rFonts w:ascii="宋体" w:hAnsi="宋体" w:eastAsia="宋体"/>
          <w:color w:val="000000" w:themeColor="text1"/>
          <w:szCs w:val="28"/>
          <w:shd w:val="clear" w:color="auto" w:fill="auto"/>
          <w14:textFill>
            <w14:solidFill>
              <w14:schemeClr w14:val="tx1"/>
            </w14:solidFill>
          </w14:textFill>
        </w:rPr>
        <w:t>°</w:t>
      </w:r>
      <w:r>
        <w:rPr>
          <w:rStyle w:val="13"/>
          <w:rFonts w:ascii="宋体" w:hAnsi="宋体" w:eastAsia="宋体"/>
          <w:color w:val="000000" w:themeColor="text1"/>
          <w:szCs w:val="28"/>
          <w14:textFill>
            <w14:solidFill>
              <w14:schemeClr w14:val="tx1"/>
            </w14:solidFill>
          </w14:textFill>
        </w:rPr>
        <w:t>。本</w:t>
      </w:r>
      <w:r>
        <w:rPr>
          <w:rStyle w:val="13"/>
          <w:rFonts w:ascii="宋体" w:hAnsi="宋体" w:eastAsia="宋体"/>
          <w:szCs w:val="28"/>
        </w:rPr>
        <w:t>项目生产规模为年</w:t>
      </w:r>
      <w:r>
        <w:rPr>
          <w:rStyle w:val="13"/>
          <w:rFonts w:hint="eastAsia" w:ascii="宋体" w:hAnsi="宋体" w:eastAsia="宋体"/>
          <w:szCs w:val="28"/>
          <w:lang w:val="en-US" w:eastAsia="zh-CN"/>
        </w:rPr>
        <w:t>生产3</w:t>
      </w:r>
      <w:r>
        <w:rPr>
          <w:rFonts w:hint="eastAsia" w:ascii="宋体" w:hAnsi="宋体" w:eastAsia="宋体" w:cs="宋体"/>
          <w:b w:val="0"/>
          <w:bCs w:val="0"/>
          <w:sz w:val="28"/>
          <w:szCs w:val="28"/>
          <w:lang w:eastAsia="zh-CN"/>
        </w:rPr>
        <w:t>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蒙砂玻璃、10万m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中空玻璃、10万m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夹胶玻璃、10万m</w:t>
      </w:r>
      <w:r>
        <w:rPr>
          <w:rFonts w:hint="eastAsia" w:ascii="宋体" w:hAnsi="宋体" w:eastAsia="宋体" w:cs="宋体"/>
          <w:b w:val="0"/>
          <w:bCs w:val="0"/>
          <w:sz w:val="28"/>
          <w:szCs w:val="28"/>
          <w:vertAlign w:val="superscript"/>
          <w:lang w:eastAsia="zh-CN"/>
        </w:rPr>
        <w:t>2</w:t>
      </w:r>
      <w:r>
        <w:rPr>
          <w:rFonts w:hint="eastAsia" w:ascii="宋体" w:hAnsi="宋体" w:eastAsia="宋体" w:cs="宋体"/>
          <w:b w:val="0"/>
          <w:bCs w:val="0"/>
          <w:sz w:val="28"/>
          <w:szCs w:val="28"/>
          <w:lang w:eastAsia="zh-CN"/>
        </w:rPr>
        <w:t>复合防火玻璃</w:t>
      </w:r>
      <w:r>
        <w:rPr>
          <w:rStyle w:val="13"/>
          <w:rFonts w:hint="eastAsia" w:ascii="宋体" w:hAnsi="宋体" w:eastAsia="宋体" w:cs="宋体"/>
          <w:sz w:val="28"/>
          <w:szCs w:val="28"/>
        </w:rPr>
        <w:t>。</w:t>
      </w:r>
      <w:r>
        <w:rPr>
          <w:rStyle w:val="13"/>
          <w:rFonts w:hint="eastAsia" w:ascii="宋体" w:hAnsi="宋体" w:eastAsia="宋体" w:cs="宋体"/>
          <w:sz w:val="28"/>
          <w:szCs w:val="28"/>
          <w:lang w:val="en-US" w:eastAsia="zh-CN"/>
        </w:rPr>
        <w:t>本项目职工</w:t>
      </w:r>
      <w:r>
        <w:rPr>
          <w:rFonts w:hint="eastAsia" w:ascii="宋体" w:hAnsi="宋体" w:eastAsia="宋体" w:cs="宋体"/>
          <w:snapToGrid w:val="0"/>
          <w:kern w:val="0"/>
          <w:sz w:val="28"/>
          <w:szCs w:val="28"/>
          <w:highlight w:val="none"/>
        </w:rPr>
        <w:t>定员10人，全年生产时间300天，2400小时</w:t>
      </w:r>
      <w:r>
        <w:rPr>
          <w:rStyle w:val="13"/>
          <w:rFonts w:hint="eastAsia" w:ascii="宋体" w:hAnsi="宋体" w:eastAsia="宋体" w:cs="宋体"/>
          <w:sz w:val="28"/>
          <w:szCs w:val="28"/>
        </w:rPr>
        <w:t>。</w:t>
      </w:r>
    </w:p>
    <w:p>
      <w:pPr>
        <w:ind w:firstLine="560"/>
        <w:rPr>
          <w:rStyle w:val="13"/>
          <w:rFonts w:ascii="宋体" w:hAnsi="宋体" w:eastAsia="宋体"/>
          <w:sz w:val="20"/>
          <w:szCs w:val="28"/>
        </w:rPr>
      </w:pPr>
      <w:r>
        <w:rPr>
          <w:rStyle w:val="13"/>
          <w:rFonts w:ascii="宋体" w:hAnsi="宋体" w:eastAsia="宋体"/>
          <w:szCs w:val="28"/>
        </w:rPr>
        <w:t>（二）建设过程及环保审批情况</w:t>
      </w:r>
    </w:p>
    <w:p>
      <w:pPr>
        <w:ind w:firstLine="560"/>
        <w:rPr>
          <w:rStyle w:val="13"/>
          <w:rFonts w:ascii="宋体" w:hAnsi="宋体" w:eastAsia="宋体"/>
          <w:b/>
          <w:sz w:val="20"/>
          <w:szCs w:val="28"/>
        </w:rPr>
      </w:pPr>
      <w:r>
        <w:rPr>
          <w:rStyle w:val="13"/>
          <w:rFonts w:hint="eastAsia" w:ascii="宋体" w:hAnsi="宋体" w:eastAsia="宋体" w:cs="宋体"/>
          <w:sz w:val="28"/>
          <w:szCs w:val="28"/>
        </w:rPr>
        <w:t>该公司</w:t>
      </w:r>
      <w:r>
        <w:rPr>
          <w:rStyle w:val="13"/>
          <w:rFonts w:hint="eastAsia" w:ascii="宋体" w:hAnsi="宋体" w:eastAsia="宋体" w:cs="宋体"/>
          <w:sz w:val="28"/>
          <w:szCs w:val="28"/>
          <w:lang w:val="en-US" w:eastAsia="zh-CN"/>
        </w:rPr>
        <w:t>于</w:t>
      </w:r>
      <w:r>
        <w:rPr>
          <w:rFonts w:hint="eastAsia" w:ascii="宋体" w:hAnsi="宋体" w:eastAsia="宋体" w:cs="宋体"/>
          <w:snapToGrid w:val="0"/>
          <w:kern w:val="0"/>
          <w:sz w:val="28"/>
          <w:szCs w:val="28"/>
          <w:lang w:eastAsia="zh-CN"/>
        </w:rPr>
        <w:t>202</w:t>
      </w:r>
      <w:r>
        <w:rPr>
          <w:rFonts w:hint="eastAsia" w:ascii="宋体" w:hAnsi="宋体" w:eastAsia="宋体" w:cs="宋体"/>
          <w:snapToGrid w:val="0"/>
          <w:kern w:val="0"/>
          <w:sz w:val="28"/>
          <w:szCs w:val="28"/>
          <w:lang w:val="en-US" w:eastAsia="zh-CN"/>
        </w:rPr>
        <w:t>0</w:t>
      </w:r>
      <w:r>
        <w:rPr>
          <w:rFonts w:hint="eastAsia" w:ascii="宋体" w:hAnsi="宋体" w:eastAsia="宋体" w:cs="宋体"/>
          <w:snapToGrid w:val="0"/>
          <w:kern w:val="0"/>
          <w:sz w:val="28"/>
          <w:szCs w:val="28"/>
          <w:lang w:eastAsia="zh-CN"/>
        </w:rPr>
        <w:t>年</w:t>
      </w:r>
      <w:r>
        <w:rPr>
          <w:rFonts w:hint="eastAsia" w:ascii="宋体" w:hAnsi="宋体" w:eastAsia="宋体" w:cs="宋体"/>
          <w:snapToGrid w:val="0"/>
          <w:kern w:val="0"/>
          <w:sz w:val="28"/>
          <w:szCs w:val="28"/>
          <w:lang w:val="en-US" w:eastAsia="zh-CN"/>
        </w:rPr>
        <w:t>11</w:t>
      </w:r>
      <w:r>
        <w:rPr>
          <w:rFonts w:hint="eastAsia" w:ascii="宋体" w:hAnsi="宋体" w:eastAsia="宋体" w:cs="宋体"/>
          <w:snapToGrid w:val="0"/>
          <w:kern w:val="0"/>
          <w:sz w:val="28"/>
          <w:szCs w:val="28"/>
          <w:lang w:eastAsia="zh-CN"/>
        </w:rPr>
        <w:t>月</w:t>
      </w:r>
      <w:r>
        <w:rPr>
          <w:rStyle w:val="13"/>
          <w:rFonts w:hint="eastAsia" w:ascii="宋体" w:hAnsi="宋体" w:eastAsia="宋体" w:cs="宋体"/>
          <w:sz w:val="28"/>
          <w:szCs w:val="28"/>
        </w:rPr>
        <w:t>委托和新汇峰（山东）环境科技有限公司编制《</w:t>
      </w:r>
      <w:r>
        <w:rPr>
          <w:rStyle w:val="13"/>
          <w:rFonts w:hint="eastAsia" w:ascii="宋体" w:hAnsi="宋体" w:eastAsia="宋体" w:cs="宋体"/>
          <w:sz w:val="28"/>
          <w:szCs w:val="28"/>
          <w:lang w:eastAsia="zh-CN"/>
        </w:rPr>
        <w:t>梁山润之畅玻璃有限公司年产30万m2蒙砂玻璃、10万m2中空玻璃、10万m2夹胶玻璃、10万m2复合防火玻璃生产项目（一期）</w:t>
      </w:r>
      <w:r>
        <w:rPr>
          <w:rStyle w:val="13"/>
          <w:rFonts w:hint="eastAsia" w:ascii="宋体" w:hAnsi="宋体" w:eastAsia="宋体" w:cs="宋体"/>
          <w:sz w:val="28"/>
          <w:szCs w:val="28"/>
        </w:rPr>
        <w:t>竣工环境影响评价报告表》，济宁市生态环境局梁山县分局于</w:t>
      </w:r>
      <w:r>
        <w:rPr>
          <w:rFonts w:hint="eastAsia" w:ascii="宋体" w:hAnsi="宋体" w:eastAsia="宋体" w:cs="宋体"/>
          <w:snapToGrid w:val="0"/>
          <w:kern w:val="0"/>
          <w:sz w:val="28"/>
          <w:szCs w:val="28"/>
          <w:lang w:eastAsia="zh-CN"/>
        </w:rPr>
        <w:t>20</w:t>
      </w:r>
      <w:r>
        <w:rPr>
          <w:rFonts w:hint="eastAsia" w:ascii="宋体" w:hAnsi="宋体" w:eastAsia="宋体" w:cs="宋体"/>
          <w:snapToGrid w:val="0"/>
          <w:kern w:val="0"/>
          <w:sz w:val="28"/>
          <w:szCs w:val="28"/>
          <w:lang w:val="en-US" w:eastAsia="zh-CN"/>
        </w:rPr>
        <w:t>21</w:t>
      </w:r>
      <w:r>
        <w:rPr>
          <w:rFonts w:hint="eastAsia" w:ascii="宋体" w:hAnsi="宋体" w:eastAsia="宋体" w:cs="宋体"/>
          <w:snapToGrid w:val="0"/>
          <w:kern w:val="0"/>
          <w:sz w:val="28"/>
          <w:szCs w:val="28"/>
          <w:lang w:eastAsia="zh-CN"/>
        </w:rPr>
        <w:t>年</w:t>
      </w:r>
      <w:r>
        <w:rPr>
          <w:rFonts w:hint="eastAsia" w:ascii="宋体" w:hAnsi="宋体" w:eastAsia="宋体" w:cs="宋体"/>
          <w:snapToGrid w:val="0"/>
          <w:kern w:val="0"/>
          <w:sz w:val="28"/>
          <w:szCs w:val="28"/>
          <w:lang w:val="en-US" w:eastAsia="zh-CN"/>
        </w:rPr>
        <w:t>03</w:t>
      </w:r>
      <w:r>
        <w:rPr>
          <w:rFonts w:hint="eastAsia" w:ascii="宋体" w:hAnsi="宋体" w:eastAsia="宋体" w:cs="宋体"/>
          <w:snapToGrid w:val="0"/>
          <w:kern w:val="0"/>
          <w:sz w:val="28"/>
          <w:szCs w:val="28"/>
          <w:lang w:eastAsia="zh-CN"/>
        </w:rPr>
        <w:t>月</w:t>
      </w:r>
      <w:r>
        <w:rPr>
          <w:rFonts w:hint="eastAsia" w:ascii="宋体" w:hAnsi="宋体" w:eastAsia="宋体" w:cs="宋体"/>
          <w:snapToGrid w:val="0"/>
          <w:kern w:val="0"/>
          <w:sz w:val="28"/>
          <w:szCs w:val="28"/>
          <w:lang w:val="en-US" w:eastAsia="zh-CN"/>
        </w:rPr>
        <w:t>01</w:t>
      </w:r>
      <w:r>
        <w:rPr>
          <w:rFonts w:hint="eastAsia" w:ascii="宋体" w:hAnsi="宋体" w:eastAsia="宋体" w:cs="宋体"/>
          <w:snapToGrid w:val="0"/>
          <w:kern w:val="0"/>
          <w:sz w:val="28"/>
          <w:szCs w:val="28"/>
          <w:lang w:eastAsia="zh-CN"/>
        </w:rPr>
        <w:t>日</w:t>
      </w:r>
      <w:r>
        <w:rPr>
          <w:rStyle w:val="13"/>
          <w:rFonts w:hint="eastAsia" w:ascii="宋体" w:hAnsi="宋体" w:eastAsia="宋体" w:cs="宋体"/>
          <w:sz w:val="28"/>
          <w:szCs w:val="28"/>
        </w:rPr>
        <w:t>对项目进行了审批，</w:t>
      </w:r>
      <w:r>
        <w:rPr>
          <w:rFonts w:hint="eastAsia" w:ascii="宋体" w:hAnsi="宋体" w:eastAsia="宋体" w:cs="宋体"/>
          <w:snapToGrid w:val="0"/>
          <w:kern w:val="0"/>
          <w:sz w:val="28"/>
          <w:szCs w:val="28"/>
          <w:lang w:val="en-US" w:eastAsia="zh-CN"/>
        </w:rPr>
        <w:t>济环报告表（梁山）（2021）14号</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4</w:t>
      </w:r>
      <w:r>
        <w:rPr>
          <w:rStyle w:val="13"/>
          <w:rFonts w:ascii="宋体" w:hAnsi="宋体" w:eastAsia="宋体"/>
          <w:szCs w:val="28"/>
        </w:rPr>
        <w:t>日至</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5</w:t>
      </w:r>
      <w:r>
        <w:rPr>
          <w:rStyle w:val="13"/>
          <w:rFonts w:ascii="宋体" w:hAnsi="宋体" w:eastAsia="宋体"/>
          <w:szCs w:val="28"/>
        </w:rPr>
        <w:t>日，</w:t>
      </w:r>
      <w:r>
        <w:rPr>
          <w:rStyle w:val="13"/>
          <w:rFonts w:hint="eastAsia" w:ascii="宋体" w:hAnsi="宋体" w:eastAsia="宋体"/>
          <w:szCs w:val="28"/>
          <w:lang w:eastAsia="zh-CN"/>
        </w:rPr>
        <w:t>梁山润之畅玻璃有限公司</w:t>
      </w:r>
      <w:r>
        <w:rPr>
          <w:rStyle w:val="13"/>
          <w:rFonts w:ascii="宋体" w:hAnsi="宋体" w:eastAsia="宋体"/>
          <w:szCs w:val="28"/>
        </w:rPr>
        <w:t>委托济宁瑞康环境监测评价有限公司对该项目的污染物排放情况进行了监测。根据项目建设的实际情况，在现场勘察和综合分析评价监测结果的基础上编制了《建设项目竣工环境验收监测报告》。</w:t>
      </w:r>
    </w:p>
    <w:p>
      <w:pPr>
        <w:ind w:firstLine="560"/>
        <w:rPr>
          <w:rStyle w:val="13"/>
          <w:rFonts w:ascii="宋体" w:hAnsi="宋体" w:eastAsia="宋体"/>
          <w:sz w:val="20"/>
          <w:szCs w:val="28"/>
        </w:rPr>
      </w:pPr>
      <w:r>
        <w:rPr>
          <w:rStyle w:val="13"/>
          <w:rFonts w:ascii="宋体" w:hAnsi="宋体" w:eastAsia="宋体"/>
          <w:szCs w:val="28"/>
        </w:rPr>
        <w:t>（三）投资情况</w:t>
      </w:r>
    </w:p>
    <w:p>
      <w:pPr>
        <w:ind w:firstLine="560"/>
        <w:rPr>
          <w:rStyle w:val="13"/>
          <w:rFonts w:ascii="宋体" w:hAnsi="宋体" w:eastAsia="宋体"/>
          <w:sz w:val="20"/>
          <w:szCs w:val="28"/>
        </w:rPr>
      </w:pPr>
      <w:r>
        <w:rPr>
          <w:rStyle w:val="13"/>
          <w:rFonts w:hint="eastAsia" w:ascii="宋体" w:hAnsi="宋体" w:eastAsia="宋体"/>
          <w:color w:val="000000"/>
          <w:szCs w:val="28"/>
        </w:rPr>
        <w:t>本项目实际总投资为100万元，在环境保护设施方面投资为10万元，占项目总投资的10%</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（四）验收范围</w:t>
      </w:r>
    </w:p>
    <w:p>
      <w:pPr>
        <w:ind w:left="560" w:leftChars="200" w:firstLine="560"/>
        <w:rPr>
          <w:rStyle w:val="13"/>
          <w:rFonts w:hint="eastAsia" w:ascii="宋体" w:hAnsi="宋体" w:eastAsia="宋体" w:cs="宋体"/>
          <w:b w:val="0"/>
          <w:bCs w:val="0"/>
          <w:sz w:val="28"/>
          <w:szCs w:val="28"/>
        </w:rPr>
      </w:pPr>
      <w:r>
        <w:rPr>
          <w:rStyle w:val="13"/>
          <w:rFonts w:hint="eastAsia" w:ascii="宋体" w:hAnsi="宋体" w:eastAsia="宋体" w:cs="宋体"/>
          <w:b w:val="0"/>
          <w:bCs w:val="0"/>
          <w:sz w:val="28"/>
          <w:szCs w:val="28"/>
        </w:rPr>
        <w:t>本次验收只涉及</w:t>
      </w:r>
      <w:r>
        <w:rPr>
          <w:rStyle w:val="13"/>
          <w:rFonts w:hint="eastAsia" w:ascii="宋体" w:hAnsi="宋体" w:eastAsia="宋体" w:cs="宋体"/>
          <w:b w:val="0"/>
          <w:bCs w:val="0"/>
          <w:sz w:val="28"/>
          <w:szCs w:val="28"/>
          <w:lang w:eastAsia="zh-CN"/>
        </w:rPr>
        <w:t>蒙砂玻璃、</w:t>
      </w:r>
      <w:r>
        <w:rPr>
          <w:rFonts w:hint="eastAsia" w:ascii="宋体" w:hAnsi="宋体" w:eastAsia="宋体" w:cs="宋体"/>
          <w:b w:val="0"/>
          <w:bCs w:val="0"/>
          <w:color w:val="000000"/>
          <w:sz w:val="28"/>
          <w:szCs w:val="28"/>
        </w:rPr>
        <w:t>中空玻璃</w:t>
      </w:r>
      <w:r>
        <w:rPr>
          <w:rStyle w:val="13"/>
          <w:rFonts w:hint="eastAsia" w:ascii="宋体" w:hAnsi="宋体" w:eastAsia="宋体" w:cs="宋体"/>
          <w:b w:val="0"/>
          <w:bCs w:val="0"/>
          <w:sz w:val="28"/>
          <w:szCs w:val="28"/>
          <w:lang w:val="en-US" w:eastAsia="zh-CN"/>
        </w:rPr>
        <w:t>清洗工序</w:t>
      </w:r>
      <w:r>
        <w:rPr>
          <w:rStyle w:val="13"/>
          <w:rFonts w:hint="eastAsia" w:ascii="宋体" w:hAnsi="宋体" w:eastAsia="宋体" w:cs="宋体"/>
          <w:b w:val="0"/>
          <w:bCs w:val="0"/>
          <w:sz w:val="28"/>
          <w:szCs w:val="28"/>
        </w:rPr>
        <w:t>中产生的废气、废水、噪声、固废等范围。</w:t>
      </w:r>
    </w:p>
    <w:p>
      <w:pPr>
        <w:ind w:left="560" w:leftChars="200" w:firstLineChars="0"/>
        <w:rPr>
          <w:rStyle w:val="13"/>
          <w:rFonts w:ascii="宋体" w:hAnsi="宋体" w:eastAsia="宋体"/>
          <w:kern w:val="2"/>
          <w:sz w:val="20"/>
          <w:szCs w:val="28"/>
        </w:rPr>
      </w:pPr>
      <w:r>
        <w:rPr>
          <w:rStyle w:val="13"/>
          <w:rFonts w:ascii="宋体" w:hAnsi="宋体" w:eastAsia="宋体"/>
          <w:b/>
          <w:szCs w:val="28"/>
        </w:rPr>
        <w:t>二、工程变动情况</w:t>
      </w:r>
    </w:p>
    <w:p>
      <w:pPr>
        <w:ind w:firstLine="562"/>
        <w:rPr>
          <w:rStyle w:val="13"/>
          <w:rFonts w:hint="eastAsia" w:ascii="宋体" w:hAnsi="宋体" w:eastAsia="宋体" w:cs="宋体"/>
          <w:b w:val="0"/>
          <w:bCs/>
          <w:sz w:val="28"/>
          <w:szCs w:val="28"/>
          <w:lang w:eastAsia="zh-CN"/>
        </w:rPr>
      </w:pPr>
      <w:r>
        <w:rPr>
          <w:rFonts w:hint="eastAsia" w:ascii="宋体" w:hAnsi="宋体" w:eastAsia="宋体" w:cs="宋体"/>
          <w:color w:val="000000"/>
          <w:sz w:val="28"/>
          <w:szCs w:val="28"/>
        </w:rPr>
        <w:t>本</w:t>
      </w:r>
      <w:r>
        <w:rPr>
          <w:rFonts w:hint="eastAsia" w:ascii="宋体" w:hAnsi="宋体" w:eastAsia="宋体" w:cs="宋体"/>
          <w:color w:val="000000"/>
          <w:sz w:val="28"/>
          <w:szCs w:val="28"/>
          <w:lang w:eastAsia="zh-CN"/>
        </w:rPr>
        <w:t>次验收项目与环评设计及批复变更情况见下表</w:t>
      </w:r>
      <w:r>
        <w:rPr>
          <w:rStyle w:val="13"/>
          <w:rFonts w:hint="eastAsia" w:ascii="宋体" w:hAnsi="宋体" w:eastAsia="宋体" w:cs="宋体"/>
          <w:b w:val="0"/>
          <w:bCs/>
          <w:sz w:val="28"/>
          <w:szCs w:val="28"/>
          <w:lang w:eastAsia="zh-CN"/>
        </w:rPr>
        <w:t>。</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369"/>
        <w:gridCol w:w="2869"/>
        <w:gridCol w:w="3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Align w:val="center"/>
          </w:tcPr>
          <w:p>
            <w:pPr>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b/>
                <w:bCs/>
                <w:sz w:val="28"/>
                <w:szCs w:val="28"/>
                <w:lang w:eastAsia="zh-CN"/>
              </w:rPr>
              <w:t>序号</w:t>
            </w:r>
          </w:p>
        </w:tc>
        <w:tc>
          <w:tcPr>
            <w:tcW w:w="1369" w:type="dxa"/>
            <w:vAlign w:val="center"/>
          </w:tcPr>
          <w:p>
            <w:pPr>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b/>
                <w:bCs/>
                <w:sz w:val="28"/>
                <w:szCs w:val="28"/>
                <w:lang w:eastAsia="zh-CN"/>
              </w:rPr>
              <w:t>类别</w:t>
            </w:r>
          </w:p>
        </w:tc>
        <w:tc>
          <w:tcPr>
            <w:tcW w:w="2869" w:type="dxa"/>
            <w:vAlign w:val="center"/>
          </w:tcPr>
          <w:p>
            <w:pPr>
              <w:ind w:firstLine="562" w:firstLineChars="200"/>
              <w:jc w:val="center"/>
              <w:rPr>
                <w:rFonts w:hint="eastAsia" w:ascii="宋体" w:hAnsi="宋体" w:eastAsia="宋体" w:cs="宋体"/>
                <w:sz w:val="28"/>
                <w:szCs w:val="28"/>
                <w:vertAlign w:val="baseline"/>
                <w:lang w:eastAsia="zh-CN"/>
              </w:rPr>
            </w:pPr>
            <w:r>
              <w:rPr>
                <w:rFonts w:hint="eastAsia" w:ascii="宋体" w:hAnsi="宋体" w:eastAsia="宋体" w:cs="宋体"/>
                <w:b/>
                <w:bCs/>
                <w:sz w:val="28"/>
                <w:szCs w:val="28"/>
                <w:lang w:eastAsia="zh-CN"/>
              </w:rPr>
              <w:t>环评及批复</w:t>
            </w:r>
          </w:p>
        </w:tc>
        <w:tc>
          <w:tcPr>
            <w:tcW w:w="3044" w:type="dxa"/>
            <w:vAlign w:val="center"/>
          </w:tcPr>
          <w:p>
            <w:pPr>
              <w:ind w:firstLine="562" w:firstLineChars="200"/>
              <w:jc w:val="center"/>
              <w:rPr>
                <w:rFonts w:hint="eastAsia" w:ascii="宋体" w:hAnsi="宋体" w:eastAsia="宋体" w:cs="宋体"/>
                <w:sz w:val="28"/>
                <w:szCs w:val="28"/>
                <w:vertAlign w:val="baseline"/>
                <w:lang w:eastAsia="zh-CN"/>
              </w:rPr>
            </w:pPr>
            <w:r>
              <w:rPr>
                <w:rFonts w:hint="eastAsia" w:ascii="宋体" w:hAnsi="宋体" w:eastAsia="宋体" w:cs="宋体"/>
                <w:b/>
                <w:bCs/>
                <w:sz w:val="28"/>
                <w:szCs w:val="28"/>
                <w:lang w:eastAsia="zh-CN"/>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Align w:val="center"/>
          </w:tcPr>
          <w:p>
            <w:pPr>
              <w:ind w:firstLine="560" w:firstLineChars="200"/>
              <w:jc w:val="center"/>
              <w:rPr>
                <w:rFonts w:hint="eastAsia" w:ascii="宋体" w:hAnsi="宋体" w:eastAsia="宋体" w:cs="宋体"/>
                <w:sz w:val="28"/>
                <w:szCs w:val="28"/>
                <w:vertAlign w:val="baseline"/>
                <w:lang w:eastAsia="zh-CN"/>
              </w:rPr>
            </w:pPr>
            <w:r>
              <w:rPr>
                <w:rFonts w:hint="eastAsia" w:ascii="宋体" w:hAnsi="宋体" w:eastAsia="宋体" w:cs="宋体"/>
                <w:sz w:val="28"/>
                <w:szCs w:val="28"/>
                <w:highlight w:val="none"/>
                <w:lang w:val="en-US" w:eastAsia="zh-CN"/>
              </w:rPr>
              <w:t>1</w:t>
            </w:r>
          </w:p>
        </w:tc>
        <w:tc>
          <w:tcPr>
            <w:tcW w:w="1369" w:type="dxa"/>
            <w:vAlign w:val="center"/>
          </w:tcPr>
          <w:p>
            <w:pPr>
              <w:ind w:left="0" w:leftChars="0" w:firstLine="0" w:firstLineChars="0"/>
              <w:jc w:val="center"/>
              <w:rPr>
                <w:rFonts w:hint="eastAsia" w:ascii="宋体" w:hAnsi="宋体" w:eastAsia="宋体" w:cs="宋体"/>
                <w:sz w:val="28"/>
                <w:szCs w:val="28"/>
                <w:vertAlign w:val="baseline"/>
                <w:lang w:eastAsia="zh-CN"/>
              </w:rPr>
            </w:pPr>
            <w:r>
              <w:rPr>
                <w:rFonts w:hint="eastAsia" w:ascii="宋体" w:hAnsi="宋体" w:eastAsia="宋体" w:cs="宋体"/>
                <w:sz w:val="28"/>
                <w:szCs w:val="28"/>
                <w:highlight w:val="none"/>
                <w:lang w:eastAsia="zh-CN"/>
              </w:rPr>
              <w:t>项目工程</w:t>
            </w:r>
          </w:p>
        </w:tc>
        <w:tc>
          <w:tcPr>
            <w:tcW w:w="2869" w:type="dxa"/>
            <w:vAlign w:val="center"/>
          </w:tcPr>
          <w:p>
            <w:pPr>
              <w:pStyle w:val="36"/>
              <w:numPr>
                <w:ilvl w:val="0"/>
                <w:numId w:val="0"/>
              </w:numPr>
              <w:ind w:left="0" w:leftChars="0" w:firstLine="0" w:firstLineChars="0"/>
              <w:jc w:val="center"/>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lang w:val="en-US" w:eastAsia="zh-CN"/>
              </w:rPr>
              <w:t>年产30万㎡蒙砂玻璃、10万㎡中空玻璃、10万㎡夹胶玻璃、10万㎡复合防火玻璃生产项目。</w:t>
            </w:r>
          </w:p>
        </w:tc>
        <w:tc>
          <w:tcPr>
            <w:tcW w:w="3044" w:type="dxa"/>
            <w:vAlign w:val="center"/>
          </w:tcPr>
          <w:p>
            <w:pPr>
              <w:ind w:firstLine="560" w:firstLineChars="200"/>
              <w:jc w:val="center"/>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lang w:val="en-US" w:eastAsia="zh-CN"/>
              </w:rPr>
              <w:t>实际只建设了蒙砂玻璃、中空玻璃产品的生产工序及相应的设备，其中中空玻璃只有切割磨边、清洗工序，未投产放隔条、涂胶及合片、封胶工序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Align w:val="center"/>
          </w:tcPr>
          <w:p>
            <w:pPr>
              <w:ind w:firstLine="560" w:firstLineChars="200"/>
              <w:jc w:val="center"/>
              <w:rPr>
                <w:rFonts w:hint="eastAsia" w:ascii="宋体" w:hAnsi="宋体" w:eastAsia="宋体" w:cs="宋体"/>
                <w:sz w:val="28"/>
                <w:szCs w:val="28"/>
                <w:vertAlign w:val="baseline"/>
                <w:lang w:eastAsia="zh-CN"/>
              </w:rPr>
            </w:pPr>
            <w:r>
              <w:rPr>
                <w:rFonts w:hint="eastAsia" w:ascii="宋体" w:hAnsi="宋体" w:eastAsia="宋体" w:cs="宋体"/>
                <w:sz w:val="28"/>
                <w:szCs w:val="28"/>
                <w:highlight w:val="none"/>
                <w:lang w:val="en-US" w:eastAsia="zh-CN"/>
              </w:rPr>
              <w:t>2</w:t>
            </w:r>
          </w:p>
        </w:tc>
        <w:tc>
          <w:tcPr>
            <w:tcW w:w="1369" w:type="dxa"/>
            <w:vAlign w:val="center"/>
          </w:tcPr>
          <w:p>
            <w:pPr>
              <w:ind w:left="0" w:leftChars="0" w:firstLine="0" w:firstLineChars="0"/>
              <w:jc w:val="center"/>
              <w:rPr>
                <w:rFonts w:hint="eastAsia" w:ascii="宋体" w:hAnsi="宋体" w:eastAsia="宋体" w:cs="宋体"/>
                <w:sz w:val="28"/>
                <w:szCs w:val="28"/>
                <w:vertAlign w:val="baseline"/>
                <w:lang w:eastAsia="zh-CN"/>
              </w:rPr>
            </w:pPr>
            <w:r>
              <w:rPr>
                <w:rFonts w:hint="eastAsia" w:ascii="宋体" w:hAnsi="宋体" w:eastAsia="宋体" w:cs="宋体"/>
                <w:sz w:val="28"/>
                <w:szCs w:val="28"/>
                <w:highlight w:val="none"/>
                <w:lang w:eastAsia="zh-CN"/>
              </w:rPr>
              <w:t>环保设备</w:t>
            </w:r>
          </w:p>
        </w:tc>
        <w:tc>
          <w:tcPr>
            <w:tcW w:w="2869" w:type="dxa"/>
            <w:vAlign w:val="center"/>
          </w:tcPr>
          <w:p>
            <w:pPr>
              <w:pStyle w:val="36"/>
              <w:numPr>
                <w:ilvl w:val="0"/>
                <w:numId w:val="0"/>
              </w:numPr>
              <w:ind w:left="0" w:leftChars="0" w:firstLine="0" w:firstLineChars="0"/>
              <w:jc w:val="center"/>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lang w:val="en-US" w:eastAsia="zh-CN"/>
              </w:rPr>
              <w:t>中空玻璃、夹胶玻璃、复合防火玻璃涂胶、封胶工序以及夹胶玻璃强化工序上方设置集气罩，废气收集后经管道引至二级活性炭吸附装置进行处理，处理后废气经1根15米高排气筒P1排放。</w:t>
            </w:r>
          </w:p>
        </w:tc>
        <w:tc>
          <w:tcPr>
            <w:tcW w:w="3044" w:type="dxa"/>
            <w:vAlign w:val="center"/>
          </w:tcPr>
          <w:p>
            <w:pPr>
              <w:ind w:firstLine="560" w:firstLineChars="200"/>
              <w:jc w:val="center"/>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lang w:val="en-US" w:eastAsia="zh-CN"/>
              </w:rPr>
              <w:t>未建设</w:t>
            </w:r>
          </w:p>
        </w:tc>
      </w:tr>
    </w:tbl>
    <w:p>
      <w:pPr>
        <w:pStyle w:val="10"/>
        <w:rPr>
          <w:rFonts w:hint="eastAsia"/>
          <w:lang w:eastAsia="zh-CN"/>
        </w:rPr>
      </w:pPr>
    </w:p>
    <w:p>
      <w:pPr>
        <w:ind w:firstLine="562"/>
        <w:rPr>
          <w:rStyle w:val="13"/>
          <w:rFonts w:ascii="宋体" w:hAnsi="宋体" w:eastAsia="宋体"/>
          <w:b/>
          <w:sz w:val="20"/>
          <w:szCs w:val="28"/>
        </w:rPr>
      </w:pPr>
      <w:r>
        <w:rPr>
          <w:rStyle w:val="13"/>
          <w:rFonts w:ascii="宋体" w:hAnsi="宋体" w:eastAsia="宋体"/>
          <w:b/>
          <w:szCs w:val="28"/>
        </w:rPr>
        <w:t>三、环境保护设施建设情况</w:t>
      </w:r>
    </w:p>
    <w:p>
      <w:pPr>
        <w:ind w:firstLine="560"/>
        <w:rPr>
          <w:rStyle w:val="13"/>
          <w:rFonts w:ascii="宋体" w:hAnsi="宋体" w:eastAsia="宋体"/>
          <w:sz w:val="20"/>
          <w:szCs w:val="28"/>
        </w:rPr>
      </w:pPr>
      <w:r>
        <w:rPr>
          <w:rStyle w:val="13"/>
          <w:rFonts w:ascii="宋体" w:hAnsi="宋体" w:eastAsia="宋体"/>
          <w:szCs w:val="28"/>
        </w:rPr>
        <w:t>（一）废水</w:t>
      </w:r>
    </w:p>
    <w:p>
      <w:pPr>
        <w:ind w:firstLine="560"/>
        <w:rPr>
          <w:rStyle w:val="13"/>
          <w:rFonts w:hint="eastAsia" w:ascii="宋体" w:hAnsi="宋体" w:eastAsia="宋体"/>
          <w:szCs w:val="28"/>
        </w:rPr>
      </w:pPr>
      <w:r>
        <w:rPr>
          <w:rStyle w:val="13"/>
          <w:rFonts w:hint="eastAsia" w:ascii="宋体" w:hAnsi="宋体" w:eastAsia="宋体"/>
          <w:szCs w:val="28"/>
        </w:rPr>
        <w:t>本项目废水主要为中空玻璃产生的切割、磨边废水、清洗过程产生的清洗废水以及蒙砂玻璃清洗废水、弱酸清洗废水、蒙砂废水、液碱喷淋废水和生活污水。</w:t>
      </w:r>
    </w:p>
    <w:p>
      <w:pPr>
        <w:ind w:firstLine="560"/>
        <w:rPr>
          <w:rStyle w:val="13"/>
          <w:rFonts w:hint="eastAsia" w:ascii="宋体" w:hAnsi="宋体" w:eastAsia="宋体"/>
          <w:szCs w:val="28"/>
        </w:rPr>
      </w:pPr>
      <w:r>
        <w:rPr>
          <w:rStyle w:val="13"/>
          <w:rFonts w:hint="eastAsia" w:ascii="宋体" w:hAnsi="宋体" w:eastAsia="宋体"/>
          <w:szCs w:val="28"/>
        </w:rPr>
        <w:t>生活污水经化粪池处理后，由附近村民定期清运堆肥，不外排；玻璃磨边废水、清洗废水水经厂区污水处理站处理后，循环使用；蒙砂玻璃清洗废水、弱酸清洗废水、蒙砂废水、液碱喷淋废水经厂区污水处理站处理后，循环使用。无生产废水外排。</w:t>
      </w:r>
    </w:p>
    <w:p>
      <w:pPr>
        <w:ind w:firstLine="560"/>
        <w:rPr>
          <w:rStyle w:val="13"/>
          <w:rFonts w:ascii="宋体" w:hAnsi="宋体" w:eastAsia="宋体"/>
          <w:sz w:val="20"/>
          <w:szCs w:val="28"/>
        </w:rPr>
      </w:pPr>
      <w:r>
        <w:rPr>
          <w:rStyle w:val="13"/>
          <w:rFonts w:ascii="宋体" w:hAnsi="宋体" w:eastAsia="宋体"/>
          <w:szCs w:val="28"/>
        </w:rPr>
        <w:t>（二）废气</w:t>
      </w:r>
    </w:p>
    <w:p>
      <w:pPr>
        <w:ind w:firstLine="560"/>
        <w:rPr>
          <w:rStyle w:val="13"/>
          <w:rFonts w:ascii="宋体" w:hAnsi="宋体" w:eastAsia="宋体"/>
          <w:sz w:val="20"/>
          <w:szCs w:val="28"/>
        </w:rPr>
      </w:pPr>
      <w:r>
        <w:rPr>
          <w:rStyle w:val="13"/>
          <w:rFonts w:hint="eastAsia" w:ascii="宋体" w:hAnsi="宋体" w:eastAsia="宋体"/>
          <w:szCs w:val="28"/>
        </w:rPr>
        <w:t>本项目废气主要是蒙砂玻璃生产工序中弱酸配制过程产生的硫酸雾、蒙砂液配制过程产生的粉尘、硫酸雾和氟化</w:t>
      </w:r>
      <w:r>
        <w:rPr>
          <w:rStyle w:val="13"/>
          <w:rFonts w:hint="eastAsia" w:ascii="宋体" w:hAnsi="宋体" w:eastAsia="宋体"/>
          <w:szCs w:val="28"/>
          <w:lang w:val="en-US" w:eastAsia="zh-CN"/>
        </w:rPr>
        <w:t>氢</w:t>
      </w:r>
      <w:r>
        <w:rPr>
          <w:rStyle w:val="13"/>
          <w:rFonts w:hint="eastAsia" w:ascii="宋体" w:hAnsi="宋体" w:eastAsia="宋体"/>
          <w:szCs w:val="28"/>
        </w:rPr>
        <w:t>。本项目弱酸配制设置在封闭式配料间，且在硫酸稀释槽上方设置封闭式集气罩，通过风管、风机将硫酸雾引入液碱喷淋塔进行处理，硫酸雾经液碱喷淋塔湿法处理后，经15m高排气筒（P</w:t>
      </w:r>
      <w:r>
        <w:rPr>
          <w:rStyle w:val="13"/>
          <w:rFonts w:hint="eastAsia" w:ascii="宋体" w:hAnsi="宋体" w:eastAsia="宋体"/>
          <w:szCs w:val="28"/>
          <w:lang w:val="en-US" w:eastAsia="zh-CN"/>
        </w:rPr>
        <w:t>2</w:t>
      </w:r>
      <w:r>
        <w:rPr>
          <w:rStyle w:val="13"/>
          <w:rFonts w:hint="eastAsia" w:ascii="宋体" w:hAnsi="宋体" w:eastAsia="宋体"/>
          <w:szCs w:val="28"/>
        </w:rPr>
        <w:t>）排放；本项目蒙砂液配制过程中所用蒙砂粉为袋装粉料，开袋后人工倒入蒙砂配液槽中，然后加盖密闭，与硫酸搅拌混合，本项目设置封闭式配料间，且在蒙砂配液槽上方设置集气罩，通过风管、风机将粉尘引入液碱喷淋塔进行湿法除尘处理（与硫酸雾净化装置共用），粉尘经液碱喷淋塔湿法处理后，经15m高排气筒（P</w:t>
      </w:r>
      <w:r>
        <w:rPr>
          <w:rStyle w:val="13"/>
          <w:rFonts w:hint="eastAsia" w:ascii="宋体" w:hAnsi="宋体" w:eastAsia="宋体"/>
          <w:szCs w:val="28"/>
          <w:lang w:val="en-US" w:eastAsia="zh-CN"/>
        </w:rPr>
        <w:t>2</w:t>
      </w:r>
      <w:r>
        <w:rPr>
          <w:rStyle w:val="13"/>
          <w:rFonts w:hint="eastAsia" w:ascii="宋体" w:hAnsi="宋体" w:eastAsia="宋体"/>
          <w:szCs w:val="28"/>
        </w:rPr>
        <w:t>）排放；本项目蒙砂液配制过程中会产生硫酸雾和氟化氢，设置在封闭式配料间，且在蒙砂液配制槽上方设置集气罩，通过风管、风机将硫酸雾、氟化氢引入液碱喷淋塔进行处理，硫酸雾、氟化氢经液碱喷淋塔湿法处理后，经15m高排气筒（P</w:t>
      </w:r>
      <w:r>
        <w:rPr>
          <w:rStyle w:val="13"/>
          <w:rFonts w:hint="eastAsia" w:ascii="宋体" w:hAnsi="宋体" w:eastAsia="宋体"/>
          <w:szCs w:val="28"/>
          <w:lang w:val="en-US" w:eastAsia="zh-CN"/>
        </w:rPr>
        <w:t>2</w:t>
      </w:r>
      <w:r>
        <w:rPr>
          <w:rStyle w:val="13"/>
          <w:rFonts w:hint="eastAsia" w:ascii="宋体" w:hAnsi="宋体" w:eastAsia="宋体"/>
          <w:szCs w:val="28"/>
        </w:rPr>
        <w:t>）排放</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（三）噪声</w:t>
      </w:r>
    </w:p>
    <w:p>
      <w:pPr>
        <w:ind w:firstLine="560"/>
        <w:rPr>
          <w:rStyle w:val="13"/>
          <w:rFonts w:ascii="宋体" w:hAnsi="宋体" w:eastAsia="宋体"/>
          <w:sz w:val="20"/>
          <w:szCs w:val="28"/>
        </w:rPr>
      </w:pPr>
      <w:r>
        <w:rPr>
          <w:rStyle w:val="13"/>
          <w:rFonts w:hint="eastAsia" w:ascii="宋体" w:hAnsi="宋体" w:eastAsia="宋体"/>
          <w:szCs w:val="28"/>
        </w:rPr>
        <w:t>本项目生产过程中产生的噪声源主要是机械设备运转噪声。项目在设备选型时选用均为选用低噪声设备，设备上设计安装减震基础，并设置在室内隔声降噪；采用减震基底，连接处采用柔性接头。定期进行设备检修，加装润滑剂，减轻设备运转时产生的噪声，在设备安装设计中，采取了隔震、防震、防冲击，以减少气体动为噪声。生产车间墙壁设置了隔声门和楔形窗，降低室内混响，增大隔声量</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 xml:space="preserve"> (四)固废</w:t>
      </w:r>
    </w:p>
    <w:p>
      <w:pPr>
        <w:rPr>
          <w:rStyle w:val="13"/>
          <w:rFonts w:ascii="宋体" w:hAnsi="宋体" w:eastAsia="宋体"/>
          <w:sz w:val="20"/>
          <w:szCs w:val="28"/>
        </w:rPr>
      </w:pPr>
      <w:r>
        <w:rPr>
          <w:rStyle w:val="13"/>
          <w:rFonts w:hint="eastAsia" w:ascii="宋体" w:hAnsi="宋体" w:eastAsia="宋体"/>
          <w:szCs w:val="28"/>
        </w:rPr>
        <w:t>本项目项目固废主要为职工生活垃圾，生产过程中产生的废玻璃、废包装、废胶桶、废酸桶、污水处理站和喷淋塔污泥。生活垃圾暂存于垃圾收集桶，定期委托环卫部门处理；项目生产过程产生的废玻璃，收集后外售废品回收站；废包装收集后外售废品回收站；委托有资质的单位处理。污水处理站和液碱喷淋塔污泥，主要成为为硫酸钙和氟化钙。为无机污染物废水处理后产生的污泥，属于一般固废，收集后外售建材厂</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（五）其他环境保护设施</w:t>
      </w:r>
    </w:p>
    <w:p>
      <w:pPr>
        <w:ind w:firstLine="560"/>
        <w:jc w:val="both"/>
        <w:rPr>
          <w:rStyle w:val="13"/>
          <w:rFonts w:ascii="宋体" w:hAnsi="宋体" w:eastAsia="宋体"/>
          <w:sz w:val="20"/>
          <w:szCs w:val="28"/>
        </w:rPr>
      </w:pPr>
      <w:r>
        <w:rPr>
          <w:rStyle w:val="13"/>
          <w:rFonts w:ascii="宋体" w:hAnsi="宋体" w:eastAsia="宋体"/>
          <w:szCs w:val="28"/>
        </w:rPr>
        <w:t>1、环境风险防范设施</w:t>
      </w:r>
    </w:p>
    <w:p>
      <w:pPr>
        <w:ind w:firstLine="560"/>
        <w:rPr>
          <w:rStyle w:val="13"/>
          <w:rFonts w:ascii="宋体" w:hAnsi="宋体" w:eastAsia="宋体"/>
          <w:sz w:val="20"/>
          <w:szCs w:val="28"/>
        </w:rPr>
      </w:pPr>
      <w:r>
        <w:rPr>
          <w:rStyle w:val="13"/>
          <w:rFonts w:ascii="宋体" w:hAnsi="宋体" w:eastAsia="宋体"/>
          <w:color w:val="000000"/>
          <w:szCs w:val="28"/>
        </w:rPr>
        <w:t>本项目不涉及《建设项目环境风险评价技术导则》规定的有毒有害物质。因此环境风险在可接受范围内。</w:t>
      </w:r>
    </w:p>
    <w:p>
      <w:pPr>
        <w:ind w:firstLine="560"/>
        <w:jc w:val="both"/>
        <w:rPr>
          <w:rStyle w:val="13"/>
          <w:rFonts w:ascii="宋体" w:hAnsi="宋体" w:eastAsia="宋体"/>
          <w:sz w:val="20"/>
          <w:szCs w:val="28"/>
        </w:rPr>
      </w:pPr>
      <w:r>
        <w:rPr>
          <w:rStyle w:val="13"/>
          <w:rFonts w:ascii="宋体" w:hAnsi="宋体" w:eastAsia="宋体"/>
          <w:szCs w:val="28"/>
        </w:rPr>
        <w:t>2、在线监测装置</w:t>
      </w:r>
    </w:p>
    <w:p>
      <w:pPr>
        <w:ind w:firstLine="560"/>
        <w:jc w:val="both"/>
        <w:rPr>
          <w:rStyle w:val="13"/>
          <w:rFonts w:ascii="宋体" w:hAnsi="宋体" w:eastAsia="宋体"/>
          <w:sz w:val="20"/>
          <w:szCs w:val="28"/>
        </w:rPr>
      </w:pPr>
      <w:r>
        <w:rPr>
          <w:rStyle w:val="13"/>
          <w:rFonts w:ascii="宋体" w:hAnsi="宋体" w:eastAsia="宋体"/>
          <w:szCs w:val="28"/>
        </w:rPr>
        <w:t>本项目不需要安装在线监测装置，所以未安装。</w:t>
      </w:r>
    </w:p>
    <w:p>
      <w:pPr>
        <w:pStyle w:val="30"/>
        <w:spacing w:before="0" w:after="0"/>
        <w:ind w:firstLine="562"/>
        <w:jc w:val="both"/>
        <w:rPr>
          <w:rStyle w:val="13"/>
          <w:b/>
          <w:sz w:val="28"/>
          <w:szCs w:val="28"/>
        </w:rPr>
      </w:pPr>
      <w:r>
        <w:rPr>
          <w:rStyle w:val="13"/>
          <w:b/>
          <w:sz w:val="28"/>
          <w:szCs w:val="28"/>
        </w:rPr>
        <w:t>四、环境保护设施调试效果</w:t>
      </w:r>
    </w:p>
    <w:p>
      <w:pPr>
        <w:ind w:firstLine="560"/>
        <w:rPr>
          <w:rStyle w:val="13"/>
          <w:rFonts w:ascii="宋体" w:hAnsi="宋体" w:eastAsia="宋体"/>
          <w:sz w:val="20"/>
          <w:szCs w:val="28"/>
        </w:rPr>
      </w:pPr>
      <w:r>
        <w:rPr>
          <w:rStyle w:val="13"/>
          <w:rFonts w:ascii="宋体" w:hAnsi="宋体" w:eastAsia="宋体"/>
          <w:szCs w:val="28"/>
        </w:rPr>
        <w:t>（一）污染物达标排放情况</w:t>
      </w:r>
    </w:p>
    <w:p>
      <w:pPr>
        <w:ind w:firstLine="560"/>
        <w:rPr>
          <w:rStyle w:val="13"/>
          <w:rFonts w:ascii="宋体" w:hAnsi="宋体" w:eastAsia="宋体"/>
          <w:sz w:val="20"/>
          <w:szCs w:val="28"/>
        </w:rPr>
      </w:pPr>
      <w:r>
        <w:rPr>
          <w:rStyle w:val="13"/>
          <w:rFonts w:ascii="宋体" w:hAnsi="宋体" w:eastAsia="宋体"/>
          <w:szCs w:val="28"/>
        </w:rPr>
        <w:t>1、废水</w:t>
      </w:r>
    </w:p>
    <w:p>
      <w:pPr>
        <w:ind w:firstLine="560"/>
        <w:rPr>
          <w:rStyle w:val="13"/>
          <w:rFonts w:ascii="宋体" w:hAnsi="宋体" w:eastAsia="宋体"/>
          <w:sz w:val="20"/>
          <w:szCs w:val="28"/>
        </w:rPr>
      </w:pPr>
      <w:r>
        <w:rPr>
          <w:rStyle w:val="13"/>
          <w:rFonts w:hint="eastAsia" w:ascii="宋体" w:hAnsi="宋体" w:eastAsia="宋体"/>
          <w:color w:val="000000"/>
          <w:szCs w:val="28"/>
        </w:rPr>
        <w:t xml:space="preserve"> 本项目玻璃磨边废水、清洗废水、弱酸清洗废水、蒙砂废水、液碱喷淋废水等生产废水经厂区污水处理站处理后循环使用，不外排；生活污水经化粪池处理后由附近村民定期清运堆肥，不外排</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2、废气</w:t>
      </w:r>
    </w:p>
    <w:p>
      <w:pPr>
        <w:spacing w:before="190" w:after="190"/>
        <w:ind w:firstLine="560"/>
        <w:rPr>
          <w:rStyle w:val="13"/>
          <w:rFonts w:ascii="宋体" w:hAnsi="宋体" w:eastAsia="宋体"/>
          <w:sz w:val="20"/>
          <w:szCs w:val="28"/>
        </w:r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04</w:t>
      </w:r>
      <w:r>
        <w:rPr>
          <w:rStyle w:val="13"/>
          <w:rFonts w:ascii="宋体" w:hAnsi="宋体" w:eastAsia="宋体"/>
          <w:szCs w:val="28"/>
        </w:rPr>
        <w:t>日至</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05</w:t>
      </w:r>
      <w:r>
        <w:rPr>
          <w:rStyle w:val="13"/>
          <w:rFonts w:ascii="宋体" w:hAnsi="宋体" w:eastAsia="宋体"/>
          <w:szCs w:val="28"/>
        </w:rPr>
        <w:t>日</w:t>
      </w:r>
      <w:r>
        <w:rPr>
          <w:rStyle w:val="13"/>
          <w:rFonts w:ascii="宋体" w:hAnsi="宋体" w:eastAsia="宋体" w:cs="宋体"/>
          <w:bCs/>
          <w:szCs w:val="28"/>
        </w:rPr>
        <w:t>验收监测期间废气监测结果表明：</w:t>
      </w:r>
      <w:r>
        <w:rPr>
          <w:rStyle w:val="13"/>
          <w:rFonts w:hint="eastAsia" w:ascii="宋体" w:hAnsi="宋体" w:eastAsia="宋体"/>
          <w:color w:val="000000"/>
          <w:szCs w:val="28"/>
        </w:rPr>
        <w:t>蒙砂玻璃工序排放的废气中颗粒物的排放浓度最大值为3.4mg/m3，排放速率0.027Kg/h；氟化</w:t>
      </w:r>
      <w:r>
        <w:rPr>
          <w:rStyle w:val="13"/>
          <w:rFonts w:hint="eastAsia" w:ascii="宋体" w:hAnsi="宋体" w:eastAsia="宋体"/>
          <w:color w:val="000000"/>
          <w:szCs w:val="28"/>
          <w:lang w:val="en-US" w:eastAsia="zh-CN"/>
        </w:rPr>
        <w:t>氢</w:t>
      </w:r>
      <w:r>
        <w:rPr>
          <w:rStyle w:val="13"/>
          <w:rFonts w:hint="eastAsia" w:ascii="宋体" w:hAnsi="宋体" w:eastAsia="宋体"/>
          <w:color w:val="000000"/>
          <w:szCs w:val="28"/>
        </w:rPr>
        <w:t>的排放浓度最大值为0.233mg/m3，排放速率0.002Kg/h；硫酸雾的排放浓度最大值为0.239mg/m3，排放速率0.002Kg/h；满足《区域性大气污染物综合排放标准》(DB37/2375-2019)表2一般控制区标准要求及《大气污染物综合排放标准》（GB16297-1996）二级排放标准</w:t>
      </w:r>
      <w:r>
        <w:rPr>
          <w:rStyle w:val="13"/>
          <w:rFonts w:hint="eastAsia" w:ascii="宋体" w:hAnsi="宋体" w:eastAsia="宋体"/>
          <w:color w:val="000000"/>
          <w:szCs w:val="28"/>
          <w:lang w:eastAsia="zh-CN"/>
        </w:rPr>
        <w:t>。</w:t>
      </w:r>
    </w:p>
    <w:p>
      <w:pPr>
        <w:ind w:firstLine="560"/>
        <w:rPr>
          <w:rStyle w:val="13"/>
          <w:rFonts w:ascii="宋体" w:hAnsi="宋体" w:eastAsia="宋体"/>
          <w:sz w:val="20"/>
          <w:szCs w:val="28"/>
        </w:rPr>
      </w:pPr>
      <w:r>
        <w:rPr>
          <w:rStyle w:val="13"/>
          <w:rFonts w:ascii="宋体" w:hAnsi="宋体" w:eastAsia="宋体"/>
          <w:szCs w:val="28"/>
        </w:rPr>
        <w:t>3、噪声</w:t>
      </w:r>
    </w:p>
    <w:p>
      <w:pPr>
        <w:ind w:firstLine="560"/>
        <w:rPr>
          <w:rStyle w:val="13"/>
          <w:rFonts w:ascii="宋体" w:hAnsi="宋体" w:eastAsia="宋体"/>
          <w:sz w:val="20"/>
          <w:szCs w:val="28"/>
        </w:r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04</w:t>
      </w:r>
      <w:r>
        <w:rPr>
          <w:rStyle w:val="13"/>
          <w:rFonts w:ascii="宋体" w:hAnsi="宋体" w:eastAsia="宋体"/>
          <w:szCs w:val="28"/>
        </w:rPr>
        <w:t>日至</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05</w:t>
      </w:r>
      <w:r>
        <w:rPr>
          <w:rStyle w:val="13"/>
          <w:rFonts w:ascii="宋体" w:hAnsi="宋体" w:eastAsia="宋体"/>
          <w:szCs w:val="28"/>
        </w:rPr>
        <w:t>日验收监测期间，</w:t>
      </w:r>
      <w:r>
        <w:rPr>
          <w:rStyle w:val="13"/>
          <w:rFonts w:hint="eastAsia" w:ascii="宋体" w:hAnsi="宋体" w:eastAsia="宋体"/>
          <w:szCs w:val="28"/>
        </w:rPr>
        <w:t>本项目厂界的昼间噪声在52~57dB（A）之间，符合《工业企业厂界环境噪声排放标准》（GB12348-2008）3类功能区标准要求</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4、固废</w:t>
      </w:r>
    </w:p>
    <w:p>
      <w:pPr>
        <w:ind w:firstLine="560"/>
        <w:rPr>
          <w:rStyle w:val="13"/>
          <w:rFonts w:ascii="宋体" w:hAnsi="宋体" w:eastAsia="宋体"/>
          <w:sz w:val="20"/>
          <w:szCs w:val="28"/>
          <w:lang w:val="zh-CN"/>
        </w:rPr>
      </w:pPr>
      <w:r>
        <w:rPr>
          <w:rStyle w:val="13"/>
          <w:rFonts w:hint="eastAsia" w:ascii="宋体" w:hAnsi="宋体" w:eastAsia="宋体"/>
          <w:szCs w:val="28"/>
          <w:lang w:val="zh-CN"/>
        </w:rPr>
        <w:t>生产过程中产生的废玻璃、隔条边角料和废包装收集后外售废品回收站；污水处理站和喷淋塔污泥收集后外售建材厂；职工生活产生的生活垃圾委托环卫部门清运；废酸桶、废胶桶、废活性炭收集后暂存于危废库委托有资质单位处理。固体废物的处置符合《一般工业固体废物贮存、处置场污染控制标准》（GB18599-2001）及其修改单的标准要求；《危险废物贮存污染控制标准》（GB18597-2001）及修改单要求</w:t>
      </w:r>
      <w:r>
        <w:rPr>
          <w:rStyle w:val="13"/>
          <w:rFonts w:ascii="宋体" w:hAnsi="宋体" w:eastAsia="宋体"/>
          <w:szCs w:val="28"/>
          <w:lang w:val="zh-CN"/>
        </w:rPr>
        <w:t>。</w:t>
      </w:r>
    </w:p>
    <w:p>
      <w:pPr>
        <w:ind w:firstLine="562"/>
        <w:rPr>
          <w:rStyle w:val="13"/>
          <w:rFonts w:ascii="宋体" w:hAnsi="宋体" w:eastAsia="宋体"/>
          <w:b/>
          <w:sz w:val="20"/>
          <w:szCs w:val="28"/>
        </w:rPr>
      </w:pPr>
      <w:r>
        <w:rPr>
          <w:rStyle w:val="13"/>
          <w:rFonts w:ascii="宋体" w:hAnsi="宋体" w:eastAsia="宋体"/>
          <w:b/>
          <w:szCs w:val="28"/>
        </w:rPr>
        <w:t>五、工程建设对环境的影响</w:t>
      </w:r>
    </w:p>
    <w:p>
      <w:pPr>
        <w:pStyle w:val="30"/>
        <w:spacing w:before="0" w:after="0"/>
        <w:ind w:firstLine="560"/>
        <w:jc w:val="both"/>
        <w:rPr>
          <w:rStyle w:val="13"/>
          <w:sz w:val="28"/>
          <w:szCs w:val="28"/>
        </w:rPr>
      </w:pPr>
      <w:r>
        <w:rPr>
          <w:rStyle w:val="13"/>
          <w:sz w:val="28"/>
          <w:szCs w:val="28"/>
        </w:rPr>
        <w:t>本项目施工期、运营期未对周围环境产生不良影响，无环境信访发生。</w:t>
      </w:r>
    </w:p>
    <w:p>
      <w:pPr>
        <w:pStyle w:val="30"/>
        <w:spacing w:before="0" w:after="0"/>
        <w:ind w:firstLine="562"/>
        <w:jc w:val="both"/>
        <w:rPr>
          <w:rStyle w:val="13"/>
          <w:b/>
          <w:sz w:val="28"/>
          <w:szCs w:val="28"/>
        </w:rPr>
      </w:pPr>
      <w:r>
        <w:rPr>
          <w:rStyle w:val="13"/>
          <w:b/>
          <w:sz w:val="28"/>
          <w:szCs w:val="28"/>
        </w:rPr>
        <w:t>六、验收结论</w:t>
      </w:r>
    </w:p>
    <w:p>
      <w:pPr>
        <w:ind w:firstLine="560"/>
        <w:rPr>
          <w:rStyle w:val="13"/>
          <w:rFonts w:ascii="宋体" w:hAnsi="宋体" w:eastAsia="宋体"/>
          <w:sz w:val="20"/>
          <w:szCs w:val="28"/>
        </w:rPr>
      </w:pPr>
      <w:r>
        <w:rPr>
          <w:rStyle w:val="13"/>
          <w:rFonts w:ascii="宋体" w:hAnsi="宋体" w:eastAsia="宋体"/>
          <w:szCs w:val="28"/>
        </w:rPr>
        <w:t>经现场检查，该项目在实施过程中基本能按照环评文件及批复要求配套建设相应的环保设施，落实了相应的环保措施，本项目无生产废水产生与外排。生活污水经化粪池沉淀后，外运返制农肥，不外排；外排废气、噪声达标排放；固体废物处置措施基本落实到位，固体废物得到了妥善处置。符合项目竣工环保验收条件，同意该项目通过竣工环保验收。</w:t>
      </w:r>
    </w:p>
    <w:p>
      <w:pPr>
        <w:ind w:firstLine="402"/>
        <w:rPr>
          <w:rStyle w:val="13"/>
          <w:rFonts w:ascii="宋体" w:hAnsi="宋体" w:eastAsia="宋体" w:cs="宋体"/>
          <w:b/>
          <w:bCs/>
          <w:sz w:val="20"/>
          <w:szCs w:val="28"/>
          <w:lang w:val="zh-TW"/>
        </w:rPr>
      </w:pPr>
    </w:p>
    <w:p>
      <w:pPr>
        <w:ind w:firstLine="562"/>
        <w:rPr>
          <w:rStyle w:val="13"/>
          <w:rFonts w:ascii="宋体" w:hAnsi="宋体" w:eastAsia="宋体"/>
          <w:sz w:val="20"/>
          <w:szCs w:val="28"/>
        </w:rPr>
      </w:pPr>
      <w:r>
        <w:rPr>
          <w:rStyle w:val="13"/>
          <w:rFonts w:ascii="宋体" w:hAnsi="宋体" w:eastAsia="宋体" w:cs="宋体"/>
          <w:b/>
          <w:bCs/>
          <w:szCs w:val="28"/>
          <w:lang w:val="zh-TW"/>
        </w:rPr>
        <w:t>七、后续要求</w:t>
      </w:r>
    </w:p>
    <w:p>
      <w:pPr>
        <w:ind w:left="0" w:leftChars="0" w:firstLine="560" w:firstLineChars="200"/>
        <w:rPr>
          <w:rStyle w:val="13"/>
          <w:rFonts w:hint="eastAsia" w:ascii="宋体" w:hAnsi="宋体" w:eastAsia="宋体"/>
          <w:sz w:val="28"/>
          <w:szCs w:val="28"/>
        </w:rPr>
      </w:pPr>
      <w:r>
        <w:rPr>
          <w:rStyle w:val="13"/>
          <w:rFonts w:ascii="宋体" w:hAnsi="宋体" w:eastAsia="宋体"/>
          <w:sz w:val="28"/>
          <w:szCs w:val="28"/>
        </w:rPr>
        <w:t>1、</w:t>
      </w:r>
      <w:r>
        <w:rPr>
          <w:rStyle w:val="13"/>
          <w:rFonts w:hint="eastAsia" w:ascii="宋体" w:hAnsi="宋体" w:eastAsia="宋体"/>
          <w:sz w:val="28"/>
          <w:szCs w:val="28"/>
        </w:rPr>
        <w:t>加强设备的维护，</w:t>
      </w:r>
      <w:r>
        <w:rPr>
          <w:rStyle w:val="13"/>
          <w:rFonts w:hint="eastAsia" w:ascii="宋体" w:hAnsi="宋体" w:eastAsia="宋体"/>
          <w:sz w:val="28"/>
          <w:szCs w:val="28"/>
          <w:lang w:val="en-US" w:eastAsia="zh-CN"/>
        </w:rPr>
        <w:t>及时检查喷淋塔碱溶，</w:t>
      </w:r>
      <w:r>
        <w:rPr>
          <w:rStyle w:val="13"/>
          <w:rFonts w:hint="eastAsia" w:ascii="宋体" w:hAnsi="宋体" w:eastAsia="宋体"/>
          <w:sz w:val="28"/>
          <w:szCs w:val="28"/>
        </w:rPr>
        <w:t>确保设备在良好的状态下运行。</w:t>
      </w:r>
    </w:p>
    <w:p>
      <w:pPr>
        <w:ind w:left="0" w:leftChars="0" w:firstLine="560" w:firstLineChars="200"/>
        <w:rPr>
          <w:rFonts w:hint="eastAsia" w:ascii="宋体" w:hAnsi="宋体" w:eastAsia="宋体" w:cs="宋体"/>
          <w:lang w:val="en-US" w:eastAsia="zh-CN"/>
        </w:rPr>
      </w:pPr>
      <w:r>
        <w:rPr>
          <w:rStyle w:val="13"/>
          <w:rFonts w:hint="eastAsia" w:ascii="宋体" w:hAnsi="宋体" w:eastAsia="宋体"/>
          <w:sz w:val="28"/>
          <w:szCs w:val="28"/>
        </w:rPr>
        <w:t>2、定期清理生产固废，避免在厂区长期堆放造成二次污染</w:t>
      </w:r>
      <w:r>
        <w:rPr>
          <w:rFonts w:hint="eastAsia" w:ascii="宋体" w:hAnsi="宋体" w:eastAsia="宋体" w:cs="宋体"/>
          <w:sz w:val="28"/>
          <w:szCs w:val="28"/>
          <w:lang w:val="en-US" w:eastAsia="zh-CN"/>
        </w:rPr>
        <w:t>。</w:t>
      </w:r>
    </w:p>
    <w:p>
      <w:pPr>
        <w:ind w:firstLine="562"/>
        <w:rPr>
          <w:rStyle w:val="13"/>
          <w:rFonts w:hint="eastAsia" w:ascii="宋体" w:hAnsi="宋体" w:eastAsia="宋体"/>
          <w:b w:val="0"/>
          <w:bCs/>
          <w:szCs w:val="28"/>
          <w:lang w:val="en-US" w:eastAsia="zh-CN"/>
        </w:rPr>
      </w:pPr>
      <w:r>
        <w:rPr>
          <w:rStyle w:val="13"/>
          <w:rFonts w:hint="eastAsia" w:ascii="宋体" w:hAnsi="宋体" w:eastAsia="宋体"/>
          <w:b w:val="0"/>
          <w:bCs/>
          <w:szCs w:val="28"/>
          <w:lang w:val="en-US" w:eastAsia="zh-CN"/>
        </w:rPr>
        <w:t>3、完善危废库的建设，规范建立台账。</w:t>
      </w:r>
      <w:bookmarkStart w:id="0" w:name="_GoBack"/>
      <w:bookmarkEnd w:id="0"/>
    </w:p>
    <w:p>
      <w:pPr>
        <w:ind w:firstLine="562"/>
        <w:rPr>
          <w:rStyle w:val="13"/>
          <w:rFonts w:ascii="宋体" w:hAnsi="宋体" w:eastAsia="宋体"/>
          <w:b/>
          <w:szCs w:val="28"/>
        </w:rPr>
      </w:pPr>
      <w:r>
        <w:rPr>
          <w:rStyle w:val="13"/>
          <w:rFonts w:hint="eastAsia" w:ascii="宋体" w:hAnsi="宋体" w:eastAsia="宋体"/>
          <w:b w:val="0"/>
          <w:bCs/>
          <w:szCs w:val="28"/>
          <w:lang w:val="en-US" w:eastAsia="zh-CN"/>
        </w:rPr>
        <w:t>4、加强对浓硫酸稀释和蒙砂液配置的正确操作。</w:t>
      </w:r>
    </w:p>
    <w:p>
      <w:pPr>
        <w:ind w:firstLine="562"/>
        <w:rPr>
          <w:rStyle w:val="13"/>
          <w:rFonts w:ascii="宋体" w:hAnsi="宋体" w:eastAsia="宋体"/>
          <w:b/>
          <w:sz w:val="20"/>
          <w:szCs w:val="28"/>
        </w:rPr>
      </w:pPr>
      <w:r>
        <w:rPr>
          <w:rStyle w:val="13"/>
          <w:rFonts w:ascii="宋体" w:hAnsi="宋体" w:eastAsia="宋体"/>
          <w:b/>
          <w:szCs w:val="28"/>
        </w:rPr>
        <w:t>八、验收人员信息</w:t>
      </w:r>
    </w:p>
    <w:p>
      <w:pPr>
        <w:ind w:firstLine="560"/>
        <w:rPr>
          <w:rStyle w:val="13"/>
          <w:rFonts w:ascii="宋体" w:hAnsi="宋体" w:eastAsia="宋体"/>
          <w:sz w:val="20"/>
          <w:szCs w:val="28"/>
        </w:rPr>
      </w:pPr>
      <w:r>
        <w:rPr>
          <w:rStyle w:val="13"/>
          <w:rFonts w:ascii="宋体" w:hAnsi="宋体" w:eastAsia="宋体"/>
          <w:szCs w:val="28"/>
        </w:rPr>
        <w:t>验收人员名单，见附表。</w:t>
      </w:r>
    </w:p>
    <w:p>
      <w:pPr>
        <w:ind w:firstLine="560"/>
        <w:jc w:val="right"/>
        <w:rPr>
          <w:rStyle w:val="13"/>
          <w:rFonts w:hint="eastAsia" w:ascii="宋体" w:hAnsi="宋体" w:eastAsia="宋体"/>
          <w:sz w:val="20"/>
          <w:szCs w:val="28"/>
          <w:lang w:eastAsia="zh-CN"/>
        </w:rPr>
      </w:pPr>
      <w:r>
        <w:rPr>
          <w:rStyle w:val="13"/>
          <w:rFonts w:hint="eastAsia" w:ascii="宋体" w:hAnsi="宋体" w:eastAsia="宋体"/>
          <w:szCs w:val="28"/>
          <w:lang w:eastAsia="zh-CN"/>
        </w:rPr>
        <w:t>梁山润之畅玻璃有限公司</w:t>
      </w:r>
    </w:p>
    <w:p>
      <w:pPr>
        <w:ind w:firstLine="560"/>
        <w:jc w:val="right"/>
        <w:rPr>
          <w:rStyle w:val="13"/>
          <w:rFonts w:ascii="宋体" w:hAnsi="宋体" w:eastAsia="宋体"/>
          <w:sz w:val="20"/>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81" w:charSpace="0"/>
        </w:sect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11</w:t>
      </w:r>
      <w:r>
        <w:rPr>
          <w:rStyle w:val="13"/>
          <w:rFonts w:ascii="宋体" w:hAnsi="宋体" w:eastAsia="宋体"/>
          <w:szCs w:val="28"/>
        </w:rPr>
        <w:t>月</w:t>
      </w:r>
      <w:r>
        <w:rPr>
          <w:rStyle w:val="13"/>
          <w:rFonts w:hint="eastAsia" w:ascii="宋体" w:hAnsi="宋体" w:eastAsia="宋体"/>
          <w:szCs w:val="28"/>
          <w:lang w:val="en-US" w:eastAsia="zh-CN"/>
        </w:rPr>
        <w:t>6</w:t>
      </w:r>
      <w:r>
        <w:rPr>
          <w:rStyle w:val="13"/>
          <w:rFonts w:ascii="宋体" w:hAnsi="宋体" w:eastAsia="宋体"/>
          <w:szCs w:val="28"/>
        </w:rPr>
        <w:t>日</w:t>
      </w:r>
    </w:p>
    <w:p>
      <w:pPr>
        <w:ind w:firstLine="400"/>
        <w:jc w:val="right"/>
        <w:rPr>
          <w:rStyle w:val="13"/>
          <w:rFonts w:ascii="宋体" w:hAnsi="宋体" w:eastAsia="宋体"/>
          <w:sz w:val="20"/>
          <w:szCs w:val="28"/>
        </w:rPr>
      </w:pPr>
    </w:p>
    <w:p>
      <w:pPr>
        <w:tabs>
          <w:tab w:val="left" w:pos="2790"/>
        </w:tabs>
        <w:ind w:firstLine="560"/>
        <w:rPr>
          <w:rStyle w:val="13"/>
          <w:rFonts w:ascii="宋体" w:hAnsi="宋体" w:eastAsia="宋体"/>
          <w:sz w:val="20"/>
          <w:szCs w:val="28"/>
        </w:rPr>
      </w:pPr>
      <w:r>
        <w:rPr>
          <w:rStyle w:val="13"/>
          <w:rFonts w:ascii="宋体" w:hAnsi="宋体" w:eastAsia="宋体"/>
          <w:szCs w:val="28"/>
        </w:rPr>
        <w:tab/>
      </w:r>
    </w:p>
    <w:p>
      <w:pPr>
        <w:tabs>
          <w:tab w:val="left" w:pos="2790"/>
        </w:tabs>
        <w:ind w:firstLine="562"/>
        <w:jc w:val="center"/>
        <w:rPr>
          <w:rStyle w:val="13"/>
          <w:rFonts w:hint="eastAsia" w:ascii="宋体" w:hAnsi="宋体" w:eastAsia="宋体"/>
          <w:b/>
          <w:color w:val="000000"/>
          <w:sz w:val="20"/>
          <w:szCs w:val="28"/>
          <w:lang w:eastAsia="zh-CN"/>
        </w:rPr>
      </w:pPr>
      <w:r>
        <w:rPr>
          <w:rStyle w:val="13"/>
          <w:rFonts w:hint="eastAsia" w:ascii="宋体" w:hAnsi="宋体" w:eastAsia="宋体"/>
          <w:b/>
          <w:color w:val="000000"/>
          <w:szCs w:val="28"/>
          <w:lang w:eastAsia="zh-CN"/>
        </w:rPr>
        <w:t>梁山润之畅玻璃有限公司年产30万m2蒙砂玻璃、10万m2中空玻璃、10万m2夹胶玻璃、10万m2复合防火玻璃生产项目（一期）</w:t>
      </w:r>
    </w:p>
    <w:p>
      <w:pPr>
        <w:tabs>
          <w:tab w:val="left" w:pos="2790"/>
        </w:tabs>
        <w:ind w:firstLine="562"/>
        <w:jc w:val="center"/>
        <w:rPr>
          <w:rStyle w:val="13"/>
          <w:rFonts w:ascii="宋体" w:hAnsi="宋体" w:eastAsia="宋体"/>
          <w:b/>
          <w:bCs/>
          <w:color w:val="000000"/>
          <w:sz w:val="20"/>
          <w:szCs w:val="28"/>
        </w:rPr>
      </w:pPr>
      <w:r>
        <w:rPr>
          <w:rStyle w:val="13"/>
          <w:rFonts w:ascii="宋体" w:hAnsi="宋体" w:eastAsia="宋体"/>
          <w:b/>
          <w:bCs/>
          <w:color w:val="000000"/>
          <w:szCs w:val="28"/>
        </w:rPr>
        <w:t>竣工环境保护验收工作组人员信息</w:t>
      </w:r>
    </w:p>
    <w:p>
      <w:pPr>
        <w:tabs>
          <w:tab w:val="left" w:pos="2790"/>
        </w:tabs>
        <w:ind w:firstLine="402"/>
        <w:jc w:val="center"/>
        <w:rPr>
          <w:rStyle w:val="13"/>
          <w:rFonts w:ascii="宋体" w:hAnsi="宋体" w:eastAsia="宋体"/>
          <w:b/>
          <w:bCs/>
          <w:color w:val="000000"/>
          <w:sz w:val="20"/>
          <w:szCs w:val="28"/>
        </w:rPr>
      </w:pPr>
    </w:p>
    <w:tbl>
      <w:tblPr>
        <w:tblStyle w:val="6"/>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4"/>
        <w:gridCol w:w="1508"/>
        <w:gridCol w:w="4823"/>
        <w:gridCol w:w="1842"/>
        <w:gridCol w:w="2835"/>
        <w:gridCol w:w="15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组成成员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姓名</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单位</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职务/职称</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签字</w:t>
            </w: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组长</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hint="default" w:ascii="宋体" w:hAnsi="宋体" w:eastAsia="宋体"/>
                <w:color w:val="000000"/>
                <w:sz w:val="20"/>
                <w:szCs w:val="28"/>
                <w:lang w:val="en-US" w:eastAsia="zh-CN"/>
              </w:rPr>
            </w:pPr>
            <w:r>
              <w:rPr>
                <w:rFonts w:hint="eastAsia" w:ascii="宋体" w:hAnsi="宋体" w:eastAsia="宋体" w:cs="宋体"/>
                <w:i w:val="0"/>
                <w:iCs w:val="0"/>
                <w:caps w:val="0"/>
                <w:color w:val="000000" w:themeColor="text1"/>
                <w:spacing w:val="0"/>
                <w:sz w:val="28"/>
                <w:szCs w:val="28"/>
                <w:u w:val="none"/>
                <w14:textFill>
                  <w14:solidFill>
                    <w14:schemeClr w14:val="tx1"/>
                  </w14:solidFill>
                </w14:textFill>
              </w:rPr>
              <w:fldChar w:fldCharType="begin"/>
            </w:r>
            <w:r>
              <w:rPr>
                <w:rFonts w:hint="eastAsia" w:ascii="宋体" w:hAnsi="宋体" w:eastAsia="宋体" w:cs="宋体"/>
                <w:i w:val="0"/>
                <w:iCs w:val="0"/>
                <w:caps w:val="0"/>
                <w:color w:val="000000" w:themeColor="text1"/>
                <w:spacing w:val="0"/>
                <w:sz w:val="28"/>
                <w:szCs w:val="28"/>
                <w:u w:val="none"/>
                <w14:textFill>
                  <w14:solidFill>
                    <w14:schemeClr w14:val="tx1"/>
                  </w14:solidFill>
                </w14:textFill>
              </w:rPr>
              <w:instrText xml:space="preserve"> HYPERLINK "https://www.qcc.com/pl/p62eced91ea929374564621179f82be8.html" \t "https://www.qcc.com/firm/_blank" </w:instrText>
            </w:r>
            <w:r>
              <w:rPr>
                <w:rFonts w:hint="eastAsia" w:ascii="宋体" w:hAnsi="宋体" w:eastAsia="宋体" w:cs="宋体"/>
                <w:i w:val="0"/>
                <w:iCs w:val="0"/>
                <w:caps w:val="0"/>
                <w:color w:val="000000" w:themeColor="text1"/>
                <w:spacing w:val="0"/>
                <w:sz w:val="28"/>
                <w:szCs w:val="28"/>
                <w:u w:val="none"/>
                <w14:textFill>
                  <w14:solidFill>
                    <w14:schemeClr w14:val="tx1"/>
                  </w14:solidFill>
                </w14:textFill>
              </w:rPr>
              <w:fldChar w:fldCharType="separate"/>
            </w:r>
            <w:r>
              <w:rPr>
                <w:rStyle w:val="9"/>
                <w:rFonts w:hint="eastAsia" w:ascii="宋体" w:hAnsi="宋体" w:eastAsia="宋体" w:cs="宋体"/>
                <w:i w:val="0"/>
                <w:iCs w:val="0"/>
                <w:caps w:val="0"/>
                <w:color w:val="000000" w:themeColor="text1"/>
                <w:spacing w:val="0"/>
                <w:sz w:val="28"/>
                <w:szCs w:val="28"/>
                <w:u w:val="none"/>
                <w14:textFill>
                  <w14:solidFill>
                    <w14:schemeClr w14:val="tx1"/>
                  </w14:solidFill>
                </w14:textFill>
              </w:rPr>
              <w:t>张继家</w:t>
            </w:r>
            <w:r>
              <w:rPr>
                <w:rFonts w:hint="eastAsia" w:ascii="宋体" w:hAnsi="宋体" w:eastAsia="宋体" w:cs="宋体"/>
                <w:i w:val="0"/>
                <w:iCs w:val="0"/>
                <w:caps w:val="0"/>
                <w:color w:val="000000" w:themeColor="text1"/>
                <w:spacing w:val="0"/>
                <w:sz w:val="28"/>
                <w:szCs w:val="28"/>
                <w:u w:val="none"/>
                <w14:textFill>
                  <w14:solidFill>
                    <w14:schemeClr w14:val="tx1"/>
                  </w14:solidFill>
                </w14:textFill>
              </w:rPr>
              <w:fldChar w:fldCharType="end"/>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hint="eastAsia" w:ascii="宋体" w:hAnsi="宋体" w:eastAsia="宋体"/>
                <w:color w:val="000000"/>
                <w:sz w:val="20"/>
                <w:szCs w:val="28"/>
                <w:lang w:eastAsia="zh-CN"/>
              </w:rPr>
            </w:pPr>
            <w:r>
              <w:rPr>
                <w:rStyle w:val="13"/>
                <w:rFonts w:hint="eastAsia" w:ascii="宋体" w:hAnsi="宋体" w:eastAsia="宋体"/>
                <w:color w:val="000000"/>
                <w:szCs w:val="28"/>
                <w:lang w:eastAsia="zh-CN"/>
              </w:rPr>
              <w:t>梁山润之畅玻璃有限公司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总经理</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0" w:hRule="atLeast"/>
          <w:jc w:val="center"/>
        </w:trPr>
        <w:tc>
          <w:tcPr>
            <w:tcW w:w="1574" w:type="dxa"/>
            <w:vMerge w:val="restart"/>
            <w:tcBorders>
              <w:top w:val="single" w:color="000000" w:sz="4" w:space="0"/>
              <w:left w:val="single" w:color="000000" w:sz="4" w:space="0"/>
              <w:bottom w:val="single" w:color="000000" w:sz="4" w:space="0"/>
              <w:right w:val="single" w:color="000000" w:sz="4" w:space="0"/>
            </w:tcBorders>
            <w:vAlign w:val="center"/>
          </w:tcPr>
          <w:p>
            <w:pPr>
              <w:ind w:firstLine="338" w:firstLineChars="121"/>
              <w:rPr>
                <w:rStyle w:val="13"/>
                <w:rFonts w:ascii="宋体" w:hAnsi="宋体" w:eastAsia="宋体"/>
                <w:color w:val="000000"/>
                <w:sz w:val="20"/>
                <w:szCs w:val="28"/>
              </w:rPr>
            </w:pPr>
            <w:r>
              <w:rPr>
                <w:rStyle w:val="13"/>
                <w:rFonts w:ascii="宋体" w:hAnsi="宋体" w:eastAsia="宋体"/>
                <w:color w:val="000000"/>
                <w:szCs w:val="28"/>
              </w:rPr>
              <w:t>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于庆华</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济宁市梁山环境监控中心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马海灵</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济宁市梁山县生态环境事务中心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孙冬梅</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济宁瑞康环境监测评价有限公司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技术人员</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bl>
    <w:p>
      <w:pPr>
        <w:tabs>
          <w:tab w:val="left" w:pos="5265"/>
        </w:tabs>
        <w:ind w:firstLine="562"/>
        <w:rPr>
          <w:rStyle w:val="13"/>
          <w:rFonts w:ascii="宋体" w:hAnsi="宋体" w:eastAsia="宋体"/>
          <w:b/>
          <w:bCs/>
          <w:color w:val="000000"/>
          <w:sz w:val="20"/>
          <w:szCs w:val="28"/>
        </w:rPr>
      </w:pPr>
      <w:r>
        <w:rPr>
          <w:rStyle w:val="13"/>
          <w:rFonts w:ascii="宋体" w:hAnsi="宋体" w:eastAsia="宋体"/>
          <w:b/>
          <w:bCs/>
          <w:color w:val="000000"/>
          <w:szCs w:val="28"/>
        </w:rPr>
        <w:tab/>
      </w:r>
    </w:p>
    <w:p>
      <w:pPr>
        <w:ind w:firstLine="560"/>
        <w:jc w:val="right"/>
        <w:rPr>
          <w:rStyle w:val="13"/>
          <w:rFonts w:ascii="宋体" w:hAnsi="宋体" w:eastAsia="宋体"/>
          <w:color w:val="000000"/>
          <w:sz w:val="20"/>
          <w:szCs w:val="28"/>
        </w:rPr>
      </w:pPr>
      <w:r>
        <w:rPr>
          <w:rStyle w:val="13"/>
          <w:rFonts w:ascii="宋体" w:hAnsi="宋体" w:eastAsia="宋体"/>
          <w:color w:val="000000"/>
          <w:szCs w:val="28"/>
        </w:rPr>
        <w:t>202</w:t>
      </w:r>
      <w:r>
        <w:rPr>
          <w:rStyle w:val="13"/>
          <w:rFonts w:hint="eastAsia" w:ascii="宋体" w:hAnsi="宋体" w:eastAsia="宋体"/>
          <w:color w:val="000000"/>
          <w:szCs w:val="28"/>
          <w:lang w:val="en-US" w:eastAsia="zh-CN"/>
        </w:rPr>
        <w:t>1</w:t>
      </w:r>
      <w:r>
        <w:rPr>
          <w:rStyle w:val="13"/>
          <w:rFonts w:ascii="宋体" w:hAnsi="宋体" w:eastAsia="宋体"/>
          <w:color w:val="000000"/>
          <w:szCs w:val="28"/>
        </w:rPr>
        <w:t>年</w:t>
      </w:r>
      <w:r>
        <w:rPr>
          <w:rStyle w:val="13"/>
          <w:rFonts w:hint="eastAsia" w:ascii="宋体" w:hAnsi="宋体" w:eastAsia="宋体"/>
          <w:color w:val="000000"/>
          <w:szCs w:val="28"/>
          <w:lang w:val="en-US" w:eastAsia="zh-CN"/>
        </w:rPr>
        <w:t>11</w:t>
      </w:r>
      <w:r>
        <w:rPr>
          <w:rStyle w:val="13"/>
          <w:rFonts w:ascii="宋体" w:hAnsi="宋体" w:eastAsia="宋体"/>
          <w:color w:val="000000"/>
          <w:szCs w:val="28"/>
        </w:rPr>
        <w:t>月</w:t>
      </w:r>
      <w:r>
        <w:rPr>
          <w:rStyle w:val="13"/>
          <w:rFonts w:hint="eastAsia" w:ascii="宋体" w:hAnsi="宋体" w:eastAsia="宋体"/>
          <w:color w:val="000000"/>
          <w:szCs w:val="28"/>
          <w:lang w:val="en-US" w:eastAsia="zh-CN"/>
        </w:rPr>
        <w:t>6</w:t>
      </w:r>
      <w:r>
        <w:rPr>
          <w:rStyle w:val="13"/>
          <w:rFonts w:ascii="宋体" w:hAnsi="宋体" w:eastAsia="宋体"/>
          <w:color w:val="000000"/>
          <w:szCs w:val="28"/>
        </w:rPr>
        <w:t>日</w:t>
      </w:r>
    </w:p>
    <w:sectPr>
      <w:pgSz w:w="16820" w:h="11900" w:orient="landscape"/>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rPr>
        <w:rStyle w:val="1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rPr>
        <w:rStyle w:val="1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rPr>
        <w:rStyle w:val="1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ind w:firstLine="360"/>
      <w:rPr>
        <w:rStyle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rPr>
        <w:rStyle w:val="1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rPr>
        <w:rStyle w:val="1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4A4857"/>
    <w:multiLevelType w:val="multilevel"/>
    <w:tmpl w:val="0F4A4857"/>
    <w:lvl w:ilvl="0" w:tentative="0">
      <w:start w:val="1"/>
      <w:numFmt w:val="japaneseCounting"/>
      <w:lvlText w:val="%1、"/>
      <w:lvlJc w:val="left"/>
      <w:pPr>
        <w:widowControl/>
        <w:ind w:left="1282" w:hanging="720"/>
        <w:textAlignment w:val="baseline"/>
      </w:pPr>
    </w:lvl>
    <w:lvl w:ilvl="1" w:tentative="0">
      <w:start w:val="1"/>
      <w:numFmt w:val="lowerLetter"/>
      <w:lvlText w:val="%1)"/>
      <w:lvlJc w:val="left"/>
      <w:pPr>
        <w:widowControl/>
        <w:ind w:left="1402" w:hanging="420"/>
        <w:textAlignment w:val="baseline"/>
      </w:pPr>
    </w:lvl>
    <w:lvl w:ilvl="2" w:tentative="0">
      <w:start w:val="1"/>
      <w:numFmt w:val="lowerRoman"/>
      <w:lvlText w:val="%1."/>
      <w:lvlJc w:val="right"/>
      <w:pPr>
        <w:widowControl/>
        <w:ind w:left="1822" w:hanging="420"/>
        <w:textAlignment w:val="baseline"/>
      </w:pPr>
    </w:lvl>
    <w:lvl w:ilvl="3" w:tentative="0">
      <w:start w:val="1"/>
      <w:numFmt w:val="decimal"/>
      <w:lvlText w:val="%1."/>
      <w:lvlJc w:val="left"/>
      <w:pPr>
        <w:widowControl/>
        <w:ind w:left="2242" w:hanging="420"/>
        <w:textAlignment w:val="baseline"/>
      </w:pPr>
    </w:lvl>
    <w:lvl w:ilvl="4" w:tentative="0">
      <w:start w:val="1"/>
      <w:numFmt w:val="lowerLetter"/>
      <w:lvlText w:val="%1)"/>
      <w:lvlJc w:val="left"/>
      <w:pPr>
        <w:widowControl/>
        <w:ind w:left="2662" w:hanging="420"/>
        <w:textAlignment w:val="baseline"/>
      </w:pPr>
    </w:lvl>
    <w:lvl w:ilvl="5" w:tentative="0">
      <w:start w:val="1"/>
      <w:numFmt w:val="lowerRoman"/>
      <w:lvlText w:val="%1."/>
      <w:lvlJc w:val="right"/>
      <w:pPr>
        <w:widowControl/>
        <w:ind w:left="3082" w:hanging="420"/>
        <w:textAlignment w:val="baseline"/>
      </w:pPr>
    </w:lvl>
    <w:lvl w:ilvl="6" w:tentative="0">
      <w:start w:val="1"/>
      <w:numFmt w:val="decimal"/>
      <w:lvlText w:val="%1."/>
      <w:lvlJc w:val="left"/>
      <w:pPr>
        <w:widowControl/>
        <w:ind w:left="3502" w:hanging="420"/>
        <w:textAlignment w:val="baseline"/>
      </w:pPr>
    </w:lvl>
    <w:lvl w:ilvl="7" w:tentative="0">
      <w:start w:val="1"/>
      <w:numFmt w:val="lowerLetter"/>
      <w:lvlText w:val="%1)"/>
      <w:lvlJc w:val="left"/>
      <w:pPr>
        <w:widowControl/>
        <w:ind w:left="3922" w:hanging="420"/>
        <w:textAlignment w:val="baseline"/>
      </w:pPr>
    </w:lvl>
    <w:lvl w:ilvl="8" w:tentative="0">
      <w:start w:val="1"/>
      <w:numFmt w:val="lowerRoman"/>
      <w:lvlText w:val="%1."/>
      <w:lvlJc w:val="right"/>
      <w:pPr>
        <w:widowControl/>
        <w:ind w:left="4342" w:hanging="420"/>
        <w:textAlignment w:val="baseline"/>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40"/>
  <w:drawingGridVerticalSpacing w:val="381"/>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8E0"/>
    <w:rsid w:val="00030D74"/>
    <w:rsid w:val="000347CB"/>
    <w:rsid w:val="000631EB"/>
    <w:rsid w:val="00196779"/>
    <w:rsid w:val="00200EC8"/>
    <w:rsid w:val="00217867"/>
    <w:rsid w:val="00227D97"/>
    <w:rsid w:val="00261F22"/>
    <w:rsid w:val="00270DE3"/>
    <w:rsid w:val="0031524D"/>
    <w:rsid w:val="003D58A8"/>
    <w:rsid w:val="00523C0F"/>
    <w:rsid w:val="00547D8F"/>
    <w:rsid w:val="005C00D5"/>
    <w:rsid w:val="00622481"/>
    <w:rsid w:val="007E3329"/>
    <w:rsid w:val="008B50AC"/>
    <w:rsid w:val="00923946"/>
    <w:rsid w:val="00952063"/>
    <w:rsid w:val="00A03EA7"/>
    <w:rsid w:val="00A64FF4"/>
    <w:rsid w:val="00AC472C"/>
    <w:rsid w:val="00AF371C"/>
    <w:rsid w:val="00B225C9"/>
    <w:rsid w:val="00B4001D"/>
    <w:rsid w:val="00B41AA9"/>
    <w:rsid w:val="00BE63F7"/>
    <w:rsid w:val="00C05B48"/>
    <w:rsid w:val="00C17E97"/>
    <w:rsid w:val="00C47EE2"/>
    <w:rsid w:val="00D83B95"/>
    <w:rsid w:val="00DA668B"/>
    <w:rsid w:val="00DD7916"/>
    <w:rsid w:val="00E33B11"/>
    <w:rsid w:val="00EA5029"/>
    <w:rsid w:val="00F058E0"/>
    <w:rsid w:val="00F4580B"/>
    <w:rsid w:val="012C15C5"/>
    <w:rsid w:val="014D63E1"/>
    <w:rsid w:val="02911772"/>
    <w:rsid w:val="029D55C0"/>
    <w:rsid w:val="02DF745C"/>
    <w:rsid w:val="03CE2F16"/>
    <w:rsid w:val="04125929"/>
    <w:rsid w:val="041E20B6"/>
    <w:rsid w:val="049A27AD"/>
    <w:rsid w:val="07E734C9"/>
    <w:rsid w:val="086B349A"/>
    <w:rsid w:val="08AD5E17"/>
    <w:rsid w:val="08FA09D3"/>
    <w:rsid w:val="09A3559E"/>
    <w:rsid w:val="0B7A11DE"/>
    <w:rsid w:val="0BE35D98"/>
    <w:rsid w:val="0DF24618"/>
    <w:rsid w:val="0E176675"/>
    <w:rsid w:val="0F424386"/>
    <w:rsid w:val="0F6A7462"/>
    <w:rsid w:val="0FCF7E38"/>
    <w:rsid w:val="10BB6FBB"/>
    <w:rsid w:val="11412D78"/>
    <w:rsid w:val="135B1C70"/>
    <w:rsid w:val="141A3479"/>
    <w:rsid w:val="14880B41"/>
    <w:rsid w:val="14B432BC"/>
    <w:rsid w:val="159E1FFE"/>
    <w:rsid w:val="15B84A06"/>
    <w:rsid w:val="16826173"/>
    <w:rsid w:val="172B482D"/>
    <w:rsid w:val="1986597A"/>
    <w:rsid w:val="1B03291F"/>
    <w:rsid w:val="1C9158FA"/>
    <w:rsid w:val="1DC00690"/>
    <w:rsid w:val="1F392281"/>
    <w:rsid w:val="1F5D03FC"/>
    <w:rsid w:val="1FCF2707"/>
    <w:rsid w:val="204C5540"/>
    <w:rsid w:val="208B5A97"/>
    <w:rsid w:val="208D07CE"/>
    <w:rsid w:val="217D66F9"/>
    <w:rsid w:val="225A7327"/>
    <w:rsid w:val="22CA758F"/>
    <w:rsid w:val="22CE1E0D"/>
    <w:rsid w:val="23227420"/>
    <w:rsid w:val="23951D39"/>
    <w:rsid w:val="24357396"/>
    <w:rsid w:val="256472CA"/>
    <w:rsid w:val="265E5E59"/>
    <w:rsid w:val="26AE0E95"/>
    <w:rsid w:val="27022FBC"/>
    <w:rsid w:val="27095713"/>
    <w:rsid w:val="27447C9C"/>
    <w:rsid w:val="275667C6"/>
    <w:rsid w:val="27965E46"/>
    <w:rsid w:val="27EF2411"/>
    <w:rsid w:val="28875942"/>
    <w:rsid w:val="293721E9"/>
    <w:rsid w:val="29923EF9"/>
    <w:rsid w:val="2A920475"/>
    <w:rsid w:val="2B365286"/>
    <w:rsid w:val="2BAE03A6"/>
    <w:rsid w:val="2BD97691"/>
    <w:rsid w:val="2C045A6F"/>
    <w:rsid w:val="2C5340CF"/>
    <w:rsid w:val="2C981280"/>
    <w:rsid w:val="2CB36296"/>
    <w:rsid w:val="2D1C5435"/>
    <w:rsid w:val="2DAD4167"/>
    <w:rsid w:val="2FAE53DE"/>
    <w:rsid w:val="30300B1B"/>
    <w:rsid w:val="31520D69"/>
    <w:rsid w:val="31DF5C22"/>
    <w:rsid w:val="31F13E6E"/>
    <w:rsid w:val="32853CE4"/>
    <w:rsid w:val="33274297"/>
    <w:rsid w:val="34E52100"/>
    <w:rsid w:val="34F72FA1"/>
    <w:rsid w:val="350209CA"/>
    <w:rsid w:val="35414944"/>
    <w:rsid w:val="3A053765"/>
    <w:rsid w:val="3A1756BC"/>
    <w:rsid w:val="3D704A86"/>
    <w:rsid w:val="3EB968CD"/>
    <w:rsid w:val="402B178A"/>
    <w:rsid w:val="413A14DA"/>
    <w:rsid w:val="41BD6956"/>
    <w:rsid w:val="436B5DAC"/>
    <w:rsid w:val="43D477C8"/>
    <w:rsid w:val="446E5752"/>
    <w:rsid w:val="464D4C8E"/>
    <w:rsid w:val="46E70C86"/>
    <w:rsid w:val="48215377"/>
    <w:rsid w:val="4D1625A7"/>
    <w:rsid w:val="4D250221"/>
    <w:rsid w:val="4D833771"/>
    <w:rsid w:val="4F2C46A0"/>
    <w:rsid w:val="51A878F5"/>
    <w:rsid w:val="53EE3DA1"/>
    <w:rsid w:val="54367225"/>
    <w:rsid w:val="55E9177C"/>
    <w:rsid w:val="562475F3"/>
    <w:rsid w:val="57481CD7"/>
    <w:rsid w:val="57BA3A36"/>
    <w:rsid w:val="588F690F"/>
    <w:rsid w:val="589378D9"/>
    <w:rsid w:val="58F83420"/>
    <w:rsid w:val="59110A75"/>
    <w:rsid w:val="5A5A1C26"/>
    <w:rsid w:val="5BBF1F26"/>
    <w:rsid w:val="5C3E7BF5"/>
    <w:rsid w:val="5CD50777"/>
    <w:rsid w:val="5E4805FF"/>
    <w:rsid w:val="5F5F51BC"/>
    <w:rsid w:val="5F9678D2"/>
    <w:rsid w:val="5FA13D3D"/>
    <w:rsid w:val="5FEF2B8A"/>
    <w:rsid w:val="5FFE4DD7"/>
    <w:rsid w:val="60566022"/>
    <w:rsid w:val="625518AD"/>
    <w:rsid w:val="62FA3A43"/>
    <w:rsid w:val="632325E7"/>
    <w:rsid w:val="64A01196"/>
    <w:rsid w:val="64C50461"/>
    <w:rsid w:val="64D15E89"/>
    <w:rsid w:val="64F1355F"/>
    <w:rsid w:val="654C3ADA"/>
    <w:rsid w:val="65B05756"/>
    <w:rsid w:val="67E003DE"/>
    <w:rsid w:val="68733D0E"/>
    <w:rsid w:val="68EB4A76"/>
    <w:rsid w:val="6A572D5A"/>
    <w:rsid w:val="6C7C204F"/>
    <w:rsid w:val="6CE76FFE"/>
    <w:rsid w:val="6D3E18C7"/>
    <w:rsid w:val="6E0D5859"/>
    <w:rsid w:val="6ECE0E82"/>
    <w:rsid w:val="6F577D8F"/>
    <w:rsid w:val="6FD30424"/>
    <w:rsid w:val="705366F5"/>
    <w:rsid w:val="70BD2E94"/>
    <w:rsid w:val="70C85892"/>
    <w:rsid w:val="70ED6C72"/>
    <w:rsid w:val="70F25A0A"/>
    <w:rsid w:val="71943891"/>
    <w:rsid w:val="71ED1A44"/>
    <w:rsid w:val="72663EBE"/>
    <w:rsid w:val="72FE1310"/>
    <w:rsid w:val="75CF26D4"/>
    <w:rsid w:val="76B56536"/>
    <w:rsid w:val="78774D44"/>
    <w:rsid w:val="7A3A6412"/>
    <w:rsid w:val="7A697B8A"/>
    <w:rsid w:val="7A934978"/>
    <w:rsid w:val="7ACE74D1"/>
    <w:rsid w:val="7B0C0CD2"/>
    <w:rsid w:val="7B227724"/>
    <w:rsid w:val="7B277DDB"/>
    <w:rsid w:val="7B663898"/>
    <w:rsid w:val="7D994834"/>
    <w:rsid w:val="7DCE2146"/>
    <w:rsid w:val="7DEE45B6"/>
    <w:rsid w:val="7E482D7C"/>
    <w:rsid w:val="7F117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napToGrid w:val="0"/>
      <w:spacing w:line="360" w:lineRule="auto"/>
      <w:ind w:firstLine="200" w:firstLineChars="200"/>
      <w:textAlignment w:val="baseline"/>
    </w:pPr>
    <w:rPr>
      <w:rFonts w:ascii="Times New Roman" w:hAnsi="Times New Roman" w:eastAsia="仿宋" w:cs="Times New Roman"/>
      <w:sz w:val="28"/>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semiHidden/>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
    <w:name w:val="样式35"/>
    <w:basedOn w:val="1"/>
    <w:next w:val="1"/>
    <w:qFormat/>
    <w:uiPriority w:val="0"/>
    <w:pPr>
      <w:spacing w:line="312" w:lineRule="auto"/>
      <w:ind w:firstLine="567"/>
    </w:pPr>
    <w:rPr>
      <w:rFonts w:ascii="宋体"/>
      <w:sz w:val="28"/>
    </w:rPr>
  </w:style>
  <w:style w:type="paragraph" w:styleId="4">
    <w:name w:val="footer"/>
    <w:basedOn w:val="1"/>
    <w:link w:val="19"/>
    <w:qFormat/>
    <w:uiPriority w:val="0"/>
    <w:pPr>
      <w:tabs>
        <w:tab w:val="center" w:pos="4153"/>
        <w:tab w:val="right" w:pos="8306"/>
      </w:tabs>
    </w:pPr>
    <w:rPr>
      <w:rFonts w:ascii="Tahoma" w:hAnsi="Tahoma" w:eastAsia="微软雅黑"/>
      <w:sz w:val="18"/>
      <w:szCs w:val="18"/>
    </w:rPr>
  </w:style>
  <w:style w:type="paragraph" w:styleId="5">
    <w:name w:val="header"/>
    <w:basedOn w:val="1"/>
    <w:link w:val="22"/>
    <w:qFormat/>
    <w:uiPriority w:val="0"/>
    <w:pPr>
      <w:pBdr>
        <w:bottom w:val="single" w:color="000000" w:sz="6" w:space="1"/>
      </w:pBdr>
      <w:tabs>
        <w:tab w:val="center" w:pos="4153"/>
        <w:tab w:val="right" w:pos="8306"/>
      </w:tabs>
      <w:jc w:val="center"/>
    </w:pPr>
    <w:rPr>
      <w:rFonts w:ascii="Tahoma" w:hAnsi="Tahoma" w:eastAsia="微软雅黑"/>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semiHidden/>
    <w:unhideWhenUsed/>
    <w:qFormat/>
    <w:uiPriority w:val="99"/>
    <w:rPr>
      <w:color w:val="0000FF"/>
      <w:u w:val="single"/>
    </w:rPr>
  </w:style>
  <w:style w:type="paragraph" w:customStyle="1" w:styleId="10">
    <w:name w:val="BodyText1I2"/>
    <w:basedOn w:val="11"/>
    <w:next w:val="1"/>
    <w:link w:val="17"/>
    <w:qFormat/>
    <w:uiPriority w:val="0"/>
    <w:pPr>
      <w:spacing w:line="300" w:lineRule="auto"/>
      <w:ind w:firstLine="420"/>
      <w:jc w:val="both"/>
    </w:pPr>
    <w:rPr>
      <w:rFonts w:eastAsia="宋体"/>
      <w:kern w:val="2"/>
      <w:sz w:val="21"/>
      <w:szCs w:val="24"/>
    </w:rPr>
  </w:style>
  <w:style w:type="paragraph" w:customStyle="1" w:styleId="11">
    <w:name w:val="BodyTextIndent"/>
    <w:basedOn w:val="1"/>
    <w:next w:val="12"/>
    <w:link w:val="18"/>
    <w:qFormat/>
    <w:uiPriority w:val="0"/>
    <w:pPr>
      <w:spacing w:after="120"/>
      <w:ind w:left="420" w:leftChars="200"/>
    </w:pPr>
  </w:style>
  <w:style w:type="paragraph" w:customStyle="1" w:styleId="12">
    <w:name w:val="UserStyle_9"/>
    <w:basedOn w:val="11"/>
    <w:qFormat/>
    <w:uiPriority w:val="0"/>
    <w:pPr>
      <w:ind w:left="90" w:leftChars="32" w:firstLine="560"/>
    </w:pPr>
  </w:style>
  <w:style w:type="character" w:customStyle="1" w:styleId="13">
    <w:name w:val="NormalCharacter"/>
    <w:qFormat/>
    <w:uiPriority w:val="0"/>
  </w:style>
  <w:style w:type="table" w:customStyle="1" w:styleId="14">
    <w:name w:val="TableNormal"/>
    <w:qFormat/>
    <w:uiPriority w:val="0"/>
    <w:tblPr>
      <w:tblCellMar>
        <w:top w:w="0" w:type="dxa"/>
        <w:left w:w="0" w:type="dxa"/>
        <w:bottom w:w="0" w:type="dxa"/>
        <w:right w:w="0" w:type="dxa"/>
      </w:tblCellMar>
    </w:tblPr>
  </w:style>
  <w:style w:type="character" w:customStyle="1" w:styleId="15">
    <w:name w:val="UserStyle_0"/>
    <w:link w:val="16"/>
    <w:semiHidden/>
    <w:qFormat/>
    <w:uiPriority w:val="0"/>
    <w:rPr>
      <w:rFonts w:eastAsia="仿宋"/>
      <w:sz w:val="28"/>
      <w:szCs w:val="22"/>
    </w:rPr>
  </w:style>
  <w:style w:type="paragraph" w:customStyle="1" w:styleId="16">
    <w:name w:val="AnnotationText"/>
    <w:basedOn w:val="1"/>
    <w:link w:val="15"/>
    <w:qFormat/>
    <w:uiPriority w:val="0"/>
  </w:style>
  <w:style w:type="character" w:customStyle="1" w:styleId="17">
    <w:name w:val="UserStyle_1"/>
    <w:link w:val="10"/>
    <w:qFormat/>
    <w:uiPriority w:val="0"/>
    <w:rPr>
      <w:rFonts w:eastAsia="仿宋"/>
      <w:kern w:val="2"/>
      <w:sz w:val="21"/>
      <w:szCs w:val="24"/>
    </w:rPr>
  </w:style>
  <w:style w:type="character" w:customStyle="1" w:styleId="18">
    <w:name w:val="UserStyle_2"/>
    <w:link w:val="11"/>
    <w:semiHidden/>
    <w:qFormat/>
    <w:uiPriority w:val="0"/>
    <w:rPr>
      <w:rFonts w:eastAsia="仿宋"/>
      <w:sz w:val="28"/>
      <w:szCs w:val="22"/>
    </w:rPr>
  </w:style>
  <w:style w:type="character" w:customStyle="1" w:styleId="19">
    <w:name w:val="页脚 Char"/>
    <w:link w:val="4"/>
    <w:qFormat/>
    <w:locked/>
    <w:uiPriority w:val="0"/>
    <w:rPr>
      <w:rFonts w:ascii="Tahoma" w:hAnsi="Tahoma" w:eastAsia="微软雅黑"/>
      <w:sz w:val="18"/>
      <w:szCs w:val="18"/>
    </w:rPr>
  </w:style>
  <w:style w:type="character" w:customStyle="1" w:styleId="20">
    <w:name w:val="UserStyle_4"/>
    <w:link w:val="21"/>
    <w:semiHidden/>
    <w:qFormat/>
    <w:uiPriority w:val="0"/>
    <w:rPr>
      <w:rFonts w:eastAsia="仿宋"/>
      <w:sz w:val="18"/>
      <w:szCs w:val="18"/>
    </w:rPr>
  </w:style>
  <w:style w:type="paragraph" w:customStyle="1" w:styleId="21">
    <w:name w:val="Acetate"/>
    <w:basedOn w:val="1"/>
    <w:link w:val="20"/>
    <w:qFormat/>
    <w:uiPriority w:val="0"/>
    <w:pPr>
      <w:spacing w:line="240" w:lineRule="auto"/>
    </w:pPr>
    <w:rPr>
      <w:sz w:val="18"/>
      <w:szCs w:val="18"/>
    </w:rPr>
  </w:style>
  <w:style w:type="character" w:customStyle="1" w:styleId="22">
    <w:name w:val="页眉 Char"/>
    <w:link w:val="5"/>
    <w:qFormat/>
    <w:locked/>
    <w:uiPriority w:val="0"/>
    <w:rPr>
      <w:rFonts w:ascii="Tahoma" w:hAnsi="Tahoma" w:eastAsia="微软雅黑"/>
      <w:sz w:val="18"/>
      <w:szCs w:val="18"/>
    </w:rPr>
  </w:style>
  <w:style w:type="character" w:customStyle="1" w:styleId="23">
    <w:name w:val="UserStyle_6"/>
    <w:qFormat/>
    <w:uiPriority w:val="0"/>
    <w:rPr>
      <w:rFonts w:ascii="仿宋" w:hAnsi="仿宋" w:eastAsia="仿宋"/>
      <w:color w:val="000000"/>
      <w:sz w:val="24"/>
    </w:rPr>
  </w:style>
  <w:style w:type="character" w:customStyle="1" w:styleId="24">
    <w:name w:val="AnnotationReference"/>
    <w:qFormat/>
    <w:uiPriority w:val="0"/>
    <w:rPr>
      <w:sz w:val="21"/>
      <w:szCs w:val="21"/>
    </w:rPr>
  </w:style>
  <w:style w:type="character" w:customStyle="1" w:styleId="25">
    <w:name w:val="UserStyle_7"/>
    <w:link w:val="26"/>
    <w:semiHidden/>
    <w:qFormat/>
    <w:uiPriority w:val="0"/>
    <w:rPr>
      <w:rFonts w:eastAsia="仿宋" w:cs="Times New Roman"/>
      <w:b/>
      <w:bCs/>
      <w:sz w:val="28"/>
      <w:szCs w:val="22"/>
    </w:rPr>
  </w:style>
  <w:style w:type="paragraph" w:customStyle="1" w:styleId="26">
    <w:name w:val="AnnotationSubject"/>
    <w:basedOn w:val="16"/>
    <w:next w:val="16"/>
    <w:link w:val="25"/>
    <w:qFormat/>
    <w:uiPriority w:val="0"/>
  </w:style>
  <w:style w:type="paragraph" w:customStyle="1" w:styleId="27">
    <w:name w:val="UserStyle_8"/>
    <w:basedOn w:val="1"/>
    <w:next w:val="1"/>
    <w:qFormat/>
    <w:uiPriority w:val="0"/>
    <w:pPr>
      <w:jc w:val="both"/>
    </w:pPr>
    <w:rPr>
      <w:rFonts w:ascii="宋体" w:hAnsi="宋体" w:eastAsia="宋体"/>
      <w:kern w:val="2"/>
      <w:sz w:val="24"/>
      <w:szCs w:val="24"/>
    </w:rPr>
  </w:style>
  <w:style w:type="paragraph" w:customStyle="1" w:styleId="28">
    <w:name w:val="BodyTextIndent2"/>
    <w:basedOn w:val="1"/>
    <w:qFormat/>
    <w:uiPriority w:val="0"/>
    <w:pPr>
      <w:spacing w:line="400" w:lineRule="exact"/>
      <w:ind w:firstLine="570"/>
    </w:pPr>
  </w:style>
  <w:style w:type="paragraph" w:customStyle="1" w:styleId="29">
    <w:name w:val="UserStyle_10"/>
    <w:basedOn w:val="1"/>
    <w:qFormat/>
    <w:uiPriority w:val="0"/>
    <w:pPr>
      <w:spacing w:before="31" w:after="31"/>
      <w:ind w:firstLine="560"/>
      <w:jc w:val="both"/>
    </w:pPr>
    <w:rPr>
      <w:rFonts w:eastAsia="宋体"/>
      <w:kern w:val="2"/>
      <w:szCs w:val="20"/>
    </w:rPr>
  </w:style>
  <w:style w:type="paragraph" w:customStyle="1" w:styleId="30">
    <w:name w:val="UserStyle_11"/>
    <w:basedOn w:val="1"/>
    <w:qFormat/>
    <w:uiPriority w:val="0"/>
    <w:pPr>
      <w:spacing w:before="100" w:beforeAutospacing="1" w:after="100" w:afterAutospacing="1"/>
    </w:pPr>
    <w:rPr>
      <w:rFonts w:ascii="宋体" w:hAnsi="宋体" w:eastAsia="宋体"/>
      <w:sz w:val="24"/>
      <w:szCs w:val="24"/>
    </w:rPr>
  </w:style>
  <w:style w:type="paragraph" w:customStyle="1" w:styleId="31">
    <w:name w:val="UserStyle_12"/>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32">
    <w:name w:val="179"/>
    <w:basedOn w:val="1"/>
    <w:qFormat/>
    <w:uiPriority w:val="0"/>
    <w:pPr>
      <w:ind w:firstLine="420"/>
    </w:pPr>
  </w:style>
  <w:style w:type="paragraph" w:customStyle="1" w:styleId="33">
    <w:name w:val="UserStyle_13"/>
    <w:basedOn w:val="1"/>
    <w:qFormat/>
    <w:uiPriority w:val="0"/>
    <w:pPr>
      <w:spacing w:line="240" w:lineRule="auto"/>
      <w:ind w:firstLine="0" w:firstLineChars="0"/>
      <w:jc w:val="both"/>
    </w:pPr>
    <w:rPr>
      <w:rFonts w:eastAsia="宋体"/>
      <w:kern w:val="2"/>
      <w:sz w:val="21"/>
      <w:szCs w:val="24"/>
    </w:rPr>
  </w:style>
  <w:style w:type="paragraph" w:customStyle="1" w:styleId="34">
    <w:name w:val="UserStyle_14"/>
    <w:basedOn w:val="1"/>
    <w:qFormat/>
    <w:uiPriority w:val="0"/>
    <w:pPr>
      <w:ind w:firstLine="480"/>
      <w:jc w:val="both"/>
    </w:pPr>
    <w:rPr>
      <w:rFonts w:ascii="Calibri" w:hAnsi="Calibri" w:eastAsia="宋体"/>
      <w:sz w:val="24"/>
      <w:szCs w:val="24"/>
    </w:rPr>
  </w:style>
  <w:style w:type="table" w:customStyle="1" w:styleId="35">
    <w:name w:val="TableGrid"/>
    <w:basedOn w:val="14"/>
    <w:qFormat/>
    <w:locked/>
    <w:uiPriority w:val="0"/>
    <w:tblPr>
      <w:tblCellMar>
        <w:top w:w="0" w:type="dxa"/>
        <w:left w:w="0" w:type="dxa"/>
        <w:bottom w:w="0" w:type="dxa"/>
        <w:right w:w="0" w:type="dxa"/>
      </w:tblCellMar>
    </w:tblPr>
  </w:style>
  <w:style w:type="paragraph" w:customStyle="1" w:styleId="36">
    <w:name w:val="表格"/>
    <w:basedOn w:val="1"/>
    <w:qFormat/>
    <w:uiPriority w:val="0"/>
    <w:pPr>
      <w:keepNext/>
      <w:jc w:val="center"/>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370</Words>
  <Characters>2111</Characters>
  <Lines>17</Lines>
  <Paragraphs>4</Paragraphs>
  <TotalTime>26</TotalTime>
  <ScaleCrop>false</ScaleCrop>
  <LinksUpToDate>false</LinksUpToDate>
  <CharactersWithSpaces>2477</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2020-11-27T14:18:00Z</dcterms:created>
  <dc:creator>济宁泽瑞环保001</dc:creator>
  <cp:lastModifiedBy>靓仔</cp:lastModifiedBy>
  <dcterms:modified xsi:type="dcterms:W3CDTF">2021-11-15T03:23:52Z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FAD35096D12049F3836B535E3D39093C</vt:lpwstr>
  </property>
</Properties>
</file>