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00" w:lineRule="exact"/>
        <w:jc w:val="center"/>
        <w:rPr>
          <w:rFonts w:hint="eastAsia" w:ascii="宋体" w:hAnsi="宋体" w:cs="宋体"/>
          <w:b/>
          <w:bCs/>
          <w:sz w:val="28"/>
          <w:szCs w:val="28"/>
          <w:lang w:eastAsia="zh-CN" w:bidi="en-US"/>
        </w:rPr>
      </w:pPr>
      <w:r>
        <w:rPr>
          <w:rFonts w:hint="eastAsia" w:ascii="宋体" w:hAnsi="宋体" w:cs="宋体"/>
          <w:b/>
          <w:bCs/>
          <w:sz w:val="28"/>
          <w:szCs w:val="28"/>
          <w:lang w:eastAsia="zh-CN"/>
        </w:rPr>
        <w:t>诸城市良工机械有限公司</w:t>
      </w:r>
      <w:r>
        <w:rPr>
          <w:rFonts w:hint="eastAsia" w:ascii="宋体" w:hAnsi="宋体" w:cs="宋体"/>
          <w:b/>
          <w:bCs/>
          <w:sz w:val="28"/>
          <w:szCs w:val="28"/>
          <w:lang w:eastAsia="zh-CN" w:bidi="en-US"/>
        </w:rPr>
        <w:t>年产1400台套食品机械项目</w:t>
      </w:r>
    </w:p>
    <w:p>
      <w:pPr>
        <w:autoSpaceDE w:val="0"/>
        <w:autoSpaceDN w:val="0"/>
        <w:adjustRightInd w:val="0"/>
        <w:spacing w:line="400" w:lineRule="exact"/>
        <w:jc w:val="center"/>
        <w:rPr>
          <w:rFonts w:hint="eastAsia" w:ascii="宋体" w:hAnsi="宋体" w:eastAsia="宋体"/>
          <w:b/>
          <w:sz w:val="28"/>
        </w:rPr>
      </w:pPr>
      <w:r>
        <w:rPr>
          <w:rFonts w:hint="eastAsia" w:ascii="宋体" w:hAnsi="宋体" w:eastAsia="宋体"/>
          <w:b/>
          <w:sz w:val="28"/>
        </w:rPr>
        <w:t>竣工环境保护验收组意见</w:t>
      </w:r>
    </w:p>
    <w:p>
      <w:pPr>
        <w:pStyle w:val="11"/>
        <w:jc w:val="center"/>
      </w:pPr>
    </w:p>
    <w:p>
      <w:pPr>
        <w:keepNext w:val="0"/>
        <w:keepLines w:val="0"/>
        <w:pageBreakBefore w:val="0"/>
        <w:widowControl w:val="0"/>
        <w:kinsoku/>
        <w:wordWrap/>
        <w:overflowPunct/>
        <w:topLinePunct w:val="0"/>
        <w:autoSpaceDE w:val="0"/>
        <w:autoSpaceDN w:val="0"/>
        <w:bidi w:val="0"/>
        <w:adjustRightInd w:val="0"/>
        <w:snapToGrid/>
        <w:spacing w:line="360" w:lineRule="auto"/>
        <w:ind w:firstLine="616" w:firstLineChars="257"/>
        <w:jc w:val="left"/>
        <w:textAlignment w:val="auto"/>
        <w:rPr>
          <w:rFonts w:asciiTheme="minorEastAsia" w:hAnsiTheme="minorEastAsia" w:cstheme="minorEastAsia"/>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对照《建设项目竣工环境保护验收暂行办法》，根据《建设项目环境保护管理条例》等国家有关法</w:t>
      </w:r>
      <w:r>
        <w:rPr>
          <w:rFonts w:hint="default" w:ascii="Times New Roman" w:hAnsi="Times New Roman" w:eastAsia="宋体" w:cs="Times New Roman"/>
          <w:color w:val="000000" w:themeColor="text1"/>
          <w:sz w:val="24"/>
          <w:szCs w:val="24"/>
          <w:highlight w:val="none"/>
          <w14:textFill>
            <w14:solidFill>
              <w14:schemeClr w14:val="tx1"/>
            </w14:solidFill>
          </w14:textFill>
        </w:rPr>
        <w:t>律法规、建设项目竣工环境保护验收技术规范/指南、本项目环境影响报告表和审批部门审批决定等要求。</w:t>
      </w:r>
      <w:r>
        <w:rPr>
          <w:rFonts w:hint="default" w:ascii="Times New Roman" w:hAnsi="Times New Roman" w:eastAsia="宋体" w:cs="Times New Roman"/>
          <w:color w:val="auto"/>
          <w:sz w:val="24"/>
          <w:szCs w:val="24"/>
          <w:highlight w:val="none"/>
        </w:rPr>
        <w:t>2021年</w:t>
      </w:r>
      <w:r>
        <w:rPr>
          <w:rFonts w:hint="eastAsia" w:ascii="Times New Roman" w:hAnsi="Times New Roman" w:eastAsia="宋体"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28</w:t>
      </w:r>
      <w:r>
        <w:rPr>
          <w:rFonts w:hint="default" w:ascii="Times New Roman" w:hAnsi="Times New Roman" w:eastAsia="宋体" w:cs="Times New Roman"/>
          <w:color w:val="auto"/>
          <w:sz w:val="24"/>
          <w:szCs w:val="24"/>
          <w:highlight w:val="none"/>
        </w:rPr>
        <w:t>日</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诸城市良工机械有限公司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邀请了一名专家，并组织验收报告监测单位-</w:t>
      </w:r>
      <w:r>
        <w:rPr>
          <w:rFonts w:hint="eastAsia" w:ascii="Times New Roman" w:hAnsi="Times New Roman" w:eastAsia="宋体" w:cs="Times New Roman"/>
          <w:color w:val="auto"/>
          <w:sz w:val="24"/>
          <w:szCs w:val="24"/>
          <w:lang w:val="en-US" w:eastAsia="zh-CN"/>
        </w:rPr>
        <w:t>山东尚水检测有限公司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主持召开了</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年产1400台套食品机械项目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竣工环境保护验收会议。会议通过决议组成了验收工作组。验收组对该工程建设及环境保护设施运行情况进行了现场检查，听取了验收报告编制单位对项目竣工环境保护验收调查情况的汇报，审阅并核实了有关资料，经认真讨论，形成竣工环境保护验收意见如下：</w:t>
      </w:r>
    </w:p>
    <w:p>
      <w:pPr>
        <w:adjustRightInd w:val="0"/>
        <w:snapToGrid w:val="0"/>
        <w:spacing w:line="360" w:lineRule="auto"/>
        <w:ind w:firstLine="474" w:firstLineChars="2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一、工程基本情况</w:t>
      </w:r>
    </w:p>
    <w:p>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（一）建设地点、规模、主要建设内容</w:t>
      </w:r>
    </w:p>
    <w:p>
      <w:pPr>
        <w:spacing w:line="360" w:lineRule="auto"/>
        <w:ind w:firstLine="480" w:firstLineChars="200"/>
        <w:rPr>
          <w:rFonts w:hint="default" w:ascii="Times New Roman" w:hAnsi="Times New Roman" w:eastAsia="宋体" w:cs="Times New Roman"/>
          <w:color w:val="FF0000"/>
          <w:sz w:val="24"/>
          <w:szCs w:val="24"/>
          <w:highlight w:val="red"/>
          <w:lang w:val="en-US" w:eastAsia="zh-CN"/>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诸城市良工机械有限公司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位于</w:t>
      </w:r>
      <w:r>
        <w:rPr>
          <w:rFonts w:hint="eastAsia" w:ascii="Times New Roman" w:hAnsi="Times New Roman" w:eastAsia="宋体" w:cs="Times New Roman"/>
          <w:color w:val="auto"/>
          <w:sz w:val="24"/>
          <w:szCs w:val="24"/>
          <w:lang w:eastAsia="zh-CN"/>
        </w:rPr>
        <w:t>山东省诸城市舜王街道工业新区昌舜路中段</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auto"/>
          <w:kern w:val="2"/>
          <w:sz w:val="24"/>
          <w:szCs w:val="24"/>
          <w:highlight w:val="none"/>
          <w:lang w:val="en-US" w:eastAsia="zh-CN" w:bidi="ar-SA"/>
        </w:rPr>
        <w:t>占地面积约9363m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，总建筑面积6116m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建有</w:t>
      </w:r>
      <w:r>
        <w:rPr>
          <w:rFonts w:hint="default" w:ascii="Times New Roman" w:hAnsi="Times New Roman" w:eastAsia="宋体" w:cs="Times New Roman"/>
          <w:sz w:val="24"/>
          <w:szCs w:val="24"/>
          <w:lang w:val="en-US" w:eastAsia="zh-CN"/>
        </w:rPr>
        <w:t>建设</w:t>
      </w:r>
      <w:r>
        <w:rPr>
          <w:rFonts w:hint="default" w:ascii="Times New Roman" w:hAnsi="Times New Roman" w:eastAsia="宋体" w:cs="Times New Roman"/>
          <w:bCs/>
          <w:color w:val="000000"/>
          <w:kern w:val="44"/>
          <w:sz w:val="24"/>
          <w:szCs w:val="24"/>
          <w:lang w:val="en-US" w:eastAsia="zh-CN"/>
        </w:rPr>
        <w:t>生产车间、仓库、办公室、</w:t>
      </w:r>
      <w:r>
        <w:rPr>
          <w:rFonts w:hint="default" w:ascii="Times New Roman" w:hAnsi="Times New Roman" w:eastAsia="宋体" w:cs="Times New Roman"/>
          <w:sz w:val="24"/>
          <w:szCs w:val="24"/>
          <w:lang w:val="en-US" w:eastAsia="zh-CN"/>
        </w:rPr>
        <w:t>危废库、应急物质库</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等，有</w:t>
      </w:r>
      <w:r>
        <w:rPr>
          <w:rFonts w:hint="eastAsia" w:ascii="Times New Roman" w:hAnsi="Times New Roman" w:eastAsia="宋体" w:cs="Times New Roman"/>
          <w:bCs/>
          <w:color w:val="000000"/>
          <w:kern w:val="44"/>
          <w:sz w:val="24"/>
          <w:szCs w:val="24"/>
          <w:lang w:val="en-US" w:eastAsia="zh-CN"/>
        </w:rPr>
        <w:t>卷板机、卷弯机、氩弧焊机</w:t>
      </w:r>
      <w:r>
        <w:rPr>
          <w:rFonts w:hint="default" w:ascii="Times New Roman" w:hAnsi="Times New Roman" w:eastAsia="宋体" w:cs="Times New Roman"/>
          <w:bCs/>
          <w:color w:val="000000"/>
          <w:kern w:val="44"/>
          <w:sz w:val="24"/>
          <w:szCs w:val="24"/>
          <w:lang w:val="en-US" w:eastAsia="zh-CN"/>
        </w:rPr>
        <w:t>等主要生产设备</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sz w:val="24"/>
          <w:szCs w:val="24"/>
        </w:rPr>
        <w:t>具有</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年产1400台套食品机械项目</w:t>
      </w:r>
      <w:r>
        <w:rPr>
          <w:rFonts w:hint="default" w:ascii="Times New Roman" w:hAnsi="Times New Roman" w:eastAsia="宋体" w:cs="Times New Roman"/>
          <w:bCs/>
          <w:color w:val="000000"/>
          <w:kern w:val="44"/>
          <w:sz w:val="24"/>
          <w:szCs w:val="24"/>
          <w:lang w:val="en-US" w:eastAsia="zh-CN"/>
        </w:rPr>
        <w:t>的生产规模</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（二）环保审批情况</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诸城市良工机械有限公司年产1400台套食品机械项目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环境影响报告表》，20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年1月1</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日由</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原诸城市环境保护局</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进行了批复，批复文号为“诸环审报告表【20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号”。</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（三）投资情况</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项目实际投资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2820.5</w:t>
      </w:r>
      <w:r>
        <w:rPr>
          <w:rFonts w:hint="default" w:ascii="Times New Roman" w:hAnsi="Times New Roman" w:eastAsia="宋体" w:cs="Times New Roman"/>
          <w:color w:val="000000" w:themeColor="text1"/>
          <w:sz w:val="24"/>
          <w:szCs w:val="24"/>
          <w:lang w:eastAsia="zh-CN"/>
          <w14:textFill>
            <w14:solidFill>
              <w14:schemeClr w14:val="tx1"/>
            </w14:solidFill>
          </w14:textFill>
        </w:rPr>
        <w:t>万元，其中环保投资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50 </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sz w:val="24"/>
          <w:szCs w:val="24"/>
          <w:lang w:eastAsia="zh-CN"/>
          <w14:textFill>
            <w14:solidFill>
              <w14:schemeClr w14:val="tx1"/>
            </w14:solidFill>
          </w14:textFill>
        </w:rPr>
        <w:t>，环保投资占项目总投资的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（四）验收范围</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rPr>
        <w:t>本次验收范围为</w:t>
      </w:r>
      <w:r>
        <w:rPr>
          <w:rFonts w:hint="eastAsia" w:ascii="Times New Roman" w:hAnsi="Times New Roman" w:eastAsia="宋体" w:cs="Times New Roman"/>
          <w:color w:val="auto"/>
          <w:sz w:val="24"/>
          <w:szCs w:val="24"/>
          <w:highlight w:val="none"/>
          <w:lang w:val="en-US" w:eastAsia="zh-CN"/>
        </w:rPr>
        <w:t>诸城市良工机械有限公司</w:t>
      </w:r>
      <w:r>
        <w:rPr>
          <w:rFonts w:hint="eastAsia" w:ascii="Times New Roman" w:hAnsi="Times New Roman" w:eastAsia="宋体" w:cs="Times New Roman"/>
          <w:color w:val="auto"/>
          <w:sz w:val="24"/>
          <w:szCs w:val="24"/>
          <w:highlight w:val="none"/>
        </w:rPr>
        <w:t>车间、仓库、环保设施等。包括本项目的主体工程、辅助工程、环保工程、储运工程等。</w:t>
      </w:r>
    </w:p>
    <w:p>
      <w:pPr>
        <w:keepNext w:val="0"/>
        <w:keepLines w:val="0"/>
        <w:pageBreakBefore w:val="0"/>
        <w:kinsoku/>
        <w:wordWrap/>
        <w:overflowPunct/>
        <w:topLinePunct w:val="0"/>
        <w:autoSpaceDE w:val="0"/>
        <w:autoSpaceDN w:val="0"/>
        <w:bidi w:val="0"/>
        <w:adjustRightInd w:val="0"/>
        <w:snapToGrid w:val="0"/>
        <w:spacing w:line="360" w:lineRule="auto"/>
        <w:ind w:left="0" w:firstLine="482" w:firstLineChars="200"/>
        <w:jc w:val="left"/>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二、工程变动情况</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sz w:val="24"/>
          <w:szCs w:val="24"/>
          <w:lang w:val="en-US" w:eastAsia="zh-CN"/>
        </w:rPr>
        <w:t>项目未发生工程变动情况</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kinsoku/>
        <w:wordWrap/>
        <w:overflowPunct/>
        <w:topLinePunct w:val="0"/>
        <w:bidi w:val="0"/>
        <w:adjustRightInd w:val="0"/>
        <w:snapToGrid w:val="0"/>
        <w:spacing w:line="360" w:lineRule="auto"/>
        <w:ind w:left="0" w:firstLine="474" w:firstLineChars="200"/>
        <w:textAlignment w:val="auto"/>
        <w:rPr>
          <w:rFonts w:hint="default" w:ascii="Times New Roman" w:hAnsi="Times New Roman" w:eastAsia="宋体" w:cs="Times New Roman"/>
          <w:b/>
          <w:color w:val="000000" w:themeColor="text1"/>
          <w:spacing w:val="-2"/>
          <w:kern w:val="0"/>
          <w:sz w:val="24"/>
          <w:szCs w:val="24"/>
          <w14:textFill>
            <w14:solidFill>
              <w14:schemeClr w14:val="tx1"/>
            </w14:solidFill>
          </w14:textFill>
        </w:rPr>
      </w:pPr>
      <w:r>
        <w:rPr>
          <w:rFonts w:hint="default" w:ascii="Times New Roman" w:hAnsi="Times New Roman" w:eastAsia="宋体" w:cs="Times New Roman"/>
          <w:b/>
          <w:color w:val="000000" w:themeColor="text1"/>
          <w:spacing w:val="-2"/>
          <w:kern w:val="0"/>
          <w:sz w:val="24"/>
          <w:szCs w:val="24"/>
          <w14:textFill>
            <w14:solidFill>
              <w14:schemeClr w14:val="tx1"/>
            </w14:solidFill>
          </w14:textFill>
        </w:rPr>
        <w:t>三、环境保护设施建设情况</w:t>
      </w:r>
    </w:p>
    <w:p>
      <w:pPr>
        <w:keepNext w:val="0"/>
        <w:keepLines w:val="0"/>
        <w:pageBreakBefore w:val="0"/>
        <w:widowControl w:val="0"/>
        <w:numPr>
          <w:ilvl w:val="0"/>
          <w:numId w:val="1"/>
        </w:numPr>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废水</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Cs/>
          <w:sz w:val="24"/>
          <w:szCs w:val="24"/>
          <w:lang w:val="en-US" w:eastAsia="zh-CN"/>
        </w:rPr>
        <w:t>本项目废水主要来源于职工生活污水</w:t>
      </w:r>
      <w:r>
        <w:rPr>
          <w:rFonts w:hint="eastAsia" w:ascii="Times New Roman" w:hAnsi="Times New Roman" w:eastAsia="宋体" w:cs="Times New Roman"/>
          <w:bCs/>
          <w:sz w:val="24"/>
          <w:szCs w:val="24"/>
          <w:lang w:val="en-US" w:eastAsia="zh-CN"/>
        </w:rPr>
        <w:t>、</w:t>
      </w:r>
      <w:r>
        <w:rPr>
          <w:rFonts w:hint="default" w:ascii="Times New Roman" w:hAnsi="Times New Roman" w:eastAsia="宋体" w:cs="Times New Roman"/>
          <w:bCs/>
          <w:sz w:val="24"/>
          <w:szCs w:val="24"/>
          <w:lang w:val="en-US" w:eastAsia="zh-CN"/>
        </w:rPr>
        <w:t>厨房废水，</w:t>
      </w:r>
      <w:r>
        <w:rPr>
          <w:rFonts w:hint="default" w:ascii="Times New Roman" w:hAnsi="Times New Roman" w:eastAsia="宋体" w:cs="Times New Roman"/>
          <w:color w:val="auto"/>
          <w:sz w:val="24"/>
          <w:szCs w:val="24"/>
          <w:lang w:eastAsia="zh-CN"/>
        </w:rPr>
        <w:t>生活污水经化粪池暂存（其中，厨房废水经隔油池处理)后</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eastAsia="zh-CN"/>
        </w:rPr>
        <w:t>进入市政污水管网，由诸城市舜河污水处理厂进一步处理达标后排</w:t>
      </w:r>
      <w:r>
        <w:rPr>
          <w:rFonts w:hint="eastAsia" w:ascii="Times New Roman" w:hAnsi="Times New Roman" w:eastAsia="宋体" w:cs="Times New Roman"/>
          <w:color w:val="auto"/>
          <w:sz w:val="24"/>
          <w:szCs w:val="24"/>
          <w:lang w:val="en-US" w:eastAsia="zh-CN"/>
        </w:rPr>
        <w:t>放</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lang w:val="en-US" w:eastAsia="zh-CN"/>
        </w:rPr>
        <w:t>下料工序产生粉全，通过车间内安装排气扇，加强车间通风</w:t>
      </w:r>
      <w:r>
        <w:rPr>
          <w:rFonts w:hint="eastAsia" w:ascii="Times New Roman" w:hAnsi="Times New Roman" w:eastAsia="宋体" w:cs="Times New Roman"/>
          <w:bCs/>
          <w:sz w:val="24"/>
          <w:szCs w:val="24"/>
          <w:lang w:val="en-US" w:eastAsia="zh-CN"/>
        </w:rPr>
        <w:t>；</w:t>
      </w:r>
      <w:r>
        <w:rPr>
          <w:rFonts w:hint="default" w:ascii="Times New Roman" w:hAnsi="Times New Roman" w:eastAsia="宋体" w:cs="Times New Roman"/>
          <w:bCs/>
          <w:sz w:val="24"/>
          <w:szCs w:val="24"/>
          <w:lang w:val="en-US" w:eastAsia="zh-CN"/>
        </w:rPr>
        <w:t>焊接烟尘经</w:t>
      </w:r>
      <w:r>
        <w:rPr>
          <w:rFonts w:hint="eastAsia" w:ascii="Times New Roman" w:hAnsi="Times New Roman" w:eastAsia="宋体" w:cs="Times New Roman"/>
          <w:bCs/>
          <w:sz w:val="24"/>
          <w:szCs w:val="24"/>
          <w:lang w:val="en-US" w:eastAsia="zh-CN"/>
        </w:rPr>
        <w:t>安装移动焊烟收集器进行处理；</w:t>
      </w:r>
      <w:r>
        <w:rPr>
          <w:rFonts w:hint="default" w:ascii="Times New Roman" w:hAnsi="Times New Roman" w:eastAsia="宋体" w:cs="Times New Roman"/>
          <w:bCs/>
          <w:sz w:val="24"/>
          <w:szCs w:val="24"/>
          <w:lang w:val="en-US" w:eastAsia="zh-CN"/>
        </w:rPr>
        <w:t>食堂油烟经过油烟净化装置处理。</w:t>
      </w:r>
    </w:p>
    <w:p>
      <w:pPr>
        <w:keepNext w:val="0"/>
        <w:keepLines w:val="0"/>
        <w:pageBreakBefore w:val="0"/>
        <w:widowControl w:val="0"/>
        <w:kinsoku/>
        <w:wordWrap/>
        <w:overflowPunct/>
        <w:topLinePunct w:val="0"/>
        <w:bidi w:val="0"/>
        <w:adjustRightInd w:val="0"/>
        <w:snapToGrid w:val="0"/>
        <w:spacing w:line="360" w:lineRule="auto"/>
        <w:ind w:left="0" w:firstLine="480" w:firstLineChars="20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（三）噪声</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主要噪声源有</w:t>
      </w:r>
      <w:r>
        <w:rPr>
          <w:rFonts w:hint="eastAsia" w:ascii="Times New Roman" w:hAnsi="Times New Roman" w:eastAsia="宋体" w:cs="Times New Roman"/>
          <w:bCs/>
          <w:color w:val="000000"/>
          <w:kern w:val="44"/>
          <w:sz w:val="24"/>
          <w:szCs w:val="24"/>
          <w:lang w:val="en-US" w:eastAsia="zh-CN"/>
        </w:rPr>
        <w:t>卷板机、卷弯机、氩弧焊机</w:t>
      </w:r>
      <w:r>
        <w:rPr>
          <w:rFonts w:hint="default" w:ascii="Times New Roman" w:hAnsi="Times New Roman" w:eastAsia="宋体" w:cs="Times New Roman"/>
          <w:bCs/>
          <w:sz w:val="24"/>
          <w:szCs w:val="24"/>
          <w:lang w:val="en-US" w:eastAsia="zh-CN"/>
        </w:rPr>
        <w:t>等机械设备，采取减震、车间隔声等噪声防治措施。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（四）固体废物</w:t>
      </w:r>
    </w:p>
    <w:p>
      <w:pPr>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项目固废主要为职工生活垃圾，生产过程中的铁屑、边角料，焊接产生的焊渣</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厨房隔油池产生废油渣、废包装材料以及生产设备日常机修、维护产生的含油废棉纱</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废润滑油、</w:t>
      </w:r>
      <w:r>
        <w:rPr>
          <w:rFonts w:hint="default" w:ascii="Times New Roman" w:hAnsi="Times New Roman" w:eastAsia="宋体" w:cs="Times New Roman"/>
          <w:color w:val="auto"/>
          <w:sz w:val="24"/>
          <w:highlight w:val="none"/>
        </w:rPr>
        <w:t>废油桶等。铁屑、边角料</w:t>
      </w:r>
      <w:r>
        <w:rPr>
          <w:rFonts w:hint="eastAsia" w:ascii="Times New Roman" w:hAnsi="Times New Roman" w:eastAsia="宋体" w:cs="Times New Roman"/>
          <w:color w:val="auto"/>
          <w:sz w:val="24"/>
          <w:highlight w:val="none"/>
          <w:lang w:eastAsia="zh-CN"/>
        </w:rPr>
        <w:t>收集后</w:t>
      </w:r>
      <w:r>
        <w:rPr>
          <w:rFonts w:hint="eastAsia" w:ascii="Times New Roman" w:hAnsi="Times New Roman" w:eastAsia="宋体" w:cs="Times New Roman"/>
          <w:color w:val="auto"/>
          <w:sz w:val="24"/>
          <w:highlight w:val="none"/>
          <w:lang w:val="en-US" w:eastAsia="zh-CN"/>
        </w:rPr>
        <w:t>外售综合</w:t>
      </w:r>
      <w:r>
        <w:rPr>
          <w:rFonts w:hint="eastAsia" w:ascii="Times New Roman" w:hAnsi="Times New Roman" w:eastAsia="宋体" w:cs="Times New Roman"/>
          <w:color w:val="auto"/>
          <w:sz w:val="24"/>
          <w:highlight w:val="none"/>
          <w:lang w:eastAsia="zh-CN"/>
        </w:rPr>
        <w:t>利用；</w:t>
      </w:r>
      <w:r>
        <w:rPr>
          <w:rFonts w:hint="eastAsia" w:ascii="Times New Roman" w:hAnsi="Times New Roman" w:eastAsia="宋体" w:cs="Times New Roman"/>
          <w:color w:val="auto"/>
          <w:sz w:val="24"/>
          <w:szCs w:val="24"/>
          <w:highlight w:val="none"/>
          <w:lang w:val="en-US" w:eastAsia="zh-CN"/>
        </w:rPr>
        <w:t>焊渣收集后统一处理；</w:t>
      </w:r>
      <w:r>
        <w:rPr>
          <w:rFonts w:hint="eastAsia" w:ascii="Times New Roman" w:hAnsi="Times New Roman" w:eastAsia="宋体" w:cs="Times New Roman"/>
          <w:color w:val="auto"/>
          <w:sz w:val="24"/>
          <w:highlight w:val="none"/>
          <w:lang w:eastAsia="zh-CN"/>
        </w:rPr>
        <w:t>废包装袋收集后</w:t>
      </w:r>
      <w:r>
        <w:rPr>
          <w:rFonts w:hint="eastAsia" w:ascii="Times New Roman" w:hAnsi="Times New Roman" w:eastAsia="宋体" w:cs="Times New Roman"/>
          <w:color w:val="auto"/>
          <w:sz w:val="24"/>
          <w:highlight w:val="none"/>
          <w:lang w:val="en-US" w:eastAsia="zh-CN"/>
        </w:rPr>
        <w:t>外售综合</w:t>
      </w:r>
      <w:r>
        <w:rPr>
          <w:rFonts w:hint="eastAsia" w:ascii="Times New Roman" w:hAnsi="Times New Roman" w:eastAsia="宋体" w:cs="Times New Roman"/>
          <w:color w:val="auto"/>
          <w:sz w:val="24"/>
          <w:highlight w:val="none"/>
          <w:lang w:eastAsia="zh-CN"/>
        </w:rPr>
        <w:t>利用</w:t>
      </w:r>
      <w:r>
        <w:rPr>
          <w:rFonts w:hint="eastAsia"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rPr>
        <w:t>废油渣</w:t>
      </w:r>
      <w:r>
        <w:rPr>
          <w:rFonts w:hint="eastAsia" w:ascii="Times New Roman" w:hAnsi="Times New Roman" w:eastAsia="宋体" w:cs="Times New Roman"/>
          <w:color w:val="auto"/>
          <w:sz w:val="24"/>
          <w:highlight w:val="none"/>
          <w:lang w:eastAsia="zh-CN"/>
        </w:rPr>
        <w:t>、废润滑油、</w:t>
      </w:r>
      <w:r>
        <w:rPr>
          <w:rFonts w:hint="default" w:ascii="Times New Roman" w:hAnsi="Times New Roman" w:eastAsia="宋体" w:cs="Times New Roman"/>
          <w:color w:val="auto"/>
          <w:sz w:val="24"/>
          <w:highlight w:val="none"/>
        </w:rPr>
        <w:t>废油桶</w:t>
      </w:r>
      <w:r>
        <w:rPr>
          <w:rFonts w:hint="eastAsia" w:ascii="Times New Roman" w:hAnsi="Times New Roman" w:eastAsia="宋体" w:cs="Times New Roman"/>
          <w:color w:val="auto"/>
          <w:sz w:val="24"/>
          <w:highlight w:val="none"/>
          <w:lang w:eastAsia="zh-CN"/>
        </w:rPr>
        <w:t>收集后由危废资质单位处理；</w:t>
      </w:r>
      <w:r>
        <w:rPr>
          <w:rFonts w:hint="default" w:ascii="Times New Roman" w:hAnsi="Times New Roman" w:eastAsia="宋体" w:cs="Times New Roman"/>
          <w:color w:val="auto"/>
          <w:sz w:val="24"/>
          <w:highlight w:val="none"/>
        </w:rPr>
        <w:t>生活垃圾由环卫部门定期</w:t>
      </w:r>
      <w:r>
        <w:rPr>
          <w:rFonts w:hint="eastAsia" w:ascii="Times New Roman" w:hAnsi="Times New Roman" w:eastAsia="宋体" w:cs="Times New Roman"/>
          <w:color w:val="auto"/>
          <w:sz w:val="24"/>
          <w:highlight w:val="none"/>
          <w:lang w:eastAsia="zh-CN"/>
        </w:rPr>
        <w:t>清运</w:t>
      </w:r>
      <w:r>
        <w:rPr>
          <w:rFonts w:hint="eastAsia" w:ascii="Times New Roman" w:hAnsi="Times New Roman" w:eastAsia="宋体" w:cs="Times New Roman"/>
          <w:color w:val="auto"/>
          <w:sz w:val="24"/>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imes New Roman" w:hAnsi="Times New Roman" w:eastAsia="宋体" w:cs="Times New Roman"/>
          <w:bCs/>
          <w:color w:val="000000" w:themeColor="text1"/>
          <w:sz w:val="24"/>
          <w:szCs w:val="24"/>
          <w:lang w:val="zh-CN" w:eastAsia="zh-CN"/>
          <w14:textFill>
            <w14:solidFill>
              <w14:schemeClr w14:val="tx1"/>
            </w14:solidFill>
          </w14:textFill>
        </w:rPr>
      </w:pPr>
      <w:r>
        <w:rPr>
          <w:rFonts w:hint="eastAsia" w:ascii="Times New Roman" w:hAnsi="Times New Roman" w:eastAsia="宋体" w:cs="Times New Roman"/>
          <w:bCs/>
          <w:color w:val="000000" w:themeColor="text1"/>
          <w:sz w:val="24"/>
          <w:szCs w:val="24"/>
          <w:lang w:val="zh-CN" w:eastAsia="zh-CN"/>
          <w14:textFill>
            <w14:solidFill>
              <w14:schemeClr w14:val="tx1"/>
            </w14:solidFill>
          </w14:textFill>
        </w:rPr>
        <w:t>（五）其他环境保护设施</w:t>
      </w:r>
    </w:p>
    <w:p>
      <w:pPr>
        <w:adjustRightInd w:val="0"/>
        <w:snapToGrid w:val="0"/>
        <w:spacing w:line="360" w:lineRule="auto"/>
        <w:ind w:firstLine="480" w:firstLineChars="200"/>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t>1、环境风险防范设施</w:t>
      </w:r>
    </w:p>
    <w:p>
      <w:pPr>
        <w:adjustRightInd w:val="0"/>
        <w:snapToGrid w:val="0"/>
        <w:spacing w:line="360" w:lineRule="auto"/>
        <w:ind w:firstLine="480" w:firstLineChars="200"/>
        <w:rPr>
          <w:rFonts w:hint="eastAsia" w:asciiTheme="minorEastAsia" w:hAnsiTheme="minorEastAsia" w:cstheme="minorEastAsia"/>
          <w:color w:val="0070C0"/>
          <w:sz w:val="24"/>
          <w:szCs w:val="24"/>
          <w:highlight w:val="yellow"/>
          <w:lang w:val="en-US" w:eastAsia="zh-CN"/>
        </w:rPr>
      </w:pPr>
      <w:r>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t>厂区设置了</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灭火器</w:t>
      </w:r>
      <w:r>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t>，可满足应急需求。</w:t>
      </w:r>
    </w:p>
    <w:p>
      <w:pPr>
        <w:adjustRightInd w:val="0"/>
        <w:snapToGrid w:val="0"/>
        <w:spacing w:line="360" w:lineRule="auto"/>
        <w:ind w:firstLine="482" w:firstLineChars="200"/>
        <w:rPr>
          <w:rFonts w:asciiTheme="minorEastAsia" w:hAnsi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cstheme="minorEastAsia"/>
          <w:b/>
          <w:color w:val="000000" w:themeColor="text1"/>
          <w:sz w:val="24"/>
          <w:szCs w:val="24"/>
          <w:highlight w:val="none"/>
          <w14:textFill>
            <w14:solidFill>
              <w14:schemeClr w14:val="tx1"/>
            </w14:solidFill>
          </w14:textFill>
        </w:rPr>
        <w:t>四、环境管理</w:t>
      </w:r>
    </w:p>
    <w:p>
      <w:pPr>
        <w:keepNext w:val="0"/>
        <w:keepLines w:val="0"/>
        <w:widowControl w:val="0"/>
        <w:suppressLineNumbers w:val="0"/>
        <w:autoSpaceDE w:val="0"/>
        <w:autoSpaceDN/>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基本落实了环境风险防范措施，编制了《诸城市良工机械有限公司突发环境事件应急预案》，并到潍坊市生态环境局诸城分局进行了备案，</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公司设有环保机构，环保规章制度较完善</w:t>
      </w:r>
      <w:r>
        <w:rPr>
          <w:rFonts w:hint="default" w:ascii="Times New Roman" w:hAnsi="Times New Roman" w:eastAsia="宋体" w:cs="Times New Roman"/>
          <w:color w:val="000000"/>
          <w:kern w:val="2"/>
          <w:sz w:val="24"/>
          <w:szCs w:val="24"/>
          <w:highlight w:val="none"/>
          <w:shd w:val="clear" w:color="auto" w:fill="FFFFFF"/>
          <w:lang w:val="en-US" w:eastAsia="zh-CN" w:bidi="ar"/>
        </w:rPr>
        <w:t>。</w:t>
      </w:r>
    </w:p>
    <w:p>
      <w:pPr>
        <w:adjustRightInd w:val="0"/>
        <w:snapToGrid w:val="0"/>
        <w:spacing w:line="360" w:lineRule="auto"/>
        <w:ind w:firstLine="474" w:firstLineChars="2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lang w:eastAsia="zh-CN"/>
          <w14:textFill>
            <w14:solidFill>
              <w14:schemeClr w14:val="tx1"/>
            </w14:solidFill>
          </w14:textFill>
        </w:rPr>
        <w:t>五</w:t>
      </w: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、环境保护设施调试效果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eastAsia="宋体" w:asciiTheme="minorEastAsia" w:hAnsiTheme="minorEastAsia" w:cstheme="minorEastAsia"/>
          <w:color w:val="000000" w:themeColor="text1"/>
          <w:kern w:val="0"/>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w:t>
      </w:r>
      <w:r>
        <w:rPr>
          <w:rFonts w:hint="default" w:ascii="Times New Roman" w:hAnsi="Times New Roman" w:eastAsia="宋体" w:cs="Times New Roman"/>
          <w:color w:val="000000" w:themeColor="text1"/>
          <w:sz w:val="24"/>
          <w:szCs w:val="24"/>
          <w14:textFill>
            <w14:solidFill>
              <w14:schemeClr w14:val="tx1"/>
            </w14:solidFill>
          </w14:textFill>
        </w:rPr>
        <w:t>编制的《</w:t>
      </w: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诸城市良工机械有限公司年产1400台套食品机械项目</w:t>
      </w:r>
      <w:r>
        <w:rPr>
          <w:rFonts w:hint="default" w:ascii="Times New Roman" w:hAnsi="Times New Roman" w:eastAsia="宋体" w:cs="Times New Roman"/>
          <w:color w:val="000000" w:themeColor="text1"/>
          <w:sz w:val="24"/>
          <w:szCs w:val="24"/>
          <w14:textFill>
            <w14:solidFill>
              <w14:schemeClr w14:val="tx1"/>
            </w14:solidFill>
          </w14:textFill>
        </w:rPr>
        <w:t>竣工环境保护验收报告》表明，验收监测期间</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pPr>
        <w:adjustRightInd w:val="0"/>
        <w:snapToGrid w:val="0"/>
        <w:spacing w:line="360" w:lineRule="auto"/>
        <w:ind w:firstLine="482" w:firstLineChars="200"/>
        <w:jc w:val="lef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1、废气：</w:t>
      </w:r>
    </w:p>
    <w:p>
      <w:pPr>
        <w:adjustRightInd w:val="0"/>
        <w:snapToGrid w:val="0"/>
        <w:spacing w:line="360" w:lineRule="auto"/>
        <w:ind w:firstLine="560"/>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无组织排放废气</w:t>
      </w:r>
    </w:p>
    <w:p>
      <w:pPr>
        <w:adjustRightInd w:val="0"/>
        <w:snapToGrid w:val="0"/>
        <w:spacing w:line="360" w:lineRule="auto"/>
        <w:ind w:firstLine="480" w:firstLineChars="200"/>
        <w:textAlignment w:val="baseline"/>
        <w:rPr>
          <w:rFonts w:hint="default"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eastAsia="宋体" w:cs="Times New Roman"/>
          <w:sz w:val="24"/>
          <w:szCs w:val="24"/>
          <w:lang w:val="en-US" w:eastAsia="zh-CN"/>
        </w:rPr>
        <w:t>无组织</w:t>
      </w:r>
      <w:r>
        <w:rPr>
          <w:rFonts w:hint="eastAsia" w:ascii="Times New Roman" w:hAnsi="Times New Roman" w:eastAsia="宋体" w:cs="Times New Roman"/>
          <w:sz w:val="24"/>
          <w:szCs w:val="24"/>
          <w:lang w:val="zh-CN" w:eastAsia="zh-CN"/>
        </w:rPr>
        <w:t>废气</w:t>
      </w:r>
      <w:r>
        <w:rPr>
          <w:rFonts w:hint="eastAsia" w:ascii="Times New Roman" w:hAnsi="Times New Roman" w:eastAsia="宋体" w:cs="Times New Roman"/>
          <w:sz w:val="24"/>
          <w:szCs w:val="24"/>
          <w:lang w:val="en-US" w:eastAsia="zh-CN"/>
        </w:rPr>
        <w:t>颗粒物</w:t>
      </w:r>
      <w:r>
        <w:rPr>
          <w:rFonts w:hint="default" w:ascii="Times New Roman" w:hAnsi="Times New Roman" w:eastAsia="宋体" w:cs="Times New Roman"/>
          <w:sz w:val="24"/>
          <w:szCs w:val="24"/>
          <w:lang w:val="en-US" w:eastAsia="zh-CN"/>
        </w:rPr>
        <w:t>最大浓度为</w:t>
      </w:r>
      <w:r>
        <w:rPr>
          <w:rFonts w:hint="eastAsia" w:ascii="Times New Roman" w:hAnsi="Times New Roman" w:eastAsia="宋体" w:cs="Times New Roman"/>
          <w:sz w:val="24"/>
          <w:szCs w:val="24"/>
          <w:lang w:val="en-US" w:eastAsia="zh-CN"/>
        </w:rPr>
        <w:t>0.245</w:t>
      </w:r>
      <w:r>
        <w:rPr>
          <w:rFonts w:hint="default" w:ascii="Times New Roman" w:hAnsi="Times New Roman" w:eastAsia="宋体" w:cs="Times New Roman"/>
          <w:sz w:val="24"/>
          <w:szCs w:val="24"/>
          <w:lang w:val="zh-CN" w:eastAsia="zh-CN"/>
        </w:rPr>
        <w:t>mg/m</w:t>
      </w:r>
      <w:r>
        <w:rPr>
          <w:rFonts w:hint="default" w:ascii="Times New Roman" w:hAnsi="Times New Roman" w:eastAsia="宋体" w:cs="Times New Roman"/>
          <w:sz w:val="24"/>
          <w:szCs w:val="24"/>
          <w:vertAlign w:val="superscript"/>
          <w:lang w:val="zh-CN" w:eastAsia="zh-CN"/>
        </w:rPr>
        <w:t>3</w:t>
      </w:r>
      <w:r>
        <w:rPr>
          <w:rFonts w:hint="eastAsia" w:ascii="Times New Roman" w:hAnsi="Times New Roman" w:eastAsia="宋体" w:cs="Times New Roman"/>
          <w:sz w:val="24"/>
          <w:szCs w:val="24"/>
          <w:lang w:val="en-US" w:eastAsia="zh-CN"/>
        </w:rPr>
        <w:t>，颗粒物无组织</w:t>
      </w:r>
      <w:r>
        <w:rPr>
          <w:rFonts w:hint="default" w:ascii="Times New Roman" w:hAnsi="Times New Roman" w:eastAsia="宋体" w:cs="Times New Roman"/>
          <w:sz w:val="24"/>
          <w:szCs w:val="24"/>
          <w:lang w:val="en-US" w:eastAsia="zh-CN"/>
        </w:rPr>
        <w:t>排放执行《</w:t>
      </w:r>
      <w:r>
        <w:rPr>
          <w:rFonts w:hint="eastAsia" w:ascii="Times New Roman" w:hAnsi="Times New Roman" w:eastAsia="宋体" w:cs="Times New Roman"/>
          <w:sz w:val="24"/>
          <w:szCs w:val="24"/>
          <w:lang w:val="en-US" w:eastAsia="zh-CN"/>
        </w:rPr>
        <w:t>山东省固定源大气颗粒物综合排放标准</w:t>
      </w:r>
      <w:r>
        <w:rPr>
          <w:rFonts w:hint="default" w:ascii="Times New Roman" w:hAnsi="Times New Roman" w:eastAsia="宋体" w:cs="Times New Roman"/>
          <w:sz w:val="24"/>
          <w:szCs w:val="24"/>
          <w:lang w:val="en-US" w:eastAsia="zh-CN"/>
        </w:rPr>
        <w:t>》（DB37/</w:t>
      </w:r>
      <w:r>
        <w:rPr>
          <w:rFonts w:hint="eastAsia" w:ascii="Times New Roman" w:hAnsi="Times New Roman" w:eastAsia="宋体" w:cs="Times New Roman"/>
          <w:sz w:val="24"/>
          <w:szCs w:val="24"/>
          <w:lang w:val="en-US" w:eastAsia="zh-CN"/>
        </w:rPr>
        <w:t>1996-2011</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zh-CN" w:eastAsia="zh-CN"/>
        </w:rPr>
        <w:t>表</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zh-CN" w:eastAsia="zh-CN"/>
        </w:rPr>
        <w:t>中</w:t>
      </w:r>
      <w:r>
        <w:rPr>
          <w:rFonts w:hint="eastAsia" w:ascii="Times New Roman" w:hAnsi="Times New Roman" w:eastAsia="宋体" w:cs="Times New Roman"/>
          <w:sz w:val="24"/>
          <w:szCs w:val="24"/>
          <w:lang w:val="en-US" w:eastAsia="zh-CN"/>
        </w:rPr>
        <w:t>其他颗粒物最高允许</w:t>
      </w:r>
      <w:r>
        <w:rPr>
          <w:rFonts w:hint="eastAsia" w:ascii="Times New Roman" w:hAnsi="Times New Roman" w:eastAsia="宋体" w:cs="Times New Roman"/>
          <w:sz w:val="24"/>
          <w:szCs w:val="24"/>
          <w:lang w:val="zh-CN" w:eastAsia="zh-CN"/>
        </w:rPr>
        <w:t>排放</w:t>
      </w:r>
      <w:r>
        <w:rPr>
          <w:rFonts w:hint="eastAsia" w:ascii="Times New Roman" w:hAnsi="Times New Roman" w:eastAsia="宋体" w:cs="Times New Roman"/>
          <w:sz w:val="24"/>
          <w:szCs w:val="24"/>
          <w:lang w:val="en-US" w:eastAsia="zh-CN"/>
        </w:rPr>
        <w:t>浓度或要求</w:t>
      </w:r>
      <w:r>
        <w:rPr>
          <w:rFonts w:hint="eastAsia" w:ascii="Times New Roman" w:hAnsi="Times New Roman" w:eastAsia="宋体" w:cs="Times New Roman"/>
          <w:sz w:val="24"/>
          <w:szCs w:val="24"/>
          <w:lang w:val="zh-CN" w:eastAsia="zh-CN"/>
        </w:rPr>
        <w:t>（</w:t>
      </w:r>
      <w:r>
        <w:rPr>
          <w:rFonts w:hint="eastAsia" w:ascii="Times New Roman" w:hAnsi="Times New Roman" w:eastAsia="宋体" w:cs="Times New Roman"/>
          <w:sz w:val="24"/>
          <w:szCs w:val="24"/>
          <w:lang w:val="en-US" w:eastAsia="zh-CN"/>
        </w:rPr>
        <w:t>1.0</w:t>
      </w:r>
      <w:r>
        <w:rPr>
          <w:rFonts w:hint="eastAsia" w:ascii="Times New Roman" w:hAnsi="Times New Roman" w:eastAsia="宋体" w:cs="Times New Roman"/>
          <w:sz w:val="24"/>
          <w:szCs w:val="24"/>
          <w:lang w:val="zh-CN" w:eastAsia="zh-CN"/>
        </w:rPr>
        <w:t>mg/</w:t>
      </w:r>
      <w:r>
        <w:rPr>
          <w:rFonts w:hint="eastAsia" w:ascii="Times New Roman" w:hAnsi="Times New Roman" w:eastAsia="宋体" w:cs="Times New Roman"/>
          <w:sz w:val="24"/>
          <w:szCs w:val="24"/>
          <w:lang w:val="en-US" w:eastAsia="zh-CN"/>
        </w:rPr>
        <w:t>N</w:t>
      </w:r>
      <w:r>
        <w:rPr>
          <w:rFonts w:hint="eastAsia" w:ascii="Times New Roman" w:hAnsi="Times New Roman" w:eastAsia="宋体" w:cs="Times New Roman"/>
          <w:sz w:val="24"/>
          <w:szCs w:val="24"/>
          <w:lang w:val="zh-CN"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zh-CN" w:eastAsia="zh-CN"/>
        </w:rPr>
        <w:t>)。</w:t>
      </w:r>
    </w:p>
    <w:p>
      <w:pPr>
        <w:adjustRightInd w:val="0"/>
        <w:snapToGrid w:val="0"/>
        <w:spacing w:line="360" w:lineRule="auto"/>
        <w:ind w:firstLine="560"/>
        <w:rPr>
          <w:rFonts w:hint="eastAsia" w:asciiTheme="minorEastAsia" w:hAnsiTheme="minorEastAsia" w:cstheme="minorEastAsia"/>
          <w:b/>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2、噪声：</w:t>
      </w:r>
    </w:p>
    <w:p>
      <w:pPr>
        <w:adjustRightInd w:val="0"/>
        <w:snapToGrid w:val="0"/>
        <w:spacing w:line="360" w:lineRule="auto"/>
        <w:ind w:firstLine="560"/>
        <w:rPr>
          <w:rFonts w:hint="default" w:ascii="Times New Roman" w:hAnsi="Times New Roman" w:cs="Times New Roman" w:eastAsiaTheme="minorEastAsia"/>
          <w:color w:val="000000" w:themeColor="text1"/>
          <w:kern w:val="2"/>
          <w:sz w:val="24"/>
          <w:szCs w:val="24"/>
          <w:highlight w:val="none"/>
          <w:lang w:val="en-US" w:eastAsia="zh-CN" w:bidi="ar"/>
          <w14:textFill>
            <w14:solidFill>
              <w14:schemeClr w14:val="tx1"/>
            </w14:solidFill>
          </w14:textFill>
        </w:rPr>
      </w:pPr>
      <w:r>
        <w:rPr>
          <w:rFonts w:hint="default" w:ascii="Times New Roman" w:hAnsi="Times New Roman" w:eastAsia="宋体" w:cs="Times New Roman"/>
          <w:sz w:val="24"/>
          <w:szCs w:val="24"/>
          <w:lang w:val="zh-CN" w:eastAsia="zh-CN"/>
        </w:rPr>
        <w:t>验收监测期间，项目所在区厂界噪声昼间最大值</w:t>
      </w:r>
      <w:r>
        <w:rPr>
          <w:rFonts w:hint="eastAsia" w:ascii="Times New Roman" w:hAnsi="Times New Roman" w:eastAsia="宋体" w:cs="Times New Roman"/>
          <w:sz w:val="24"/>
          <w:szCs w:val="24"/>
          <w:lang w:val="en-US" w:eastAsia="zh-CN"/>
        </w:rPr>
        <w:t>57</w:t>
      </w:r>
      <w:r>
        <w:rPr>
          <w:rFonts w:hint="default" w:ascii="Times New Roman" w:hAnsi="Times New Roman" w:eastAsia="宋体" w:cs="Times New Roman"/>
          <w:sz w:val="24"/>
          <w:szCs w:val="24"/>
          <w:lang w:val="zh-CN" w:eastAsia="zh-CN"/>
        </w:rPr>
        <w:t>dB(A)，厂界噪声监测值能满足《工业企业厂界环境噪声排放标准》（GB12348-2008）中</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zh-CN" w:eastAsia="zh-CN"/>
        </w:rPr>
        <w:t>类标准（昼间＜60dB(A)，项目周围200m内敏感点声环境质量均能满足《声环境质量标准》（GB3096-2008）声环境标准</w:t>
      </w:r>
      <w:r>
        <w:rPr>
          <w:rFonts w:hint="default" w:ascii="Times New Roman" w:hAnsi="Times New Roman" w:eastAsia="宋体" w:cs="Times New Roman"/>
          <w:color w:val="auto"/>
          <w:kern w:val="2"/>
          <w:sz w:val="24"/>
          <w:szCs w:val="24"/>
          <w:highlight w:val="none"/>
          <w:lang w:val="zh-CN" w:eastAsia="zh-CN" w:bidi="ar-SA"/>
        </w:rPr>
        <w:t>。</w:t>
      </w:r>
    </w:p>
    <w:p>
      <w:pPr>
        <w:keepNext w:val="0"/>
        <w:keepLines w:val="0"/>
        <w:pageBreakBefore w:val="0"/>
        <w:widowControl w:val="0"/>
        <w:kinsoku/>
        <w:wordWrap/>
        <w:overflowPunct/>
        <w:topLinePunct w:val="0"/>
        <w:autoSpaceDE/>
        <w:autoSpaceDN/>
        <w:bidi w:val="0"/>
        <w:spacing w:before="0" w:after="0" w:line="360" w:lineRule="auto"/>
        <w:ind w:left="0" w:leftChars="0" w:right="0" w:rightChars="0" w:firstLine="540" w:firstLineChars="228"/>
        <w:jc w:val="both"/>
        <w:textAlignment w:val="auto"/>
        <w:outlineLvl w:val="9"/>
        <w:rPr>
          <w:rFonts w:hint="default" w:ascii="Times New Roman" w:hAnsi="Times New Roman"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六</w:t>
      </w:r>
      <w:r>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、验收结论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spacing w:val="-2"/>
          <w:kern w:val="0"/>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诸城市良工机械有限公司年产1400台套食品机械项目</w:t>
      </w:r>
      <w:r>
        <w:rPr>
          <w:rFonts w:hint="default" w:ascii="Times New Roman" w:hAnsi="Times New Roman" w:cs="Times New Roman"/>
          <w:color w:val="000000" w:themeColor="text1"/>
          <w:kern w:val="0"/>
          <w:sz w:val="24"/>
          <w:szCs w:val="24"/>
          <w14:textFill>
            <w14:solidFill>
              <w14:schemeClr w14:val="tx1"/>
            </w14:solidFill>
          </w14:textFill>
        </w:rPr>
        <w:t>，</w:t>
      </w:r>
      <w:r>
        <w:rPr>
          <w:rFonts w:hint="default" w:ascii="Times New Roman" w:hAnsi="Times New Roman" w:cs="Times New Roman"/>
          <w:color w:val="000000" w:themeColor="text1"/>
          <w:spacing w:val="-2"/>
          <w:kern w:val="0"/>
          <w:sz w:val="24"/>
          <w:szCs w:val="24"/>
          <w14:textFill>
            <w14:solidFill>
              <w14:schemeClr w14:val="tx1"/>
            </w14:solidFill>
          </w14:textFill>
        </w:rPr>
        <w:t>环保手续齐全，在实施过程中总体按照环评文件及批复要求配套建设和采取了相应的环境保护设施、措施，根据验收监测数据可知，各类污染物达标排放，满足总量控制要求，符合建设项目竣工环保验收条件，工程竣工环境保护验收合格。</w:t>
      </w:r>
    </w:p>
    <w:p>
      <w:pPr>
        <w:adjustRightInd w:val="0"/>
        <w:snapToGrid w:val="0"/>
        <w:spacing w:line="360" w:lineRule="auto"/>
        <w:ind w:left="554"/>
        <w:rPr>
          <w:rFonts w:hint="default"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pacing w:val="-2"/>
          <w:kern w:val="0"/>
          <w:sz w:val="24"/>
          <w:szCs w:val="24"/>
          <w:lang w:val="en-US" w:eastAsia="zh-CN"/>
          <w14:textFill>
            <w14:solidFill>
              <w14:schemeClr w14:val="tx1"/>
            </w14:solidFill>
          </w14:textFill>
        </w:rPr>
        <w:t>七</w:t>
      </w:r>
      <w:r>
        <w:rPr>
          <w:rFonts w:hint="default" w:ascii="Times New Roman" w:hAnsi="Times New Roman" w:cs="Times New Roman"/>
          <w:b/>
          <w:color w:val="000000" w:themeColor="text1"/>
          <w:spacing w:val="-2"/>
          <w:kern w:val="0"/>
          <w:sz w:val="24"/>
          <w:szCs w:val="24"/>
          <w14:textFill>
            <w14:solidFill>
              <w14:schemeClr w14:val="tx1"/>
            </w14:solidFill>
          </w14:textFill>
        </w:rPr>
        <w:t>、后续工作建议</w:t>
      </w:r>
    </w:p>
    <w:p>
      <w:pPr>
        <w:adjustRightInd w:val="0"/>
        <w:snapToGrid w:val="0"/>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highlight w:val="none"/>
          <w14:textFill>
            <w14:solidFill>
              <w14:schemeClr w14:val="tx1"/>
            </w14:solidFill>
          </w14:textFill>
        </w:rPr>
        <w:t>切实落实环境保护监测计划，定期开展废气、噪声跟踪监测；按照《企事业单位环境信息公开管理办法》要求进行环境信息公开。</w:t>
      </w:r>
    </w:p>
    <w:p>
      <w:pPr>
        <w:adjustRightInd w:val="0"/>
        <w:snapToGri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2、定期开展突发环境污染事故应急</w:t>
      </w:r>
      <w:r>
        <w:rPr>
          <w:rFonts w:hint="default" w:ascii="Times New Roman" w:hAnsi="Times New Roman" w:cs="Times New Roman"/>
          <w:color w:val="000000" w:themeColor="text1"/>
          <w:sz w:val="24"/>
          <w:szCs w:val="24"/>
          <w14:textFill>
            <w14:solidFill>
              <w14:schemeClr w14:val="tx1"/>
            </w14:solidFill>
          </w14:textFill>
        </w:rPr>
        <w:t>演练和培训，确保在发生污染事故时能及时、准确予以处置，减少污染事故对周围环境的影响。</w:t>
      </w:r>
    </w:p>
    <w:p>
      <w:pPr>
        <w:adjustRightInd w:val="0"/>
        <w:snapToGri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3、按照相关要求切实做好危险废物的储存、转移管理，确保各类危险废物得到安全转移及处置。</w:t>
      </w:r>
    </w:p>
    <w:p>
      <w:pPr>
        <w:adjustRightInd w:val="0"/>
        <w:snapToGrid w:val="0"/>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4、加强各类环保设施的日常维护</w:t>
      </w:r>
      <w:r>
        <w:rPr>
          <w:rFonts w:hint="default" w:ascii="Times New Roman" w:hAnsi="Times New Roman" w:cs="Times New Roman"/>
          <w:color w:val="000000" w:themeColor="text1"/>
          <w:sz w:val="24"/>
          <w:szCs w:val="24"/>
          <w:highlight w:val="none"/>
          <w14:textFill>
            <w14:solidFill>
              <w14:schemeClr w14:val="tx1"/>
            </w14:solidFill>
          </w14:textFill>
        </w:rPr>
        <w:t>和管理，确保环保设施正常运转，各项污染物稳定达标排放；如遇环保设施检修、停运等情况，要及时向当地环保部门报告，并如实记录备查。</w:t>
      </w:r>
    </w:p>
    <w:p>
      <w:pPr>
        <w:pStyle w:val="14"/>
        <w:keepNext w:val="0"/>
        <w:keepLines w:val="0"/>
        <w:pageBreakBefore w:val="0"/>
        <w:widowControl w:val="0"/>
        <w:kinsoku/>
        <w:wordWrap/>
        <w:overflowPunct/>
        <w:topLinePunct w:val="0"/>
        <w:bidi w:val="0"/>
        <w:spacing w:before="0" w:beforeLines="0" w:after="0" w:afterLines="0" w:line="480" w:lineRule="atLeast"/>
        <w:ind w:left="0" w:leftChars="0" w:right="0" w:rightChars="0" w:firstLine="474" w:firstLineChars="200"/>
        <w:jc w:val="both"/>
        <w:textAlignment w:val="auto"/>
        <w:outlineLvl w:val="9"/>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八</w:t>
      </w:r>
      <w:r>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、验收人员信息</w:t>
      </w:r>
    </w:p>
    <w:p>
      <w:pPr>
        <w:keepNext w:val="0"/>
        <w:keepLines w:val="0"/>
        <w:pageBreakBefore w:val="0"/>
        <w:widowControl w:val="0"/>
        <w:kinsoku/>
        <w:wordWrap/>
        <w:overflowPunct/>
        <w:topLinePunct w:val="0"/>
        <w:bidi w:val="0"/>
        <w:spacing w:before="0" w:beforeLines="0" w:after="0" w:afterLines="0" w:line="480" w:lineRule="atLeast"/>
        <w:ind w:left="0" w:leftChars="0" w:right="0" w:rightChars="0" w:firstLine="547" w:firstLineChars="228"/>
        <w:jc w:val="both"/>
        <w:textAlignment w:val="auto"/>
        <w:outlineLvl w:val="9"/>
        <w:rPr>
          <w:rFonts w:hint="default" w:ascii="Times New Roman" w:hAnsi="Times New Roman" w:eastAsia="宋体" w:cs="Times New Roman"/>
          <w:bCs/>
          <w:color w:val="000000" w:themeColor="text1"/>
          <w:sz w:val="24"/>
          <w:szCs w:val="28"/>
          <w:highlight w:val="none"/>
          <w14:textFill>
            <w14:solidFill>
              <w14:schemeClr w14:val="tx1"/>
            </w14:solidFill>
          </w14:textFill>
        </w:rPr>
      </w:pPr>
      <w:r>
        <w:rPr>
          <w:rFonts w:hint="default" w:ascii="Times New Roman" w:hAnsi="Times New Roman" w:eastAsia="宋体" w:cs="Times New Roman"/>
          <w:color w:val="000000" w:themeColor="text1"/>
          <w:sz w:val="24"/>
          <w:szCs w:val="28"/>
          <w:highlight w:val="none"/>
          <w14:textFill>
            <w14:solidFill>
              <w14:schemeClr w14:val="tx1"/>
            </w14:solidFill>
          </w14:textFill>
        </w:rPr>
        <w:t>验收组人员信息见附表。</w:t>
      </w:r>
      <w:bookmarkStart w:id="0" w:name="_GoBack"/>
      <w:bookmarkEnd w:id="0"/>
    </w:p>
    <w:p>
      <w:pPr>
        <w:adjustRightInd w:val="0"/>
        <w:snapToGrid w:val="0"/>
        <w:spacing w:line="360" w:lineRule="auto"/>
        <w:ind w:firstLine="480" w:firstLineChars="200"/>
        <w:rPr>
          <w:rFonts w:asciiTheme="minorEastAsia" w:hAnsiTheme="minorEastAsia" w:cstheme="minorEastAsia"/>
          <w:color w:val="000000" w:themeColor="text1"/>
          <w:sz w:val="24"/>
          <w:szCs w:val="24"/>
          <w:highlight w:val="none"/>
          <w14:textFill>
            <w14:solidFill>
              <w14:schemeClr w14:val="tx1"/>
            </w14:solidFill>
          </w14:textFill>
        </w:rPr>
      </w:pPr>
    </w:p>
    <w:p/>
    <w:p>
      <w:pPr>
        <w:adjustRightInd w:val="0"/>
        <w:snapToGrid w:val="0"/>
        <w:spacing w:line="360" w:lineRule="auto"/>
        <w:ind w:firstLine="5450" w:firstLineChars="23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验</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收工作组</w:t>
      </w:r>
    </w:p>
    <w:p>
      <w:pPr>
        <w:ind w:firstLine="6397" w:firstLineChars="2700"/>
        <w:rPr>
          <w:rFonts w:hint="default" w:asciiTheme="minorEastAsia" w:hAnsiTheme="minorEastAsia" w:cstheme="minorEastAsia"/>
          <w:b/>
          <w:color w:val="FF0000"/>
          <w:spacing w:val="-2"/>
          <w:kern w:val="0"/>
          <w:sz w:val="24"/>
          <w:szCs w:val="24"/>
          <w:highlight w:val="yellow"/>
          <w:lang w:val="en-US" w:eastAsia="zh-CN"/>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2021年</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11</w:t>
      </w: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月</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28</w:t>
      </w:r>
    </w:p>
    <w:p>
      <w:pPr>
        <w:pStyle w:val="11"/>
        <w:rPr>
          <w:rFonts w:hint="eastAsia" w:asciiTheme="minorEastAsia" w:hAnsiTheme="minorEastAsia" w:cstheme="minorEastAsia"/>
          <w:b/>
          <w:color w:val="000000" w:themeColor="text1"/>
          <w:spacing w:val="-2"/>
          <w:kern w:val="0"/>
          <w:sz w:val="24"/>
          <w:szCs w:val="24"/>
          <w:highlight w:val="yellow"/>
          <w:lang w:val="en-US" w:eastAsia="zh-CN"/>
          <w14:textFill>
            <w14:solidFill>
              <w14:schemeClr w14:val="tx1"/>
            </w14:solidFill>
          </w14:textFill>
        </w:rPr>
      </w:pPr>
    </w:p>
    <w:p>
      <w:pPr>
        <w:pStyle w:val="11"/>
        <w:ind w:left="0" w:leftChars="0" w:firstLine="0" w:firstLineChars="0"/>
        <w:rPr>
          <w:rFonts w:hint="default" w:asciiTheme="minorEastAsia" w:hAnsiTheme="minorEastAsia" w:eastAsiaTheme="minorEastAsia" w:cstheme="minorEastAsia"/>
          <w:b w:val="0"/>
          <w:bCs/>
          <w:color w:val="auto"/>
          <w:spacing w:val="-2"/>
          <w:kern w:val="0"/>
          <w:sz w:val="24"/>
          <w:szCs w:val="24"/>
          <w:highlight w:val="none"/>
          <w:lang w:val="en-US" w:eastAsia="zh-CN" w:bidi="ar-SA"/>
        </w:rPr>
      </w:pPr>
    </w:p>
    <w:p>
      <w:pPr>
        <w:rPr>
          <w:rFonts w:hint="default"/>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8EEE7"/>
    <w:multiLevelType w:val="singleLevel"/>
    <w:tmpl w:val="5AA8EEE7"/>
    <w:lvl w:ilvl="0" w:tentative="0">
      <w:start w:val="1"/>
      <w:numFmt w:val="chineseCounting"/>
      <w:suff w:val="nothing"/>
      <w:lvlText w:val="（%1）"/>
      <w:lvlJc w:val="left"/>
      <w:pPr>
        <w:ind w:left="-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C5909"/>
    <w:rsid w:val="04BA3A9E"/>
    <w:rsid w:val="1EDE2166"/>
    <w:rsid w:val="22137880"/>
    <w:rsid w:val="237C5909"/>
    <w:rsid w:val="26665943"/>
    <w:rsid w:val="281C724B"/>
    <w:rsid w:val="2DED3588"/>
    <w:rsid w:val="3CAB3E7B"/>
    <w:rsid w:val="578211EA"/>
    <w:rsid w:val="5CA9780D"/>
    <w:rsid w:val="66FB66B3"/>
    <w:rsid w:val="722677E7"/>
    <w:rsid w:val="77206C32"/>
    <w:rsid w:val="77473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Theme="minorHAnsi" w:hAnsiTheme="minorHAnsi" w:eastAsiaTheme="minorEastAsia" w:cstheme="minorBidi"/>
      <w:kern w:val="2"/>
      <w:sz w:val="21"/>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li_正文"/>
    <w:basedOn w:val="1"/>
    <w:qFormat/>
    <w:uiPriority w:val="0"/>
    <w:pPr>
      <w:tabs>
        <w:tab w:val="left" w:pos="2340"/>
        <w:tab w:val="left" w:pos="4320"/>
      </w:tabs>
      <w:ind w:firstLine="530" w:firstLineChars="200"/>
    </w:pPr>
    <w:rPr>
      <w:rFonts w:ascii="Calibri" w:hAnsi="Calibri"/>
      <w:sz w:val="28"/>
      <w:szCs w:val="28"/>
    </w:rPr>
  </w:style>
  <w:style w:type="paragraph" w:styleId="3">
    <w:name w:val="Normal Indent"/>
    <w:basedOn w:val="1"/>
    <w:qFormat/>
    <w:uiPriority w:val="0"/>
    <w:pPr>
      <w:ind w:firstLine="420" w:firstLineChars="200"/>
    </w:pPr>
    <w:rPr>
      <w:szCs w:val="24"/>
    </w:rPr>
  </w:style>
  <w:style w:type="paragraph" w:styleId="4">
    <w:name w:val="annotation text"/>
    <w:basedOn w:val="1"/>
    <w:unhideWhenUsed/>
    <w:qFormat/>
    <w:uiPriority w:val="0"/>
    <w:pPr>
      <w:jc w:val="left"/>
    </w:pPr>
  </w:style>
  <w:style w:type="paragraph" w:styleId="5">
    <w:name w:val="Body Text Indent"/>
    <w:basedOn w:val="1"/>
    <w:next w:val="6"/>
    <w:unhideWhenUsed/>
    <w:qFormat/>
    <w:uiPriority w:val="0"/>
    <w:pPr>
      <w:widowControl w:val="0"/>
      <w:spacing w:after="120"/>
      <w:ind w:left="420" w:leftChars="200"/>
      <w:jc w:val="both"/>
    </w:pPr>
    <w:rPr>
      <w:rFonts w:asciiTheme="minorHAnsi" w:hAnsiTheme="minorHAnsi" w:eastAsiaTheme="minorEastAsia" w:cstheme="minorBidi"/>
      <w:kern w:val="2"/>
      <w:sz w:val="21"/>
      <w:lang w:val="en-US" w:eastAsia="zh-CN" w:bidi="ar-SA"/>
    </w:rPr>
  </w:style>
  <w:style w:type="paragraph" w:customStyle="1" w:styleId="6">
    <w:name w:val="样式 正文文本缩进 + 行距: 1.5 倍行距"/>
    <w:basedOn w:val="7"/>
    <w:unhideWhenUsed/>
    <w:qFormat/>
    <w:uiPriority w:val="0"/>
    <w:pPr>
      <w:widowControl w:val="0"/>
      <w:spacing w:after="120" w:line="360" w:lineRule="auto"/>
      <w:ind w:left="90" w:leftChars="32" w:firstLine="560" w:firstLineChars="200"/>
      <w:jc w:val="both"/>
    </w:pPr>
    <w:rPr>
      <w:rFonts w:asciiTheme="minorHAnsi" w:hAnsiTheme="minorHAnsi" w:eastAsiaTheme="minorEastAsia" w:cstheme="minorBidi"/>
      <w:kern w:val="2"/>
      <w:sz w:val="24"/>
      <w:lang w:val="en-US" w:eastAsia="zh-CN" w:bidi="ar-SA"/>
    </w:rPr>
  </w:style>
  <w:style w:type="paragraph" w:customStyle="1" w:styleId="7">
    <w:name w:val="正文文本缩进1"/>
    <w:basedOn w:val="1"/>
    <w:next w:val="6"/>
    <w:unhideWhenUsed/>
    <w:qFormat/>
    <w:uiPriority w:val="0"/>
    <w:pPr>
      <w:spacing w:beforeLines="0" w:afterLines="0"/>
      <w:ind w:left="420" w:leftChars="200"/>
    </w:pPr>
    <w:rPr>
      <w:rFonts w:hint="eastAsia" w:ascii="Times New Roman" w:hAnsi="Times New Roman" w:eastAsia="Times New Roman"/>
      <w:sz w:val="24"/>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rPr>
      <w:sz w:val="24"/>
    </w:rPr>
  </w:style>
  <w:style w:type="paragraph" w:styleId="11">
    <w:name w:val="Body Text First Indent 2"/>
    <w:basedOn w:val="5"/>
    <w:next w:val="1"/>
    <w:unhideWhenUsed/>
    <w:qFormat/>
    <w:uiPriority w:val="0"/>
    <w:pPr>
      <w:widowControl w:val="0"/>
      <w:spacing w:after="120"/>
      <w:ind w:left="420" w:leftChars="200" w:firstLine="420" w:firstLineChars="200"/>
      <w:jc w:val="both"/>
    </w:pPr>
    <w:rPr>
      <w:rFonts w:asciiTheme="minorHAnsi" w:hAnsiTheme="minorHAnsi" w:eastAsiaTheme="minorEastAsia" w:cstheme="minorBidi"/>
      <w:kern w:val="2"/>
      <w:sz w:val="21"/>
      <w:lang w:val="en-US" w:eastAsia="zh-CN" w:bidi="ar-SA"/>
    </w:rPr>
  </w:style>
  <w:style w:type="paragraph" w:customStyle="1" w:styleId="14">
    <w:name w:val="Default"/>
    <w:next w:val="15"/>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paragraph" w:customStyle="1" w:styleId="15">
    <w:name w:val="样式35"/>
    <w:basedOn w:val="1"/>
    <w:next w:val="1"/>
    <w:qFormat/>
    <w:uiPriority w:val="0"/>
    <w:pPr>
      <w:spacing w:line="312" w:lineRule="auto"/>
      <w:ind w:firstLine="567"/>
    </w:pPr>
    <w:rPr>
      <w:rFonts w:ascii="宋体"/>
      <w:sz w:val="28"/>
    </w:rPr>
  </w:style>
  <w:style w:type="paragraph" w:customStyle="1" w:styleId="16">
    <w:name w:val="样式 样式 样式 四号 左侧:  1.53 厘米 + 首行缩进:  2 字符 + 居中 左侧:  2 字符 首行缩进:  2..."/>
    <w:basedOn w:val="17"/>
    <w:qFormat/>
    <w:uiPriority w:val="0"/>
    <w:pPr>
      <w:jc w:val="center"/>
    </w:pPr>
  </w:style>
  <w:style w:type="paragraph" w:customStyle="1" w:styleId="17">
    <w:name w:val="样式 样式 四号 左侧:  1.53 厘米 + 首行缩进:  2 字符"/>
    <w:basedOn w:val="18"/>
    <w:qFormat/>
    <w:uiPriority w:val="0"/>
    <w:pPr>
      <w:ind w:left="200" w:leftChars="200"/>
    </w:pPr>
    <w:rPr>
      <w:szCs w:val="20"/>
    </w:rPr>
  </w:style>
  <w:style w:type="paragraph" w:customStyle="1" w:styleId="18">
    <w:name w:val="样式 四号 左侧:  1.53 厘米"/>
    <w:basedOn w:val="1"/>
    <w:qFormat/>
    <w:uiPriority w:val="0"/>
    <w:pPr>
      <w:adjustRightInd w:val="0"/>
    </w:pPr>
    <w:rPr>
      <w:w w:val="9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2021-11-12T07:49:00Z</dcterms:created>
  <dc:creator>Administrator</dc:creator>
  <cp:lastModifiedBy>Administrator</cp:lastModifiedBy>
  <dcterms:modified xsi:type="dcterms:W3CDTF">2021-11-25T01:55:08Z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CEE99D24BE2E48D99E6DD95661109E85</vt:lpwstr>
  </property>
</Properties>
</file>