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3"/>
        <w:numPr>
          <w:ilvl w:val="0"/>
          <w:numId w:val="0"/>
        </w:numPr>
        <w:outlineLvl w:val="9"/>
      </w:pPr>
      <w:bookmarkStart w:id="0" w:name="_Toc1784"/>
    </w:p>
    <w:p>
      <w:pPr>
        <w:spacing w:line="240" w:lineRule="auto"/>
        <w:jc w:val="center"/>
        <w:rPr>
          <w:b/>
          <w:bCs/>
          <w:sz w:val="44"/>
          <w:szCs w:val="44"/>
        </w:rPr>
      </w:pPr>
    </w:p>
    <w:p>
      <w:pPr>
        <w:spacing w:line="240" w:lineRule="auto"/>
        <w:jc w:val="center"/>
        <w:rPr>
          <w:b/>
          <w:bCs/>
          <w:sz w:val="44"/>
          <w:szCs w:val="44"/>
        </w:rPr>
      </w:pPr>
    </w:p>
    <w:p>
      <w:pPr>
        <w:widowControl/>
        <w:adjustRightInd w:val="0"/>
        <w:snapToGrid w:val="0"/>
        <w:spacing w:after="200"/>
        <w:jc w:val="center"/>
        <w:rPr>
          <w:rFonts w:hint="eastAsia" w:hAnsi="宋体"/>
          <w:b/>
          <w:kern w:val="0"/>
          <w:sz w:val="48"/>
          <w:szCs w:val="48"/>
        </w:rPr>
      </w:pPr>
      <w:r>
        <w:rPr>
          <w:rFonts w:hint="eastAsia" w:hAnsi="宋体"/>
          <w:b/>
          <w:kern w:val="0"/>
          <w:sz w:val="48"/>
          <w:szCs w:val="48"/>
        </w:rPr>
        <w:t>吉首大学张家界学院东北侧地块二期</w:t>
      </w:r>
    </w:p>
    <w:p>
      <w:pPr>
        <w:widowControl/>
        <w:adjustRightInd w:val="0"/>
        <w:snapToGrid w:val="0"/>
        <w:spacing w:after="200"/>
        <w:jc w:val="center"/>
        <w:rPr>
          <w:rFonts w:hint="eastAsia" w:hAnsi="宋体"/>
          <w:b/>
          <w:kern w:val="0"/>
          <w:sz w:val="48"/>
          <w:szCs w:val="48"/>
        </w:rPr>
      </w:pPr>
      <w:r>
        <w:rPr>
          <w:rFonts w:hint="eastAsia" w:hAnsi="宋体"/>
          <w:b/>
          <w:kern w:val="0"/>
          <w:sz w:val="48"/>
          <w:szCs w:val="48"/>
        </w:rPr>
        <w:t>学生公寓B栋</w:t>
      </w:r>
    </w:p>
    <w:p>
      <w:pPr>
        <w:widowControl/>
        <w:adjustRightInd w:val="0"/>
        <w:snapToGrid w:val="0"/>
        <w:spacing w:after="200"/>
        <w:jc w:val="center"/>
        <w:rPr>
          <w:b/>
          <w:kern w:val="0"/>
          <w:sz w:val="48"/>
          <w:szCs w:val="48"/>
        </w:rPr>
      </w:pPr>
      <w:r>
        <w:rPr>
          <w:rFonts w:hAnsi="宋体"/>
          <w:b/>
          <w:kern w:val="0"/>
          <w:sz w:val="48"/>
          <w:szCs w:val="48"/>
        </w:rPr>
        <w:t>竣工环境保护验收监测报告表</w:t>
      </w:r>
    </w:p>
    <w:p>
      <w:pPr>
        <w:autoSpaceDE w:val="0"/>
        <w:autoSpaceDN w:val="0"/>
        <w:adjustRightInd w:val="0"/>
        <w:spacing w:line="240" w:lineRule="auto"/>
        <w:jc w:val="left"/>
        <w:rPr>
          <w:b/>
          <w:kern w:val="0"/>
          <w:sz w:val="48"/>
          <w:szCs w:val="48"/>
        </w:rPr>
      </w:pPr>
    </w:p>
    <w:p>
      <w:pPr>
        <w:pStyle w:val="2"/>
      </w:pPr>
    </w:p>
    <w:p>
      <w:pPr>
        <w:autoSpaceDE w:val="0"/>
        <w:autoSpaceDN w:val="0"/>
        <w:adjustRightInd w:val="0"/>
        <w:spacing w:line="240" w:lineRule="auto"/>
        <w:jc w:val="left"/>
        <w:rPr>
          <w:b/>
          <w:kern w:val="0"/>
          <w:sz w:val="48"/>
          <w:szCs w:val="48"/>
        </w:rPr>
      </w:pPr>
    </w:p>
    <w:p>
      <w:pPr>
        <w:pStyle w:val="2"/>
      </w:pPr>
    </w:p>
    <w:p>
      <w:pPr>
        <w:autoSpaceDE w:val="0"/>
        <w:autoSpaceDN w:val="0"/>
        <w:adjustRightInd w:val="0"/>
        <w:spacing w:line="240" w:lineRule="auto"/>
        <w:jc w:val="left"/>
        <w:rPr>
          <w:b/>
          <w:kern w:val="0"/>
          <w:sz w:val="48"/>
          <w:szCs w:val="48"/>
        </w:rPr>
      </w:pPr>
    </w:p>
    <w:p>
      <w:pPr>
        <w:autoSpaceDE w:val="0"/>
        <w:autoSpaceDN w:val="0"/>
        <w:adjustRightInd w:val="0"/>
        <w:spacing w:line="240" w:lineRule="auto"/>
        <w:jc w:val="left"/>
        <w:rPr>
          <w:kern w:val="0"/>
          <w:sz w:val="28"/>
          <w:szCs w:val="28"/>
        </w:rPr>
      </w:pPr>
    </w:p>
    <w:p>
      <w:pPr>
        <w:autoSpaceDE w:val="0"/>
        <w:autoSpaceDN w:val="0"/>
        <w:adjustRightInd w:val="0"/>
        <w:spacing w:line="240" w:lineRule="auto"/>
        <w:jc w:val="left"/>
        <w:rPr>
          <w:kern w:val="0"/>
          <w:sz w:val="28"/>
          <w:szCs w:val="28"/>
        </w:rPr>
      </w:pPr>
    </w:p>
    <w:p>
      <w:pPr>
        <w:pStyle w:val="2"/>
        <w:ind w:left="0" w:leftChars="0" w:firstLine="0" w:firstLineChars="0"/>
      </w:pPr>
    </w:p>
    <w:p>
      <w:pPr>
        <w:widowControl/>
        <w:adjustRightInd w:val="0"/>
        <w:snapToGrid w:val="0"/>
        <w:spacing w:after="200" w:line="240" w:lineRule="auto"/>
        <w:jc w:val="center"/>
        <w:rPr>
          <w:b/>
          <w:kern w:val="0"/>
          <w:sz w:val="48"/>
          <w:szCs w:val="48"/>
        </w:rPr>
      </w:pPr>
    </w:p>
    <w:p>
      <w:pPr>
        <w:widowControl/>
        <w:adjustRightInd w:val="0"/>
        <w:snapToGrid w:val="0"/>
        <w:spacing w:after="200" w:line="240" w:lineRule="auto"/>
        <w:jc w:val="both"/>
        <w:rPr>
          <w:rFonts w:hint="eastAsia" w:hAnsi="宋体"/>
          <w:color w:val="000000" w:themeColor="text1"/>
          <w:kern w:val="0"/>
          <w:sz w:val="36"/>
          <w:szCs w:val="36"/>
          <w:lang w:val="en-US" w:eastAsia="zh-CN"/>
        </w:rPr>
      </w:pPr>
    </w:p>
    <w:p>
      <w:pPr>
        <w:widowControl/>
        <w:adjustRightInd w:val="0"/>
        <w:snapToGrid w:val="0"/>
        <w:spacing w:after="200" w:line="240" w:lineRule="auto"/>
        <w:jc w:val="center"/>
        <w:rPr>
          <w:color w:val="000000" w:themeColor="text1"/>
          <w:kern w:val="0"/>
          <w:sz w:val="36"/>
          <w:szCs w:val="36"/>
        </w:rPr>
      </w:pPr>
      <w:r>
        <w:rPr>
          <w:rFonts w:hAnsi="宋体"/>
          <w:color w:val="000000" w:themeColor="text1"/>
          <w:kern w:val="0"/>
          <w:sz w:val="36"/>
          <w:szCs w:val="36"/>
        </w:rPr>
        <w:t>吉首大学张家界学</w:t>
      </w:r>
      <w:r>
        <w:rPr>
          <w:rFonts w:hint="eastAsia" w:hAnsi="宋体"/>
          <w:color w:val="000000" w:themeColor="text1"/>
          <w:kern w:val="0"/>
          <w:sz w:val="36"/>
          <w:szCs w:val="36"/>
          <w:lang w:val="en-US" w:eastAsia="zh-CN"/>
        </w:rPr>
        <w:t>院</w:t>
      </w:r>
    </w:p>
    <w:p>
      <w:pPr>
        <w:widowControl/>
        <w:adjustRightInd w:val="0"/>
        <w:snapToGrid w:val="0"/>
        <w:spacing w:after="200" w:line="240" w:lineRule="auto"/>
        <w:jc w:val="center"/>
        <w:rPr>
          <w:rFonts w:hint="eastAsia" w:ascii="仿宋_GB2312" w:eastAsia="仿宋_GB2312"/>
          <w:b/>
          <w:color w:val="000000"/>
          <w:sz w:val="28"/>
        </w:rPr>
      </w:pPr>
      <w:r>
        <w:rPr>
          <w:color w:val="000000" w:themeColor="text1"/>
          <w:kern w:val="0"/>
          <w:sz w:val="36"/>
          <w:szCs w:val="36"/>
        </w:rPr>
        <w:t>202</w:t>
      </w:r>
      <w:r>
        <w:rPr>
          <w:rFonts w:hint="eastAsia"/>
          <w:color w:val="000000" w:themeColor="text1"/>
          <w:kern w:val="0"/>
          <w:sz w:val="36"/>
          <w:szCs w:val="36"/>
          <w:lang w:val="en-US" w:eastAsia="zh-CN"/>
        </w:rPr>
        <w:t>1</w:t>
      </w:r>
      <w:r>
        <w:rPr>
          <w:rFonts w:hAnsi="宋体"/>
          <w:color w:val="000000" w:themeColor="text1"/>
          <w:kern w:val="0"/>
          <w:sz w:val="36"/>
          <w:szCs w:val="36"/>
        </w:rPr>
        <w:t>年</w:t>
      </w:r>
      <w:r>
        <w:rPr>
          <w:color w:val="000000" w:themeColor="text1"/>
          <w:kern w:val="0"/>
          <w:sz w:val="36"/>
          <w:szCs w:val="36"/>
        </w:rPr>
        <w:t>1</w:t>
      </w:r>
      <w:r>
        <w:rPr>
          <w:rFonts w:hint="eastAsia"/>
          <w:color w:val="000000" w:themeColor="text1"/>
          <w:kern w:val="0"/>
          <w:sz w:val="36"/>
          <w:szCs w:val="36"/>
          <w:lang w:val="en-US" w:eastAsia="zh-CN"/>
        </w:rPr>
        <w:t>1</w:t>
      </w:r>
      <w:r>
        <w:rPr>
          <w:rFonts w:hAnsi="宋体"/>
          <w:color w:val="000000" w:themeColor="text1"/>
          <w:kern w:val="0"/>
          <w:sz w:val="36"/>
          <w:szCs w:val="36"/>
        </w:rPr>
        <w:t>月</w:t>
      </w:r>
    </w:p>
    <w:bookmarkEnd w:id="0"/>
    <w:p>
      <w:pPr>
        <w:spacing w:line="360" w:lineRule="auto"/>
        <w:rPr>
          <w:rFonts w:ascii="Times New Roman" w:hAnsi="Times New Roman" w:eastAsia="宋体"/>
          <w:b/>
          <w:color w:val="000000"/>
          <w:sz w:val="28"/>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spacing w:line="360" w:lineRule="auto"/>
        <w:rPr>
          <w:rFonts w:ascii="Times New Roman" w:hAnsi="Times New Roman" w:eastAsia="宋体"/>
          <w:b/>
          <w:color w:val="000000"/>
          <w:sz w:val="28"/>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spacing w:line="360" w:lineRule="auto"/>
        <w:rPr>
          <w:rFonts w:ascii="Times New Roman" w:hAnsi="Times New Roman" w:eastAsia="宋体"/>
          <w:b w:val="0"/>
          <w:bCs/>
          <w:color w:val="000000"/>
          <w:sz w:val="32"/>
        </w:rPr>
      </w:pPr>
      <w:r>
        <w:rPr>
          <w:rFonts w:ascii="Times New Roman" w:hAnsi="Times New Roman" w:eastAsia="宋体"/>
          <w:b w:val="0"/>
          <w:bCs/>
          <w:color w:val="000000"/>
          <w:sz w:val="28"/>
        </w:rPr>
        <w:t xml:space="preserve">建设单位法人代表 : </w:t>
      </w:r>
      <w:r>
        <w:rPr>
          <w:rFonts w:hint="eastAsia" w:ascii="Times New Roman" w:hAnsi="Times New Roman"/>
          <w:b w:val="0"/>
          <w:bCs/>
          <w:color w:val="000000"/>
          <w:sz w:val="28"/>
          <w:lang w:val="en-US" w:eastAsia="zh-CN"/>
        </w:rPr>
        <w:t>简德彬</w:t>
      </w:r>
      <w:r>
        <w:rPr>
          <w:rFonts w:ascii="Times New Roman" w:hAnsi="Times New Roman" w:eastAsia="宋体"/>
          <w:b w:val="0"/>
          <w:bCs/>
          <w:color w:val="000000"/>
          <w:sz w:val="28"/>
        </w:rPr>
        <w:tab/>
      </w:r>
      <w:r>
        <w:rPr>
          <w:rFonts w:ascii="Times New Roman" w:hAnsi="Times New Roman" w:eastAsia="宋体"/>
          <w:b w:val="0"/>
          <w:bCs/>
          <w:color w:val="000000"/>
          <w:sz w:val="28"/>
        </w:rPr>
        <w:t xml:space="preserve">         </w:t>
      </w:r>
    </w:p>
    <w:p>
      <w:pPr>
        <w:spacing w:line="360" w:lineRule="auto"/>
        <w:rPr>
          <w:rFonts w:ascii="Times New Roman" w:hAnsi="Times New Roman" w:eastAsia="宋体"/>
          <w:b w:val="0"/>
          <w:bCs/>
          <w:color w:val="000000"/>
          <w:sz w:val="28"/>
        </w:rPr>
      </w:pPr>
      <w:r>
        <w:rPr>
          <w:rFonts w:ascii="Times New Roman" w:hAnsi="Times New Roman" w:eastAsia="宋体"/>
          <w:b w:val="0"/>
          <w:bCs/>
          <w:color w:val="000000"/>
          <w:sz w:val="28"/>
        </w:rPr>
        <w:t>编制单位法人代表</w:t>
      </w:r>
      <w:r>
        <w:rPr>
          <w:rFonts w:hint="eastAsia"/>
          <w:b w:val="0"/>
          <w:bCs/>
          <w:color w:val="000000"/>
          <w:sz w:val="28"/>
          <w:lang w:val="en-US" w:eastAsia="zh-CN"/>
        </w:rPr>
        <w:t xml:space="preserve"> </w:t>
      </w:r>
      <w:r>
        <w:rPr>
          <w:rFonts w:ascii="Times New Roman" w:hAnsi="Times New Roman" w:eastAsia="宋体"/>
          <w:b w:val="0"/>
          <w:bCs/>
          <w:color w:val="000000"/>
          <w:sz w:val="28"/>
        </w:rPr>
        <w:t>:</w:t>
      </w:r>
      <w:r>
        <w:rPr>
          <w:rFonts w:hint="eastAsia"/>
          <w:b w:val="0"/>
          <w:bCs/>
          <w:color w:val="000000"/>
          <w:sz w:val="28"/>
          <w:lang w:val="en-US" w:eastAsia="zh-CN"/>
        </w:rPr>
        <w:t>胡鹏飞</w:t>
      </w:r>
      <w:r>
        <w:rPr>
          <w:rFonts w:ascii="Times New Roman" w:hAnsi="Times New Roman" w:eastAsia="宋体"/>
          <w:b w:val="0"/>
          <w:bCs/>
          <w:color w:val="000000"/>
          <w:sz w:val="28"/>
        </w:rPr>
        <w:t xml:space="preserve">       </w:t>
      </w:r>
    </w:p>
    <w:p>
      <w:pPr>
        <w:spacing w:line="360" w:lineRule="auto"/>
        <w:rPr>
          <w:rFonts w:hint="eastAsia" w:eastAsia="宋体"/>
          <w:b w:val="0"/>
          <w:bCs/>
          <w:color w:val="000000"/>
          <w:sz w:val="28"/>
          <w:lang w:val="en-US" w:eastAsia="zh-CN"/>
        </w:rPr>
      </w:pPr>
      <w:r>
        <w:rPr>
          <w:rFonts w:ascii="Times New Roman" w:hAnsi="Times New Roman" w:eastAsia="宋体"/>
          <w:b w:val="0"/>
          <w:bCs/>
          <w:color w:val="000000"/>
          <w:sz w:val="28"/>
        </w:rPr>
        <w:t>项目负责人:</w:t>
      </w:r>
      <w:r>
        <w:rPr>
          <w:rFonts w:hint="eastAsia"/>
          <w:b w:val="0"/>
          <w:bCs/>
          <w:color w:val="000000"/>
          <w:sz w:val="28"/>
          <w:lang w:val="en-US" w:eastAsia="zh-CN"/>
        </w:rPr>
        <w:t>张海花</w:t>
      </w:r>
    </w:p>
    <w:p>
      <w:pPr>
        <w:spacing w:line="360" w:lineRule="auto"/>
        <w:ind w:left="0" w:leftChars="0" w:firstLine="0" w:firstLineChars="0"/>
        <w:rPr>
          <w:rFonts w:ascii="Times New Roman" w:hAnsi="Times New Roman" w:eastAsia="宋体"/>
          <w:b/>
          <w:color w:val="000000"/>
          <w:sz w:val="28"/>
        </w:rPr>
      </w:pPr>
      <w:r>
        <w:rPr>
          <w:rFonts w:hint="eastAsia" w:ascii="宋体" w:hAnsi="宋体" w:eastAsia="宋体" w:cs="宋体"/>
          <w:b w:val="0"/>
          <w:bCs/>
          <w:color w:val="000000"/>
          <w:sz w:val="28"/>
        </w:rPr>
        <w:t>报告编写人：</w:t>
      </w:r>
      <w:r>
        <w:rPr>
          <w:rFonts w:hint="eastAsia" w:ascii="宋体" w:hAnsi="宋体" w:eastAsia="宋体" w:cs="宋体"/>
          <w:color w:val="000000"/>
          <w:sz w:val="28"/>
          <w:lang w:val="en-US" w:eastAsia="zh-CN"/>
        </w:rPr>
        <w:t>李爽</w:t>
      </w:r>
    </w:p>
    <w:p>
      <w:pPr>
        <w:pStyle w:val="2"/>
        <w:rPr>
          <w:rFonts w:ascii="Times New Roman" w:hAnsi="Times New Roman" w:eastAsia="宋体"/>
          <w:b/>
          <w:color w:val="000000"/>
          <w:sz w:val="28"/>
        </w:rPr>
      </w:pPr>
    </w:p>
    <w:p>
      <w:pPr>
        <w:pStyle w:val="2"/>
      </w:pPr>
    </w:p>
    <w:p>
      <w:pPr>
        <w:pStyle w:val="2"/>
        <w:rPr>
          <w:rFonts w:ascii="Times New Roman" w:hAnsi="Times New Roman" w:eastAsia="宋体"/>
          <w:b/>
          <w:color w:val="000000"/>
          <w:sz w:val="28"/>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pStyle w:val="2"/>
        <w:rPr>
          <w:rFonts w:ascii="Times New Roman" w:hAnsi="Times New Roman" w:eastAsia="宋体"/>
        </w:rPr>
      </w:pPr>
    </w:p>
    <w:p>
      <w:pPr>
        <w:spacing w:line="360" w:lineRule="auto"/>
        <w:rPr>
          <w:rFonts w:ascii="Times New Roman" w:hAnsi="Times New Roman" w:eastAsia="宋体"/>
          <w:b/>
          <w:color w:val="000000"/>
          <w:sz w:val="28"/>
        </w:rPr>
      </w:pPr>
    </w:p>
    <w:p>
      <w:pPr>
        <w:pStyle w:val="2"/>
        <w:rPr>
          <w:rFonts w:ascii="Times New Roman" w:hAnsi="Times New Roman" w:eastAsia="宋体"/>
          <w:b/>
          <w:color w:val="000000"/>
          <w:sz w:val="28"/>
        </w:rPr>
      </w:pPr>
    </w:p>
    <w:tbl>
      <w:tblPr>
        <w:tblStyle w:val="44"/>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2"/>
        <w:gridCol w:w="4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2" w:type="dxa"/>
            <w:tcBorders>
              <w:top w:val="nil"/>
              <w:left w:val="nil"/>
              <w:bottom w:val="nil"/>
              <w:right w:val="nil"/>
            </w:tcBorders>
          </w:tcPr>
          <w:p>
            <w:pPr>
              <w:spacing w:line="500" w:lineRule="exact"/>
              <w:rPr>
                <w:rFonts w:ascii="Times New Roman" w:hAnsi="Times New Roman" w:eastAsia="宋体"/>
                <w:bCs/>
                <w:color w:val="000000" w:themeColor="text1"/>
                <w:sz w:val="30"/>
                <w:szCs w:val="30"/>
                <w:u w:val="single"/>
              </w:rPr>
            </w:pPr>
            <w:r>
              <w:rPr>
                <w:rFonts w:ascii="Times New Roman" w:hAnsi="Times New Roman" w:eastAsia="宋体"/>
                <w:color w:val="000000" w:themeColor="text1"/>
                <w:sz w:val="24"/>
                <w:szCs w:val="24"/>
              </w:rPr>
              <w:t xml:space="preserve">建设单位: </w:t>
            </w:r>
            <w:r>
              <w:rPr>
                <w:rFonts w:hint="eastAsia" w:ascii="Times New Roman" w:hAnsi="Times New Roman" w:eastAsia="宋体"/>
                <w:color w:val="000000" w:themeColor="text1"/>
                <w:sz w:val="24"/>
                <w:szCs w:val="24"/>
              </w:rPr>
              <w:t>吉首大学张家界学院</w:t>
            </w:r>
          </w:p>
          <w:p>
            <w:pPr>
              <w:spacing w:line="500" w:lineRule="exact"/>
              <w:rPr>
                <w:rFonts w:hint="eastAsia" w:ascii="Times New Roman" w:hAnsi="Times New Roman"/>
                <w:color w:val="000000" w:themeColor="text1"/>
                <w:sz w:val="24"/>
                <w:szCs w:val="24"/>
                <w:lang w:val="en-US" w:eastAsia="zh-CN"/>
              </w:rPr>
            </w:pPr>
            <w:r>
              <w:rPr>
                <w:rFonts w:ascii="Times New Roman" w:hAnsi="Times New Roman" w:eastAsia="宋体"/>
                <w:color w:val="000000" w:themeColor="text1"/>
                <w:sz w:val="24"/>
                <w:szCs w:val="24"/>
              </w:rPr>
              <w:t>联系人：</w:t>
            </w:r>
            <w:r>
              <w:rPr>
                <w:rFonts w:hint="eastAsia" w:ascii="Times New Roman" w:hAnsi="Times New Roman"/>
                <w:color w:val="000000" w:themeColor="text1"/>
                <w:sz w:val="24"/>
                <w:szCs w:val="24"/>
                <w:lang w:val="en-US" w:eastAsia="zh-CN"/>
              </w:rPr>
              <w:t>张海花</w:t>
            </w:r>
          </w:p>
          <w:p>
            <w:pPr>
              <w:spacing w:line="500" w:lineRule="exact"/>
              <w:rPr>
                <w:rFonts w:hint="eastAsia"/>
                <w:color w:val="000000" w:themeColor="text1"/>
                <w:sz w:val="24"/>
                <w:szCs w:val="24"/>
                <w:lang w:val="en-US" w:eastAsia="zh-CN"/>
              </w:rPr>
            </w:pPr>
            <w:r>
              <w:rPr>
                <w:rFonts w:ascii="Times New Roman" w:hAnsi="Times New Roman" w:eastAsia="宋体"/>
                <w:color w:val="000000" w:themeColor="text1"/>
                <w:sz w:val="24"/>
                <w:szCs w:val="24"/>
              </w:rPr>
              <w:t>电话：</w:t>
            </w:r>
            <w:r>
              <w:rPr>
                <w:rFonts w:hint="eastAsia"/>
                <w:color w:val="000000" w:themeColor="text1"/>
                <w:sz w:val="24"/>
                <w:szCs w:val="24"/>
                <w:lang w:val="en-US" w:eastAsia="zh-CN"/>
              </w:rPr>
              <w:t>15174459900</w:t>
            </w:r>
          </w:p>
          <w:p>
            <w:pPr>
              <w:spacing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邮编：427400             </w:t>
            </w:r>
          </w:p>
          <w:p>
            <w:pPr>
              <w:spacing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地址：</w:t>
            </w:r>
            <w:r>
              <w:rPr>
                <w:rFonts w:hAnsi="宋体"/>
              </w:rPr>
              <w:t>张家界市永定区</w:t>
            </w:r>
            <w:r>
              <w:rPr>
                <w:rFonts w:hint="eastAsia" w:hAnsi="宋体"/>
                <w:lang w:eastAsia="zh-CN"/>
              </w:rPr>
              <w:t>武陵山大道</w:t>
            </w:r>
            <w:r>
              <w:rPr>
                <w:rFonts w:hint="eastAsia" w:hAnsi="宋体"/>
                <w:lang w:val="en-US" w:eastAsia="zh-CN"/>
              </w:rPr>
              <w:t>西</w:t>
            </w:r>
            <w:r>
              <w:rPr>
                <w:rFonts w:hint="eastAsia" w:hAnsi="宋体"/>
                <w:lang w:eastAsia="zh-CN"/>
              </w:rPr>
              <w:t>侧吉首大学张家界学院内</w:t>
            </w:r>
            <w:r>
              <w:rPr>
                <w:rFonts w:ascii="Times New Roman" w:hAnsi="Times New Roman" w:eastAsia="宋体"/>
                <w:color w:val="000000" w:themeColor="text1"/>
                <w:sz w:val="28"/>
              </w:rPr>
              <w:t xml:space="preserve"> </w:t>
            </w:r>
          </w:p>
        </w:tc>
        <w:tc>
          <w:tcPr>
            <w:tcW w:w="4825" w:type="dxa"/>
            <w:tcBorders>
              <w:top w:val="nil"/>
              <w:left w:val="nil"/>
              <w:bottom w:val="nil"/>
              <w:right w:val="nil"/>
            </w:tcBorders>
          </w:tcPr>
          <w:p>
            <w:pPr>
              <w:spacing w:line="500" w:lineRule="exact"/>
              <w:rPr>
                <w:rFonts w:hint="default" w:ascii="Times New Roman" w:hAnsi="Times New Roman" w:eastAsia="宋体"/>
                <w:bCs/>
                <w:color w:val="000000" w:themeColor="text1"/>
                <w:sz w:val="30"/>
                <w:szCs w:val="30"/>
                <w:u w:val="single"/>
                <w:lang w:val="en-US"/>
              </w:rPr>
            </w:pPr>
            <w:r>
              <w:rPr>
                <w:rFonts w:hint="eastAsia"/>
                <w:color w:val="000000" w:themeColor="text1"/>
                <w:sz w:val="24"/>
                <w:szCs w:val="24"/>
                <w:lang w:eastAsia="zh-CN"/>
              </w:rPr>
              <w:t>编制</w:t>
            </w:r>
            <w:r>
              <w:rPr>
                <w:rFonts w:ascii="Times New Roman" w:hAnsi="Times New Roman" w:eastAsia="宋体"/>
                <w:color w:val="000000" w:themeColor="text1"/>
                <w:sz w:val="24"/>
                <w:szCs w:val="24"/>
              </w:rPr>
              <w:t xml:space="preserve">单位: </w:t>
            </w:r>
            <w:r>
              <w:rPr>
                <w:rFonts w:hint="eastAsia" w:ascii="Times New Roman" w:hAnsi="Times New Roman"/>
                <w:color w:val="000000" w:themeColor="text1"/>
                <w:sz w:val="24"/>
                <w:szCs w:val="24"/>
                <w:lang w:val="en-US" w:eastAsia="zh-CN"/>
              </w:rPr>
              <w:t>湖南蓝科检测评价有限公司</w:t>
            </w:r>
          </w:p>
          <w:p>
            <w:pPr>
              <w:spacing w:line="500" w:lineRule="exact"/>
              <w:rPr>
                <w:rFonts w:hint="eastAsia"/>
                <w:color w:val="000000" w:themeColor="text1"/>
                <w:sz w:val="24"/>
                <w:szCs w:val="24"/>
                <w:lang w:val="en-US" w:eastAsia="zh-CN"/>
              </w:rPr>
            </w:pPr>
            <w:r>
              <w:rPr>
                <w:rFonts w:ascii="Times New Roman" w:hAnsi="Times New Roman" w:eastAsia="宋体"/>
                <w:color w:val="000000" w:themeColor="text1"/>
                <w:sz w:val="24"/>
                <w:szCs w:val="24"/>
              </w:rPr>
              <w:t>联系人：</w:t>
            </w:r>
            <w:r>
              <w:rPr>
                <w:rFonts w:hint="eastAsia"/>
                <w:color w:val="000000" w:themeColor="text1"/>
                <w:sz w:val="24"/>
                <w:szCs w:val="24"/>
                <w:lang w:val="en-US" w:eastAsia="zh-CN"/>
              </w:rPr>
              <w:t>胡鹏飞</w:t>
            </w:r>
          </w:p>
          <w:p>
            <w:pPr>
              <w:spacing w:line="500" w:lineRule="exact"/>
              <w:rPr>
                <w:rFonts w:hint="eastAsia"/>
                <w:color w:val="000000" w:themeColor="text1"/>
                <w:sz w:val="24"/>
                <w:szCs w:val="24"/>
                <w:lang w:val="en-US" w:eastAsia="zh-CN"/>
              </w:rPr>
            </w:pPr>
            <w:r>
              <w:rPr>
                <w:rFonts w:ascii="Times New Roman" w:hAnsi="Times New Roman" w:eastAsia="宋体"/>
                <w:color w:val="000000" w:themeColor="text1"/>
                <w:sz w:val="24"/>
                <w:szCs w:val="24"/>
              </w:rPr>
              <w:t>电话：</w:t>
            </w:r>
            <w:r>
              <w:rPr>
                <w:rFonts w:hint="eastAsia"/>
                <w:color w:val="000000" w:themeColor="text1"/>
                <w:sz w:val="24"/>
                <w:szCs w:val="24"/>
                <w:lang w:val="en-US" w:eastAsia="zh-CN"/>
              </w:rPr>
              <w:t>13574462228</w:t>
            </w:r>
          </w:p>
          <w:p>
            <w:pPr>
              <w:spacing w:line="5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邮编：427400             </w:t>
            </w:r>
          </w:p>
          <w:p>
            <w:pPr>
              <w:spacing w:line="500" w:lineRule="exact"/>
              <w:rPr>
                <w:rFonts w:hint="default" w:ascii="Times New Roman" w:hAnsi="Times New Roman" w:eastAsia="宋体"/>
                <w:color w:val="000000" w:themeColor="text1"/>
                <w:sz w:val="24"/>
                <w:szCs w:val="24"/>
                <w:lang w:val="en-US" w:eastAsia="zh-CN"/>
              </w:rPr>
            </w:pPr>
            <w:r>
              <w:rPr>
                <w:rFonts w:ascii="Times New Roman" w:hAnsi="Times New Roman" w:eastAsia="宋体"/>
                <w:color w:val="000000" w:themeColor="text1"/>
                <w:sz w:val="24"/>
                <w:szCs w:val="24"/>
              </w:rPr>
              <w:t>地址：</w:t>
            </w:r>
            <w:r>
              <w:rPr>
                <w:rFonts w:hint="eastAsia" w:ascii="Times New Roman" w:hAnsi="Times New Roman"/>
                <w:color w:val="000000" w:themeColor="text1"/>
                <w:sz w:val="24"/>
                <w:lang w:val="en-US" w:eastAsia="zh-CN"/>
              </w:rPr>
              <w:t>张家界市永定区官黎路黄金塔安置区</w:t>
            </w:r>
          </w:p>
        </w:tc>
      </w:tr>
    </w:tbl>
    <w:p>
      <w:pPr>
        <w:pStyle w:val="2"/>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3"/>
        <w:jc w:val="both"/>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sdt>
      <w:sdtPr>
        <w:rPr>
          <w:rFonts w:ascii="宋体" w:hAnsi="宋体" w:eastAsia="宋体" w:cs="Times New Roman"/>
          <w:kern w:val="2"/>
          <w:sz w:val="21"/>
          <w:szCs w:val="24"/>
          <w:lang w:val="en-US" w:eastAsia="zh-CN" w:bidi="ar-SA"/>
        </w:rPr>
        <w:id w:val="147482109"/>
        <w15:color w:val="DBDBDB"/>
        <w:docPartObj>
          <w:docPartGallery w:val="Table of Contents"/>
          <w:docPartUnique/>
        </w:docPartObj>
      </w:sdtPr>
      <w:sdtEndPr>
        <w:rPr>
          <w:rFonts w:hint="eastAsia" w:ascii="仿宋_GB2312" w:hAnsi="Times New Roman" w:eastAsia="仿宋_GB2312" w:cs="Times New Roman"/>
          <w:b w:val="0"/>
          <w:bCs w:val="0"/>
          <w:color w:val="000000"/>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b w:val="0"/>
              <w:bCs w:val="0"/>
              <w:sz w:val="44"/>
              <w:szCs w:val="44"/>
            </w:rPr>
          </w:pPr>
          <w:r>
            <w:rPr>
              <w:rFonts w:ascii="宋体" w:hAnsi="宋体" w:eastAsia="宋体"/>
              <w:b w:val="0"/>
              <w:bCs w:val="0"/>
              <w:sz w:val="44"/>
              <w:szCs w:val="44"/>
            </w:rPr>
            <w:t>目录</w:t>
          </w:r>
        </w:p>
        <w:p>
          <w:pPr>
            <w:pStyle w:val="249"/>
            <w:tabs>
              <w:tab w:val="right" w:leader="dot" w:pos="9026"/>
            </w:tabs>
            <w:rPr>
              <w:b w:val="0"/>
              <w:bCs w:val="0"/>
              <w:sz w:val="28"/>
              <w:szCs w:val="28"/>
            </w:rPr>
          </w:pPr>
          <w:r>
            <w:rPr>
              <w:rFonts w:hint="eastAsia" w:ascii="仿宋_GB2312" w:eastAsia="仿宋_GB2312"/>
              <w:b w:val="0"/>
              <w:bCs w:val="0"/>
              <w:color w:val="000000"/>
              <w:sz w:val="32"/>
              <w:szCs w:val="32"/>
              <w:lang w:val="en-US" w:eastAsia="zh-CN"/>
            </w:rPr>
            <w:fldChar w:fldCharType="begin"/>
          </w:r>
          <w:r>
            <w:rPr>
              <w:rFonts w:hint="eastAsia" w:ascii="仿宋_GB2312" w:eastAsia="仿宋_GB2312"/>
              <w:b w:val="0"/>
              <w:bCs w:val="0"/>
              <w:color w:val="000000"/>
              <w:sz w:val="32"/>
              <w:szCs w:val="32"/>
              <w:lang w:val="en-US" w:eastAsia="zh-CN"/>
            </w:rPr>
            <w:instrText xml:space="preserve">TOC \o "1-1" \h \u </w:instrText>
          </w:r>
          <w:r>
            <w:rPr>
              <w:rFonts w:hint="eastAsia" w:ascii="仿宋_GB2312" w:eastAsia="仿宋_GB2312"/>
              <w:b w:val="0"/>
              <w:bCs w:val="0"/>
              <w:color w:val="000000"/>
              <w:sz w:val="32"/>
              <w:szCs w:val="32"/>
              <w:lang w:val="en-US" w:eastAsia="zh-CN"/>
            </w:rPr>
            <w:fldChar w:fldCharType="separate"/>
          </w: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_Toc19033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表一</w:t>
          </w:r>
          <w:r>
            <w:rPr>
              <w:b w:val="0"/>
              <w:bCs w:val="0"/>
              <w:sz w:val="28"/>
              <w:szCs w:val="28"/>
            </w:rPr>
            <w:t xml:space="preserve">   </w:t>
          </w:r>
          <w:r>
            <w:rPr>
              <w:rFonts w:hAnsi="宋体"/>
              <w:b w:val="0"/>
              <w:bCs w:val="0"/>
              <w:sz w:val="28"/>
              <w:szCs w:val="28"/>
            </w:rPr>
            <w:t>项目概况及验收依据</w:t>
          </w:r>
          <w:r>
            <w:rPr>
              <w:b w:val="0"/>
              <w:bCs w:val="0"/>
              <w:sz w:val="28"/>
              <w:szCs w:val="28"/>
            </w:rPr>
            <w:tab/>
          </w:r>
          <w:r>
            <w:rPr>
              <w:b w:val="0"/>
              <w:bCs w:val="0"/>
              <w:sz w:val="28"/>
              <w:szCs w:val="28"/>
            </w:rPr>
            <w:fldChar w:fldCharType="begin"/>
          </w:r>
          <w:r>
            <w:rPr>
              <w:b w:val="0"/>
              <w:bCs w:val="0"/>
              <w:sz w:val="28"/>
              <w:szCs w:val="28"/>
            </w:rPr>
            <w:instrText xml:space="preserve"> PAGEREF _Toc19033 \h </w:instrText>
          </w:r>
          <w:r>
            <w:rPr>
              <w:b w:val="0"/>
              <w:bCs w:val="0"/>
              <w:sz w:val="28"/>
              <w:szCs w:val="28"/>
            </w:rPr>
            <w:fldChar w:fldCharType="separate"/>
          </w:r>
          <w:r>
            <w:rPr>
              <w:b w:val="0"/>
              <w:bCs w:val="0"/>
              <w:sz w:val="28"/>
              <w:szCs w:val="28"/>
            </w:rPr>
            <w:t>1</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_Toc22274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表二    工程内容</w:t>
          </w:r>
          <w:r>
            <w:rPr>
              <w:b w:val="0"/>
              <w:bCs w:val="0"/>
              <w:sz w:val="28"/>
              <w:szCs w:val="28"/>
            </w:rPr>
            <w:tab/>
          </w:r>
          <w:r>
            <w:rPr>
              <w:b w:val="0"/>
              <w:bCs w:val="0"/>
              <w:sz w:val="28"/>
              <w:szCs w:val="28"/>
            </w:rPr>
            <w:fldChar w:fldCharType="begin"/>
          </w:r>
          <w:r>
            <w:rPr>
              <w:b w:val="0"/>
              <w:bCs w:val="0"/>
              <w:sz w:val="28"/>
              <w:szCs w:val="28"/>
            </w:rPr>
            <w:instrText xml:space="preserve"> PAGEREF _Toc22274 \h </w:instrText>
          </w:r>
          <w:r>
            <w:rPr>
              <w:b w:val="0"/>
              <w:bCs w:val="0"/>
              <w:sz w:val="28"/>
              <w:szCs w:val="28"/>
            </w:rPr>
            <w:fldChar w:fldCharType="separate"/>
          </w:r>
          <w:r>
            <w:rPr>
              <w:b w:val="0"/>
              <w:bCs w:val="0"/>
              <w:sz w:val="28"/>
              <w:szCs w:val="28"/>
            </w:rPr>
            <w:t>4</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_Toc30174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表三   主要污染源、污染物处理及排放</w:t>
          </w:r>
          <w:r>
            <w:rPr>
              <w:b w:val="0"/>
              <w:bCs w:val="0"/>
              <w:sz w:val="28"/>
              <w:szCs w:val="28"/>
            </w:rPr>
            <w:tab/>
          </w:r>
          <w:r>
            <w:rPr>
              <w:b w:val="0"/>
              <w:bCs w:val="0"/>
              <w:sz w:val="28"/>
              <w:szCs w:val="28"/>
            </w:rPr>
            <w:fldChar w:fldCharType="begin"/>
          </w:r>
          <w:r>
            <w:rPr>
              <w:b w:val="0"/>
              <w:bCs w:val="0"/>
              <w:sz w:val="28"/>
              <w:szCs w:val="28"/>
            </w:rPr>
            <w:instrText xml:space="preserve"> PAGEREF _Toc30174 \h </w:instrText>
          </w:r>
          <w:r>
            <w:rPr>
              <w:b w:val="0"/>
              <w:bCs w:val="0"/>
              <w:sz w:val="28"/>
              <w:szCs w:val="28"/>
            </w:rPr>
            <w:fldChar w:fldCharType="separate"/>
          </w:r>
          <w:r>
            <w:rPr>
              <w:b w:val="0"/>
              <w:bCs w:val="0"/>
              <w:sz w:val="28"/>
              <w:szCs w:val="28"/>
            </w:rPr>
            <w:t>8</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_Toc15605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表四  建设项目环境影响报告表主要结论及审批部门审批决定</w:t>
          </w:r>
          <w:r>
            <w:rPr>
              <w:b w:val="0"/>
              <w:bCs w:val="0"/>
              <w:sz w:val="28"/>
              <w:szCs w:val="28"/>
            </w:rPr>
            <w:tab/>
          </w:r>
          <w:r>
            <w:rPr>
              <w:b w:val="0"/>
              <w:bCs w:val="0"/>
              <w:sz w:val="28"/>
              <w:szCs w:val="28"/>
            </w:rPr>
            <w:fldChar w:fldCharType="begin"/>
          </w:r>
          <w:r>
            <w:rPr>
              <w:b w:val="0"/>
              <w:bCs w:val="0"/>
              <w:sz w:val="28"/>
              <w:szCs w:val="28"/>
            </w:rPr>
            <w:instrText xml:space="preserve"> PAGEREF _Toc15605 \h </w:instrText>
          </w:r>
          <w:r>
            <w:rPr>
              <w:b w:val="0"/>
              <w:bCs w:val="0"/>
              <w:sz w:val="28"/>
              <w:szCs w:val="28"/>
            </w:rPr>
            <w:fldChar w:fldCharType="separate"/>
          </w:r>
          <w:r>
            <w:rPr>
              <w:b w:val="0"/>
              <w:bCs w:val="0"/>
              <w:sz w:val="28"/>
              <w:szCs w:val="28"/>
            </w:rPr>
            <w:t>10</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_Toc26142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表五  验收监测质量保证及质量控制</w:t>
          </w:r>
          <w:r>
            <w:rPr>
              <w:b w:val="0"/>
              <w:bCs w:val="0"/>
              <w:sz w:val="28"/>
              <w:szCs w:val="28"/>
            </w:rPr>
            <w:tab/>
          </w:r>
          <w:r>
            <w:rPr>
              <w:b w:val="0"/>
              <w:bCs w:val="0"/>
              <w:sz w:val="28"/>
              <w:szCs w:val="28"/>
            </w:rPr>
            <w:fldChar w:fldCharType="begin"/>
          </w:r>
          <w:r>
            <w:rPr>
              <w:b w:val="0"/>
              <w:bCs w:val="0"/>
              <w:sz w:val="28"/>
              <w:szCs w:val="28"/>
            </w:rPr>
            <w:instrText xml:space="preserve"> PAGEREF _Toc26142 \h </w:instrText>
          </w:r>
          <w:r>
            <w:rPr>
              <w:b w:val="0"/>
              <w:bCs w:val="0"/>
              <w:sz w:val="28"/>
              <w:szCs w:val="28"/>
            </w:rPr>
            <w:fldChar w:fldCharType="separate"/>
          </w:r>
          <w:r>
            <w:rPr>
              <w:b w:val="0"/>
              <w:bCs w:val="0"/>
              <w:sz w:val="28"/>
              <w:szCs w:val="28"/>
            </w:rPr>
            <w:t>13</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_Toc29450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表六   验收监测内容</w:t>
          </w:r>
          <w:r>
            <w:rPr>
              <w:b w:val="0"/>
              <w:bCs w:val="0"/>
              <w:sz w:val="28"/>
              <w:szCs w:val="28"/>
            </w:rPr>
            <w:tab/>
          </w:r>
          <w:r>
            <w:rPr>
              <w:b w:val="0"/>
              <w:bCs w:val="0"/>
              <w:sz w:val="28"/>
              <w:szCs w:val="28"/>
            </w:rPr>
            <w:fldChar w:fldCharType="begin"/>
          </w:r>
          <w:r>
            <w:rPr>
              <w:b w:val="0"/>
              <w:bCs w:val="0"/>
              <w:sz w:val="28"/>
              <w:szCs w:val="28"/>
            </w:rPr>
            <w:instrText xml:space="preserve"> PAGEREF _Toc29450 \h </w:instrText>
          </w:r>
          <w:r>
            <w:rPr>
              <w:b w:val="0"/>
              <w:bCs w:val="0"/>
              <w:sz w:val="28"/>
              <w:szCs w:val="28"/>
            </w:rPr>
            <w:fldChar w:fldCharType="separate"/>
          </w:r>
          <w:r>
            <w:rPr>
              <w:b w:val="0"/>
              <w:bCs w:val="0"/>
              <w:sz w:val="28"/>
              <w:szCs w:val="28"/>
            </w:rPr>
            <w:t>15</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28"/>
              <w:szCs w:val="28"/>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_Toc26622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表七   验收监测结果</w:t>
          </w:r>
          <w:r>
            <w:rPr>
              <w:b w:val="0"/>
              <w:bCs w:val="0"/>
              <w:sz w:val="28"/>
              <w:szCs w:val="28"/>
            </w:rPr>
            <w:tab/>
          </w:r>
          <w:r>
            <w:rPr>
              <w:b w:val="0"/>
              <w:bCs w:val="0"/>
              <w:sz w:val="28"/>
              <w:szCs w:val="28"/>
            </w:rPr>
            <w:fldChar w:fldCharType="begin"/>
          </w:r>
          <w:r>
            <w:rPr>
              <w:b w:val="0"/>
              <w:bCs w:val="0"/>
              <w:sz w:val="28"/>
              <w:szCs w:val="28"/>
            </w:rPr>
            <w:instrText xml:space="preserve"> PAGEREF _Toc26622 \h </w:instrText>
          </w:r>
          <w:r>
            <w:rPr>
              <w:b w:val="0"/>
              <w:bCs w:val="0"/>
              <w:sz w:val="28"/>
              <w:szCs w:val="28"/>
            </w:rPr>
            <w:fldChar w:fldCharType="separate"/>
          </w:r>
          <w:r>
            <w:rPr>
              <w:b w:val="0"/>
              <w:bCs w:val="0"/>
              <w:sz w:val="28"/>
              <w:szCs w:val="28"/>
            </w:rPr>
            <w:t>16</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pStyle w:val="249"/>
            <w:tabs>
              <w:tab w:val="right" w:leader="dot" w:pos="9026"/>
            </w:tabs>
            <w:rPr>
              <w:b w:val="0"/>
              <w:bCs w:val="0"/>
              <w:sz w:val="32"/>
              <w:szCs w:val="32"/>
            </w:rPr>
          </w:pPr>
          <w:r>
            <w:rPr>
              <w:rFonts w:hint="eastAsia" w:ascii="仿宋_GB2312" w:eastAsia="仿宋_GB2312"/>
              <w:b w:val="0"/>
              <w:bCs w:val="0"/>
              <w:color w:val="000000"/>
              <w:sz w:val="28"/>
              <w:szCs w:val="28"/>
              <w:lang w:val="en-US" w:eastAsia="zh-CN"/>
            </w:rPr>
            <w:fldChar w:fldCharType="begin"/>
          </w:r>
          <w:r>
            <w:rPr>
              <w:rFonts w:hint="eastAsia" w:ascii="仿宋_GB2312" w:eastAsia="仿宋_GB2312"/>
              <w:b w:val="0"/>
              <w:bCs w:val="0"/>
              <w:sz w:val="28"/>
              <w:szCs w:val="28"/>
              <w:lang w:val="en-US" w:eastAsia="zh-CN"/>
            </w:rPr>
            <w:instrText xml:space="preserve"> HYPERLINK \l _Toc22318 </w:instrText>
          </w:r>
          <w:r>
            <w:rPr>
              <w:rFonts w:hint="eastAsia" w:ascii="仿宋_GB2312" w:eastAsia="仿宋_GB2312"/>
              <w:b w:val="0"/>
              <w:bCs w:val="0"/>
              <w:sz w:val="28"/>
              <w:szCs w:val="28"/>
              <w:lang w:val="en-US" w:eastAsia="zh-CN"/>
            </w:rPr>
            <w:fldChar w:fldCharType="separate"/>
          </w:r>
          <w:r>
            <w:rPr>
              <w:rFonts w:hAnsi="宋体"/>
              <w:b w:val="0"/>
              <w:bCs w:val="0"/>
              <w:sz w:val="28"/>
              <w:szCs w:val="28"/>
            </w:rPr>
            <w:t>表八   验收结论</w:t>
          </w:r>
          <w:r>
            <w:rPr>
              <w:b w:val="0"/>
              <w:bCs w:val="0"/>
              <w:sz w:val="28"/>
              <w:szCs w:val="28"/>
            </w:rPr>
            <w:tab/>
          </w:r>
          <w:r>
            <w:rPr>
              <w:b w:val="0"/>
              <w:bCs w:val="0"/>
              <w:sz w:val="28"/>
              <w:szCs w:val="28"/>
            </w:rPr>
            <w:fldChar w:fldCharType="begin"/>
          </w:r>
          <w:r>
            <w:rPr>
              <w:b w:val="0"/>
              <w:bCs w:val="0"/>
              <w:sz w:val="28"/>
              <w:szCs w:val="28"/>
            </w:rPr>
            <w:instrText xml:space="preserve"> PAGEREF _Toc22318 \h </w:instrText>
          </w:r>
          <w:r>
            <w:rPr>
              <w:b w:val="0"/>
              <w:bCs w:val="0"/>
              <w:sz w:val="28"/>
              <w:szCs w:val="28"/>
            </w:rPr>
            <w:fldChar w:fldCharType="separate"/>
          </w:r>
          <w:r>
            <w:rPr>
              <w:b w:val="0"/>
              <w:bCs w:val="0"/>
              <w:sz w:val="28"/>
              <w:szCs w:val="28"/>
            </w:rPr>
            <w:t>19</w:t>
          </w:r>
          <w:r>
            <w:rPr>
              <w:b w:val="0"/>
              <w:bCs w:val="0"/>
              <w:sz w:val="28"/>
              <w:szCs w:val="28"/>
            </w:rPr>
            <w:fldChar w:fldCharType="end"/>
          </w:r>
          <w:r>
            <w:rPr>
              <w:rFonts w:hint="eastAsia" w:ascii="仿宋_GB2312" w:eastAsia="仿宋_GB2312"/>
              <w:b w:val="0"/>
              <w:bCs w:val="0"/>
              <w:color w:val="000000"/>
              <w:sz w:val="28"/>
              <w:szCs w:val="28"/>
              <w:lang w:val="en-US" w:eastAsia="zh-CN"/>
            </w:rPr>
            <w:fldChar w:fldCharType="end"/>
          </w:r>
        </w:p>
        <w:p>
          <w:pPr>
            <w:spacing w:line="240" w:lineRule="auto"/>
            <w:jc w:val="both"/>
            <w:outlineLvl w:val="9"/>
            <w:rPr>
              <w:rFonts w:hint="eastAsia" w:ascii="宋体" w:hAnsi="宋体" w:eastAsia="宋体" w:cs="宋体"/>
              <w:b w:val="0"/>
              <w:bCs w:val="0"/>
              <w:color w:val="000000"/>
              <w:sz w:val="28"/>
              <w:szCs w:val="28"/>
              <w:lang w:val="en-US" w:eastAsia="zh-CN"/>
            </w:rPr>
          </w:pPr>
          <w:r>
            <w:rPr>
              <w:rFonts w:hint="eastAsia" w:ascii="仿宋_GB2312" w:eastAsia="仿宋_GB2312"/>
              <w:b w:val="0"/>
              <w:bCs w:val="0"/>
              <w:color w:val="000000"/>
              <w:sz w:val="32"/>
              <w:szCs w:val="32"/>
              <w:lang w:val="en-US" w:eastAsia="zh-CN"/>
            </w:rPr>
            <w:fldChar w:fldCharType="end"/>
          </w:r>
          <w:r>
            <w:rPr>
              <w:rFonts w:hint="eastAsia" w:ascii="宋体" w:hAnsi="宋体" w:eastAsia="宋体" w:cs="宋体"/>
              <w:b w:val="0"/>
              <w:bCs w:val="0"/>
              <w:color w:val="000000"/>
              <w:kern w:val="2"/>
              <w:sz w:val="28"/>
              <w:szCs w:val="28"/>
              <w:lang w:val="en-US" w:eastAsia="zh-CN" w:bidi="ar-SA"/>
            </w:rPr>
            <w:t>环境保护自</w:t>
          </w:r>
          <w:r>
            <w:rPr>
              <w:rFonts w:hint="eastAsia" w:ascii="宋体" w:hAnsi="宋体" w:eastAsia="宋体" w:cs="宋体"/>
              <w:b w:val="0"/>
              <w:bCs w:val="0"/>
              <w:color w:val="000000"/>
              <w:sz w:val="28"/>
              <w:szCs w:val="28"/>
              <w:lang w:val="en-US" w:eastAsia="zh-CN"/>
            </w:rPr>
            <w:t>主验收意见</w:t>
          </w:r>
        </w:p>
        <w:p>
          <w:pPr>
            <w:pStyle w:val="2"/>
            <w:ind w:left="0" w:leftChars="0" w:firstLine="0" w:firstLineChars="0"/>
            <w:rPr>
              <w:rFonts w:hint="default"/>
              <w:b w:val="0"/>
              <w:bCs w:val="0"/>
              <w:lang w:val="en-US" w:eastAsia="zh-CN"/>
            </w:rPr>
          </w:pPr>
          <w:r>
            <w:rPr>
              <w:rFonts w:hint="eastAsia" w:ascii="宋体" w:hAnsi="宋体" w:eastAsia="宋体" w:cs="宋体"/>
              <w:b w:val="0"/>
              <w:bCs w:val="0"/>
              <w:color w:val="000000"/>
              <w:sz w:val="28"/>
              <w:szCs w:val="28"/>
              <w:lang w:val="en-US" w:eastAsia="zh-CN"/>
            </w:rPr>
            <w:t>其他说明事项</w:t>
          </w:r>
        </w:p>
        <w:p>
          <w:pPr>
            <w:spacing w:line="240" w:lineRule="auto"/>
            <w:jc w:val="both"/>
            <w:outlineLvl w:val="9"/>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附图</w:t>
          </w:r>
        </w:p>
        <w:p>
          <w:pPr>
            <w:spacing w:line="240" w:lineRule="auto"/>
            <w:jc w:val="both"/>
            <w:outlineLvl w:val="9"/>
            <w:rPr>
              <w:rFonts w:hint="eastAsia" w:ascii="仿宋_GB2312" w:eastAsia="仿宋_GB2312"/>
              <w:b w:val="0"/>
              <w:bCs w:val="0"/>
              <w:color w:val="000000"/>
              <w:sz w:val="28"/>
              <w:lang w:val="en-US" w:eastAsia="zh-CN"/>
            </w:rPr>
          </w:pPr>
          <w:r>
            <w:rPr>
              <w:rFonts w:hint="eastAsia" w:ascii="宋体" w:hAnsi="宋体" w:eastAsia="宋体" w:cs="宋体"/>
              <w:b w:val="0"/>
              <w:bCs w:val="0"/>
              <w:color w:val="000000"/>
              <w:sz w:val="28"/>
              <w:szCs w:val="28"/>
              <w:lang w:val="en-US" w:eastAsia="zh-CN"/>
            </w:rPr>
            <w:t>附件</w:t>
          </w:r>
        </w:p>
      </w:sdtContent>
    </w:sdt>
    <w:p>
      <w:pPr>
        <w:spacing w:line="240" w:lineRule="auto"/>
        <w:jc w:val="center"/>
        <w:outlineLvl w:val="0"/>
        <w:rPr>
          <w:rFonts w:hAnsi="宋体"/>
          <w:b/>
          <w:sz w:val="28"/>
          <w:szCs w:val="28"/>
        </w:rPr>
      </w:pPr>
      <w:bookmarkStart w:id="1" w:name="_Toc19033"/>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p>
    <w:p>
      <w:pPr>
        <w:spacing w:line="240" w:lineRule="auto"/>
        <w:jc w:val="center"/>
        <w:outlineLvl w:val="0"/>
        <w:rPr>
          <w:rFonts w:hAnsi="宋体"/>
          <w:b/>
          <w:sz w:val="28"/>
          <w:szCs w:val="28"/>
        </w:rPr>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
      </w:pPr>
    </w:p>
    <w:p>
      <w:pPr>
        <w:pStyle w:val="2"/>
      </w:pPr>
    </w:p>
    <w:p>
      <w:pPr>
        <w:spacing w:line="240" w:lineRule="auto"/>
        <w:jc w:val="both"/>
        <w:outlineLvl w:val="0"/>
        <w:rPr>
          <w:rFonts w:hAnsi="宋体"/>
          <w:b/>
          <w:sz w:val="28"/>
          <w:szCs w:val="28"/>
        </w:rPr>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line="240" w:lineRule="auto"/>
        <w:jc w:val="center"/>
        <w:outlineLvl w:val="0"/>
        <w:rPr>
          <w:b/>
          <w:sz w:val="21"/>
          <w:szCs w:val="21"/>
        </w:rPr>
      </w:pPr>
      <w:r>
        <w:rPr>
          <w:rFonts w:hAnsi="宋体"/>
          <w:b/>
          <w:sz w:val="28"/>
          <w:szCs w:val="28"/>
        </w:rPr>
        <w:t>表一</w:t>
      </w:r>
      <w:r>
        <w:rPr>
          <w:b/>
          <w:sz w:val="28"/>
          <w:szCs w:val="28"/>
        </w:rPr>
        <w:t xml:space="preserve">   </w:t>
      </w:r>
      <w:r>
        <w:rPr>
          <w:rFonts w:hAnsi="宋体"/>
          <w:b/>
          <w:sz w:val="28"/>
          <w:szCs w:val="28"/>
        </w:rPr>
        <w:t>项目概况及验收依据</w:t>
      </w:r>
      <w:bookmarkEnd w:id="1"/>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1452"/>
        <w:gridCol w:w="1006"/>
        <w:gridCol w:w="1021"/>
        <w:gridCol w:w="1363"/>
        <w:gridCol w:w="968"/>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6" w:hRule="atLeast"/>
          <w:jc w:val="center"/>
        </w:trPr>
        <w:tc>
          <w:tcPr>
            <w:tcW w:w="2263" w:type="dxa"/>
            <w:vAlign w:val="center"/>
          </w:tcPr>
          <w:p>
            <w:pPr>
              <w:jc w:val="center"/>
            </w:pPr>
            <w:r>
              <w:rPr>
                <w:rFonts w:hAnsi="宋体"/>
              </w:rPr>
              <w:t>建设项目名称</w:t>
            </w:r>
          </w:p>
        </w:tc>
        <w:tc>
          <w:tcPr>
            <w:tcW w:w="7263" w:type="dxa"/>
            <w:gridSpan w:val="6"/>
            <w:vAlign w:val="center"/>
          </w:tcPr>
          <w:p>
            <w:pPr>
              <w:jc w:val="center"/>
            </w:pPr>
            <w:r>
              <w:rPr>
                <w:rFonts w:hAnsi="宋体"/>
              </w:rPr>
              <w:t>吉首大学张家界学院东北侧地块</w:t>
            </w:r>
            <w:r>
              <w:rPr>
                <w:rFonts w:hint="eastAsia"/>
                <w:lang w:val="en-US" w:eastAsia="zh-CN"/>
              </w:rPr>
              <w:t>二期学生公寓B栋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2263" w:type="dxa"/>
            <w:vAlign w:val="center"/>
          </w:tcPr>
          <w:p>
            <w:pPr>
              <w:jc w:val="center"/>
            </w:pPr>
            <w:r>
              <w:rPr>
                <w:rFonts w:hAnsi="宋体"/>
              </w:rPr>
              <w:t>建设单位名称</w:t>
            </w:r>
          </w:p>
        </w:tc>
        <w:tc>
          <w:tcPr>
            <w:tcW w:w="7263" w:type="dxa"/>
            <w:gridSpan w:val="6"/>
            <w:vAlign w:val="center"/>
          </w:tcPr>
          <w:p>
            <w:pPr>
              <w:jc w:val="center"/>
              <w:rPr>
                <w:rFonts w:hint="eastAsia" w:eastAsia="宋体"/>
                <w:lang w:val="en-US" w:eastAsia="zh-CN"/>
              </w:rPr>
            </w:pPr>
            <w:r>
              <w:rPr>
                <w:rFonts w:hAnsi="宋体"/>
              </w:rPr>
              <w:t>吉首大学张家界学</w:t>
            </w:r>
            <w:r>
              <w:rPr>
                <w:rFonts w:hint="eastAsia" w:hAnsi="宋体"/>
                <w:lang w:val="en-US" w:eastAsia="zh-CN"/>
              </w:rPr>
              <w:t>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2263" w:type="dxa"/>
            <w:vAlign w:val="center"/>
          </w:tcPr>
          <w:p>
            <w:pPr>
              <w:jc w:val="center"/>
            </w:pPr>
            <w:r>
              <w:rPr>
                <w:rFonts w:hAnsi="宋体"/>
              </w:rPr>
              <w:t>建设项目性质</w:t>
            </w:r>
          </w:p>
        </w:tc>
        <w:tc>
          <w:tcPr>
            <w:tcW w:w="7263" w:type="dxa"/>
            <w:gridSpan w:val="6"/>
            <w:vAlign w:val="center"/>
          </w:tcPr>
          <w:p>
            <w:pPr>
              <w:jc w:val="center"/>
              <w:rPr>
                <w:kern w:val="0"/>
              </w:rPr>
            </w:pPr>
            <w:r>
              <w:rPr>
                <w:rFonts w:hAnsi="宋体"/>
                <w:kern w:val="0"/>
              </w:rPr>
              <w:t>新建</w:t>
            </w:r>
            <w:r>
              <w:rPr>
                <w:kern w:val="0"/>
              </w:rPr>
              <w:t xml:space="preserve">■   </w:t>
            </w:r>
            <w:r>
              <w:rPr>
                <w:rFonts w:hAnsi="宋体"/>
                <w:kern w:val="0"/>
              </w:rPr>
              <w:t>改扩建</w:t>
            </w:r>
            <w:r>
              <w:rPr>
                <w:kern w:val="0"/>
              </w:rPr>
              <w:t xml:space="preserve">□   </w:t>
            </w:r>
            <w:r>
              <w:rPr>
                <w:rFonts w:hAnsi="宋体"/>
                <w:kern w:val="0"/>
              </w:rPr>
              <w:t>技改</w:t>
            </w:r>
            <w:r>
              <w:rPr>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2263" w:type="dxa"/>
            <w:vAlign w:val="center"/>
          </w:tcPr>
          <w:p>
            <w:pPr>
              <w:jc w:val="center"/>
            </w:pPr>
            <w:r>
              <w:rPr>
                <w:rFonts w:hAnsi="宋体"/>
              </w:rPr>
              <w:t>建设地点</w:t>
            </w:r>
          </w:p>
        </w:tc>
        <w:tc>
          <w:tcPr>
            <w:tcW w:w="7263" w:type="dxa"/>
            <w:gridSpan w:val="6"/>
            <w:vAlign w:val="center"/>
          </w:tcPr>
          <w:p>
            <w:pPr>
              <w:jc w:val="center"/>
              <w:rPr>
                <w:rFonts w:hint="default" w:eastAsia="宋体"/>
                <w:kern w:val="0"/>
                <w:lang w:val="en-US" w:eastAsia="zh-CN"/>
              </w:rPr>
            </w:pPr>
            <w:r>
              <w:rPr>
                <w:rFonts w:hAnsi="宋体"/>
              </w:rPr>
              <w:t>张家界市永定区</w:t>
            </w:r>
            <w:r>
              <w:rPr>
                <w:rFonts w:hint="eastAsia" w:hAnsi="宋体"/>
                <w:lang w:eastAsia="zh-CN"/>
              </w:rPr>
              <w:t>武陵山大道</w:t>
            </w:r>
            <w:r>
              <w:rPr>
                <w:rFonts w:hint="eastAsia" w:hAnsi="宋体"/>
                <w:lang w:val="en-US" w:eastAsia="zh-CN"/>
              </w:rPr>
              <w:t>西</w:t>
            </w:r>
            <w:r>
              <w:rPr>
                <w:rFonts w:hint="eastAsia" w:hAnsi="宋体"/>
                <w:lang w:eastAsia="zh-CN"/>
              </w:rPr>
              <w:t>侧吉首大学张家界学院内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spacing w:line="240" w:lineRule="auto"/>
              <w:jc w:val="center"/>
            </w:pPr>
            <w:r>
              <w:rPr>
                <w:rFonts w:hAnsi="宋体"/>
              </w:rPr>
              <w:t>主要产品名称</w:t>
            </w:r>
          </w:p>
        </w:tc>
        <w:tc>
          <w:tcPr>
            <w:tcW w:w="7263" w:type="dxa"/>
            <w:gridSpan w:val="6"/>
            <w:vMerge w:val="restart"/>
            <w:vAlign w:val="center"/>
          </w:tcPr>
          <w:p>
            <w:pPr>
              <w:jc w:val="center"/>
              <w:rPr>
                <w:kern w:val="0"/>
              </w:rPr>
            </w:pPr>
            <w:r>
              <w:rPr>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2263" w:type="dxa"/>
            <w:vAlign w:val="center"/>
          </w:tcPr>
          <w:p>
            <w:pPr>
              <w:spacing w:line="240" w:lineRule="auto"/>
              <w:jc w:val="center"/>
            </w:pPr>
            <w:r>
              <w:rPr>
                <w:rFonts w:hAnsi="宋体"/>
              </w:rPr>
              <w:t>设计生产能力</w:t>
            </w:r>
          </w:p>
        </w:tc>
        <w:tc>
          <w:tcPr>
            <w:tcW w:w="7263" w:type="dxa"/>
            <w:gridSpan w:val="6"/>
            <w:vMerge w:val="continue"/>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2263" w:type="dxa"/>
            <w:vAlign w:val="center"/>
          </w:tcPr>
          <w:p>
            <w:pPr>
              <w:spacing w:line="240" w:lineRule="auto"/>
              <w:jc w:val="center"/>
            </w:pPr>
            <w:r>
              <w:rPr>
                <w:rFonts w:hAnsi="宋体"/>
              </w:rPr>
              <w:t>实际生产能力</w:t>
            </w:r>
          </w:p>
        </w:tc>
        <w:tc>
          <w:tcPr>
            <w:tcW w:w="7263" w:type="dxa"/>
            <w:gridSpan w:val="6"/>
            <w:vMerge w:val="continue"/>
            <w:vAlign w:val="center"/>
          </w:tcPr>
          <w:p>
            <w:pPr>
              <w:jc w:val="center"/>
              <w:rPr>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spacing w:line="240" w:lineRule="auto"/>
              <w:jc w:val="center"/>
            </w:pPr>
            <w:r>
              <w:rPr>
                <w:rFonts w:hAnsi="宋体"/>
              </w:rPr>
              <w:t>建设项目环评时间</w:t>
            </w:r>
          </w:p>
        </w:tc>
        <w:tc>
          <w:tcPr>
            <w:tcW w:w="2458" w:type="dxa"/>
            <w:gridSpan w:val="2"/>
            <w:vAlign w:val="center"/>
          </w:tcPr>
          <w:p>
            <w:pPr>
              <w:jc w:val="center"/>
              <w:rPr>
                <w:kern w:val="0"/>
              </w:rPr>
            </w:pPr>
            <w:r>
              <w:rPr>
                <w:kern w:val="0"/>
              </w:rPr>
              <w:t>2002</w:t>
            </w:r>
            <w:r>
              <w:rPr>
                <w:rFonts w:hAnsi="宋体"/>
                <w:kern w:val="0"/>
              </w:rPr>
              <w:t>年</w:t>
            </w:r>
            <w:r>
              <w:rPr>
                <w:kern w:val="0"/>
              </w:rPr>
              <w:t>5</w:t>
            </w:r>
            <w:r>
              <w:rPr>
                <w:rFonts w:hAnsi="宋体"/>
                <w:kern w:val="0"/>
              </w:rPr>
              <w:t>月</w:t>
            </w:r>
          </w:p>
        </w:tc>
        <w:tc>
          <w:tcPr>
            <w:tcW w:w="2384" w:type="dxa"/>
            <w:gridSpan w:val="2"/>
            <w:vAlign w:val="center"/>
          </w:tcPr>
          <w:p>
            <w:pPr>
              <w:jc w:val="center"/>
              <w:rPr>
                <w:kern w:val="0"/>
              </w:rPr>
            </w:pPr>
            <w:r>
              <w:rPr>
                <w:rFonts w:hAnsi="宋体"/>
                <w:kern w:val="0"/>
              </w:rPr>
              <w:t>开工建设时间</w:t>
            </w:r>
          </w:p>
        </w:tc>
        <w:tc>
          <w:tcPr>
            <w:tcW w:w="2421" w:type="dxa"/>
            <w:gridSpan w:val="2"/>
            <w:vAlign w:val="center"/>
          </w:tcPr>
          <w:p>
            <w:pPr>
              <w:jc w:val="center"/>
              <w:rPr>
                <w:kern w:val="0"/>
              </w:rPr>
            </w:pPr>
            <w:r>
              <w:rPr>
                <w:kern w:val="0"/>
              </w:rPr>
              <w:t>2020</w:t>
            </w:r>
            <w:r>
              <w:rPr>
                <w:rFonts w:hAnsi="宋体"/>
                <w:kern w:val="0"/>
              </w:rPr>
              <w:t>年</w:t>
            </w:r>
            <w:r>
              <w:rPr>
                <w:rFonts w:hint="eastAsia"/>
                <w:kern w:val="0"/>
                <w:lang w:val="en-US" w:eastAsia="zh-CN"/>
              </w:rPr>
              <w:t>11</w:t>
            </w:r>
            <w:r>
              <w:rPr>
                <w:rFonts w:hAnsi="宋体"/>
                <w:kern w:val="0"/>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spacing w:line="240" w:lineRule="auto"/>
              <w:jc w:val="center"/>
            </w:pPr>
            <w:r>
              <w:rPr>
                <w:rFonts w:hAnsi="宋体"/>
              </w:rPr>
              <w:t>投入时间</w:t>
            </w:r>
          </w:p>
        </w:tc>
        <w:tc>
          <w:tcPr>
            <w:tcW w:w="2458" w:type="dxa"/>
            <w:gridSpan w:val="2"/>
            <w:vAlign w:val="center"/>
          </w:tcPr>
          <w:p>
            <w:pPr>
              <w:jc w:val="center"/>
              <w:rPr>
                <w:kern w:val="0"/>
              </w:rPr>
            </w:pPr>
            <w:r>
              <w:rPr>
                <w:kern w:val="0"/>
              </w:rPr>
              <w:t>202</w:t>
            </w:r>
            <w:r>
              <w:rPr>
                <w:rFonts w:hint="eastAsia"/>
                <w:kern w:val="0"/>
                <w:lang w:val="en-US" w:eastAsia="zh-CN"/>
              </w:rPr>
              <w:t>1</w:t>
            </w:r>
            <w:r>
              <w:rPr>
                <w:rFonts w:hAnsi="宋体"/>
                <w:kern w:val="0"/>
              </w:rPr>
              <w:t>年</w:t>
            </w:r>
            <w:r>
              <w:rPr>
                <w:rFonts w:hint="eastAsia"/>
                <w:kern w:val="0"/>
                <w:lang w:val="en-US" w:eastAsia="zh-CN"/>
              </w:rPr>
              <w:t>9</w:t>
            </w:r>
            <w:r>
              <w:rPr>
                <w:rFonts w:hAnsi="宋体"/>
                <w:kern w:val="0"/>
              </w:rPr>
              <w:t>月</w:t>
            </w:r>
          </w:p>
        </w:tc>
        <w:tc>
          <w:tcPr>
            <w:tcW w:w="2384" w:type="dxa"/>
            <w:gridSpan w:val="2"/>
            <w:vAlign w:val="center"/>
          </w:tcPr>
          <w:p>
            <w:pPr>
              <w:jc w:val="center"/>
              <w:rPr>
                <w:kern w:val="0"/>
              </w:rPr>
            </w:pPr>
            <w:r>
              <w:rPr>
                <w:rFonts w:hAnsi="宋体"/>
                <w:kern w:val="0"/>
              </w:rPr>
              <w:t>验收现场监测时间</w:t>
            </w:r>
          </w:p>
        </w:tc>
        <w:tc>
          <w:tcPr>
            <w:tcW w:w="2421" w:type="dxa"/>
            <w:gridSpan w:val="2"/>
            <w:vAlign w:val="center"/>
          </w:tcPr>
          <w:p>
            <w:pPr>
              <w:jc w:val="center"/>
              <w:rPr>
                <w:kern w:val="0"/>
              </w:rPr>
            </w:pPr>
            <w:r>
              <w:rPr>
                <w:kern w:val="0"/>
              </w:rPr>
              <w:t>202</w:t>
            </w:r>
            <w:r>
              <w:rPr>
                <w:rFonts w:hint="eastAsia"/>
                <w:kern w:val="0"/>
                <w:lang w:val="en-US" w:eastAsia="zh-CN"/>
              </w:rPr>
              <w:t>1</w:t>
            </w:r>
            <w:r>
              <w:rPr>
                <w:rFonts w:hAnsi="宋体"/>
                <w:kern w:val="0"/>
              </w:rPr>
              <w:t>年</w:t>
            </w:r>
            <w:r>
              <w:rPr>
                <w:kern w:val="0"/>
              </w:rPr>
              <w:t>10</w:t>
            </w:r>
            <w:r>
              <w:rPr>
                <w:rFonts w:hAnsi="宋体"/>
                <w:kern w:val="0"/>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spacing w:line="240" w:lineRule="auto"/>
              <w:jc w:val="center"/>
            </w:pPr>
            <w:r>
              <w:rPr>
                <w:rFonts w:hAnsi="宋体"/>
              </w:rPr>
              <w:t>环评报告表</w:t>
            </w:r>
          </w:p>
          <w:p>
            <w:pPr>
              <w:spacing w:line="240" w:lineRule="auto"/>
              <w:jc w:val="center"/>
            </w:pPr>
            <w:r>
              <w:rPr>
                <w:rFonts w:hAnsi="宋体"/>
              </w:rPr>
              <w:t>审批部门</w:t>
            </w:r>
          </w:p>
        </w:tc>
        <w:tc>
          <w:tcPr>
            <w:tcW w:w="2458" w:type="dxa"/>
            <w:gridSpan w:val="2"/>
            <w:vAlign w:val="center"/>
          </w:tcPr>
          <w:p>
            <w:pPr>
              <w:spacing w:line="240" w:lineRule="auto"/>
              <w:jc w:val="center"/>
            </w:pPr>
            <w:r>
              <w:rPr>
                <w:rFonts w:hAnsi="宋体"/>
              </w:rPr>
              <w:t>张家界市生态环境局</w:t>
            </w:r>
          </w:p>
        </w:tc>
        <w:tc>
          <w:tcPr>
            <w:tcW w:w="2384" w:type="dxa"/>
            <w:gridSpan w:val="2"/>
            <w:vAlign w:val="center"/>
          </w:tcPr>
          <w:p>
            <w:pPr>
              <w:spacing w:line="240" w:lineRule="auto"/>
              <w:jc w:val="center"/>
            </w:pPr>
            <w:r>
              <w:rPr>
                <w:rFonts w:hAnsi="宋体"/>
              </w:rPr>
              <w:t>环评报告表</w:t>
            </w:r>
          </w:p>
          <w:p>
            <w:pPr>
              <w:spacing w:line="240" w:lineRule="auto"/>
              <w:jc w:val="center"/>
            </w:pPr>
            <w:r>
              <w:rPr>
                <w:rFonts w:hAnsi="宋体"/>
              </w:rPr>
              <w:t>编制单位</w:t>
            </w:r>
          </w:p>
        </w:tc>
        <w:tc>
          <w:tcPr>
            <w:tcW w:w="2421" w:type="dxa"/>
            <w:gridSpan w:val="2"/>
            <w:vAlign w:val="center"/>
          </w:tcPr>
          <w:p>
            <w:pPr>
              <w:spacing w:line="240" w:lineRule="auto"/>
              <w:jc w:val="center"/>
            </w:pPr>
            <w:r>
              <w:rPr>
                <w:rFonts w:hAnsi="宋体"/>
              </w:rPr>
              <w:t>张家界市环境保护科研所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263" w:type="dxa"/>
            <w:vAlign w:val="center"/>
          </w:tcPr>
          <w:p>
            <w:pPr>
              <w:spacing w:line="240" w:lineRule="auto"/>
              <w:jc w:val="center"/>
              <w:rPr>
                <w:dstrike/>
              </w:rPr>
            </w:pPr>
            <w:r>
              <w:rPr>
                <w:rFonts w:hAnsi="宋体"/>
              </w:rPr>
              <w:t>环保设施设计单位</w:t>
            </w:r>
          </w:p>
        </w:tc>
        <w:tc>
          <w:tcPr>
            <w:tcW w:w="2458" w:type="dxa"/>
            <w:gridSpan w:val="2"/>
            <w:vAlign w:val="center"/>
          </w:tcPr>
          <w:p>
            <w:pPr>
              <w:spacing w:line="240" w:lineRule="auto"/>
              <w:jc w:val="center"/>
            </w:pPr>
            <w:r>
              <w:t>/</w:t>
            </w:r>
          </w:p>
        </w:tc>
        <w:tc>
          <w:tcPr>
            <w:tcW w:w="2384" w:type="dxa"/>
            <w:gridSpan w:val="2"/>
            <w:vAlign w:val="center"/>
          </w:tcPr>
          <w:p>
            <w:pPr>
              <w:jc w:val="center"/>
            </w:pPr>
            <w:r>
              <w:rPr>
                <w:rFonts w:hAnsi="宋体"/>
              </w:rPr>
              <w:t>环保设施施工单位</w:t>
            </w:r>
          </w:p>
        </w:tc>
        <w:tc>
          <w:tcPr>
            <w:tcW w:w="2421" w:type="dxa"/>
            <w:gridSpan w:val="2"/>
            <w:vAlign w:val="center"/>
          </w:tcPr>
          <w:p>
            <w:pPr>
              <w:spacing w:line="240" w:lineRule="auto"/>
              <w:jc w:val="center"/>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263" w:type="dxa"/>
            <w:vAlign w:val="center"/>
          </w:tcPr>
          <w:p>
            <w:pPr>
              <w:spacing w:line="240" w:lineRule="auto"/>
              <w:jc w:val="center"/>
              <w:rPr>
                <w:rFonts w:hint="eastAsia" w:hAnsi="宋体" w:eastAsia="宋体"/>
                <w:color w:val="000000" w:themeColor="text1"/>
                <w:lang w:eastAsia="zh-CN"/>
              </w:rPr>
            </w:pPr>
            <w:r>
              <w:rPr>
                <w:rFonts w:hint="eastAsia" w:hAnsi="宋体"/>
                <w:color w:val="000000" w:themeColor="text1"/>
                <w:lang w:eastAsia="zh-CN"/>
              </w:rPr>
              <w:t>投资总概算</w:t>
            </w:r>
          </w:p>
        </w:tc>
        <w:tc>
          <w:tcPr>
            <w:tcW w:w="1452" w:type="dxa"/>
            <w:vAlign w:val="center"/>
          </w:tcPr>
          <w:p>
            <w:pPr>
              <w:jc w:val="center"/>
              <w:rPr>
                <w:rFonts w:hint="default"/>
                <w:lang w:val="en-US" w:eastAsia="zh-CN"/>
              </w:rPr>
            </w:pPr>
            <w:r>
              <w:rPr>
                <w:rFonts w:hint="eastAsia"/>
                <w:lang w:val="en-US" w:eastAsia="zh-CN"/>
              </w:rPr>
              <w:t>60000万元</w:t>
            </w:r>
          </w:p>
        </w:tc>
        <w:tc>
          <w:tcPr>
            <w:tcW w:w="2027" w:type="dxa"/>
            <w:gridSpan w:val="2"/>
            <w:vAlign w:val="center"/>
          </w:tcPr>
          <w:p>
            <w:pPr>
              <w:jc w:val="center"/>
              <w:rPr>
                <w:rFonts w:hint="eastAsia" w:hAnsi="宋体" w:eastAsia="宋体"/>
                <w:lang w:eastAsia="zh-CN"/>
              </w:rPr>
            </w:pPr>
            <w:r>
              <w:rPr>
                <w:rFonts w:hint="eastAsia" w:hAnsi="宋体"/>
                <w:lang w:eastAsia="zh-CN"/>
              </w:rPr>
              <w:t>环保投资概总算</w:t>
            </w:r>
          </w:p>
        </w:tc>
        <w:tc>
          <w:tcPr>
            <w:tcW w:w="1363" w:type="dxa"/>
            <w:vAlign w:val="center"/>
          </w:tcPr>
          <w:p>
            <w:pPr>
              <w:jc w:val="center"/>
              <w:rPr>
                <w:rFonts w:hint="default"/>
                <w:color w:val="000000" w:themeColor="text1"/>
                <w:lang w:val="en-US" w:eastAsia="zh-CN"/>
              </w:rPr>
            </w:pPr>
            <w:r>
              <w:rPr>
                <w:rFonts w:hint="eastAsia"/>
                <w:color w:val="000000" w:themeColor="text1"/>
                <w:lang w:val="en-US" w:eastAsia="zh-CN"/>
              </w:rPr>
              <w:t>3400万元</w:t>
            </w:r>
          </w:p>
        </w:tc>
        <w:tc>
          <w:tcPr>
            <w:tcW w:w="968" w:type="dxa"/>
            <w:vAlign w:val="center"/>
          </w:tcPr>
          <w:p>
            <w:pPr>
              <w:jc w:val="center"/>
              <w:rPr>
                <w:rFonts w:hint="eastAsia" w:hAnsi="宋体" w:eastAsia="宋体"/>
                <w:color w:val="000000" w:themeColor="text1"/>
                <w:lang w:eastAsia="zh-CN"/>
              </w:rPr>
            </w:pPr>
            <w:r>
              <w:rPr>
                <w:rFonts w:hint="eastAsia" w:hAnsi="宋体"/>
                <w:color w:val="000000" w:themeColor="text1"/>
                <w:lang w:eastAsia="zh-CN"/>
              </w:rPr>
              <w:t>比例</w:t>
            </w:r>
          </w:p>
        </w:tc>
        <w:tc>
          <w:tcPr>
            <w:tcW w:w="1453" w:type="dxa"/>
            <w:vAlign w:val="center"/>
          </w:tcPr>
          <w:p>
            <w:pPr>
              <w:jc w:val="center"/>
              <w:rPr>
                <w:rFonts w:hint="default"/>
                <w:color w:val="000000" w:themeColor="text1"/>
                <w:lang w:val="en-US" w:eastAsia="zh-CN"/>
              </w:rPr>
            </w:pPr>
            <w:r>
              <w:rPr>
                <w:rFonts w:hint="eastAsia"/>
                <w:color w:val="000000" w:themeColor="text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263" w:type="dxa"/>
            <w:vAlign w:val="center"/>
          </w:tcPr>
          <w:p>
            <w:pPr>
              <w:spacing w:line="240" w:lineRule="auto"/>
              <w:jc w:val="center"/>
              <w:rPr>
                <w:color w:val="000000" w:themeColor="text1"/>
              </w:rPr>
            </w:pPr>
            <w:r>
              <w:rPr>
                <w:rFonts w:hAnsi="宋体"/>
                <w:color w:val="000000" w:themeColor="text1"/>
              </w:rPr>
              <w:t>实际总概算</w:t>
            </w:r>
          </w:p>
        </w:tc>
        <w:tc>
          <w:tcPr>
            <w:tcW w:w="1452" w:type="dxa"/>
            <w:vAlign w:val="center"/>
          </w:tcPr>
          <w:p>
            <w:pPr>
              <w:jc w:val="center"/>
            </w:pPr>
            <w:r>
              <w:rPr>
                <w:rFonts w:hint="eastAsia"/>
                <w:lang w:val="en-US" w:eastAsia="zh-CN"/>
              </w:rPr>
              <w:t>5271</w:t>
            </w:r>
            <w:r>
              <w:rPr>
                <w:rFonts w:hAnsi="宋体"/>
              </w:rPr>
              <w:t>万元</w:t>
            </w:r>
          </w:p>
        </w:tc>
        <w:tc>
          <w:tcPr>
            <w:tcW w:w="2027" w:type="dxa"/>
            <w:gridSpan w:val="2"/>
            <w:vAlign w:val="center"/>
          </w:tcPr>
          <w:p>
            <w:pPr>
              <w:jc w:val="center"/>
            </w:pPr>
            <w:r>
              <w:rPr>
                <w:rFonts w:hAnsi="宋体"/>
              </w:rPr>
              <w:t>环保投资</w:t>
            </w:r>
          </w:p>
        </w:tc>
        <w:tc>
          <w:tcPr>
            <w:tcW w:w="1363" w:type="dxa"/>
            <w:vAlign w:val="center"/>
          </w:tcPr>
          <w:p>
            <w:pPr>
              <w:jc w:val="center"/>
              <w:rPr>
                <w:color w:val="000000" w:themeColor="text1"/>
              </w:rPr>
            </w:pPr>
            <w:r>
              <w:rPr>
                <w:rFonts w:hint="eastAsia"/>
                <w:color w:val="000000" w:themeColor="text1"/>
                <w:lang w:val="en-US" w:eastAsia="zh-CN"/>
              </w:rPr>
              <w:t>180</w:t>
            </w:r>
            <w:r>
              <w:rPr>
                <w:rFonts w:hAnsi="宋体"/>
                <w:color w:val="000000" w:themeColor="text1"/>
              </w:rPr>
              <w:t>万元</w:t>
            </w:r>
          </w:p>
        </w:tc>
        <w:tc>
          <w:tcPr>
            <w:tcW w:w="968" w:type="dxa"/>
            <w:vAlign w:val="center"/>
          </w:tcPr>
          <w:p>
            <w:pPr>
              <w:jc w:val="center"/>
              <w:rPr>
                <w:color w:val="000000" w:themeColor="text1"/>
              </w:rPr>
            </w:pPr>
            <w:r>
              <w:rPr>
                <w:rFonts w:hAnsi="宋体"/>
                <w:color w:val="000000" w:themeColor="text1"/>
              </w:rPr>
              <w:t>比例</w:t>
            </w:r>
          </w:p>
        </w:tc>
        <w:tc>
          <w:tcPr>
            <w:tcW w:w="1453" w:type="dxa"/>
            <w:vAlign w:val="center"/>
          </w:tcPr>
          <w:p>
            <w:pPr>
              <w:jc w:val="center"/>
              <w:rPr>
                <w:color w:val="000000" w:themeColor="text1"/>
              </w:rPr>
            </w:pPr>
            <w:r>
              <w:rPr>
                <w:rFonts w:hint="eastAsia"/>
                <w:color w:val="000000" w:themeColor="text1"/>
                <w:lang w:val="en-US" w:eastAsia="zh-CN"/>
              </w:rPr>
              <w:t>3.4</w:t>
            </w:r>
            <w:r>
              <w:rPr>
                <w:color w:val="000000" w:themeColor="text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63" w:type="dxa"/>
            <w:vAlign w:val="center"/>
          </w:tcPr>
          <w:p>
            <w:pPr>
              <w:spacing w:line="240" w:lineRule="auto"/>
              <w:jc w:val="center"/>
            </w:pPr>
            <w:r>
              <w:rPr>
                <w:rFonts w:hAnsi="宋体"/>
              </w:rPr>
              <w:t>验收监测依据</w:t>
            </w:r>
          </w:p>
        </w:tc>
        <w:tc>
          <w:tcPr>
            <w:tcW w:w="7263" w:type="dxa"/>
            <w:gridSpan w:val="6"/>
            <w:vAlign w:val="center"/>
          </w:tcPr>
          <w:p>
            <w:r>
              <w:t>（1）《中华人民共和国环境保护法》（2015年1月1日）；</w:t>
            </w:r>
          </w:p>
          <w:p>
            <w:r>
              <w:t>（2）《中华人民共和国水污染防治法》（2018年1月1日起施行）；</w:t>
            </w:r>
          </w:p>
          <w:p>
            <w:r>
              <w:t>（3）《中华人民共和国大气污染防治法》（2018年10月26日修订并施行）；</w:t>
            </w:r>
          </w:p>
          <w:p>
            <w:r>
              <w:t>（4）《中华人民共和国噪声污染防治法》（2018年12月29日修订并施行）；</w:t>
            </w:r>
          </w:p>
          <w:p>
            <w:r>
              <w:t>（5）《中华人民共和国固体废物污染环境防治法》（2020年4月29日修订）；</w:t>
            </w:r>
          </w:p>
          <w:p>
            <w:r>
              <w:t>（6）《建设项目环境保护管理条例》（国务院令682号，2017年修订）；</w:t>
            </w:r>
          </w:p>
          <w:p>
            <w:r>
              <w:t>（7）关于发布《建设项目竣工环境保护验收暂行办法》的公告（国环规评〔2017〕4号）；</w:t>
            </w:r>
          </w:p>
          <w:p>
            <w:r>
              <w:t>（8）《建设项目竣工环境保护验收技术指南 污染影响类》生态环境部公告（公告2018年第9号）；</w:t>
            </w:r>
          </w:p>
          <w:p>
            <w:pPr>
              <w:rPr>
                <w:rFonts w:hint="eastAsia" w:eastAsia="宋体"/>
                <w:lang w:eastAsia="zh-CN"/>
              </w:rPr>
            </w:pPr>
            <w:r>
              <w:t>（9）《关于对吉首大学张家界学院扩建工程环境影响报告表》张环〔2002〕15号文</w:t>
            </w:r>
            <w:r>
              <w:rPr>
                <w:rFonts w:hint="eastAsia"/>
                <w:lang w:eastAsia="zh-CN"/>
              </w:rPr>
              <w:t>；</w:t>
            </w:r>
          </w:p>
          <w:p>
            <w:pPr>
              <w:pStyle w:val="42"/>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hAnsi="宋体" w:eastAsia="宋体"/>
                <w:color w:val="000000"/>
                <w:lang w:val="en-US" w:eastAsia="zh-CN"/>
              </w:rPr>
            </w:pPr>
            <w:r>
              <w:rPr>
                <w:rFonts w:hint="eastAsia" w:hAnsi="宋体"/>
                <w:sz w:val="24"/>
                <w:szCs w:val="24"/>
                <w:lang w:val="en-US" w:eastAsia="zh-CN"/>
              </w:rPr>
              <w:t>(10)</w:t>
            </w:r>
            <w:r>
              <w:rPr>
                <w:rFonts w:hAnsi="宋体"/>
                <w:color w:val="000000"/>
                <w:sz w:val="24"/>
                <w:szCs w:val="24"/>
              </w:rPr>
              <w:t>《</w:t>
            </w:r>
            <w:r>
              <w:rPr>
                <w:rFonts w:hAnsi="宋体"/>
                <w:sz w:val="24"/>
                <w:szCs w:val="24"/>
              </w:rPr>
              <w:t>吉首大学张家界学院扩建工程</w:t>
            </w:r>
            <w:r>
              <w:rPr>
                <w:rFonts w:hAnsi="宋体"/>
                <w:color w:val="000000"/>
                <w:sz w:val="24"/>
                <w:szCs w:val="24"/>
              </w:rPr>
              <w:t>竣工环保验收意见》张环验</w:t>
            </w:r>
            <w:r>
              <w:rPr>
                <w:color w:val="000000"/>
                <w:sz w:val="24"/>
                <w:szCs w:val="24"/>
              </w:rPr>
              <w:t xml:space="preserve"> </w:t>
            </w:r>
            <w:r>
              <w:t>〔</w:t>
            </w:r>
            <w:r>
              <w:rPr>
                <w:color w:val="000000"/>
                <w:sz w:val="24"/>
                <w:szCs w:val="24"/>
              </w:rPr>
              <w:t>2013</w:t>
            </w:r>
            <w:r>
              <w:t>〕</w:t>
            </w:r>
            <w:r>
              <w:rPr>
                <w:color w:val="000000"/>
                <w:sz w:val="24"/>
                <w:szCs w:val="24"/>
              </w:rPr>
              <w:t>11</w:t>
            </w:r>
            <w:r>
              <w:rPr>
                <w:rFonts w:hAnsi="宋体"/>
                <w:color w:val="000000"/>
                <w:sz w:val="24"/>
                <w:szCs w:val="24"/>
              </w:rPr>
              <w:t>号文</w:t>
            </w:r>
            <w:r>
              <w:rPr>
                <w:rFonts w:hint="eastAsia" w:hAnsi="宋体"/>
                <w:color w:val="000000"/>
                <w:sz w:val="24"/>
                <w:szCs w:val="24"/>
                <w:lang w:eastAsia="zh-CN"/>
              </w:rPr>
              <w:t>；</w:t>
            </w:r>
          </w:p>
          <w:p>
            <w:pPr>
              <w:pStyle w:val="42"/>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hAnsi="宋体" w:eastAsia="宋体"/>
                <w:color w:val="000000"/>
                <w:sz w:val="24"/>
                <w:szCs w:val="24"/>
                <w:lang w:val="en-US" w:eastAsia="zh-CN"/>
              </w:rPr>
            </w:pPr>
            <w:r>
              <w:rPr>
                <w:rFonts w:hint="eastAsia"/>
                <w:color w:val="000000"/>
                <w:sz w:val="24"/>
                <w:szCs w:val="24"/>
                <w:lang w:val="en-US" w:eastAsia="zh-CN"/>
              </w:rPr>
              <w:t>(11)</w:t>
            </w:r>
            <w:r>
              <w:rPr>
                <w:rFonts w:hAnsi="宋体"/>
                <w:color w:val="000000"/>
                <w:sz w:val="24"/>
                <w:szCs w:val="24"/>
              </w:rPr>
              <w:t>《</w:t>
            </w:r>
            <w:r>
              <w:rPr>
                <w:rFonts w:hAnsi="宋体"/>
                <w:sz w:val="24"/>
                <w:szCs w:val="24"/>
              </w:rPr>
              <w:t>吉首大学张家界学院公租房</w:t>
            </w:r>
            <w:r>
              <w:rPr>
                <w:sz w:val="24"/>
                <w:szCs w:val="24"/>
              </w:rPr>
              <w:t>A</w:t>
            </w:r>
            <w:r>
              <w:rPr>
                <w:rFonts w:hAnsi="宋体"/>
                <w:sz w:val="24"/>
                <w:szCs w:val="24"/>
              </w:rPr>
              <w:t>、</w:t>
            </w:r>
            <w:r>
              <w:rPr>
                <w:sz w:val="24"/>
                <w:szCs w:val="24"/>
              </w:rPr>
              <w:t>B</w:t>
            </w:r>
            <w:r>
              <w:rPr>
                <w:rFonts w:hAnsi="宋体"/>
                <w:sz w:val="24"/>
                <w:szCs w:val="24"/>
              </w:rPr>
              <w:t>栋</w:t>
            </w:r>
            <w:r>
              <w:rPr>
                <w:rFonts w:hAnsi="宋体"/>
                <w:color w:val="000000"/>
                <w:sz w:val="24"/>
                <w:szCs w:val="24"/>
              </w:rPr>
              <w:t>竣工环保验收意见》张环验</w:t>
            </w:r>
            <w:r>
              <w:rPr>
                <w:color w:val="000000"/>
                <w:sz w:val="24"/>
                <w:szCs w:val="24"/>
              </w:rPr>
              <w:t xml:space="preserve"> </w:t>
            </w:r>
            <w:r>
              <w:t>〔</w:t>
            </w:r>
            <w:r>
              <w:rPr>
                <w:color w:val="000000"/>
                <w:sz w:val="24"/>
                <w:szCs w:val="24"/>
              </w:rPr>
              <w:t>2017</w:t>
            </w:r>
            <w:r>
              <w:t>〕</w:t>
            </w:r>
            <w:r>
              <w:rPr>
                <w:color w:val="000000"/>
                <w:sz w:val="24"/>
                <w:szCs w:val="24"/>
              </w:rPr>
              <w:t>6</w:t>
            </w:r>
            <w:r>
              <w:rPr>
                <w:rFonts w:hAnsi="宋体"/>
                <w:color w:val="000000"/>
                <w:sz w:val="24"/>
                <w:szCs w:val="24"/>
              </w:rPr>
              <w:t>号文</w:t>
            </w:r>
            <w:r>
              <w:rPr>
                <w:rFonts w:hint="eastAsia" w:hAnsi="宋体"/>
                <w:color w:val="000000"/>
                <w:sz w:val="24"/>
                <w:szCs w:val="24"/>
                <w:lang w:eastAsia="zh-CN"/>
              </w:rPr>
              <w:t>；</w:t>
            </w:r>
          </w:p>
          <w:p>
            <w:pPr>
              <w:pStyle w:val="42"/>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rFonts w:hint="default" w:eastAsia="宋体"/>
                <w:lang w:val="en-US" w:eastAsia="zh-CN"/>
              </w:rPr>
            </w:pPr>
            <w:r>
              <w:rPr>
                <w:rFonts w:hint="eastAsia" w:hAnsi="宋体"/>
                <w:color w:val="000000"/>
                <w:sz w:val="24"/>
                <w:szCs w:val="24"/>
                <w:lang w:val="en-US" w:eastAsia="zh-CN"/>
              </w:rPr>
              <w:t>（12）张家界市生态环境局验收备案表，备案号：4308002020020。</w:t>
            </w:r>
          </w:p>
        </w:tc>
      </w:tr>
      <w:tr>
        <w:tblPrEx>
          <w:tblBorders>
            <w:top w:val="single" w:color="000000" w:sz="6" w:space="0"/>
            <w:left w:val="single" w:color="auto" w:sz="6" w:space="0"/>
            <w:bottom w:val="single" w:color="000000" w:sz="6" w:space="0"/>
            <w:right w:val="single" w:color="auto" w:sz="6" w:space="0"/>
            <w:insideH w:val="single" w:color="000000" w:sz="6" w:space="0"/>
            <w:insideV w:val="single" w:color="000000" w:sz="6" w:space="0"/>
          </w:tblBorders>
          <w:tblCellMar>
            <w:top w:w="0" w:type="dxa"/>
            <w:left w:w="108" w:type="dxa"/>
            <w:bottom w:w="0" w:type="dxa"/>
            <w:right w:w="108" w:type="dxa"/>
          </w:tblCellMar>
        </w:tblPrEx>
        <w:trPr>
          <w:trHeight w:val="705" w:hRule="atLeast"/>
          <w:jc w:val="center"/>
        </w:trPr>
        <w:tc>
          <w:tcPr>
            <w:tcW w:w="2263" w:type="dxa"/>
            <w:vAlign w:val="center"/>
          </w:tcPr>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p>
          <w:p>
            <w:pPr>
              <w:spacing w:line="240" w:lineRule="auto"/>
              <w:jc w:val="center"/>
            </w:pPr>
            <w:r>
              <w:rPr>
                <w:rFonts w:hAnsi="宋体"/>
              </w:rPr>
              <w:t>验收监测评价标准、标号、级别、限值</w:t>
            </w:r>
          </w:p>
        </w:tc>
        <w:tc>
          <w:tcPr>
            <w:tcW w:w="7263" w:type="dxa"/>
            <w:gridSpan w:val="6"/>
            <w:vAlign w:val="center"/>
          </w:tcPr>
          <w:p>
            <w:pPr>
              <w:spacing w:line="480" w:lineRule="exact"/>
            </w:pPr>
            <w:r>
              <w:t>环境质量标准：</w:t>
            </w:r>
          </w:p>
          <w:p>
            <w:pPr>
              <w:ind w:firstLine="360" w:firstLineChars="150"/>
            </w:pPr>
            <w:r>
              <w:t>1、大气环境</w:t>
            </w:r>
          </w:p>
          <w:p>
            <w:pPr>
              <w:wordWrap w:val="0"/>
              <w:ind w:right="482" w:firstLine="480" w:firstLineChars="200"/>
            </w:pPr>
            <w:r>
              <w:t>执行《环境空气质量标准》（GB3095-2012）中的二级标准。</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b/>
                <w:bCs/>
              </w:rPr>
            </w:pPr>
            <w:r>
              <w:rPr>
                <w:b/>
                <w:bCs/>
              </w:rPr>
              <w:t>表1-1   环境空气质量标准一览表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881"/>
              <w:gridCol w:w="1882"/>
              <w:gridCol w:w="1283"/>
              <w:gridCol w:w="1035"/>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shd w:val="clear" w:color="auto" w:fill="auto"/>
                  <w:vAlign w:val="center"/>
                </w:tcPr>
                <w:p>
                  <w:pPr>
                    <w:spacing w:line="240" w:lineRule="auto"/>
                    <w:jc w:val="center"/>
                    <w:rPr>
                      <w:b/>
                      <w:bCs/>
                      <w:sz w:val="21"/>
                      <w:szCs w:val="21"/>
                    </w:rPr>
                  </w:pPr>
                  <w:r>
                    <w:rPr>
                      <w:b/>
                      <w:bCs/>
                      <w:sz w:val="21"/>
                      <w:szCs w:val="21"/>
                    </w:rPr>
                    <w:t>序号</w:t>
                  </w:r>
                </w:p>
              </w:tc>
              <w:tc>
                <w:tcPr>
                  <w:tcW w:w="625" w:type="pct"/>
                  <w:shd w:val="clear" w:color="auto" w:fill="auto"/>
                  <w:vAlign w:val="center"/>
                </w:tcPr>
                <w:p>
                  <w:pPr>
                    <w:spacing w:line="240" w:lineRule="auto"/>
                    <w:jc w:val="center"/>
                    <w:rPr>
                      <w:b/>
                      <w:bCs/>
                      <w:sz w:val="21"/>
                      <w:szCs w:val="21"/>
                    </w:rPr>
                  </w:pPr>
                  <w:r>
                    <w:rPr>
                      <w:b/>
                      <w:bCs/>
                      <w:sz w:val="21"/>
                      <w:szCs w:val="21"/>
                    </w:rPr>
                    <w:t>污染物</w:t>
                  </w:r>
                </w:p>
              </w:tc>
              <w:tc>
                <w:tcPr>
                  <w:tcW w:w="1337" w:type="pct"/>
                  <w:shd w:val="clear" w:color="auto" w:fill="auto"/>
                  <w:vAlign w:val="center"/>
                </w:tcPr>
                <w:p>
                  <w:pPr>
                    <w:spacing w:line="240" w:lineRule="auto"/>
                    <w:jc w:val="center"/>
                    <w:rPr>
                      <w:b/>
                      <w:bCs/>
                      <w:sz w:val="21"/>
                      <w:szCs w:val="21"/>
                    </w:rPr>
                  </w:pPr>
                  <w:r>
                    <w:rPr>
                      <w:b/>
                      <w:bCs/>
                      <w:sz w:val="21"/>
                      <w:szCs w:val="21"/>
                    </w:rPr>
                    <w:t>取值时间</w:t>
                  </w:r>
                </w:p>
              </w:tc>
              <w:tc>
                <w:tcPr>
                  <w:tcW w:w="911" w:type="pct"/>
                  <w:shd w:val="clear" w:color="auto" w:fill="auto"/>
                  <w:vAlign w:val="center"/>
                </w:tcPr>
                <w:p>
                  <w:pPr>
                    <w:spacing w:line="240" w:lineRule="auto"/>
                    <w:jc w:val="center"/>
                    <w:rPr>
                      <w:b/>
                      <w:bCs/>
                      <w:sz w:val="21"/>
                      <w:szCs w:val="21"/>
                    </w:rPr>
                  </w:pPr>
                  <w:r>
                    <w:rPr>
                      <w:b/>
                      <w:bCs/>
                      <w:sz w:val="21"/>
                      <w:szCs w:val="21"/>
                    </w:rPr>
                    <w:t>浓度限值</w:t>
                  </w:r>
                </w:p>
              </w:tc>
              <w:tc>
                <w:tcPr>
                  <w:tcW w:w="735" w:type="pct"/>
                  <w:shd w:val="clear" w:color="auto" w:fill="auto"/>
                  <w:vAlign w:val="center"/>
                </w:tcPr>
                <w:p>
                  <w:pPr>
                    <w:spacing w:line="240" w:lineRule="auto"/>
                    <w:jc w:val="center"/>
                    <w:rPr>
                      <w:b/>
                      <w:bCs/>
                      <w:sz w:val="21"/>
                      <w:szCs w:val="21"/>
                    </w:rPr>
                  </w:pPr>
                  <w:r>
                    <w:rPr>
                      <w:b/>
                      <w:bCs/>
                      <w:sz w:val="21"/>
                      <w:szCs w:val="21"/>
                    </w:rPr>
                    <w:t>单位</w:t>
                  </w:r>
                </w:p>
              </w:tc>
              <w:tc>
                <w:tcPr>
                  <w:tcW w:w="932" w:type="pct"/>
                  <w:shd w:val="clear" w:color="auto" w:fill="auto"/>
                  <w:vAlign w:val="center"/>
                </w:tcPr>
                <w:p>
                  <w:pPr>
                    <w:jc w:val="center"/>
                    <w:rPr>
                      <w:b/>
                      <w:bCs/>
                      <w:sz w:val="21"/>
                      <w:szCs w:val="21"/>
                    </w:rPr>
                  </w:pPr>
                  <w:r>
                    <w:rPr>
                      <w:b/>
                      <w:bCs/>
                      <w:sz w:val="21"/>
                      <w:szCs w:val="21"/>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1</w:t>
                  </w:r>
                </w:p>
              </w:tc>
              <w:tc>
                <w:tcPr>
                  <w:tcW w:w="625" w:type="pct"/>
                  <w:vMerge w:val="restart"/>
                  <w:shd w:val="clear" w:color="auto" w:fill="auto"/>
                  <w:vAlign w:val="center"/>
                </w:tcPr>
                <w:p>
                  <w:pPr>
                    <w:spacing w:line="240" w:lineRule="auto"/>
                    <w:jc w:val="center"/>
                    <w:rPr>
                      <w:sz w:val="21"/>
                      <w:szCs w:val="21"/>
                    </w:rPr>
                  </w:pPr>
                  <w:r>
                    <w:rPr>
                      <w:sz w:val="21"/>
                      <w:szCs w:val="21"/>
                    </w:rPr>
                    <w:t>SO2</w:t>
                  </w:r>
                </w:p>
              </w:tc>
              <w:tc>
                <w:tcPr>
                  <w:tcW w:w="1337" w:type="pct"/>
                  <w:shd w:val="clear" w:color="auto" w:fill="auto"/>
                  <w:vAlign w:val="center"/>
                </w:tcPr>
                <w:p>
                  <w:pPr>
                    <w:spacing w:line="240" w:lineRule="auto"/>
                    <w:jc w:val="center"/>
                    <w:rPr>
                      <w:sz w:val="21"/>
                      <w:szCs w:val="21"/>
                    </w:rPr>
                  </w:pPr>
                  <w:r>
                    <w:rPr>
                      <w:sz w:val="21"/>
                      <w:szCs w:val="21"/>
                    </w:rPr>
                    <w:t>年平均</w:t>
                  </w:r>
                </w:p>
              </w:tc>
              <w:tc>
                <w:tcPr>
                  <w:tcW w:w="911" w:type="pct"/>
                  <w:shd w:val="clear" w:color="auto" w:fill="auto"/>
                  <w:vAlign w:val="center"/>
                </w:tcPr>
                <w:p>
                  <w:pPr>
                    <w:spacing w:line="240" w:lineRule="auto"/>
                    <w:jc w:val="center"/>
                    <w:rPr>
                      <w:sz w:val="21"/>
                      <w:szCs w:val="21"/>
                    </w:rPr>
                  </w:pPr>
                  <w:r>
                    <w:rPr>
                      <w:sz w:val="21"/>
                      <w:szCs w:val="21"/>
                    </w:rPr>
                    <w:t>60</w:t>
                  </w:r>
                </w:p>
              </w:tc>
              <w:tc>
                <w:tcPr>
                  <w:tcW w:w="735" w:type="pct"/>
                  <w:vMerge w:val="restart"/>
                  <w:shd w:val="clear" w:color="auto" w:fill="auto"/>
                  <w:vAlign w:val="center"/>
                </w:tcPr>
                <w:p>
                  <w:pPr>
                    <w:spacing w:line="240" w:lineRule="auto"/>
                    <w:jc w:val="center"/>
                    <w:rPr>
                      <w:sz w:val="21"/>
                      <w:szCs w:val="21"/>
                    </w:rPr>
                  </w:pPr>
                  <w:r>
                    <w:rPr>
                      <w:sz w:val="21"/>
                      <w:szCs w:val="21"/>
                    </w:rPr>
                    <w:t>μg/m3</w:t>
                  </w:r>
                </w:p>
              </w:tc>
              <w:tc>
                <w:tcPr>
                  <w:tcW w:w="932" w:type="pct"/>
                  <w:vMerge w:val="restart"/>
                  <w:shd w:val="clear" w:color="auto" w:fill="auto"/>
                  <w:vAlign w:val="center"/>
                </w:tcPr>
                <w:p>
                  <w:pPr>
                    <w:spacing w:line="240" w:lineRule="auto"/>
                    <w:jc w:val="center"/>
                    <w:rPr>
                      <w:sz w:val="21"/>
                      <w:szCs w:val="21"/>
                    </w:rPr>
                  </w:pPr>
                  <w:r>
                    <w:rPr>
                      <w:sz w:val="21"/>
                      <w:szCs w:val="21"/>
                    </w:rPr>
                    <w:t>《环境空气质量标准》（GB3095-2012）二级标准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日平均</w:t>
                  </w:r>
                </w:p>
              </w:tc>
              <w:tc>
                <w:tcPr>
                  <w:tcW w:w="911" w:type="pct"/>
                  <w:shd w:val="clear" w:color="auto" w:fill="auto"/>
                  <w:vAlign w:val="center"/>
                </w:tcPr>
                <w:p>
                  <w:pPr>
                    <w:spacing w:line="240" w:lineRule="auto"/>
                    <w:jc w:val="center"/>
                    <w:rPr>
                      <w:sz w:val="21"/>
                      <w:szCs w:val="21"/>
                    </w:rPr>
                  </w:pPr>
                  <w:r>
                    <w:rPr>
                      <w:sz w:val="21"/>
                      <w:szCs w:val="21"/>
                    </w:rPr>
                    <w:t>150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1小时平均</w:t>
                  </w:r>
                </w:p>
              </w:tc>
              <w:tc>
                <w:tcPr>
                  <w:tcW w:w="911" w:type="pct"/>
                  <w:shd w:val="clear" w:color="auto" w:fill="auto"/>
                  <w:vAlign w:val="center"/>
                </w:tcPr>
                <w:p>
                  <w:pPr>
                    <w:spacing w:line="240" w:lineRule="auto"/>
                    <w:jc w:val="center"/>
                    <w:rPr>
                      <w:sz w:val="21"/>
                      <w:szCs w:val="21"/>
                    </w:rPr>
                  </w:pPr>
                  <w:r>
                    <w:rPr>
                      <w:sz w:val="21"/>
                      <w:szCs w:val="21"/>
                    </w:rPr>
                    <w:t>500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2</w:t>
                  </w:r>
                </w:p>
              </w:tc>
              <w:tc>
                <w:tcPr>
                  <w:tcW w:w="625" w:type="pct"/>
                  <w:vMerge w:val="restart"/>
                  <w:shd w:val="clear" w:color="auto" w:fill="auto"/>
                  <w:vAlign w:val="center"/>
                </w:tcPr>
                <w:p>
                  <w:pPr>
                    <w:spacing w:line="240" w:lineRule="auto"/>
                    <w:jc w:val="center"/>
                    <w:rPr>
                      <w:sz w:val="21"/>
                      <w:szCs w:val="21"/>
                    </w:rPr>
                  </w:pPr>
                  <w:r>
                    <w:rPr>
                      <w:sz w:val="21"/>
                      <w:szCs w:val="21"/>
                    </w:rPr>
                    <w:t>NOx</w:t>
                  </w:r>
                </w:p>
              </w:tc>
              <w:tc>
                <w:tcPr>
                  <w:tcW w:w="1337" w:type="pct"/>
                  <w:shd w:val="clear" w:color="auto" w:fill="auto"/>
                  <w:vAlign w:val="center"/>
                </w:tcPr>
                <w:p>
                  <w:pPr>
                    <w:spacing w:line="240" w:lineRule="auto"/>
                    <w:jc w:val="center"/>
                    <w:rPr>
                      <w:sz w:val="21"/>
                      <w:szCs w:val="21"/>
                    </w:rPr>
                  </w:pPr>
                  <w:r>
                    <w:rPr>
                      <w:sz w:val="21"/>
                      <w:szCs w:val="21"/>
                    </w:rPr>
                    <w:t>年平均</w:t>
                  </w:r>
                </w:p>
              </w:tc>
              <w:tc>
                <w:tcPr>
                  <w:tcW w:w="911" w:type="pct"/>
                  <w:shd w:val="clear" w:color="auto" w:fill="auto"/>
                  <w:vAlign w:val="center"/>
                </w:tcPr>
                <w:p>
                  <w:pPr>
                    <w:spacing w:line="240" w:lineRule="auto"/>
                    <w:jc w:val="center"/>
                    <w:rPr>
                      <w:sz w:val="21"/>
                      <w:szCs w:val="21"/>
                    </w:rPr>
                  </w:pPr>
                  <w:r>
                    <w:rPr>
                      <w:sz w:val="21"/>
                      <w:szCs w:val="21"/>
                    </w:rPr>
                    <w:t>50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日平均</w:t>
                  </w:r>
                </w:p>
              </w:tc>
              <w:tc>
                <w:tcPr>
                  <w:tcW w:w="911" w:type="pct"/>
                  <w:shd w:val="clear" w:color="auto" w:fill="auto"/>
                  <w:vAlign w:val="center"/>
                </w:tcPr>
                <w:p>
                  <w:pPr>
                    <w:spacing w:line="240" w:lineRule="auto"/>
                    <w:jc w:val="center"/>
                    <w:rPr>
                      <w:sz w:val="21"/>
                      <w:szCs w:val="21"/>
                    </w:rPr>
                  </w:pPr>
                  <w:r>
                    <w:rPr>
                      <w:sz w:val="21"/>
                      <w:szCs w:val="21"/>
                    </w:rPr>
                    <w:t>100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1小时平均</w:t>
                  </w:r>
                </w:p>
              </w:tc>
              <w:tc>
                <w:tcPr>
                  <w:tcW w:w="911" w:type="pct"/>
                  <w:shd w:val="clear" w:color="auto" w:fill="auto"/>
                  <w:vAlign w:val="center"/>
                </w:tcPr>
                <w:p>
                  <w:pPr>
                    <w:spacing w:line="240" w:lineRule="auto"/>
                    <w:jc w:val="center"/>
                    <w:rPr>
                      <w:sz w:val="21"/>
                      <w:szCs w:val="21"/>
                    </w:rPr>
                  </w:pPr>
                  <w:r>
                    <w:rPr>
                      <w:sz w:val="21"/>
                      <w:szCs w:val="21"/>
                    </w:rPr>
                    <w:t>250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3</w:t>
                  </w:r>
                </w:p>
              </w:tc>
              <w:tc>
                <w:tcPr>
                  <w:tcW w:w="625" w:type="pct"/>
                  <w:vMerge w:val="restart"/>
                  <w:shd w:val="clear" w:color="auto" w:fill="auto"/>
                  <w:vAlign w:val="center"/>
                </w:tcPr>
                <w:p>
                  <w:pPr>
                    <w:spacing w:line="240" w:lineRule="auto"/>
                    <w:jc w:val="center"/>
                    <w:rPr>
                      <w:sz w:val="21"/>
                      <w:szCs w:val="21"/>
                    </w:rPr>
                  </w:pPr>
                  <w:r>
                    <w:rPr>
                      <w:sz w:val="21"/>
                      <w:szCs w:val="21"/>
                    </w:rPr>
                    <w:t>PM10</w:t>
                  </w:r>
                </w:p>
              </w:tc>
              <w:tc>
                <w:tcPr>
                  <w:tcW w:w="1337" w:type="pct"/>
                  <w:shd w:val="clear" w:color="auto" w:fill="auto"/>
                  <w:vAlign w:val="center"/>
                </w:tcPr>
                <w:p>
                  <w:pPr>
                    <w:spacing w:line="240" w:lineRule="auto"/>
                    <w:jc w:val="center"/>
                    <w:rPr>
                      <w:sz w:val="21"/>
                      <w:szCs w:val="21"/>
                    </w:rPr>
                  </w:pPr>
                  <w:r>
                    <w:rPr>
                      <w:sz w:val="21"/>
                      <w:szCs w:val="21"/>
                    </w:rPr>
                    <w:t>年平均</w:t>
                  </w:r>
                </w:p>
              </w:tc>
              <w:tc>
                <w:tcPr>
                  <w:tcW w:w="911" w:type="pct"/>
                  <w:shd w:val="clear" w:color="auto" w:fill="auto"/>
                  <w:vAlign w:val="center"/>
                </w:tcPr>
                <w:p>
                  <w:pPr>
                    <w:spacing w:line="240" w:lineRule="auto"/>
                    <w:jc w:val="center"/>
                    <w:rPr>
                      <w:sz w:val="21"/>
                      <w:szCs w:val="21"/>
                    </w:rPr>
                  </w:pPr>
                  <w:r>
                    <w:rPr>
                      <w:sz w:val="21"/>
                      <w:szCs w:val="21"/>
                    </w:rPr>
                    <w:t>70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日平均</w:t>
                  </w:r>
                </w:p>
              </w:tc>
              <w:tc>
                <w:tcPr>
                  <w:tcW w:w="911" w:type="pct"/>
                  <w:shd w:val="clear" w:color="auto" w:fill="auto"/>
                  <w:vAlign w:val="center"/>
                </w:tcPr>
                <w:p>
                  <w:pPr>
                    <w:spacing w:line="240" w:lineRule="auto"/>
                    <w:jc w:val="center"/>
                    <w:rPr>
                      <w:sz w:val="21"/>
                      <w:szCs w:val="21"/>
                    </w:rPr>
                  </w:pPr>
                  <w:r>
                    <w:rPr>
                      <w:sz w:val="21"/>
                      <w:szCs w:val="21"/>
                    </w:rPr>
                    <w:t>150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4</w:t>
                  </w:r>
                </w:p>
              </w:tc>
              <w:tc>
                <w:tcPr>
                  <w:tcW w:w="625" w:type="pct"/>
                  <w:vMerge w:val="restart"/>
                  <w:shd w:val="clear" w:color="auto" w:fill="auto"/>
                  <w:vAlign w:val="center"/>
                </w:tcPr>
                <w:p>
                  <w:pPr>
                    <w:spacing w:line="240" w:lineRule="auto"/>
                    <w:jc w:val="center"/>
                    <w:rPr>
                      <w:sz w:val="21"/>
                      <w:szCs w:val="21"/>
                    </w:rPr>
                  </w:pPr>
                  <w:r>
                    <w:rPr>
                      <w:sz w:val="21"/>
                      <w:szCs w:val="21"/>
                    </w:rPr>
                    <w:t>PM2.5</w:t>
                  </w:r>
                </w:p>
              </w:tc>
              <w:tc>
                <w:tcPr>
                  <w:tcW w:w="1337" w:type="pct"/>
                  <w:shd w:val="clear" w:color="auto" w:fill="auto"/>
                  <w:vAlign w:val="center"/>
                </w:tcPr>
                <w:p>
                  <w:pPr>
                    <w:spacing w:line="240" w:lineRule="auto"/>
                    <w:jc w:val="center"/>
                    <w:rPr>
                      <w:sz w:val="21"/>
                      <w:szCs w:val="21"/>
                    </w:rPr>
                  </w:pPr>
                  <w:r>
                    <w:rPr>
                      <w:sz w:val="21"/>
                      <w:szCs w:val="21"/>
                    </w:rPr>
                    <w:t>年平均</w:t>
                  </w:r>
                </w:p>
              </w:tc>
              <w:tc>
                <w:tcPr>
                  <w:tcW w:w="911" w:type="pct"/>
                  <w:shd w:val="clear" w:color="auto" w:fill="auto"/>
                  <w:vAlign w:val="center"/>
                </w:tcPr>
                <w:p>
                  <w:pPr>
                    <w:spacing w:line="240" w:lineRule="auto"/>
                    <w:jc w:val="center"/>
                    <w:rPr>
                      <w:sz w:val="21"/>
                      <w:szCs w:val="21"/>
                    </w:rPr>
                  </w:pPr>
                  <w:r>
                    <w:rPr>
                      <w:sz w:val="21"/>
                      <w:szCs w:val="21"/>
                    </w:rPr>
                    <w:t>35</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日平均</w:t>
                  </w:r>
                </w:p>
              </w:tc>
              <w:tc>
                <w:tcPr>
                  <w:tcW w:w="911" w:type="pct"/>
                  <w:shd w:val="clear" w:color="auto" w:fill="auto"/>
                  <w:vAlign w:val="center"/>
                </w:tcPr>
                <w:p>
                  <w:pPr>
                    <w:spacing w:line="240" w:lineRule="auto"/>
                    <w:jc w:val="center"/>
                    <w:rPr>
                      <w:sz w:val="21"/>
                      <w:szCs w:val="21"/>
                    </w:rPr>
                  </w:pPr>
                  <w:r>
                    <w:rPr>
                      <w:sz w:val="21"/>
                      <w:szCs w:val="21"/>
                    </w:rPr>
                    <w:t>75</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5</w:t>
                  </w:r>
                </w:p>
              </w:tc>
              <w:tc>
                <w:tcPr>
                  <w:tcW w:w="625" w:type="pct"/>
                  <w:vMerge w:val="restart"/>
                  <w:shd w:val="clear" w:color="auto" w:fill="auto"/>
                  <w:vAlign w:val="center"/>
                </w:tcPr>
                <w:p>
                  <w:pPr>
                    <w:spacing w:line="240" w:lineRule="auto"/>
                    <w:jc w:val="center"/>
                    <w:rPr>
                      <w:sz w:val="21"/>
                      <w:szCs w:val="21"/>
                    </w:rPr>
                  </w:pPr>
                  <w:r>
                    <w:rPr>
                      <w:sz w:val="21"/>
                      <w:szCs w:val="21"/>
                    </w:rPr>
                    <w:t>CO</w:t>
                  </w:r>
                </w:p>
              </w:tc>
              <w:tc>
                <w:tcPr>
                  <w:tcW w:w="1337" w:type="pct"/>
                  <w:shd w:val="clear" w:color="auto" w:fill="auto"/>
                  <w:vAlign w:val="center"/>
                </w:tcPr>
                <w:p>
                  <w:pPr>
                    <w:spacing w:line="240" w:lineRule="auto"/>
                    <w:jc w:val="center"/>
                    <w:rPr>
                      <w:sz w:val="21"/>
                      <w:szCs w:val="21"/>
                    </w:rPr>
                  </w:pPr>
                  <w:r>
                    <w:rPr>
                      <w:sz w:val="21"/>
                      <w:szCs w:val="21"/>
                    </w:rPr>
                    <w:t>24小时平均</w:t>
                  </w:r>
                </w:p>
              </w:tc>
              <w:tc>
                <w:tcPr>
                  <w:tcW w:w="911" w:type="pct"/>
                  <w:shd w:val="clear" w:color="auto" w:fill="auto"/>
                  <w:vAlign w:val="center"/>
                </w:tcPr>
                <w:p>
                  <w:pPr>
                    <w:spacing w:line="240" w:lineRule="auto"/>
                    <w:jc w:val="center"/>
                    <w:rPr>
                      <w:sz w:val="21"/>
                      <w:szCs w:val="21"/>
                    </w:rPr>
                  </w:pPr>
                  <w:r>
                    <w:rPr>
                      <w:sz w:val="21"/>
                      <w:szCs w:val="21"/>
                    </w:rPr>
                    <w:t>4</w:t>
                  </w:r>
                </w:p>
              </w:tc>
              <w:tc>
                <w:tcPr>
                  <w:tcW w:w="735" w:type="pct"/>
                  <w:vMerge w:val="restart"/>
                  <w:shd w:val="clear" w:color="auto" w:fill="auto"/>
                  <w:vAlign w:val="center"/>
                </w:tcPr>
                <w:p>
                  <w:pPr>
                    <w:spacing w:line="240" w:lineRule="auto"/>
                    <w:jc w:val="center"/>
                    <w:rPr>
                      <w:sz w:val="21"/>
                      <w:szCs w:val="21"/>
                    </w:rPr>
                  </w:pPr>
                  <w:r>
                    <w:rPr>
                      <w:sz w:val="21"/>
                      <w:szCs w:val="21"/>
                    </w:rPr>
                    <w:t>mg/Nm3</w:t>
                  </w: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1小时平均</w:t>
                  </w:r>
                </w:p>
              </w:tc>
              <w:tc>
                <w:tcPr>
                  <w:tcW w:w="911" w:type="pct"/>
                  <w:shd w:val="clear" w:color="auto" w:fill="auto"/>
                  <w:vAlign w:val="center"/>
                </w:tcPr>
                <w:p>
                  <w:pPr>
                    <w:spacing w:line="240" w:lineRule="auto"/>
                    <w:jc w:val="center"/>
                    <w:rPr>
                      <w:sz w:val="21"/>
                      <w:szCs w:val="21"/>
                    </w:rPr>
                  </w:pPr>
                  <w:r>
                    <w:rPr>
                      <w:sz w:val="21"/>
                      <w:szCs w:val="21"/>
                    </w:rPr>
                    <w:t>10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6</w:t>
                  </w:r>
                </w:p>
              </w:tc>
              <w:tc>
                <w:tcPr>
                  <w:tcW w:w="625" w:type="pct"/>
                  <w:vMerge w:val="restart"/>
                  <w:shd w:val="clear" w:color="auto" w:fill="auto"/>
                  <w:vAlign w:val="center"/>
                </w:tcPr>
                <w:p>
                  <w:pPr>
                    <w:spacing w:line="240" w:lineRule="auto"/>
                    <w:jc w:val="center"/>
                    <w:rPr>
                      <w:sz w:val="21"/>
                      <w:szCs w:val="21"/>
                    </w:rPr>
                  </w:pPr>
                  <w:r>
                    <w:rPr>
                      <w:sz w:val="21"/>
                      <w:szCs w:val="21"/>
                    </w:rPr>
                    <w:t>O3</w:t>
                  </w:r>
                </w:p>
              </w:tc>
              <w:tc>
                <w:tcPr>
                  <w:tcW w:w="1337" w:type="pct"/>
                  <w:shd w:val="clear" w:color="auto" w:fill="auto"/>
                  <w:vAlign w:val="center"/>
                </w:tcPr>
                <w:p>
                  <w:pPr>
                    <w:spacing w:line="240" w:lineRule="auto"/>
                    <w:jc w:val="center"/>
                    <w:rPr>
                      <w:sz w:val="21"/>
                      <w:szCs w:val="21"/>
                    </w:rPr>
                  </w:pPr>
                  <w:r>
                    <w:rPr>
                      <w:sz w:val="21"/>
                      <w:szCs w:val="21"/>
                    </w:rPr>
                    <w:t>日最大8小时平均</w:t>
                  </w:r>
                </w:p>
              </w:tc>
              <w:tc>
                <w:tcPr>
                  <w:tcW w:w="911" w:type="pct"/>
                  <w:shd w:val="clear" w:color="auto" w:fill="auto"/>
                  <w:vAlign w:val="center"/>
                </w:tcPr>
                <w:p>
                  <w:pPr>
                    <w:spacing w:line="240" w:lineRule="auto"/>
                    <w:jc w:val="center"/>
                    <w:rPr>
                      <w:sz w:val="21"/>
                      <w:szCs w:val="21"/>
                    </w:rPr>
                  </w:pPr>
                  <w:r>
                    <w:rPr>
                      <w:sz w:val="21"/>
                      <w:szCs w:val="21"/>
                    </w:rPr>
                    <w:t>160</w:t>
                  </w:r>
                </w:p>
              </w:tc>
              <w:tc>
                <w:tcPr>
                  <w:tcW w:w="735" w:type="pct"/>
                  <w:vMerge w:val="restart"/>
                  <w:shd w:val="clear" w:color="auto" w:fill="auto"/>
                  <w:vAlign w:val="center"/>
                </w:tcPr>
                <w:p>
                  <w:pPr>
                    <w:spacing w:line="240" w:lineRule="auto"/>
                    <w:jc w:val="center"/>
                    <w:rPr>
                      <w:sz w:val="21"/>
                      <w:szCs w:val="21"/>
                    </w:rPr>
                  </w:pPr>
                  <w:r>
                    <w:rPr>
                      <w:sz w:val="21"/>
                      <w:szCs w:val="21"/>
                    </w:rPr>
                    <w:t>μg/m3</w:t>
                  </w: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bookmarkStart w:id="2" w:name="OLE_LINK1"/>
                  <w:bookmarkStart w:id="3" w:name="OLE_LINK4"/>
                  <w:r>
                    <w:rPr>
                      <w:sz w:val="21"/>
                      <w:szCs w:val="21"/>
                    </w:rPr>
                    <w:t>1小时平均</w:t>
                  </w:r>
                  <w:bookmarkEnd w:id="2"/>
                  <w:bookmarkEnd w:id="3"/>
                </w:p>
              </w:tc>
              <w:tc>
                <w:tcPr>
                  <w:tcW w:w="911" w:type="pct"/>
                  <w:shd w:val="clear" w:color="auto" w:fill="auto"/>
                  <w:vAlign w:val="center"/>
                </w:tcPr>
                <w:p>
                  <w:pPr>
                    <w:spacing w:line="240" w:lineRule="auto"/>
                    <w:jc w:val="center"/>
                    <w:rPr>
                      <w:sz w:val="21"/>
                      <w:szCs w:val="21"/>
                    </w:rPr>
                  </w:pPr>
                  <w:r>
                    <w:rPr>
                      <w:sz w:val="21"/>
                      <w:szCs w:val="21"/>
                    </w:rPr>
                    <w:t>200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restart"/>
                  <w:shd w:val="clear" w:color="auto" w:fill="auto"/>
                  <w:vAlign w:val="center"/>
                </w:tcPr>
                <w:p>
                  <w:pPr>
                    <w:spacing w:line="240" w:lineRule="auto"/>
                    <w:jc w:val="center"/>
                    <w:rPr>
                      <w:sz w:val="21"/>
                      <w:szCs w:val="21"/>
                    </w:rPr>
                  </w:pPr>
                  <w:r>
                    <w:rPr>
                      <w:sz w:val="21"/>
                      <w:szCs w:val="21"/>
                    </w:rPr>
                    <w:t>7</w:t>
                  </w:r>
                </w:p>
              </w:tc>
              <w:tc>
                <w:tcPr>
                  <w:tcW w:w="625" w:type="pct"/>
                  <w:vMerge w:val="restart"/>
                  <w:shd w:val="clear" w:color="auto" w:fill="auto"/>
                  <w:vAlign w:val="center"/>
                </w:tcPr>
                <w:p>
                  <w:pPr>
                    <w:spacing w:line="240" w:lineRule="auto"/>
                    <w:jc w:val="center"/>
                    <w:rPr>
                      <w:sz w:val="21"/>
                      <w:szCs w:val="21"/>
                    </w:rPr>
                  </w:pPr>
                  <w:r>
                    <w:rPr>
                      <w:sz w:val="21"/>
                      <w:szCs w:val="21"/>
                    </w:rPr>
                    <w:t>TSP</w:t>
                  </w:r>
                </w:p>
              </w:tc>
              <w:tc>
                <w:tcPr>
                  <w:tcW w:w="1337" w:type="pct"/>
                  <w:shd w:val="clear" w:color="auto" w:fill="auto"/>
                  <w:vAlign w:val="center"/>
                </w:tcPr>
                <w:p>
                  <w:pPr>
                    <w:spacing w:line="240" w:lineRule="auto"/>
                    <w:jc w:val="center"/>
                    <w:rPr>
                      <w:sz w:val="21"/>
                      <w:szCs w:val="21"/>
                    </w:rPr>
                  </w:pPr>
                  <w:r>
                    <w:rPr>
                      <w:sz w:val="21"/>
                      <w:szCs w:val="21"/>
                    </w:rPr>
                    <w:t>年平均</w:t>
                  </w:r>
                </w:p>
              </w:tc>
              <w:tc>
                <w:tcPr>
                  <w:tcW w:w="911" w:type="pct"/>
                  <w:shd w:val="clear" w:color="auto" w:fill="auto"/>
                  <w:vAlign w:val="center"/>
                </w:tcPr>
                <w:p>
                  <w:pPr>
                    <w:spacing w:line="240" w:lineRule="auto"/>
                    <w:jc w:val="center"/>
                    <w:rPr>
                      <w:sz w:val="21"/>
                      <w:szCs w:val="21"/>
                    </w:rPr>
                  </w:pPr>
                  <w:r>
                    <w:rPr>
                      <w:sz w:val="21"/>
                      <w:szCs w:val="21"/>
                    </w:rPr>
                    <w:t>200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pct"/>
                  <w:vMerge w:val="continue"/>
                  <w:shd w:val="clear" w:color="auto" w:fill="auto"/>
                  <w:vAlign w:val="center"/>
                </w:tcPr>
                <w:p>
                  <w:pPr>
                    <w:spacing w:line="240" w:lineRule="auto"/>
                    <w:jc w:val="center"/>
                    <w:rPr>
                      <w:sz w:val="21"/>
                      <w:szCs w:val="21"/>
                    </w:rPr>
                  </w:pPr>
                </w:p>
              </w:tc>
              <w:tc>
                <w:tcPr>
                  <w:tcW w:w="625" w:type="pct"/>
                  <w:vMerge w:val="continue"/>
                  <w:shd w:val="clear" w:color="auto" w:fill="auto"/>
                  <w:vAlign w:val="center"/>
                </w:tcPr>
                <w:p>
                  <w:pPr>
                    <w:spacing w:line="240" w:lineRule="auto"/>
                    <w:jc w:val="center"/>
                    <w:rPr>
                      <w:sz w:val="21"/>
                      <w:szCs w:val="21"/>
                    </w:rPr>
                  </w:pPr>
                </w:p>
              </w:tc>
              <w:tc>
                <w:tcPr>
                  <w:tcW w:w="1337" w:type="pct"/>
                  <w:shd w:val="clear" w:color="auto" w:fill="auto"/>
                  <w:vAlign w:val="center"/>
                </w:tcPr>
                <w:p>
                  <w:pPr>
                    <w:spacing w:line="240" w:lineRule="auto"/>
                    <w:jc w:val="center"/>
                    <w:rPr>
                      <w:sz w:val="21"/>
                      <w:szCs w:val="21"/>
                    </w:rPr>
                  </w:pPr>
                  <w:r>
                    <w:rPr>
                      <w:sz w:val="21"/>
                      <w:szCs w:val="21"/>
                    </w:rPr>
                    <w:t>24小时平均</w:t>
                  </w:r>
                </w:p>
              </w:tc>
              <w:tc>
                <w:tcPr>
                  <w:tcW w:w="911" w:type="pct"/>
                  <w:shd w:val="clear" w:color="auto" w:fill="auto"/>
                  <w:vAlign w:val="center"/>
                </w:tcPr>
                <w:p>
                  <w:pPr>
                    <w:spacing w:line="240" w:lineRule="auto"/>
                    <w:jc w:val="center"/>
                    <w:rPr>
                      <w:sz w:val="21"/>
                      <w:szCs w:val="21"/>
                    </w:rPr>
                  </w:pPr>
                  <w:r>
                    <w:rPr>
                      <w:sz w:val="21"/>
                      <w:szCs w:val="21"/>
                    </w:rPr>
                    <w:t>300</w:t>
                  </w:r>
                </w:p>
              </w:tc>
              <w:tc>
                <w:tcPr>
                  <w:tcW w:w="735" w:type="pct"/>
                  <w:vMerge w:val="continue"/>
                  <w:shd w:val="clear" w:color="auto" w:fill="auto"/>
                  <w:vAlign w:val="center"/>
                </w:tcPr>
                <w:p>
                  <w:pPr>
                    <w:spacing w:line="240" w:lineRule="auto"/>
                    <w:jc w:val="center"/>
                    <w:rPr>
                      <w:sz w:val="21"/>
                      <w:szCs w:val="21"/>
                    </w:rPr>
                  </w:pPr>
                </w:p>
              </w:tc>
              <w:tc>
                <w:tcPr>
                  <w:tcW w:w="932" w:type="pct"/>
                  <w:vMerge w:val="continue"/>
                  <w:shd w:val="clear" w:color="auto" w:fill="auto"/>
                  <w:vAlign w:val="center"/>
                </w:tcPr>
                <w:p>
                  <w:pPr>
                    <w:spacing w:line="240" w:lineRule="auto"/>
                    <w:jc w:val="center"/>
                    <w:rPr>
                      <w:sz w:val="21"/>
                      <w:szCs w:val="21"/>
                    </w:rPr>
                  </w:pPr>
                </w:p>
              </w:tc>
            </w:tr>
          </w:tbl>
          <w:p>
            <w:pPr>
              <w:keepNext w:val="0"/>
              <w:keepLines w:val="0"/>
              <w:pageBreakBefore w:val="0"/>
              <w:widowControl w:val="0"/>
              <w:kinsoku/>
              <w:wordWrap/>
              <w:overflowPunct/>
              <w:topLinePunct w:val="0"/>
              <w:autoSpaceDE/>
              <w:autoSpaceDN/>
              <w:bidi w:val="0"/>
              <w:adjustRightInd/>
              <w:snapToGrid/>
              <w:ind w:firstLine="480" w:firstLineChars="200"/>
              <w:textAlignment w:val="auto"/>
            </w:pPr>
          </w:p>
          <w:p>
            <w:pPr>
              <w:keepNext w:val="0"/>
              <w:keepLines w:val="0"/>
              <w:pageBreakBefore w:val="0"/>
              <w:widowControl w:val="0"/>
              <w:kinsoku/>
              <w:wordWrap/>
              <w:overflowPunct/>
              <w:topLinePunct w:val="0"/>
              <w:autoSpaceDE/>
              <w:autoSpaceDN/>
              <w:bidi w:val="0"/>
              <w:adjustRightInd/>
              <w:snapToGrid/>
              <w:ind w:firstLine="480" w:firstLineChars="200"/>
              <w:textAlignment w:val="auto"/>
            </w:pP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2、声环境</w:t>
            </w:r>
          </w:p>
          <w:p>
            <w:pPr>
              <w:ind w:firstLine="480" w:firstLineChars="200"/>
            </w:pPr>
            <w:r>
              <w:t>执行《声环境质量标准》（GB3096-2008）1类区标准。</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pPr>
            <w:r>
              <w:t xml:space="preserve">     </w:t>
            </w:r>
            <w:r>
              <w:rPr>
                <w:b/>
                <w:bCs/>
              </w:rPr>
              <w:t xml:space="preserve"> 表1-2   声环境质量标准一览表          单位：dB(A)</w:t>
            </w:r>
          </w:p>
          <w:tbl>
            <w:tblPr>
              <w:tblStyle w:val="43"/>
              <w:tblW w:w="5000" w:type="pct"/>
              <w:jc w:val="center"/>
              <w:tblLayout w:type="fixed"/>
              <w:tblCellMar>
                <w:top w:w="0" w:type="dxa"/>
                <w:left w:w="108" w:type="dxa"/>
                <w:bottom w:w="0" w:type="dxa"/>
                <w:right w:w="108" w:type="dxa"/>
              </w:tblCellMar>
            </w:tblPr>
            <w:tblGrid>
              <w:gridCol w:w="2224"/>
              <w:gridCol w:w="1935"/>
              <w:gridCol w:w="2888"/>
            </w:tblGrid>
            <w:tr>
              <w:tblPrEx>
                <w:tblCellMar>
                  <w:top w:w="0" w:type="dxa"/>
                  <w:left w:w="108" w:type="dxa"/>
                  <w:bottom w:w="0" w:type="dxa"/>
                  <w:right w:w="108" w:type="dxa"/>
                </w:tblCellMar>
              </w:tblPrEx>
              <w:trPr>
                <w:trHeight w:val="294" w:hRule="atLeast"/>
                <w:jc w:val="center"/>
              </w:trPr>
              <w:tc>
                <w:tcPr>
                  <w:tcW w:w="2221" w:type="dxa"/>
                  <w:tcBorders>
                    <w:top w:val="single" w:color="000000" w:sz="4" w:space="0"/>
                    <w:left w:val="single" w:color="000000" w:sz="4" w:space="0"/>
                    <w:bottom w:val="single" w:color="000000" w:sz="4" w:space="0"/>
                    <w:right w:val="single" w:color="000000" w:sz="4" w:space="0"/>
                  </w:tcBorders>
                  <w:vAlign w:val="center"/>
                </w:tcPr>
                <w:p>
                  <w:pPr>
                    <w:pStyle w:val="133"/>
                    <w:overflowPunct/>
                    <w:autoSpaceDE/>
                    <w:autoSpaceDN/>
                    <w:spacing w:line="300" w:lineRule="exact"/>
                    <w:ind w:left="436" w:hanging="436"/>
                    <w:textAlignment w:val="auto"/>
                    <w:rPr>
                      <w:b/>
                      <w:bCs/>
                      <w:sz w:val="21"/>
                      <w:szCs w:val="21"/>
                    </w:rPr>
                  </w:pPr>
                  <w:r>
                    <w:rPr>
                      <w:b/>
                      <w:bCs/>
                      <w:sz w:val="21"/>
                      <w:szCs w:val="21"/>
                    </w:rPr>
                    <w:t>类别</w:t>
                  </w:r>
                </w:p>
              </w:tc>
              <w:tc>
                <w:tcPr>
                  <w:tcW w:w="1932" w:type="dxa"/>
                  <w:tcBorders>
                    <w:top w:val="single" w:color="000000" w:sz="4" w:space="0"/>
                    <w:left w:val="nil"/>
                    <w:bottom w:val="single" w:color="000000" w:sz="4" w:space="0"/>
                    <w:right w:val="single" w:color="000000" w:sz="4" w:space="0"/>
                  </w:tcBorders>
                  <w:vAlign w:val="center"/>
                </w:tcPr>
                <w:p>
                  <w:pPr>
                    <w:pStyle w:val="133"/>
                    <w:overflowPunct/>
                    <w:autoSpaceDE/>
                    <w:autoSpaceDN/>
                    <w:spacing w:line="300" w:lineRule="exact"/>
                    <w:ind w:left="436" w:hanging="436"/>
                    <w:textAlignment w:val="auto"/>
                    <w:rPr>
                      <w:b/>
                      <w:bCs/>
                      <w:sz w:val="21"/>
                      <w:szCs w:val="21"/>
                    </w:rPr>
                  </w:pPr>
                  <w:r>
                    <w:rPr>
                      <w:b/>
                      <w:bCs/>
                      <w:sz w:val="21"/>
                      <w:szCs w:val="21"/>
                    </w:rPr>
                    <w:t>昼间</w:t>
                  </w:r>
                  <w:r>
                    <w:rPr>
                      <w:b/>
                      <w:bCs/>
                      <w:sz w:val="21"/>
                      <w:szCs w:val="21"/>
                    </w:rPr>
                    <w:cr/>
                  </w:r>
                  <w:r>
                    <w:rPr>
                      <w:b/>
                      <w:bCs/>
                      <w:sz w:val="21"/>
                      <w:szCs w:val="21"/>
                    </w:rPr>
                    <w:t>dB(A)</w:t>
                  </w:r>
                </w:p>
              </w:tc>
              <w:tc>
                <w:tcPr>
                  <w:tcW w:w="2884" w:type="dxa"/>
                  <w:tcBorders>
                    <w:top w:val="single" w:color="000000" w:sz="4" w:space="0"/>
                    <w:left w:val="nil"/>
                    <w:bottom w:val="single" w:color="000000" w:sz="4" w:space="0"/>
                    <w:right w:val="single" w:color="000000" w:sz="4" w:space="0"/>
                  </w:tcBorders>
                  <w:vAlign w:val="center"/>
                </w:tcPr>
                <w:p>
                  <w:pPr>
                    <w:pStyle w:val="133"/>
                    <w:overflowPunct/>
                    <w:autoSpaceDE/>
                    <w:autoSpaceDN/>
                    <w:spacing w:line="300" w:lineRule="exact"/>
                    <w:ind w:left="436" w:hanging="436"/>
                    <w:textAlignment w:val="auto"/>
                    <w:rPr>
                      <w:b/>
                      <w:bCs/>
                      <w:sz w:val="21"/>
                      <w:szCs w:val="21"/>
                    </w:rPr>
                  </w:pPr>
                  <w:r>
                    <w:rPr>
                      <w:b/>
                      <w:bCs/>
                      <w:sz w:val="21"/>
                      <w:szCs w:val="21"/>
                    </w:rPr>
                    <w:t>夜间dB(A)</w:t>
                  </w:r>
                </w:p>
              </w:tc>
            </w:tr>
            <w:tr>
              <w:tblPrEx>
                <w:tblCellMar>
                  <w:top w:w="0" w:type="dxa"/>
                  <w:left w:w="108" w:type="dxa"/>
                  <w:bottom w:w="0" w:type="dxa"/>
                  <w:right w:w="108" w:type="dxa"/>
                </w:tblCellMar>
              </w:tblPrEx>
              <w:trPr>
                <w:trHeight w:val="284" w:hRule="atLeast"/>
                <w:jc w:val="center"/>
              </w:trPr>
              <w:tc>
                <w:tcPr>
                  <w:tcW w:w="2221" w:type="dxa"/>
                  <w:tcBorders>
                    <w:top w:val="single" w:color="000000" w:sz="4" w:space="0"/>
                    <w:left w:val="single" w:color="000000" w:sz="4" w:space="0"/>
                    <w:bottom w:val="single" w:color="000000" w:sz="4" w:space="0"/>
                    <w:right w:val="single" w:color="000000" w:sz="4" w:space="0"/>
                  </w:tcBorders>
                  <w:vAlign w:val="center"/>
                </w:tcPr>
                <w:p>
                  <w:pPr>
                    <w:pStyle w:val="133"/>
                    <w:overflowPunct/>
                    <w:autoSpaceDE/>
                    <w:autoSpaceDN/>
                    <w:spacing w:line="300" w:lineRule="exact"/>
                    <w:ind w:left="436" w:hanging="436"/>
                    <w:textAlignment w:val="auto"/>
                    <w:rPr>
                      <w:sz w:val="21"/>
                      <w:szCs w:val="21"/>
                    </w:rPr>
                  </w:pPr>
                  <w:r>
                    <w:rPr>
                      <w:sz w:val="21"/>
                      <w:szCs w:val="21"/>
                    </w:rPr>
                    <w:t>1</w:t>
                  </w:r>
                </w:p>
              </w:tc>
              <w:tc>
                <w:tcPr>
                  <w:tcW w:w="1932" w:type="dxa"/>
                  <w:tcBorders>
                    <w:top w:val="single" w:color="000000" w:sz="4" w:space="0"/>
                    <w:left w:val="nil"/>
                    <w:bottom w:val="single" w:color="000000" w:sz="4" w:space="0"/>
                    <w:right w:val="single" w:color="000000" w:sz="4" w:space="0"/>
                  </w:tcBorders>
                  <w:vAlign w:val="center"/>
                </w:tcPr>
                <w:p>
                  <w:pPr>
                    <w:pStyle w:val="235"/>
                    <w:tabs>
                      <w:tab w:val="clear" w:pos="4153"/>
                      <w:tab w:val="clear" w:pos="8306"/>
                    </w:tabs>
                    <w:jc w:val="center"/>
                    <w:rPr>
                      <w:sz w:val="21"/>
                      <w:szCs w:val="21"/>
                    </w:rPr>
                  </w:pPr>
                  <w:r>
                    <w:rPr>
                      <w:sz w:val="21"/>
                      <w:szCs w:val="21"/>
                    </w:rPr>
                    <w:t>55</w:t>
                  </w:r>
                </w:p>
              </w:tc>
              <w:tc>
                <w:tcPr>
                  <w:tcW w:w="2884" w:type="dxa"/>
                  <w:tcBorders>
                    <w:top w:val="single" w:color="000000" w:sz="4" w:space="0"/>
                    <w:left w:val="nil"/>
                    <w:bottom w:val="single" w:color="000000" w:sz="4" w:space="0"/>
                    <w:right w:val="single" w:color="000000" w:sz="4" w:space="0"/>
                  </w:tcBorders>
                  <w:vAlign w:val="center"/>
                </w:tcPr>
                <w:p>
                  <w:pPr>
                    <w:pStyle w:val="133"/>
                    <w:overflowPunct/>
                    <w:autoSpaceDE/>
                    <w:autoSpaceDN/>
                    <w:spacing w:line="300" w:lineRule="exact"/>
                    <w:ind w:left="436" w:hanging="436"/>
                    <w:textAlignment w:val="auto"/>
                    <w:rPr>
                      <w:sz w:val="21"/>
                      <w:szCs w:val="21"/>
                    </w:rPr>
                  </w:pPr>
                  <w:r>
                    <w:rPr>
                      <w:sz w:val="21"/>
                      <w:szCs w:val="21"/>
                    </w:rPr>
                    <w:t>45</w:t>
                  </w:r>
                </w:p>
              </w:tc>
            </w:tr>
          </w:tbl>
          <w:p>
            <w:pPr>
              <w:ind w:firstLine="480" w:firstLineChars="200"/>
            </w:pPr>
            <w:r>
              <w:t>3、地表水</w:t>
            </w:r>
          </w:p>
          <w:p>
            <w:pPr>
              <w:ind w:firstLine="480" w:firstLineChars="200"/>
              <w:rPr>
                <w:lang w:val="zh-CN"/>
              </w:rPr>
            </w:pPr>
            <w:r>
              <w:rPr>
                <w:rFonts w:hint="eastAsia"/>
                <w:lang w:val="en-US" w:eastAsia="zh-CN"/>
              </w:rPr>
              <w:t>地表水环境为</w:t>
            </w:r>
            <w:r>
              <w:rPr>
                <w:lang w:val="zh-CN"/>
              </w:rPr>
              <w:t>无事溪</w:t>
            </w:r>
            <w:r>
              <w:t>，</w:t>
            </w:r>
            <w:r>
              <w:rPr>
                <w:rFonts w:hint="eastAsia"/>
                <w:lang w:val="en-US" w:eastAsia="zh-CN"/>
              </w:rPr>
              <w:t>属于</w:t>
            </w:r>
            <w:r>
              <w:rPr>
                <w:lang w:val="zh-CN"/>
              </w:rPr>
              <w:t>农业用水区</w:t>
            </w:r>
            <w:r>
              <w:rPr>
                <w:rFonts w:hint="eastAsia"/>
                <w:lang w:val="zh-CN"/>
              </w:rPr>
              <w:t>，</w:t>
            </w:r>
            <w:r>
              <w:rPr>
                <w:rFonts w:hint="eastAsia"/>
                <w:lang w:val="en-US" w:eastAsia="zh-CN"/>
              </w:rPr>
              <w:t>执行</w:t>
            </w:r>
            <w:r>
              <w:rPr>
                <w:lang w:val="zh-CN"/>
              </w:rPr>
              <w:t>《地表水环境质量标准》Ⅲ类标准。</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b/>
                <w:bCs/>
              </w:rPr>
            </w:pPr>
            <w:r>
              <w:rPr>
                <w:b/>
                <w:bCs/>
              </w:rPr>
              <w:t>表1-3   地表水环境质量标准一览表</w:t>
            </w:r>
          </w:p>
          <w:tbl>
            <w:tblPr>
              <w:tblStyle w:val="43"/>
              <w:tblW w:w="7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900"/>
              <w:gridCol w:w="966"/>
              <w:gridCol w:w="1019"/>
              <w:gridCol w:w="1505"/>
              <w:gridCol w:w="917"/>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046" w:type="dxa"/>
                  <w:vAlign w:val="center"/>
                </w:tcPr>
                <w:p>
                  <w:pPr>
                    <w:jc w:val="center"/>
                    <w:rPr>
                      <w:b/>
                      <w:bCs/>
                      <w:sz w:val="21"/>
                      <w:szCs w:val="21"/>
                    </w:rPr>
                  </w:pPr>
                  <w:r>
                    <w:rPr>
                      <w:b/>
                      <w:bCs/>
                      <w:sz w:val="21"/>
                      <w:szCs w:val="21"/>
                    </w:rPr>
                    <w:t>类别</w:t>
                  </w:r>
                </w:p>
              </w:tc>
              <w:tc>
                <w:tcPr>
                  <w:tcW w:w="900" w:type="dxa"/>
                  <w:vAlign w:val="center"/>
                </w:tcPr>
                <w:p>
                  <w:pPr>
                    <w:jc w:val="center"/>
                    <w:rPr>
                      <w:b/>
                      <w:bCs/>
                      <w:sz w:val="21"/>
                      <w:szCs w:val="21"/>
                    </w:rPr>
                  </w:pPr>
                  <w:r>
                    <w:rPr>
                      <w:b/>
                      <w:bCs/>
                      <w:sz w:val="21"/>
                      <w:szCs w:val="21"/>
                    </w:rPr>
                    <w:t>pH</w:t>
                  </w:r>
                </w:p>
              </w:tc>
              <w:tc>
                <w:tcPr>
                  <w:tcW w:w="966" w:type="dxa"/>
                  <w:vAlign w:val="center"/>
                </w:tcPr>
                <w:p>
                  <w:pPr>
                    <w:jc w:val="center"/>
                    <w:rPr>
                      <w:b/>
                      <w:bCs/>
                      <w:sz w:val="21"/>
                      <w:szCs w:val="21"/>
                    </w:rPr>
                  </w:pPr>
                  <w:r>
                    <w:rPr>
                      <w:b/>
                      <w:bCs/>
                      <w:sz w:val="21"/>
                      <w:szCs w:val="21"/>
                    </w:rPr>
                    <w:t>CODCr</w:t>
                  </w:r>
                </w:p>
              </w:tc>
              <w:tc>
                <w:tcPr>
                  <w:tcW w:w="1019" w:type="dxa"/>
                  <w:vAlign w:val="center"/>
                </w:tcPr>
                <w:p>
                  <w:pPr>
                    <w:jc w:val="center"/>
                    <w:rPr>
                      <w:b/>
                      <w:bCs/>
                      <w:sz w:val="21"/>
                      <w:szCs w:val="21"/>
                    </w:rPr>
                  </w:pPr>
                  <w:r>
                    <w:rPr>
                      <w:b/>
                      <w:bCs/>
                      <w:sz w:val="21"/>
                      <w:szCs w:val="21"/>
                    </w:rPr>
                    <w:t>BOD5</w:t>
                  </w:r>
                </w:p>
              </w:tc>
              <w:tc>
                <w:tcPr>
                  <w:tcW w:w="1505" w:type="dxa"/>
                  <w:vAlign w:val="center"/>
                </w:tcPr>
                <w:p>
                  <w:pPr>
                    <w:adjustRightInd w:val="0"/>
                    <w:spacing w:line="300" w:lineRule="exact"/>
                    <w:jc w:val="center"/>
                    <w:rPr>
                      <w:b/>
                      <w:bCs/>
                      <w:sz w:val="21"/>
                      <w:szCs w:val="21"/>
                    </w:rPr>
                  </w:pPr>
                  <w:r>
                    <w:rPr>
                      <w:b/>
                      <w:bCs/>
                      <w:sz w:val="21"/>
                      <w:szCs w:val="21"/>
                    </w:rPr>
                    <w:t>高锰酸盐指数</w:t>
                  </w:r>
                </w:p>
              </w:tc>
              <w:tc>
                <w:tcPr>
                  <w:tcW w:w="917" w:type="dxa"/>
                  <w:vAlign w:val="center"/>
                </w:tcPr>
                <w:p>
                  <w:pPr>
                    <w:adjustRightInd w:val="0"/>
                    <w:spacing w:line="300" w:lineRule="exact"/>
                    <w:jc w:val="center"/>
                    <w:rPr>
                      <w:b/>
                      <w:bCs/>
                      <w:sz w:val="21"/>
                      <w:szCs w:val="21"/>
                    </w:rPr>
                  </w:pPr>
                  <w:r>
                    <w:rPr>
                      <w:b/>
                      <w:bCs/>
                      <w:sz w:val="21"/>
                      <w:szCs w:val="21"/>
                    </w:rPr>
                    <w:t>石油类</w:t>
                  </w:r>
                </w:p>
              </w:tc>
              <w:tc>
                <w:tcPr>
                  <w:tcW w:w="684" w:type="dxa"/>
                  <w:vAlign w:val="center"/>
                </w:tcPr>
                <w:p>
                  <w:pPr>
                    <w:jc w:val="center"/>
                    <w:rPr>
                      <w:b/>
                      <w:bCs/>
                      <w:sz w:val="21"/>
                      <w:szCs w:val="21"/>
                    </w:rPr>
                  </w:pPr>
                  <w:r>
                    <w:rPr>
                      <w:b/>
                      <w:bCs/>
                      <w:sz w:val="21"/>
                      <w:szCs w:val="21"/>
                    </w:rPr>
                    <w:t>氨氮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46" w:type="dxa"/>
                  <w:vAlign w:val="center"/>
                </w:tcPr>
                <w:p>
                  <w:pPr>
                    <w:jc w:val="center"/>
                    <w:rPr>
                      <w:sz w:val="21"/>
                      <w:szCs w:val="21"/>
                    </w:rPr>
                  </w:pPr>
                  <w:r>
                    <w:rPr>
                      <w:sz w:val="21"/>
                      <w:szCs w:val="21"/>
                    </w:rPr>
                    <w:t>III</w:t>
                  </w:r>
                </w:p>
              </w:tc>
              <w:tc>
                <w:tcPr>
                  <w:tcW w:w="900" w:type="dxa"/>
                  <w:vAlign w:val="center"/>
                </w:tcPr>
                <w:p>
                  <w:pPr>
                    <w:jc w:val="center"/>
                    <w:rPr>
                      <w:sz w:val="21"/>
                      <w:szCs w:val="21"/>
                    </w:rPr>
                  </w:pPr>
                  <w:r>
                    <w:rPr>
                      <w:sz w:val="21"/>
                      <w:szCs w:val="21"/>
                    </w:rPr>
                    <w:t>6～9</w:t>
                  </w:r>
                </w:p>
              </w:tc>
              <w:tc>
                <w:tcPr>
                  <w:tcW w:w="966" w:type="dxa"/>
                  <w:vAlign w:val="center"/>
                </w:tcPr>
                <w:p>
                  <w:pPr>
                    <w:jc w:val="center"/>
                    <w:rPr>
                      <w:sz w:val="21"/>
                      <w:szCs w:val="21"/>
                    </w:rPr>
                  </w:pPr>
                  <w:r>
                    <w:rPr>
                      <w:sz w:val="21"/>
                      <w:szCs w:val="21"/>
                    </w:rPr>
                    <w:t>20</w:t>
                  </w:r>
                </w:p>
              </w:tc>
              <w:tc>
                <w:tcPr>
                  <w:tcW w:w="1019" w:type="dxa"/>
                  <w:vAlign w:val="center"/>
                </w:tcPr>
                <w:p>
                  <w:pPr>
                    <w:jc w:val="center"/>
                    <w:rPr>
                      <w:sz w:val="21"/>
                      <w:szCs w:val="21"/>
                    </w:rPr>
                  </w:pPr>
                  <w:r>
                    <w:rPr>
                      <w:sz w:val="21"/>
                      <w:szCs w:val="21"/>
                    </w:rPr>
                    <w:t>4</w:t>
                  </w:r>
                </w:p>
              </w:tc>
              <w:tc>
                <w:tcPr>
                  <w:tcW w:w="1505" w:type="dxa"/>
                  <w:vAlign w:val="center"/>
                </w:tcPr>
                <w:p>
                  <w:pPr>
                    <w:adjustRightInd w:val="0"/>
                    <w:spacing w:line="300" w:lineRule="exact"/>
                    <w:jc w:val="center"/>
                    <w:rPr>
                      <w:sz w:val="21"/>
                      <w:szCs w:val="21"/>
                    </w:rPr>
                  </w:pPr>
                  <w:r>
                    <w:rPr>
                      <w:sz w:val="21"/>
                      <w:szCs w:val="21"/>
                    </w:rPr>
                    <w:t>6</w:t>
                  </w:r>
                </w:p>
              </w:tc>
              <w:tc>
                <w:tcPr>
                  <w:tcW w:w="917" w:type="dxa"/>
                  <w:vAlign w:val="center"/>
                </w:tcPr>
                <w:p>
                  <w:pPr>
                    <w:adjustRightInd w:val="0"/>
                    <w:spacing w:line="300" w:lineRule="exact"/>
                    <w:jc w:val="center"/>
                    <w:rPr>
                      <w:sz w:val="21"/>
                      <w:szCs w:val="21"/>
                    </w:rPr>
                  </w:pPr>
                  <w:r>
                    <w:rPr>
                      <w:sz w:val="21"/>
                      <w:szCs w:val="21"/>
                    </w:rPr>
                    <w:t>0.05</w:t>
                  </w:r>
                </w:p>
              </w:tc>
              <w:tc>
                <w:tcPr>
                  <w:tcW w:w="684" w:type="dxa"/>
                  <w:vAlign w:val="center"/>
                </w:tcPr>
                <w:p>
                  <w:pPr>
                    <w:jc w:val="center"/>
                    <w:rPr>
                      <w:sz w:val="21"/>
                      <w:szCs w:val="21"/>
                    </w:rPr>
                  </w:pPr>
                  <w:r>
                    <w:rPr>
                      <w:sz w:val="21"/>
                      <w:szCs w:val="21"/>
                    </w:rPr>
                    <w:t>1.0</w:t>
                  </w:r>
                </w:p>
              </w:tc>
            </w:tr>
          </w:tbl>
          <w:p>
            <w:pPr>
              <w:spacing w:line="480" w:lineRule="exact"/>
            </w:pPr>
            <w:r>
              <w:t>污染物排放标准：</w:t>
            </w:r>
          </w:p>
          <w:p>
            <w:pPr>
              <w:ind w:firstLine="480" w:firstLineChars="200"/>
            </w:pPr>
            <w:r>
              <w:t>1、废水</w:t>
            </w:r>
          </w:p>
          <w:p>
            <w:pPr>
              <w:adjustRightInd w:val="0"/>
              <w:ind w:firstLine="480" w:firstLineChars="200"/>
            </w:pPr>
            <w:r>
              <w:t>生活污水执行《污水综合排放标准》（GB8978-1996）中的三级标准；氨氮</w:t>
            </w:r>
            <w:r>
              <w:rPr>
                <w:rFonts w:hint="eastAsia"/>
                <w:lang w:eastAsia="zh-CN"/>
              </w:rPr>
              <w:t>、</w:t>
            </w:r>
            <w:r>
              <w:rPr>
                <w:rFonts w:hint="eastAsia"/>
                <w:lang w:val="en-US" w:eastAsia="zh-CN"/>
              </w:rPr>
              <w:t>TP、TN</w:t>
            </w:r>
            <w:r>
              <w:t>排放浓度参照执行《污水排入城镇下水道水质标准》（CJ343-2010）中进入城市污水处理厂的标准，</w:t>
            </w:r>
            <w:r>
              <w:rPr>
                <w:rFonts w:hint="eastAsia"/>
                <w:lang w:eastAsia="zh-CN"/>
              </w:rPr>
              <w:t>具体见下表</w:t>
            </w:r>
            <w:r>
              <w:t>。</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b/>
                <w:bCs/>
              </w:rPr>
            </w:pPr>
            <w:r>
              <w:rPr>
                <w:b/>
                <w:bCs/>
              </w:rPr>
              <w:t>表1-4   污水综合排放标准一览表 单位：mg/L（PH除外）</w:t>
            </w:r>
          </w:p>
          <w:tbl>
            <w:tblPr>
              <w:tblStyle w:val="43"/>
              <w:tblW w:w="6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855"/>
              <w:gridCol w:w="828"/>
              <w:gridCol w:w="889"/>
              <w:gridCol w:w="1004"/>
              <w:gridCol w:w="859"/>
              <w:gridCol w:w="755"/>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076" w:type="dxa"/>
                  <w:vAlign w:val="center"/>
                </w:tcPr>
                <w:p>
                  <w:pPr>
                    <w:adjustRightInd w:val="0"/>
                    <w:spacing w:line="300" w:lineRule="exact"/>
                    <w:jc w:val="center"/>
                    <w:rPr>
                      <w:b/>
                      <w:bCs/>
                      <w:sz w:val="21"/>
                      <w:szCs w:val="21"/>
                    </w:rPr>
                  </w:pPr>
                  <w:r>
                    <w:rPr>
                      <w:b/>
                      <w:bCs/>
                      <w:sz w:val="21"/>
                      <w:szCs w:val="21"/>
                    </w:rPr>
                    <w:t>污染物</w:t>
                  </w:r>
                </w:p>
              </w:tc>
              <w:tc>
                <w:tcPr>
                  <w:tcW w:w="855" w:type="dxa"/>
                  <w:vAlign w:val="center"/>
                </w:tcPr>
                <w:p>
                  <w:pPr>
                    <w:adjustRightInd w:val="0"/>
                    <w:spacing w:line="300" w:lineRule="exact"/>
                    <w:jc w:val="center"/>
                    <w:rPr>
                      <w:b/>
                      <w:bCs/>
                      <w:sz w:val="21"/>
                      <w:szCs w:val="21"/>
                    </w:rPr>
                  </w:pPr>
                  <w:r>
                    <w:rPr>
                      <w:b/>
                      <w:bCs/>
                      <w:sz w:val="21"/>
                      <w:szCs w:val="21"/>
                    </w:rPr>
                    <w:t>SS</w:t>
                  </w:r>
                </w:p>
              </w:tc>
              <w:tc>
                <w:tcPr>
                  <w:tcW w:w="828" w:type="dxa"/>
                  <w:vAlign w:val="center"/>
                </w:tcPr>
                <w:p>
                  <w:pPr>
                    <w:adjustRightInd w:val="0"/>
                    <w:spacing w:line="300" w:lineRule="exact"/>
                    <w:jc w:val="center"/>
                    <w:rPr>
                      <w:b/>
                      <w:bCs/>
                      <w:sz w:val="21"/>
                      <w:szCs w:val="21"/>
                    </w:rPr>
                  </w:pPr>
                  <w:r>
                    <w:rPr>
                      <w:b/>
                      <w:bCs/>
                      <w:sz w:val="21"/>
                      <w:szCs w:val="21"/>
                    </w:rPr>
                    <w:t>氨氮</w:t>
                  </w:r>
                </w:p>
              </w:tc>
              <w:tc>
                <w:tcPr>
                  <w:tcW w:w="889" w:type="dxa"/>
                  <w:vAlign w:val="center"/>
                </w:tcPr>
                <w:p>
                  <w:pPr>
                    <w:adjustRightInd w:val="0"/>
                    <w:spacing w:line="300" w:lineRule="exact"/>
                    <w:jc w:val="center"/>
                    <w:rPr>
                      <w:b/>
                      <w:bCs/>
                      <w:sz w:val="21"/>
                      <w:szCs w:val="21"/>
                    </w:rPr>
                  </w:pPr>
                  <w:r>
                    <w:rPr>
                      <w:b/>
                      <w:bCs/>
                      <w:sz w:val="21"/>
                      <w:szCs w:val="21"/>
                    </w:rPr>
                    <w:t>COD</w:t>
                  </w:r>
                </w:p>
              </w:tc>
              <w:tc>
                <w:tcPr>
                  <w:tcW w:w="1004" w:type="dxa"/>
                  <w:vAlign w:val="center"/>
                </w:tcPr>
                <w:p>
                  <w:pPr>
                    <w:adjustRightInd w:val="0"/>
                    <w:spacing w:line="300" w:lineRule="exact"/>
                    <w:jc w:val="center"/>
                    <w:rPr>
                      <w:rFonts w:hint="default"/>
                      <w:b/>
                      <w:bCs/>
                      <w:sz w:val="21"/>
                      <w:szCs w:val="21"/>
                      <w:lang w:val="en-US" w:eastAsia="zh-CN"/>
                    </w:rPr>
                  </w:pPr>
                  <w:r>
                    <w:rPr>
                      <w:rFonts w:hint="eastAsia"/>
                      <w:b/>
                      <w:bCs/>
                      <w:sz w:val="21"/>
                      <w:szCs w:val="21"/>
                      <w:lang w:val="en-US" w:eastAsia="zh-CN"/>
                    </w:rPr>
                    <w:t>BOD5</w:t>
                  </w:r>
                </w:p>
              </w:tc>
              <w:tc>
                <w:tcPr>
                  <w:tcW w:w="859" w:type="dxa"/>
                  <w:vAlign w:val="center"/>
                </w:tcPr>
                <w:p>
                  <w:pPr>
                    <w:adjustRightInd w:val="0"/>
                    <w:spacing w:line="300" w:lineRule="exact"/>
                    <w:jc w:val="center"/>
                    <w:rPr>
                      <w:b/>
                      <w:bCs/>
                      <w:sz w:val="21"/>
                      <w:szCs w:val="21"/>
                    </w:rPr>
                  </w:pPr>
                  <w:r>
                    <w:rPr>
                      <w:b/>
                      <w:bCs/>
                      <w:sz w:val="21"/>
                      <w:szCs w:val="21"/>
                    </w:rPr>
                    <w:t>PH</w:t>
                  </w:r>
                </w:p>
              </w:tc>
              <w:tc>
                <w:tcPr>
                  <w:tcW w:w="755" w:type="dxa"/>
                  <w:vAlign w:val="center"/>
                </w:tcPr>
                <w:p>
                  <w:pPr>
                    <w:adjustRightInd w:val="0"/>
                    <w:spacing w:line="300" w:lineRule="exact"/>
                    <w:jc w:val="center"/>
                    <w:rPr>
                      <w:rFonts w:hint="default"/>
                      <w:b/>
                      <w:bCs/>
                      <w:sz w:val="21"/>
                      <w:szCs w:val="21"/>
                      <w:lang w:val="en-US" w:eastAsia="zh-CN"/>
                    </w:rPr>
                  </w:pPr>
                  <w:r>
                    <w:rPr>
                      <w:rFonts w:hint="eastAsia"/>
                      <w:b/>
                      <w:bCs/>
                      <w:sz w:val="21"/>
                      <w:szCs w:val="21"/>
                      <w:lang w:val="en-US" w:eastAsia="zh-CN"/>
                    </w:rPr>
                    <w:t>TP</w:t>
                  </w:r>
                </w:p>
              </w:tc>
              <w:tc>
                <w:tcPr>
                  <w:tcW w:w="719" w:type="dxa"/>
                  <w:vAlign w:val="center"/>
                </w:tcPr>
                <w:p>
                  <w:pPr>
                    <w:adjustRightInd w:val="0"/>
                    <w:spacing w:line="300" w:lineRule="exact"/>
                    <w:jc w:val="center"/>
                    <w:rPr>
                      <w:rFonts w:hint="default"/>
                      <w:b/>
                      <w:bCs/>
                      <w:sz w:val="21"/>
                      <w:szCs w:val="21"/>
                      <w:lang w:val="en-US" w:eastAsia="zh-CN"/>
                    </w:rPr>
                  </w:pPr>
                  <w:r>
                    <w:rPr>
                      <w:rFonts w:hint="eastAsia"/>
                      <w:b/>
                      <w:bCs/>
                      <w:sz w:val="21"/>
                      <w:szCs w:val="21"/>
                      <w:lang w:val="en-US" w:eastAsia="zh-CN"/>
                    </w:rPr>
                    <w:t>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076" w:type="dxa"/>
                  <w:vAlign w:val="center"/>
                </w:tcPr>
                <w:p>
                  <w:pPr>
                    <w:adjustRightInd w:val="0"/>
                    <w:spacing w:line="300" w:lineRule="exact"/>
                    <w:jc w:val="center"/>
                    <w:rPr>
                      <w:sz w:val="21"/>
                      <w:szCs w:val="21"/>
                    </w:rPr>
                  </w:pPr>
                  <w:r>
                    <w:rPr>
                      <w:sz w:val="21"/>
                      <w:szCs w:val="21"/>
                    </w:rPr>
                    <w:t>最高允许排放浓度</w:t>
                  </w:r>
                </w:p>
              </w:tc>
              <w:tc>
                <w:tcPr>
                  <w:tcW w:w="855" w:type="dxa"/>
                  <w:vAlign w:val="center"/>
                </w:tcPr>
                <w:p>
                  <w:pPr>
                    <w:adjustRightInd w:val="0"/>
                    <w:spacing w:line="300" w:lineRule="exact"/>
                    <w:jc w:val="center"/>
                    <w:rPr>
                      <w:sz w:val="21"/>
                      <w:szCs w:val="21"/>
                    </w:rPr>
                  </w:pPr>
                  <w:r>
                    <w:rPr>
                      <w:sz w:val="21"/>
                      <w:szCs w:val="21"/>
                    </w:rPr>
                    <w:t>400</w:t>
                  </w:r>
                </w:p>
              </w:tc>
              <w:tc>
                <w:tcPr>
                  <w:tcW w:w="828" w:type="dxa"/>
                  <w:vAlign w:val="center"/>
                </w:tcPr>
                <w:p>
                  <w:pPr>
                    <w:adjustRightInd w:val="0"/>
                    <w:spacing w:line="300" w:lineRule="exact"/>
                    <w:jc w:val="center"/>
                    <w:rPr>
                      <w:sz w:val="21"/>
                      <w:szCs w:val="21"/>
                    </w:rPr>
                  </w:pPr>
                  <w:r>
                    <w:rPr>
                      <w:sz w:val="21"/>
                      <w:szCs w:val="21"/>
                    </w:rPr>
                    <w:t>300</w:t>
                  </w:r>
                </w:p>
              </w:tc>
              <w:tc>
                <w:tcPr>
                  <w:tcW w:w="889" w:type="dxa"/>
                  <w:vAlign w:val="center"/>
                </w:tcPr>
                <w:p>
                  <w:pPr>
                    <w:adjustRightInd w:val="0"/>
                    <w:spacing w:line="300" w:lineRule="exact"/>
                    <w:jc w:val="center"/>
                    <w:rPr>
                      <w:sz w:val="21"/>
                      <w:szCs w:val="21"/>
                    </w:rPr>
                  </w:pPr>
                  <w:r>
                    <w:rPr>
                      <w:sz w:val="21"/>
                      <w:szCs w:val="21"/>
                    </w:rPr>
                    <w:t>500</w:t>
                  </w:r>
                </w:p>
              </w:tc>
              <w:tc>
                <w:tcPr>
                  <w:tcW w:w="1004" w:type="dxa"/>
                  <w:vAlign w:val="center"/>
                </w:tcPr>
                <w:p>
                  <w:pPr>
                    <w:adjustRightInd w:val="0"/>
                    <w:spacing w:line="300" w:lineRule="exact"/>
                    <w:jc w:val="center"/>
                    <w:rPr>
                      <w:rFonts w:hint="default"/>
                      <w:sz w:val="21"/>
                      <w:szCs w:val="21"/>
                      <w:lang w:val="en-US" w:eastAsia="zh-CN"/>
                    </w:rPr>
                  </w:pPr>
                  <w:r>
                    <w:rPr>
                      <w:rFonts w:hint="eastAsia"/>
                      <w:sz w:val="21"/>
                      <w:szCs w:val="21"/>
                      <w:lang w:val="en-US" w:eastAsia="zh-CN"/>
                    </w:rPr>
                    <w:t>300</w:t>
                  </w:r>
                </w:p>
              </w:tc>
              <w:tc>
                <w:tcPr>
                  <w:tcW w:w="859" w:type="dxa"/>
                  <w:vAlign w:val="center"/>
                </w:tcPr>
                <w:p>
                  <w:pPr>
                    <w:adjustRightInd w:val="0"/>
                    <w:spacing w:line="300" w:lineRule="exact"/>
                    <w:jc w:val="center"/>
                    <w:rPr>
                      <w:sz w:val="21"/>
                      <w:szCs w:val="21"/>
                    </w:rPr>
                  </w:pPr>
                  <w:r>
                    <w:rPr>
                      <w:sz w:val="21"/>
                      <w:szCs w:val="21"/>
                    </w:rPr>
                    <w:t>6～9</w:t>
                  </w:r>
                </w:p>
              </w:tc>
              <w:tc>
                <w:tcPr>
                  <w:tcW w:w="755" w:type="dxa"/>
                  <w:vAlign w:val="center"/>
                </w:tcPr>
                <w:p>
                  <w:pPr>
                    <w:adjustRightInd w:val="0"/>
                    <w:spacing w:line="300" w:lineRule="exact"/>
                    <w:jc w:val="center"/>
                    <w:rPr>
                      <w:rFonts w:hint="eastAsia"/>
                      <w:sz w:val="21"/>
                      <w:szCs w:val="21"/>
                      <w:lang w:val="en-US" w:eastAsia="zh-CN"/>
                    </w:rPr>
                  </w:pPr>
                  <w:r>
                    <w:rPr>
                      <w:rFonts w:hint="eastAsia"/>
                      <w:sz w:val="21"/>
                      <w:szCs w:val="21"/>
                      <w:lang w:val="en-US" w:eastAsia="zh-CN"/>
                    </w:rPr>
                    <w:t>8</w:t>
                  </w:r>
                </w:p>
              </w:tc>
              <w:tc>
                <w:tcPr>
                  <w:tcW w:w="719" w:type="dxa"/>
                  <w:vAlign w:val="center"/>
                </w:tcPr>
                <w:p>
                  <w:pPr>
                    <w:adjustRightInd w:val="0"/>
                    <w:spacing w:line="300" w:lineRule="exact"/>
                    <w:jc w:val="center"/>
                    <w:rPr>
                      <w:rFonts w:hint="default"/>
                      <w:sz w:val="21"/>
                      <w:szCs w:val="21"/>
                      <w:lang w:val="en-US" w:eastAsia="zh-CN"/>
                    </w:rPr>
                  </w:pPr>
                  <w:r>
                    <w:rPr>
                      <w:rFonts w:hint="eastAsia"/>
                      <w:sz w:val="21"/>
                      <w:szCs w:val="21"/>
                      <w:lang w:val="en-US" w:eastAsia="zh-CN"/>
                    </w:rPr>
                    <w:t>70</w:t>
                  </w:r>
                </w:p>
              </w:tc>
            </w:tr>
          </w:tbl>
          <w:p>
            <w:pPr>
              <w:ind w:firstLine="480" w:firstLineChars="200"/>
            </w:pPr>
            <w:r>
              <w:t>2、噪声</w:t>
            </w:r>
          </w:p>
          <w:p>
            <w:pPr>
              <w:adjustRightInd w:val="0"/>
              <w:ind w:firstLine="480" w:firstLineChars="200"/>
            </w:pPr>
            <w:r>
              <w:t>施工噪声执行《建筑施工场界环境噪声排放标准》(GB12523-2011)，即昼间70 dB（A），夜间55 dB（A）；营运期执行</w:t>
            </w:r>
            <w:r>
              <w:rPr>
                <w:rFonts w:hint="eastAsia"/>
              </w:rPr>
              <w:t>《</w:t>
            </w:r>
            <w:r>
              <w:rPr>
                <w:rFonts w:hint="eastAsia"/>
                <w:lang w:val="en-US" w:eastAsia="zh-CN"/>
              </w:rPr>
              <w:t>工业企业厂界环境噪声排放标准</w:t>
            </w:r>
            <w:r>
              <w:rPr>
                <w:rFonts w:hint="eastAsia"/>
              </w:rPr>
              <w:t>》（GB</w:t>
            </w:r>
            <w:r>
              <w:rPr>
                <w:rFonts w:hint="eastAsia"/>
                <w:lang w:val="en-US" w:eastAsia="zh-CN"/>
              </w:rPr>
              <w:t>12348-2008</w:t>
            </w:r>
            <w:r>
              <w:rPr>
                <w:rFonts w:hint="eastAsia"/>
              </w:rPr>
              <w:t>）</w:t>
            </w:r>
            <w:r>
              <w:t>中1类</w:t>
            </w:r>
            <w:r>
              <w:rPr>
                <w:rFonts w:hint="eastAsia"/>
                <w:lang w:val="en-US" w:eastAsia="zh-CN"/>
              </w:rPr>
              <w:t>限值</w:t>
            </w:r>
            <w:r>
              <w:t>：</w:t>
            </w:r>
            <w:r>
              <w:rPr>
                <w:rFonts w:hint="eastAsia"/>
                <w:lang w:eastAsia="zh-CN"/>
              </w:rPr>
              <w:t>昼间</w:t>
            </w:r>
            <w:r>
              <w:t>55dB(A)、</w:t>
            </w:r>
            <w:r>
              <w:rPr>
                <w:rFonts w:hint="eastAsia"/>
                <w:lang w:eastAsia="zh-CN"/>
              </w:rPr>
              <w:t>夜间</w:t>
            </w:r>
            <w:r>
              <w:t>45dB(A)。</w:t>
            </w:r>
          </w:p>
          <w:p>
            <w:pPr>
              <w:adjustRightInd w:val="0"/>
              <w:ind w:firstLine="480" w:firstLineChars="200"/>
            </w:pPr>
            <w:r>
              <w:t>3、废气</w:t>
            </w:r>
          </w:p>
          <w:p>
            <w:r>
              <w:t xml:space="preserve">    施工期执行《大气污染物综合排放标准》（GB16297-1996）中二级标准。</w:t>
            </w:r>
          </w:p>
          <w:p>
            <w:pPr>
              <w:ind w:firstLine="480" w:firstLineChars="200"/>
            </w:pPr>
            <w:r>
              <w:t>4、固废</w:t>
            </w:r>
          </w:p>
          <w:p>
            <w:pPr>
              <w:ind w:firstLine="480" w:firstLineChars="200"/>
            </w:pPr>
            <w:r>
              <w:t>施工</w:t>
            </w:r>
            <w:r>
              <w:rPr>
                <w:rFonts w:hint="eastAsia"/>
                <w:lang w:val="en-US" w:eastAsia="zh-CN"/>
              </w:rPr>
              <w:t>期</w:t>
            </w:r>
            <w:r>
              <w:t>弃渣及建筑垃圾执行《一般工业固体废物贮存、处置场污染控制标准》（GB 18599-2001）及其2013 年修改单要求；生活垃圾进入生活垃圾填埋场，执行《生活垃圾填埋场污染物控制标准》（GB16889-2008）中填埋废物入场要求标准。</w:t>
            </w:r>
          </w:p>
          <w:p>
            <w:pPr>
              <w:pStyle w:val="2"/>
              <w:ind w:left="0" w:leftChars="0" w:firstLine="0" w:firstLineChars="0"/>
            </w:pPr>
          </w:p>
          <w:p>
            <w:pPr>
              <w:pStyle w:val="2"/>
            </w:pPr>
          </w:p>
          <w:p>
            <w:pPr>
              <w:pStyle w:val="2"/>
              <w:ind w:left="0" w:leftChars="0" w:firstLine="0" w:firstLineChars="0"/>
            </w:pPr>
          </w:p>
        </w:tc>
      </w:tr>
    </w:tbl>
    <w:p>
      <w:pPr>
        <w:spacing w:line="240" w:lineRule="auto"/>
        <w:jc w:val="both"/>
        <w:rPr>
          <w:rFonts w:hAnsi="宋体"/>
          <w:b/>
          <w:sz w:val="28"/>
          <w:szCs w:val="28"/>
        </w:rPr>
      </w:pPr>
    </w:p>
    <w:p>
      <w:pPr>
        <w:spacing w:line="240" w:lineRule="auto"/>
        <w:jc w:val="center"/>
        <w:outlineLvl w:val="0"/>
        <w:rPr>
          <w:rFonts w:hAnsi="宋体"/>
          <w:b/>
          <w:sz w:val="28"/>
          <w:szCs w:val="28"/>
        </w:rPr>
      </w:pPr>
      <w:bookmarkStart w:id="4" w:name="_Toc22274"/>
      <w:r>
        <w:rPr>
          <w:rFonts w:hAnsi="宋体"/>
          <w:b/>
          <w:sz w:val="28"/>
          <w:szCs w:val="28"/>
        </w:rPr>
        <w:t>表二    工程内容</w:t>
      </w:r>
      <w:bookmarkEnd w:id="4"/>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8" w:hRule="atLeast"/>
          <w:jc w:val="center"/>
        </w:trPr>
        <w:tc>
          <w:tcPr>
            <w:tcW w:w="9526" w:type="dxa"/>
            <w:vAlign w:val="center"/>
          </w:tcPr>
          <w:p>
            <w:pPr>
              <w:ind w:firstLine="480"/>
              <w:rPr>
                <w:b/>
              </w:rPr>
            </w:pPr>
            <w:r>
              <w:rPr>
                <w:rFonts w:hAnsi="宋体"/>
                <w:b/>
              </w:rPr>
              <w:t>项目由来：</w:t>
            </w:r>
          </w:p>
          <w:p>
            <w:pPr>
              <w:ind w:firstLine="480" w:firstLineChars="200"/>
              <w:rPr>
                <w:rFonts w:hint="eastAsia" w:eastAsia="宋体"/>
                <w:lang w:eastAsia="zh-CN"/>
              </w:rPr>
            </w:pPr>
            <w:r>
              <w:rPr>
                <w:rFonts w:hAnsi="宋体"/>
              </w:rPr>
              <w:t>吉首大学张家界学院是</w:t>
            </w:r>
            <w:r>
              <w:t xml:space="preserve"> 2002 </w:t>
            </w:r>
            <w:r>
              <w:rPr>
                <w:rFonts w:hAnsi="宋体"/>
              </w:rPr>
              <w:t>年经湖南省人民政府、湖南省教育厅正式批准，并经国家教育部验收通过，按新机制、新模式运行的独立学院。学院规划有教学楼、实验楼、图书馆、教科文国际交流中心、体育场馆、艺术楼、音乐厅、校行政办公楼、学生公寓、食堂、服务中心、医学院学、教师周转房、教职工居住小区等项目内容。随着学院办学规模逐步增大，现状教育设施已不能满足正常教学需要。因此，学院将其东侧一块备用地（编号为</w:t>
            </w:r>
            <w:r>
              <w:t xml:space="preserve"> C-1-01</w:t>
            </w:r>
            <w:r>
              <w:rPr>
                <w:rFonts w:hAnsi="宋体"/>
              </w:rPr>
              <w:t>）纳入了学院建设计划范围（该地块市人民政府以教育用地类型出让给吉首大学张家界学院使用）。</w:t>
            </w:r>
            <w:r>
              <w:t>2019</w:t>
            </w:r>
            <w:r>
              <w:rPr>
                <w:rFonts w:hAnsi="宋体"/>
              </w:rPr>
              <w:t>年</w:t>
            </w:r>
            <w:r>
              <w:t>12</w:t>
            </w:r>
            <w:r>
              <w:rPr>
                <w:rFonts w:hAnsi="宋体"/>
              </w:rPr>
              <w:t>月</w:t>
            </w:r>
            <w:r>
              <w:t>12</w:t>
            </w:r>
            <w:r>
              <w:rPr>
                <w:rFonts w:hAnsi="宋体"/>
              </w:rPr>
              <w:t>日，在市国土空间规划委员会办公室</w:t>
            </w:r>
            <w:r>
              <w:t xml:space="preserve"> 2019 </w:t>
            </w:r>
            <w:r>
              <w:rPr>
                <w:rFonts w:hAnsi="宋体"/>
              </w:rPr>
              <w:t>年第五次会议，对吉首大学张家界学院东北侧地块（沙堤控规</w:t>
            </w:r>
            <w:r>
              <w:t xml:space="preserve"> C-1-01 </w:t>
            </w:r>
            <w:r>
              <w:rPr>
                <w:rFonts w:hAnsi="宋体"/>
              </w:rPr>
              <w:t>地块）</w:t>
            </w:r>
            <w:r>
              <w:t xml:space="preserve"> </w:t>
            </w:r>
            <w:r>
              <w:rPr>
                <w:rFonts w:hAnsi="宋体"/>
              </w:rPr>
              <w:t>规划调整论证方案进行了审议，会议明确同意将沙堤控规</w:t>
            </w:r>
            <w:r>
              <w:t xml:space="preserve"> C-1-01 </w:t>
            </w:r>
            <w:r>
              <w:rPr>
                <w:rFonts w:hAnsi="宋体"/>
              </w:rPr>
              <w:t>地块用地性质调整为教育用地，地块用地的纳入校园总体规划</w:t>
            </w:r>
            <w:r>
              <w:rPr>
                <w:rFonts w:hint="eastAsia" w:hAnsi="宋体"/>
                <w:lang w:eastAsia="zh-CN"/>
              </w:rPr>
              <w:t>（见附件</w:t>
            </w:r>
            <w:r>
              <w:rPr>
                <w:rFonts w:hint="eastAsia" w:hAnsi="宋体"/>
                <w:lang w:val="en-US" w:eastAsia="zh-CN"/>
              </w:rPr>
              <w:t>7</w:t>
            </w:r>
            <w:r>
              <w:rPr>
                <w:rFonts w:hint="eastAsia" w:hAnsi="宋体"/>
                <w:lang w:eastAsia="zh-CN"/>
              </w:rPr>
              <w:t>）</w:t>
            </w:r>
            <w:r>
              <w:rPr>
                <w:rFonts w:hAnsi="宋体"/>
              </w:rPr>
              <w:t>。</w:t>
            </w:r>
          </w:p>
          <w:p>
            <w:pPr>
              <w:widowControl/>
              <w:ind w:firstLine="480"/>
              <w:jc w:val="left"/>
              <w:rPr>
                <w:rFonts w:hint="eastAsia" w:hAnsi="宋体" w:eastAsia="宋体"/>
                <w:b/>
                <w:bCs/>
                <w:lang w:eastAsia="zh-CN"/>
              </w:rPr>
            </w:pPr>
            <w:r>
              <w:rPr>
                <w:b/>
                <w:bCs/>
              </w:rPr>
              <w:t xml:space="preserve">1.1 </w:t>
            </w:r>
            <w:r>
              <w:rPr>
                <w:rFonts w:hAnsi="宋体"/>
                <w:b/>
                <w:bCs/>
              </w:rPr>
              <w:t>环评情况</w:t>
            </w:r>
          </w:p>
          <w:p>
            <w:pPr>
              <w:widowControl/>
              <w:ind w:firstLine="480"/>
              <w:jc w:val="left"/>
              <w:rPr>
                <w:color w:val="000000"/>
              </w:rPr>
            </w:pPr>
            <w:r>
              <w:t xml:space="preserve">    </w:t>
            </w:r>
            <w:r>
              <w:rPr>
                <w:rFonts w:hAnsi="宋体"/>
              </w:rPr>
              <w:t>吉首大学张家界学院扩建工程位于张家界市永定区大庸桥办事处热水坑居委会，由吉首大学张家界学院开发建设，项目在</w:t>
            </w:r>
            <w:r>
              <w:t>2002</w:t>
            </w:r>
            <w:r>
              <w:rPr>
                <w:rFonts w:hAnsi="宋体"/>
              </w:rPr>
              <w:t>年</w:t>
            </w:r>
            <w:r>
              <w:t>4</w:t>
            </w:r>
            <w:r>
              <w:rPr>
                <w:rFonts w:hAnsi="宋体"/>
              </w:rPr>
              <w:t>月委托张家界市环境保护科研所</w:t>
            </w:r>
            <w:r>
              <w:rPr>
                <w:rFonts w:hAnsi="宋体"/>
                <w:color w:val="000000"/>
              </w:rPr>
              <w:t>制完成了《</w:t>
            </w:r>
            <w:r>
              <w:rPr>
                <w:rFonts w:hAnsi="宋体"/>
              </w:rPr>
              <w:t>吉首大学张家界学院扩建工程</w:t>
            </w:r>
            <w:r>
              <w:rPr>
                <w:rFonts w:hAnsi="宋体"/>
                <w:color w:val="000000"/>
              </w:rPr>
              <w:t>建设项目环境影响报告表》，</w:t>
            </w:r>
            <w:r>
              <w:rPr>
                <w:color w:val="000000"/>
              </w:rPr>
              <w:t>2002</w:t>
            </w:r>
            <w:r>
              <w:rPr>
                <w:rFonts w:hAnsi="宋体"/>
                <w:color w:val="000000"/>
              </w:rPr>
              <w:t>年</w:t>
            </w:r>
            <w:r>
              <w:rPr>
                <w:color w:val="000000"/>
              </w:rPr>
              <w:t>5</w:t>
            </w:r>
            <w:r>
              <w:rPr>
                <w:rFonts w:hAnsi="宋体"/>
                <w:color w:val="000000"/>
              </w:rPr>
              <w:t>月</w:t>
            </w:r>
            <w:r>
              <w:rPr>
                <w:color w:val="000000"/>
              </w:rPr>
              <w:t>25</w:t>
            </w:r>
            <w:r>
              <w:rPr>
                <w:rFonts w:hAnsi="宋体"/>
                <w:color w:val="000000"/>
              </w:rPr>
              <w:t>日张家界市环境保护局以张环</w:t>
            </w:r>
            <w:r>
              <w:rPr>
                <w:color w:val="000000"/>
              </w:rPr>
              <w:t xml:space="preserve"> [2002]5</w:t>
            </w:r>
            <w:r>
              <w:rPr>
                <w:rFonts w:hAnsi="宋体"/>
                <w:color w:val="000000"/>
              </w:rPr>
              <w:t>号文予以审批（见附件</w:t>
            </w:r>
            <w:r>
              <w:rPr>
                <w:rFonts w:hint="eastAsia"/>
                <w:color w:val="000000"/>
                <w:lang w:val="en-US" w:eastAsia="zh-CN"/>
              </w:rPr>
              <w:t>3</w:t>
            </w:r>
            <w:r>
              <w:rPr>
                <w:rFonts w:hAnsi="宋体"/>
                <w:color w:val="000000"/>
              </w:rPr>
              <w:t>）；</w:t>
            </w:r>
            <w:r>
              <w:rPr>
                <w:color w:val="000000"/>
              </w:rPr>
              <w:t>2013</w:t>
            </w:r>
            <w:r>
              <w:rPr>
                <w:rFonts w:hAnsi="宋体"/>
                <w:color w:val="000000"/>
              </w:rPr>
              <w:t>年</w:t>
            </w:r>
            <w:r>
              <w:rPr>
                <w:color w:val="000000"/>
              </w:rPr>
              <w:t>9</w:t>
            </w:r>
            <w:r>
              <w:rPr>
                <w:rFonts w:hAnsi="宋体"/>
                <w:color w:val="000000"/>
              </w:rPr>
              <w:t>月</w:t>
            </w:r>
            <w:r>
              <w:rPr>
                <w:color w:val="000000"/>
              </w:rPr>
              <w:t>14</w:t>
            </w:r>
            <w:r>
              <w:rPr>
                <w:rFonts w:hAnsi="宋体"/>
                <w:color w:val="000000"/>
              </w:rPr>
              <w:t>日张家界市环境保护局对《</w:t>
            </w:r>
            <w:r>
              <w:rPr>
                <w:rFonts w:hAnsi="宋体"/>
              </w:rPr>
              <w:t>吉首大学张家界学院扩建工程</w:t>
            </w:r>
            <w:r>
              <w:rPr>
                <w:rFonts w:hAnsi="宋体"/>
                <w:color w:val="000000"/>
              </w:rPr>
              <w:t>竣工环保验收意见》以张环验</w:t>
            </w:r>
            <w:r>
              <w:rPr>
                <w:color w:val="000000"/>
              </w:rPr>
              <w:t xml:space="preserve"> [2013]11</w:t>
            </w:r>
            <w:r>
              <w:rPr>
                <w:rFonts w:hAnsi="宋体"/>
                <w:color w:val="000000"/>
              </w:rPr>
              <w:t>号文予以验收（见附件</w:t>
            </w:r>
            <w:r>
              <w:rPr>
                <w:rFonts w:hint="eastAsia"/>
                <w:color w:val="000000"/>
                <w:lang w:val="en-US" w:eastAsia="zh-CN"/>
              </w:rPr>
              <w:t>4</w:t>
            </w:r>
            <w:r>
              <w:rPr>
                <w:rFonts w:hAnsi="宋体"/>
                <w:color w:val="000000"/>
              </w:rPr>
              <w:t>）</w:t>
            </w:r>
            <w:r>
              <w:rPr>
                <w:rFonts w:hint="eastAsia" w:hAnsi="宋体"/>
                <w:color w:val="000000"/>
                <w:lang w:eastAsia="zh-CN"/>
              </w:rPr>
              <w:t>，</w:t>
            </w:r>
            <w:r>
              <w:rPr>
                <w:rFonts w:hint="eastAsia" w:hAnsi="宋体"/>
                <w:color w:val="000000"/>
                <w:lang w:val="en-US" w:eastAsia="zh-CN"/>
              </w:rPr>
              <w:t>此工程总用地648亩，总建筑面积160320</w:t>
            </w:r>
            <w:r>
              <w:t xml:space="preserve"> m</w:t>
            </w:r>
            <w:r>
              <w:rPr>
                <w:vertAlign w:val="superscript"/>
              </w:rPr>
              <w:t>2</w:t>
            </w:r>
            <w:r>
              <w:rPr>
                <w:rFonts w:hint="eastAsia"/>
                <w:vertAlign w:val="baseline"/>
                <w:lang w:val="en-US" w:eastAsia="zh-CN"/>
              </w:rPr>
              <w:t>其中：教学楼及辅助用房70590</w:t>
            </w:r>
            <w:r>
              <w:t xml:space="preserve"> m</w:t>
            </w:r>
            <w:r>
              <w:rPr>
                <w:vertAlign w:val="superscript"/>
              </w:rPr>
              <w:t>2</w:t>
            </w:r>
            <w:r>
              <w:rPr>
                <w:rFonts w:hint="eastAsia"/>
                <w:vertAlign w:val="baseline"/>
                <w:lang w:eastAsia="zh-CN"/>
              </w:rPr>
              <w:t>（</w:t>
            </w:r>
            <w:r>
              <w:rPr>
                <w:rFonts w:hint="eastAsia"/>
                <w:vertAlign w:val="baseline"/>
                <w:lang w:val="en-US" w:eastAsia="zh-CN"/>
              </w:rPr>
              <w:t>图书馆、艺术楼、教学楼），后勤服务生活用房89730</w:t>
            </w:r>
            <w:r>
              <w:t xml:space="preserve"> m</w:t>
            </w:r>
            <w:r>
              <w:rPr>
                <w:vertAlign w:val="superscript"/>
              </w:rPr>
              <w:t>2</w:t>
            </w:r>
            <w:r>
              <w:rPr>
                <w:rFonts w:hint="eastAsia"/>
                <w:vertAlign w:val="baseline"/>
                <w:lang w:eastAsia="zh-CN"/>
              </w:rPr>
              <w:t>（</w:t>
            </w:r>
            <w:r>
              <w:rPr>
                <w:rFonts w:hint="eastAsia"/>
                <w:vertAlign w:val="baseline"/>
                <w:lang w:val="en-US" w:eastAsia="zh-CN"/>
              </w:rPr>
              <w:t>学生公寓、学生食堂、教学楼），本次项目总投资61000万元，环保投资1500万元</w:t>
            </w:r>
            <w:r>
              <w:rPr>
                <w:rFonts w:hAnsi="宋体"/>
                <w:color w:val="000000"/>
              </w:rPr>
              <w:t>；</w:t>
            </w:r>
            <w:r>
              <w:rPr>
                <w:color w:val="000000"/>
              </w:rPr>
              <w:t>2017</w:t>
            </w:r>
            <w:r>
              <w:rPr>
                <w:rFonts w:hAnsi="宋体"/>
                <w:color w:val="000000"/>
              </w:rPr>
              <w:t>年</w:t>
            </w:r>
            <w:r>
              <w:rPr>
                <w:color w:val="000000"/>
              </w:rPr>
              <w:t>4</w:t>
            </w:r>
            <w:r>
              <w:rPr>
                <w:rFonts w:hAnsi="宋体"/>
                <w:color w:val="000000"/>
              </w:rPr>
              <w:t>月</w:t>
            </w:r>
            <w:r>
              <w:rPr>
                <w:color w:val="000000"/>
              </w:rPr>
              <w:t>10</w:t>
            </w:r>
            <w:r>
              <w:rPr>
                <w:rFonts w:hAnsi="宋体"/>
                <w:color w:val="000000"/>
              </w:rPr>
              <w:t>日张家界市环境保护局对《</w:t>
            </w:r>
            <w:r>
              <w:rPr>
                <w:rFonts w:hAnsi="宋体"/>
              </w:rPr>
              <w:t>吉首大学张家界学院公租房</w:t>
            </w:r>
            <w:r>
              <w:t>A</w:t>
            </w:r>
            <w:r>
              <w:rPr>
                <w:rFonts w:hAnsi="宋体"/>
              </w:rPr>
              <w:t>、</w:t>
            </w:r>
            <w:r>
              <w:t>B</w:t>
            </w:r>
            <w:r>
              <w:rPr>
                <w:rFonts w:hAnsi="宋体"/>
              </w:rPr>
              <w:t>栋</w:t>
            </w:r>
            <w:r>
              <w:rPr>
                <w:rFonts w:hAnsi="宋体"/>
                <w:color w:val="000000"/>
              </w:rPr>
              <w:t>竣工环保验收意见》以张环验</w:t>
            </w:r>
            <w:r>
              <w:rPr>
                <w:color w:val="000000"/>
              </w:rPr>
              <w:t xml:space="preserve"> [2017]6</w:t>
            </w:r>
            <w:r>
              <w:rPr>
                <w:rFonts w:hAnsi="宋体"/>
                <w:color w:val="000000"/>
              </w:rPr>
              <w:t>号文予以验收</w:t>
            </w:r>
            <w:r>
              <w:rPr>
                <w:rFonts w:hint="eastAsia" w:hAnsi="宋体"/>
                <w:color w:val="000000"/>
                <w:lang w:eastAsia="zh-CN"/>
              </w:rPr>
              <w:t>（</w:t>
            </w:r>
            <w:r>
              <w:rPr>
                <w:rFonts w:hint="eastAsia" w:hAnsi="宋体"/>
                <w:color w:val="000000"/>
                <w:lang w:val="en-US" w:eastAsia="zh-CN"/>
              </w:rPr>
              <w:t>见附件5），此工程占地面积960</w:t>
            </w:r>
            <w:r>
              <w:t xml:space="preserve"> m</w:t>
            </w:r>
            <w:r>
              <w:rPr>
                <w:vertAlign w:val="superscript"/>
              </w:rPr>
              <w:t>2</w:t>
            </w:r>
            <w:r>
              <w:rPr>
                <w:rFonts w:hint="eastAsia"/>
                <w:vertAlign w:val="baseline"/>
                <w:lang w:eastAsia="zh-CN"/>
              </w:rPr>
              <w:t>，</w:t>
            </w:r>
            <w:r>
              <w:rPr>
                <w:rFonts w:hint="eastAsia"/>
                <w:vertAlign w:val="baseline"/>
                <w:lang w:val="en-US" w:eastAsia="zh-CN"/>
              </w:rPr>
              <w:t>总建筑面积12130</w:t>
            </w:r>
            <w:r>
              <w:t xml:space="preserve"> m</w:t>
            </w:r>
            <w:r>
              <w:rPr>
                <w:vertAlign w:val="superscript"/>
              </w:rPr>
              <w:t>2</w:t>
            </w:r>
            <w:r>
              <w:rPr>
                <w:rFonts w:hint="eastAsia"/>
                <w:vertAlign w:val="baseline"/>
                <w:lang w:val="en-US" w:eastAsia="zh-CN"/>
              </w:rPr>
              <w:t>主要建设内容为2栋11层建筑及配套设施，工程于2014年7月开工，2015年7月竣工</w:t>
            </w:r>
            <w:r>
              <w:rPr>
                <w:rFonts w:hint="eastAsia" w:hAnsi="宋体"/>
                <w:color w:val="000000"/>
                <w:lang w:val="en-US" w:eastAsia="zh-CN"/>
              </w:rPr>
              <w:t>；2020年11月24日张家界市生态环境局对</w:t>
            </w:r>
            <w:r>
              <w:rPr>
                <w:rFonts w:hAnsi="宋体"/>
              </w:rPr>
              <w:t>东北侧地块</w:t>
            </w:r>
            <w:r>
              <w:t>A</w:t>
            </w:r>
            <w:r>
              <w:rPr>
                <w:rFonts w:hAnsi="宋体"/>
              </w:rPr>
              <w:t>栋宿舍楼</w:t>
            </w:r>
            <w:r>
              <w:rPr>
                <w:rFonts w:hint="eastAsia" w:hAnsi="宋体"/>
                <w:color w:val="000000"/>
                <w:lang w:val="en-US" w:eastAsia="zh-CN"/>
              </w:rPr>
              <w:t>以备案号：4308002020020予以备案（见附件6)，此工程</w:t>
            </w:r>
            <w:r>
              <w:rPr>
                <w:rFonts w:hAnsi="宋体"/>
              </w:rPr>
              <w:t>占地面积</w:t>
            </w:r>
            <w:r>
              <w:t>1382.2m</w:t>
            </w:r>
            <w:r>
              <w:rPr>
                <w:vertAlign w:val="superscript"/>
              </w:rPr>
              <w:t>2</w:t>
            </w:r>
            <w:r>
              <w:rPr>
                <w:rFonts w:hAnsi="宋体"/>
              </w:rPr>
              <w:t>，总建筑面积为</w:t>
            </w:r>
            <w:r>
              <w:t>8341.2m</w:t>
            </w:r>
            <w:r>
              <w:rPr>
                <w:vertAlign w:val="superscript"/>
              </w:rPr>
              <w:t>2</w:t>
            </w:r>
            <w:r>
              <w:rPr>
                <w:rFonts w:hAnsi="宋体"/>
              </w:rPr>
              <w:t>，主要建设内容包括：</w:t>
            </w:r>
            <w:r>
              <w:t>1</w:t>
            </w:r>
            <w:r>
              <w:rPr>
                <w:rFonts w:hAnsi="宋体"/>
              </w:rPr>
              <w:t>栋六层的混凝土框架结构宿舍楼及相关配套设施</w:t>
            </w:r>
            <w:r>
              <w:rPr>
                <w:rFonts w:hint="eastAsia" w:hAnsi="宋体"/>
                <w:lang w:eastAsia="zh-CN"/>
              </w:rPr>
              <w:t>，</w:t>
            </w:r>
            <w:r>
              <w:rPr>
                <w:rFonts w:hAnsi="宋体"/>
              </w:rPr>
              <w:t>总投资</w:t>
            </w:r>
            <w:r>
              <w:t>2103</w:t>
            </w:r>
            <w:r>
              <w:rPr>
                <w:rFonts w:hAnsi="宋体"/>
              </w:rPr>
              <w:t>万元，环保投资</w:t>
            </w:r>
            <w:r>
              <w:t>200</w:t>
            </w:r>
            <w:r>
              <w:rPr>
                <w:rFonts w:hAnsi="宋体"/>
              </w:rPr>
              <w:t>万元</w:t>
            </w:r>
            <w:r>
              <w:rPr>
                <w:rFonts w:hAnsi="宋体"/>
                <w:color w:val="000000"/>
              </w:rPr>
              <w:t>。</w:t>
            </w:r>
          </w:p>
          <w:p>
            <w:pPr>
              <w:widowControl/>
              <w:ind w:firstLine="480"/>
              <w:jc w:val="left"/>
              <w:rPr>
                <w:rFonts w:hint="eastAsia" w:hAnsi="宋体" w:eastAsia="宋体"/>
                <w:lang w:eastAsia="zh-CN"/>
              </w:rPr>
            </w:pPr>
            <w:r>
              <w:rPr>
                <w:rFonts w:hAnsi="宋体"/>
              </w:rPr>
              <w:t>目前，学校主校区建成度已达</w:t>
            </w:r>
            <w:r>
              <w:t xml:space="preserve"> 80%</w:t>
            </w:r>
            <w:r>
              <w:rPr>
                <w:rFonts w:hAnsi="宋体"/>
              </w:rPr>
              <w:t>，主要建设有综合教学楼（占地面积</w:t>
            </w:r>
            <w:r>
              <w:t xml:space="preserve"> 5347.6 m</w:t>
            </w:r>
            <w:r>
              <w:rPr>
                <w:vertAlign w:val="superscript"/>
              </w:rPr>
              <w:t>2</w:t>
            </w:r>
            <w:r>
              <w:rPr>
                <w:rFonts w:hAnsi="宋体"/>
              </w:rPr>
              <w:t>，</w:t>
            </w:r>
          </w:p>
          <w:p>
            <w:pPr>
              <w:widowControl/>
              <w:ind w:firstLine="480"/>
              <w:jc w:val="left"/>
              <w:rPr>
                <w:b/>
              </w:rPr>
            </w:pPr>
            <w:r>
              <w:rPr>
                <w:rFonts w:hAnsi="宋体"/>
              </w:rPr>
              <w:t>建筑面积</w:t>
            </w:r>
            <w:r>
              <w:t xml:space="preserve"> 22300 m</w:t>
            </w:r>
            <w:r>
              <w:rPr>
                <w:vertAlign w:val="superscript"/>
              </w:rPr>
              <w:t>2</w:t>
            </w:r>
            <w:r>
              <w:rPr>
                <w:rFonts w:hAnsi="宋体"/>
              </w:rPr>
              <w:t>）、理工教学楼（占地面积</w:t>
            </w:r>
            <w:r>
              <w:t xml:space="preserve"> 4712.6 m</w:t>
            </w:r>
            <w:r>
              <w:rPr>
                <w:vertAlign w:val="superscript"/>
              </w:rPr>
              <w:t>2</w:t>
            </w:r>
            <w:r>
              <w:rPr>
                <w:rFonts w:hAnsi="宋体"/>
              </w:rPr>
              <w:t>、建筑面积</w:t>
            </w:r>
            <w:r>
              <w:t xml:space="preserve"> 21100 m</w:t>
            </w:r>
            <w:r>
              <w:rPr>
                <w:vertAlign w:val="superscript"/>
              </w:rPr>
              <w:t>2</w:t>
            </w:r>
            <w:r>
              <w:rPr>
                <w:rFonts w:hAnsi="宋体"/>
              </w:rPr>
              <w:t>）、图书馆（占地面积</w:t>
            </w:r>
            <w:r>
              <w:t xml:space="preserve"> 5704.9 m</w:t>
            </w:r>
            <w:r>
              <w:rPr>
                <w:vertAlign w:val="superscript"/>
              </w:rPr>
              <w:t>2</w:t>
            </w:r>
            <w:r>
              <w:rPr>
                <w:rFonts w:hAnsi="宋体"/>
              </w:rPr>
              <w:t>、建筑面积</w:t>
            </w:r>
            <w:r>
              <w:t xml:space="preserve"> 16500 m</w:t>
            </w:r>
            <w:r>
              <w:rPr>
                <w:vertAlign w:val="superscript"/>
              </w:rPr>
              <w:t>2</w:t>
            </w:r>
            <w:r>
              <w:rPr>
                <w:rFonts w:hAnsi="宋体"/>
              </w:rPr>
              <w:t>）、艺术楼（占地面积</w:t>
            </w:r>
            <w:r>
              <w:t xml:space="preserve"> 3210.3 m</w:t>
            </w:r>
            <w:r>
              <w:rPr>
                <w:vertAlign w:val="superscript"/>
              </w:rPr>
              <w:t>2</w:t>
            </w:r>
            <w:r>
              <w:rPr>
                <w:rFonts w:hAnsi="宋体"/>
              </w:rPr>
              <w:t>、建筑面积</w:t>
            </w:r>
            <w:r>
              <w:t xml:space="preserve"> 8025.7 m</w:t>
            </w:r>
            <w:r>
              <w:rPr>
                <w:vertAlign w:val="superscript"/>
              </w:rPr>
              <w:t>2</w:t>
            </w:r>
            <w:r>
              <w:rPr>
                <w:rFonts w:hAnsi="宋体"/>
              </w:rPr>
              <w:t>）、一期食堂（占地面积</w:t>
            </w:r>
            <w:r>
              <w:t xml:space="preserve"> 1877.7 m</w:t>
            </w:r>
            <w:r>
              <w:rPr>
                <w:vertAlign w:val="superscript"/>
              </w:rPr>
              <w:t>2</w:t>
            </w:r>
            <w:r>
              <w:rPr>
                <w:rFonts w:hAnsi="宋体"/>
              </w:rPr>
              <w:t>、建筑面积</w:t>
            </w:r>
            <w:r>
              <w:t xml:space="preserve"> 5443.1 m</w:t>
            </w:r>
            <w:r>
              <w:rPr>
                <w:vertAlign w:val="superscript"/>
              </w:rPr>
              <w:t>2</w:t>
            </w:r>
            <w:r>
              <w:rPr>
                <w:rFonts w:hAnsi="宋体"/>
              </w:rPr>
              <w:t>）、二期食堂（占地面积</w:t>
            </w:r>
            <w:r>
              <w:t xml:space="preserve"> 2753.16 m</w:t>
            </w:r>
            <w:r>
              <w:rPr>
                <w:vertAlign w:val="superscript"/>
              </w:rPr>
              <w:t>2</w:t>
            </w:r>
            <w:r>
              <w:rPr>
                <w:rFonts w:hAnsi="宋体"/>
              </w:rPr>
              <w:t>、建筑面积</w:t>
            </w:r>
            <w:r>
              <w:t xml:space="preserve"> 7308.7 m</w:t>
            </w:r>
            <w:r>
              <w:rPr>
                <w:vertAlign w:val="superscript"/>
              </w:rPr>
              <w:t>2</w:t>
            </w:r>
            <w:r>
              <w:rPr>
                <w:rFonts w:hAnsi="宋体"/>
              </w:rPr>
              <w:t>）、一期宿舍（占地面积</w:t>
            </w:r>
            <w:r>
              <w:t xml:space="preserve"> 7077.5 m</w:t>
            </w:r>
            <w:r>
              <w:rPr>
                <w:vertAlign w:val="superscript"/>
              </w:rPr>
              <w:t>2</w:t>
            </w:r>
            <w:r>
              <w:rPr>
                <w:rFonts w:hAnsi="宋体"/>
              </w:rPr>
              <w:t>、建筑面积</w:t>
            </w:r>
            <w:r>
              <w:t xml:space="preserve"> 43355.86 m</w:t>
            </w:r>
            <w:r>
              <w:rPr>
                <w:vertAlign w:val="superscript"/>
              </w:rPr>
              <w:t>2</w:t>
            </w:r>
            <w:r>
              <w:rPr>
                <w:rFonts w:hAnsi="宋体"/>
              </w:rPr>
              <w:t>、二期宿舍（占地面积</w:t>
            </w:r>
            <w:r>
              <w:t xml:space="preserve"> 7052.2 m</w:t>
            </w:r>
            <w:r>
              <w:rPr>
                <w:vertAlign w:val="superscript"/>
              </w:rPr>
              <w:t>2</w:t>
            </w:r>
            <w:r>
              <w:rPr>
                <w:rFonts w:hAnsi="宋体"/>
              </w:rPr>
              <w:t>、建筑面积</w:t>
            </w:r>
            <w:r>
              <w:t xml:space="preserve"> 45649.14 m</w:t>
            </w:r>
            <w:r>
              <w:rPr>
                <w:vertAlign w:val="superscript"/>
              </w:rPr>
              <w:t>2</w:t>
            </w:r>
            <w:r>
              <w:rPr>
                <w:rFonts w:hAnsi="宋体"/>
              </w:rPr>
              <w:t>）、教师周转房（占地面积</w:t>
            </w:r>
            <w:r>
              <w:t xml:space="preserve"> 1068 m</w:t>
            </w:r>
            <w:r>
              <w:rPr>
                <w:vertAlign w:val="superscript"/>
              </w:rPr>
              <w:t>2</w:t>
            </w:r>
            <w:r>
              <w:rPr>
                <w:rFonts w:hAnsi="宋体"/>
              </w:rPr>
              <w:t>、建筑面积</w:t>
            </w:r>
            <w:r>
              <w:t xml:space="preserve"> 13617 m</w:t>
            </w:r>
            <w:r>
              <w:rPr>
                <w:vertAlign w:val="superscript"/>
              </w:rPr>
              <w:t>2</w:t>
            </w:r>
            <w:r>
              <w:rPr>
                <w:rFonts w:hAnsi="宋体"/>
              </w:rPr>
              <w:t>）东北侧地块</w:t>
            </w:r>
            <w:r>
              <w:t>A</w:t>
            </w:r>
            <w:r>
              <w:rPr>
                <w:rFonts w:hAnsi="宋体"/>
              </w:rPr>
              <w:t>栋宿舍楼</w:t>
            </w:r>
            <w:r>
              <w:rPr>
                <w:rFonts w:hint="eastAsia" w:hAnsi="宋体"/>
                <w:lang w:val="en-US" w:eastAsia="zh-CN"/>
              </w:rPr>
              <w:t>(占地面积1382.2m</w:t>
            </w:r>
            <w:r>
              <w:rPr>
                <w:rFonts w:hint="eastAsia" w:hAnsi="宋体"/>
                <w:vertAlign w:val="superscript"/>
                <w:lang w:val="en-US" w:eastAsia="zh-CN"/>
              </w:rPr>
              <w:t>2</w:t>
            </w:r>
            <w:r>
              <w:rPr>
                <w:rFonts w:hint="eastAsia" w:hAnsi="宋体"/>
                <w:vertAlign w:val="baseline"/>
                <w:lang w:val="en-US" w:eastAsia="zh-CN"/>
              </w:rPr>
              <w:t>、建筑面积8341.2m</w:t>
            </w:r>
            <w:r>
              <w:rPr>
                <w:rFonts w:hint="eastAsia" w:hAnsi="宋体"/>
                <w:vertAlign w:val="superscript"/>
                <w:lang w:val="en-US" w:eastAsia="zh-CN"/>
              </w:rPr>
              <w:t>2</w:t>
            </w:r>
            <w:r>
              <w:rPr>
                <w:rFonts w:hint="eastAsia" w:hAnsi="宋体"/>
                <w:lang w:val="en-US" w:eastAsia="zh-CN"/>
              </w:rPr>
              <w:t>)</w:t>
            </w:r>
            <w:r>
              <w:rPr>
                <w:rFonts w:hAnsi="宋体"/>
              </w:rPr>
              <w:t>等</w:t>
            </w:r>
            <w:r>
              <w:rPr>
                <w:rFonts w:hAnsi="宋体"/>
                <w:color w:val="000000" w:themeColor="text1"/>
              </w:rPr>
              <w:t>。</w:t>
            </w:r>
          </w:p>
          <w:p>
            <w:pPr>
              <w:ind w:firstLine="480"/>
              <w:rPr>
                <w:b/>
              </w:rPr>
            </w:pPr>
            <w:r>
              <w:rPr>
                <w:b/>
              </w:rPr>
              <w:t>1.2</w:t>
            </w:r>
            <w:r>
              <w:rPr>
                <w:rFonts w:hAnsi="宋体"/>
                <w:b/>
              </w:rPr>
              <w:t>工程建设内容</w:t>
            </w:r>
          </w:p>
          <w:p>
            <w:pPr>
              <w:pStyle w:val="56"/>
              <w:ind w:firstLine="482" w:firstLineChars="200"/>
            </w:pPr>
            <w:r>
              <w:rPr>
                <w:rFonts w:hAnsi="宋体"/>
                <w:b/>
              </w:rPr>
              <w:t>项目名称：</w:t>
            </w:r>
            <w:r>
              <w:rPr>
                <w:rFonts w:hAnsi="宋体"/>
              </w:rPr>
              <w:t>吉首大学张家界学院东北侧地块</w:t>
            </w:r>
            <w:r>
              <w:rPr>
                <w:rFonts w:hint="eastAsia"/>
                <w:lang w:val="en-US" w:eastAsia="zh-CN"/>
              </w:rPr>
              <w:t>二期学生公寓B栋</w:t>
            </w:r>
          </w:p>
          <w:p>
            <w:pPr>
              <w:pStyle w:val="56"/>
              <w:ind w:firstLine="482" w:firstLineChars="200"/>
            </w:pPr>
            <w:r>
              <w:rPr>
                <w:rFonts w:hAnsi="宋体"/>
                <w:b/>
              </w:rPr>
              <w:t>建设性质：</w:t>
            </w:r>
            <w:r>
              <w:rPr>
                <w:rFonts w:hAnsi="宋体"/>
              </w:rPr>
              <w:t>新建；</w:t>
            </w:r>
          </w:p>
          <w:p>
            <w:pPr>
              <w:pStyle w:val="56"/>
              <w:ind w:firstLine="482" w:firstLineChars="200"/>
            </w:pPr>
            <w:r>
              <w:rPr>
                <w:rFonts w:hAnsi="宋体"/>
                <w:b/>
              </w:rPr>
              <w:t>项目投资：</w:t>
            </w:r>
            <w:r>
              <w:rPr>
                <w:rFonts w:hint="eastAsia" w:hAnsi="宋体"/>
                <w:b w:val="0"/>
                <w:bCs/>
                <w:lang w:val="en-US" w:eastAsia="zh-CN"/>
              </w:rPr>
              <w:t>项目为分批建设，本次验收范围</w:t>
            </w:r>
            <w:r>
              <w:rPr>
                <w:rFonts w:hAnsi="宋体"/>
              </w:rPr>
              <w:t>总投资</w:t>
            </w:r>
            <w:r>
              <w:rPr>
                <w:rFonts w:hint="eastAsia"/>
                <w:lang w:val="en-US" w:eastAsia="zh-CN"/>
              </w:rPr>
              <w:t>5271</w:t>
            </w:r>
            <w:r>
              <w:rPr>
                <w:rFonts w:hAnsi="宋体"/>
              </w:rPr>
              <w:t>万元</w:t>
            </w:r>
            <w:r>
              <w:rPr>
                <w:rFonts w:hAnsi="宋体"/>
                <w:color w:val="000000" w:themeColor="text1"/>
              </w:rPr>
              <w:t>，环保投资</w:t>
            </w:r>
            <w:r>
              <w:rPr>
                <w:rFonts w:hint="eastAsia"/>
                <w:color w:val="000000" w:themeColor="text1"/>
                <w:lang w:val="en-US" w:eastAsia="zh-CN"/>
              </w:rPr>
              <w:t>180</w:t>
            </w:r>
            <w:r>
              <w:rPr>
                <w:rFonts w:hAnsi="宋体"/>
                <w:color w:val="000000" w:themeColor="text1"/>
              </w:rPr>
              <w:t>万元；</w:t>
            </w:r>
            <w:r>
              <w:t xml:space="preserve"> </w:t>
            </w:r>
          </w:p>
          <w:p>
            <w:pPr>
              <w:ind w:firstLine="482" w:firstLineChars="200"/>
            </w:pPr>
            <w:r>
              <w:rPr>
                <w:rFonts w:hAnsi="宋体"/>
                <w:b/>
              </w:rPr>
              <w:t>建设地址：</w:t>
            </w:r>
            <w:r>
              <w:rPr>
                <w:rFonts w:hAnsi="宋体"/>
              </w:rPr>
              <w:t>位于张家界市永定区</w:t>
            </w:r>
            <w:r>
              <w:rPr>
                <w:rFonts w:hint="eastAsia" w:hAnsi="宋体"/>
                <w:lang w:eastAsia="zh-CN"/>
              </w:rPr>
              <w:t>武陵山大道</w:t>
            </w:r>
            <w:r>
              <w:rPr>
                <w:rFonts w:hint="eastAsia" w:hAnsi="宋体"/>
                <w:lang w:val="en-US" w:eastAsia="zh-CN"/>
              </w:rPr>
              <w:t>西</w:t>
            </w:r>
            <w:r>
              <w:rPr>
                <w:rFonts w:hint="eastAsia" w:hAnsi="宋体"/>
                <w:lang w:eastAsia="zh-CN"/>
              </w:rPr>
              <w:t>侧吉首大学张家界学院内</w:t>
            </w:r>
            <w:r>
              <w:rPr>
                <w:rFonts w:hAnsi="宋体"/>
              </w:rPr>
              <w:t>，地理坐标</w:t>
            </w:r>
            <w:r>
              <w:rPr>
                <w:color w:val="000000" w:themeColor="text1"/>
              </w:rPr>
              <w:t>E</w:t>
            </w:r>
            <w:r>
              <w:t xml:space="preserve"> </w:t>
            </w:r>
            <w:r>
              <w:rPr>
                <w:color w:val="000000" w:themeColor="text1"/>
              </w:rPr>
              <w:t>110°27′26.64″</w:t>
            </w:r>
            <w:r>
              <w:rPr>
                <w:rFonts w:hAnsi="宋体"/>
                <w:color w:val="000000" w:themeColor="text1"/>
              </w:rPr>
              <w:t>，</w:t>
            </w:r>
            <w:r>
              <w:rPr>
                <w:color w:val="000000" w:themeColor="text1"/>
              </w:rPr>
              <w:t>N</w:t>
            </w:r>
            <w:r>
              <w:t xml:space="preserve"> </w:t>
            </w:r>
            <w:r>
              <w:rPr>
                <w:color w:val="000000" w:themeColor="text1"/>
              </w:rPr>
              <w:t>29°9′8.06″</w:t>
            </w:r>
            <w:r>
              <w:rPr>
                <w:rFonts w:hint="eastAsia"/>
                <w:color w:val="000000" w:themeColor="text1"/>
                <w:lang w:eastAsia="zh-CN"/>
              </w:rPr>
              <w:t>（见附图</w:t>
            </w:r>
            <w:r>
              <w:rPr>
                <w:rFonts w:hint="eastAsia"/>
                <w:color w:val="000000" w:themeColor="text1"/>
                <w:lang w:val="en-US" w:eastAsia="zh-CN"/>
              </w:rPr>
              <w:t>1</w:t>
            </w:r>
            <w:r>
              <w:rPr>
                <w:rFonts w:hint="eastAsia"/>
                <w:color w:val="000000" w:themeColor="text1"/>
                <w:lang w:eastAsia="zh-CN"/>
              </w:rPr>
              <w:t>）</w:t>
            </w:r>
            <w:r>
              <w:rPr>
                <w:rFonts w:hAnsi="宋体"/>
                <w:color w:val="000000" w:themeColor="text1"/>
              </w:rPr>
              <w:t>；</w:t>
            </w:r>
          </w:p>
          <w:p>
            <w:pPr>
              <w:ind w:firstLine="482" w:firstLineChars="200"/>
            </w:pPr>
            <w:r>
              <w:rPr>
                <w:rFonts w:hAnsi="宋体"/>
                <w:b/>
              </w:rPr>
              <w:t>建设内容：</w:t>
            </w:r>
            <w:r>
              <w:rPr>
                <w:rFonts w:hAnsi="宋体"/>
                <w:color w:val="000000" w:themeColor="text1"/>
              </w:rPr>
              <w:t>占地面积</w:t>
            </w:r>
            <w:r>
              <w:rPr>
                <w:rFonts w:hint="eastAsia"/>
                <w:color w:val="000000" w:themeColor="text1"/>
                <w:lang w:val="en-US" w:eastAsia="zh-CN"/>
              </w:rPr>
              <w:t>934.7</w:t>
            </w:r>
            <w:r>
              <w:rPr>
                <w:color w:val="000000" w:themeColor="text1"/>
              </w:rPr>
              <w:t>m</w:t>
            </w:r>
            <w:r>
              <w:rPr>
                <w:color w:val="000000" w:themeColor="text1"/>
                <w:vertAlign w:val="superscript"/>
              </w:rPr>
              <w:t>2</w:t>
            </w:r>
            <w:r>
              <w:rPr>
                <w:rFonts w:hAnsi="宋体"/>
                <w:color w:val="000000" w:themeColor="text1"/>
              </w:rPr>
              <w:t>，总建筑面积为</w:t>
            </w:r>
            <w:r>
              <w:rPr>
                <w:rFonts w:hint="eastAsia"/>
                <w:color w:val="000000" w:themeColor="text1"/>
                <w:lang w:val="en-US" w:eastAsia="zh-CN"/>
              </w:rPr>
              <w:t>18217.2</w:t>
            </w:r>
            <w:r>
              <w:rPr>
                <w:color w:val="000000" w:themeColor="text1"/>
              </w:rPr>
              <w:t>m</w:t>
            </w:r>
            <w:r>
              <w:rPr>
                <w:color w:val="000000" w:themeColor="text1"/>
                <w:vertAlign w:val="superscript"/>
              </w:rPr>
              <w:t>2</w:t>
            </w:r>
            <w:r>
              <w:rPr>
                <w:rFonts w:hAnsi="宋体"/>
                <w:color w:val="000000" w:themeColor="text1"/>
              </w:rPr>
              <w:t>，主要建设内容包括：</w:t>
            </w:r>
            <w:r>
              <w:t>1</w:t>
            </w:r>
            <w:r>
              <w:rPr>
                <w:rFonts w:hAnsi="宋体"/>
              </w:rPr>
              <w:t>栋</w:t>
            </w:r>
            <w:r>
              <w:rPr>
                <w:rFonts w:hint="eastAsia" w:hAnsi="宋体"/>
                <w:lang w:val="en-US" w:eastAsia="zh-CN"/>
              </w:rPr>
              <w:t>18</w:t>
            </w:r>
            <w:r>
              <w:rPr>
                <w:rFonts w:hAnsi="宋体"/>
              </w:rPr>
              <w:t>层的混凝土框架结构宿舍楼及相关配套设施。</w:t>
            </w:r>
          </w:p>
          <w:p>
            <w:pPr>
              <w:ind w:firstLine="480" w:firstLineChars="200"/>
            </w:pPr>
            <w:r>
              <w:rPr>
                <w:rFonts w:hAnsi="宋体"/>
              </w:rPr>
              <w:t>项目主要技术经济指标情况见表</w:t>
            </w:r>
            <w:r>
              <w:t>2-1</w:t>
            </w:r>
            <w:r>
              <w:rPr>
                <w:rFonts w:hAnsi="宋体"/>
              </w:rPr>
              <w:t>，环评工程内容与实际建设情况见表</w:t>
            </w:r>
            <w:r>
              <w:t>2-2</w:t>
            </w:r>
            <w:r>
              <w:rPr>
                <w:rFonts w:hAnsi="宋体"/>
              </w:rPr>
              <w:t>。</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rFonts w:hAnsi="宋体"/>
                <w:b/>
                <w:kern w:val="0"/>
              </w:rPr>
            </w:pPr>
            <w:r>
              <w:rPr>
                <w:rFonts w:hAnsi="宋体"/>
                <w:b/>
                <w:kern w:val="0"/>
              </w:rPr>
              <w:t>表2-1   主要技术经济指标</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108" w:type="dxa"/>
                <w:bottom w:w="85" w:type="dxa"/>
                <w:right w:w="108" w:type="dxa"/>
              </w:tblCellMar>
            </w:tblPr>
            <w:tblGrid>
              <w:gridCol w:w="1258"/>
              <w:gridCol w:w="2112"/>
              <w:gridCol w:w="1479"/>
              <w:gridCol w:w="2169"/>
              <w:gridCol w:w="2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657" w:hRule="atLeast"/>
                <w:jc w:val="center"/>
              </w:trPr>
              <w:tc>
                <w:tcPr>
                  <w:tcW w:w="1258" w:type="dxa"/>
                  <w:vAlign w:val="center"/>
                </w:tcPr>
                <w:p>
                  <w:pPr>
                    <w:pStyle w:val="22"/>
                    <w:jc w:val="center"/>
                    <w:rPr>
                      <w:rFonts w:ascii="Times New Roman" w:hAnsi="Times New Roman" w:eastAsia="宋体" w:cs="Times New Roman"/>
                      <w:b/>
                    </w:rPr>
                  </w:pPr>
                  <w:r>
                    <w:rPr>
                      <w:rFonts w:ascii="Times New Roman" w:hAnsi="宋体" w:eastAsia="宋体" w:cs="Times New Roman"/>
                      <w:b/>
                    </w:rPr>
                    <w:t>序号</w:t>
                  </w:r>
                </w:p>
              </w:tc>
              <w:tc>
                <w:tcPr>
                  <w:tcW w:w="2112" w:type="dxa"/>
                  <w:vAlign w:val="center"/>
                </w:tcPr>
                <w:p>
                  <w:pPr>
                    <w:pStyle w:val="22"/>
                    <w:jc w:val="center"/>
                    <w:rPr>
                      <w:rFonts w:ascii="Times New Roman" w:hAnsi="Times New Roman" w:eastAsia="宋体" w:cs="Times New Roman"/>
                      <w:b/>
                    </w:rPr>
                  </w:pPr>
                  <w:r>
                    <w:rPr>
                      <w:rFonts w:ascii="Times New Roman" w:hAnsi="宋体" w:eastAsia="宋体" w:cs="Times New Roman"/>
                      <w:b/>
                    </w:rPr>
                    <w:t>指标名称</w:t>
                  </w:r>
                </w:p>
              </w:tc>
              <w:tc>
                <w:tcPr>
                  <w:tcW w:w="1479" w:type="dxa"/>
                  <w:vAlign w:val="center"/>
                </w:tcPr>
                <w:p>
                  <w:pPr>
                    <w:pStyle w:val="22"/>
                    <w:ind w:firstLine="105" w:firstLineChars="50"/>
                    <w:jc w:val="center"/>
                    <w:rPr>
                      <w:rFonts w:ascii="Times New Roman" w:hAnsi="Times New Roman" w:eastAsia="宋体" w:cs="Times New Roman"/>
                      <w:b/>
                    </w:rPr>
                  </w:pPr>
                  <w:r>
                    <w:rPr>
                      <w:rFonts w:ascii="Times New Roman" w:hAnsi="宋体" w:eastAsia="宋体" w:cs="Times New Roman"/>
                      <w:b/>
                    </w:rPr>
                    <w:t>单位</w:t>
                  </w:r>
                </w:p>
              </w:tc>
              <w:tc>
                <w:tcPr>
                  <w:tcW w:w="2169" w:type="dxa"/>
                  <w:vAlign w:val="center"/>
                </w:tcPr>
                <w:p>
                  <w:pPr>
                    <w:pStyle w:val="22"/>
                    <w:jc w:val="center"/>
                    <w:rPr>
                      <w:rFonts w:ascii="Times New Roman" w:hAnsi="Times New Roman" w:eastAsia="宋体" w:cs="Times New Roman"/>
                      <w:b/>
                    </w:rPr>
                  </w:pPr>
                  <w:r>
                    <w:rPr>
                      <w:rFonts w:ascii="Times New Roman" w:hAnsi="宋体" w:eastAsia="宋体" w:cs="Times New Roman"/>
                      <w:b/>
                    </w:rPr>
                    <w:t>实际数据</w:t>
                  </w:r>
                </w:p>
              </w:tc>
              <w:tc>
                <w:tcPr>
                  <w:tcW w:w="2282" w:type="dxa"/>
                  <w:vAlign w:val="center"/>
                </w:tcPr>
                <w:p>
                  <w:pPr>
                    <w:pStyle w:val="22"/>
                    <w:jc w:val="center"/>
                    <w:rPr>
                      <w:rFonts w:ascii="Times New Roman" w:hAnsi="Times New Roman" w:eastAsia="宋体" w:cs="Times New Roman"/>
                      <w:b/>
                    </w:rPr>
                  </w:pPr>
                  <w:r>
                    <w:rPr>
                      <w:rFonts w:ascii="Times New Roman" w:hAnsi="宋体" w:eastAsia="宋体" w:cs="Times New Roman"/>
                      <w:b/>
                    </w:rPr>
                    <w:t>备</w:t>
                  </w:r>
                  <w:r>
                    <w:rPr>
                      <w:rFonts w:ascii="Times New Roman" w:hAnsi="Times New Roman" w:eastAsia="宋体" w:cs="Times New Roman"/>
                      <w:b/>
                    </w:rPr>
                    <w:t xml:space="preserve">  </w:t>
                  </w:r>
                  <w:r>
                    <w:rPr>
                      <w:rFonts w:ascii="Times New Roman" w:hAnsi="宋体" w:eastAsia="宋体" w:cs="Times New Roman"/>
                      <w:b/>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8" w:hRule="atLeast"/>
                <w:jc w:val="center"/>
              </w:trPr>
              <w:tc>
                <w:tcPr>
                  <w:tcW w:w="1258" w:type="dxa"/>
                  <w:vAlign w:val="center"/>
                </w:tcPr>
                <w:p>
                  <w:pPr>
                    <w:pStyle w:val="22"/>
                    <w:jc w:val="center"/>
                    <w:rPr>
                      <w:rFonts w:ascii="Times New Roman" w:hAnsi="Times New Roman" w:eastAsia="宋体" w:cs="Times New Roman"/>
                    </w:rPr>
                  </w:pPr>
                  <w:r>
                    <w:rPr>
                      <w:rFonts w:ascii="Times New Roman" w:hAnsi="Times New Roman" w:eastAsia="宋体" w:cs="Times New Roman"/>
                    </w:rPr>
                    <w:t>1</w:t>
                  </w:r>
                </w:p>
              </w:tc>
              <w:tc>
                <w:tcPr>
                  <w:tcW w:w="2112" w:type="dxa"/>
                  <w:vAlign w:val="center"/>
                </w:tcPr>
                <w:p>
                  <w:pPr>
                    <w:pStyle w:val="22"/>
                    <w:jc w:val="center"/>
                    <w:rPr>
                      <w:rFonts w:ascii="Times New Roman" w:hAnsi="Times New Roman" w:eastAsia="宋体" w:cs="Times New Roman"/>
                    </w:rPr>
                  </w:pPr>
                  <w:r>
                    <w:rPr>
                      <w:rFonts w:ascii="Times New Roman" w:hAnsi="宋体" w:eastAsia="宋体" w:cs="Times New Roman"/>
                    </w:rPr>
                    <w:t>用地面积</w:t>
                  </w:r>
                </w:p>
              </w:tc>
              <w:tc>
                <w:tcPr>
                  <w:tcW w:w="1479" w:type="dxa"/>
                  <w:vAlign w:val="center"/>
                </w:tcPr>
                <w:p>
                  <w:pPr>
                    <w:pStyle w:val="22"/>
                    <w:jc w:val="center"/>
                    <w:rPr>
                      <w:rFonts w:ascii="Times New Roman" w:hAnsi="Times New Roman" w:eastAsia="宋体" w:cs="Times New Roman"/>
                    </w:rPr>
                  </w:pPr>
                  <w:r>
                    <w:rPr>
                      <w:rFonts w:ascii="Times New Roman" w:hAnsi="Times New Roman" w:eastAsia="宋体" w:cs="Times New Roman"/>
                    </w:rPr>
                    <w:t>m</w:t>
                  </w:r>
                  <w:r>
                    <w:rPr>
                      <w:rFonts w:ascii="Times New Roman" w:hAnsi="Times New Roman" w:eastAsia="宋体" w:cs="Times New Roman"/>
                      <w:vertAlign w:val="superscript"/>
                    </w:rPr>
                    <w:t>2</w:t>
                  </w:r>
                </w:p>
              </w:tc>
              <w:tc>
                <w:tcPr>
                  <w:tcW w:w="2169" w:type="dxa"/>
                  <w:vAlign w:val="center"/>
                </w:tcPr>
                <w:p>
                  <w:pPr>
                    <w:pStyle w:val="22"/>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36058</w:t>
                  </w:r>
                </w:p>
              </w:tc>
              <w:tc>
                <w:tcPr>
                  <w:tcW w:w="2282" w:type="dxa"/>
                  <w:vMerge w:val="restart"/>
                  <w:vAlign w:val="center"/>
                </w:tcPr>
                <w:p>
                  <w:pPr>
                    <w:pStyle w:val="22"/>
                    <w:jc w:val="center"/>
                    <w:rPr>
                      <w:rFonts w:ascii="Times New Roman" w:hAnsi="Times New Roman" w:eastAsia="宋体" w:cs="Times New Roman"/>
                    </w:rPr>
                  </w:pPr>
                  <w:r>
                    <w:rPr>
                      <w:rFonts w:ascii="Times New Roman" w:hAnsi="宋体" w:eastAsia="宋体" w:cs="Times New Roman"/>
                    </w:rPr>
                    <w:t>吉首大学张家界学院东北侧地块分二期，此次验收范围为</w:t>
                  </w:r>
                  <w:r>
                    <w:rPr>
                      <w:rFonts w:hint="eastAsia" w:ascii="Times New Roman" w:hAnsi="宋体" w:eastAsia="宋体" w:cs="Times New Roman"/>
                      <w:lang w:eastAsia="zh-CN"/>
                    </w:rPr>
                    <w:t>二</w:t>
                  </w:r>
                  <w:r>
                    <w:rPr>
                      <w:rFonts w:ascii="Times New Roman" w:hAnsi="宋体" w:eastAsia="宋体" w:cs="Times New Roman"/>
                    </w:rPr>
                    <w:t>期</w:t>
                  </w:r>
                  <w:r>
                    <w:rPr>
                      <w:rFonts w:hint="eastAsia" w:ascii="Times New Roman" w:hAnsi="宋体" w:eastAsia="宋体" w:cs="Times New Roman"/>
                      <w:lang w:val="en-US" w:eastAsia="zh-CN"/>
                    </w:rPr>
                    <w:t>新建的一栋18层学生宿舍楼</w:t>
                  </w:r>
                  <w:r>
                    <w:rPr>
                      <w:rFonts w:ascii="Times New Roman" w:hAnsi="宋体" w:eastAsia="宋体" w:cs="Times New Roman"/>
                    </w:rPr>
                    <w:t>；</w:t>
                  </w:r>
                </w:p>
                <w:p>
                  <w:pPr>
                    <w:pStyle w:val="22"/>
                    <w:jc w:val="center"/>
                    <w:rPr>
                      <w:rFonts w:ascii="Times New Roman" w:hAnsi="Times New Roman" w:eastAsia="宋体" w:cs="Times New Roman"/>
                    </w:rPr>
                  </w:pPr>
                  <w:r>
                    <w:rPr>
                      <w:rFonts w:ascii="Times New Roman" w:hAnsi="宋体" w:eastAsia="宋体" w:cs="Times New Roman"/>
                    </w:rPr>
                    <w:t>数据来源于施工图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368" w:hRule="atLeast"/>
                <w:jc w:val="center"/>
              </w:trPr>
              <w:tc>
                <w:tcPr>
                  <w:tcW w:w="1258" w:type="dxa"/>
                  <w:vAlign w:val="center"/>
                </w:tcPr>
                <w:p>
                  <w:pPr>
                    <w:pStyle w:val="22"/>
                    <w:jc w:val="center"/>
                    <w:rPr>
                      <w:rFonts w:ascii="Times New Roman" w:hAnsi="Times New Roman" w:eastAsia="宋体" w:cs="Times New Roman"/>
                    </w:rPr>
                  </w:pPr>
                  <w:r>
                    <w:rPr>
                      <w:rFonts w:ascii="Times New Roman" w:hAnsi="Times New Roman" w:eastAsia="宋体" w:cs="Times New Roman"/>
                    </w:rPr>
                    <w:t>2</w:t>
                  </w:r>
                </w:p>
              </w:tc>
              <w:tc>
                <w:tcPr>
                  <w:tcW w:w="2112" w:type="dxa"/>
                  <w:vAlign w:val="center"/>
                </w:tcPr>
                <w:p>
                  <w:pPr>
                    <w:pStyle w:val="22"/>
                    <w:jc w:val="center"/>
                    <w:rPr>
                      <w:rFonts w:ascii="Times New Roman" w:hAnsi="Times New Roman" w:eastAsia="宋体" w:cs="Times New Roman"/>
                    </w:rPr>
                  </w:pPr>
                  <w:r>
                    <w:rPr>
                      <w:rFonts w:ascii="Times New Roman" w:hAnsi="宋体" w:eastAsia="宋体" w:cs="Times New Roman"/>
                    </w:rPr>
                    <w:t>建筑占地面积</w:t>
                  </w:r>
                </w:p>
              </w:tc>
              <w:tc>
                <w:tcPr>
                  <w:tcW w:w="1479" w:type="dxa"/>
                  <w:vAlign w:val="center"/>
                </w:tcPr>
                <w:p>
                  <w:pPr>
                    <w:pStyle w:val="22"/>
                    <w:jc w:val="center"/>
                    <w:rPr>
                      <w:rFonts w:ascii="Times New Roman" w:hAnsi="Times New Roman" w:eastAsia="宋体" w:cs="Times New Roman"/>
                    </w:rPr>
                  </w:pPr>
                  <w:r>
                    <w:rPr>
                      <w:rFonts w:ascii="Times New Roman" w:hAnsi="Times New Roman" w:eastAsia="宋体" w:cs="Times New Roman"/>
                    </w:rPr>
                    <w:t>m</w:t>
                  </w:r>
                  <w:r>
                    <w:rPr>
                      <w:rFonts w:ascii="Times New Roman" w:hAnsi="Times New Roman" w:eastAsia="宋体" w:cs="Times New Roman"/>
                      <w:vertAlign w:val="superscript"/>
                    </w:rPr>
                    <w:t>2</w:t>
                  </w:r>
                </w:p>
              </w:tc>
              <w:tc>
                <w:tcPr>
                  <w:tcW w:w="2169" w:type="dxa"/>
                  <w:vAlign w:val="center"/>
                </w:tcPr>
                <w:p>
                  <w:pPr>
                    <w:pStyle w:val="22"/>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934.7</w:t>
                  </w:r>
                </w:p>
              </w:tc>
              <w:tc>
                <w:tcPr>
                  <w:tcW w:w="2282" w:type="dxa"/>
                  <w:vMerge w:val="continue"/>
                  <w:vAlign w:val="center"/>
                </w:tcPr>
                <w:p>
                  <w:pPr>
                    <w:pStyle w:val="22"/>
                    <w:jc w:val="center"/>
                    <w:rPr>
                      <w:rFonts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400" w:hRule="atLeast"/>
                <w:jc w:val="center"/>
              </w:trPr>
              <w:tc>
                <w:tcPr>
                  <w:tcW w:w="1258" w:type="dxa"/>
                  <w:vAlign w:val="center"/>
                </w:tcPr>
                <w:p>
                  <w:pPr>
                    <w:pStyle w:val="22"/>
                    <w:jc w:val="center"/>
                    <w:rPr>
                      <w:rFonts w:ascii="Times New Roman" w:hAnsi="Times New Roman" w:eastAsia="宋体" w:cs="Times New Roman"/>
                    </w:rPr>
                  </w:pPr>
                  <w:r>
                    <w:rPr>
                      <w:rFonts w:ascii="Times New Roman" w:hAnsi="Times New Roman" w:eastAsia="宋体" w:cs="Times New Roman"/>
                    </w:rPr>
                    <w:t>3</w:t>
                  </w:r>
                </w:p>
              </w:tc>
              <w:tc>
                <w:tcPr>
                  <w:tcW w:w="2112" w:type="dxa"/>
                  <w:vAlign w:val="center"/>
                </w:tcPr>
                <w:p>
                  <w:pPr>
                    <w:pStyle w:val="22"/>
                    <w:jc w:val="center"/>
                    <w:rPr>
                      <w:rFonts w:ascii="Times New Roman" w:hAnsi="Times New Roman" w:eastAsia="宋体" w:cs="Times New Roman"/>
                    </w:rPr>
                  </w:pPr>
                  <w:r>
                    <w:rPr>
                      <w:rFonts w:ascii="Times New Roman" w:hAnsi="宋体" w:eastAsia="宋体" w:cs="Times New Roman"/>
                    </w:rPr>
                    <w:t>总建筑面积</w:t>
                  </w:r>
                </w:p>
              </w:tc>
              <w:tc>
                <w:tcPr>
                  <w:tcW w:w="1479" w:type="dxa"/>
                  <w:vAlign w:val="center"/>
                </w:tcPr>
                <w:p>
                  <w:pPr>
                    <w:pStyle w:val="22"/>
                    <w:jc w:val="center"/>
                    <w:rPr>
                      <w:rFonts w:ascii="Times New Roman" w:hAnsi="Times New Roman" w:eastAsia="宋体" w:cs="Times New Roman"/>
                    </w:rPr>
                  </w:pPr>
                  <w:r>
                    <w:rPr>
                      <w:rFonts w:ascii="Times New Roman" w:hAnsi="Times New Roman" w:eastAsia="宋体" w:cs="Times New Roman"/>
                    </w:rPr>
                    <w:t>m</w:t>
                  </w:r>
                  <w:r>
                    <w:rPr>
                      <w:rFonts w:ascii="Times New Roman" w:hAnsi="Times New Roman" w:eastAsia="宋体" w:cs="Times New Roman"/>
                      <w:vertAlign w:val="superscript"/>
                    </w:rPr>
                    <w:t>2</w:t>
                  </w:r>
                </w:p>
              </w:tc>
              <w:tc>
                <w:tcPr>
                  <w:tcW w:w="2169" w:type="dxa"/>
                  <w:vAlign w:val="center"/>
                </w:tcPr>
                <w:p>
                  <w:pPr>
                    <w:pStyle w:val="22"/>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18217.2</w:t>
                  </w:r>
                </w:p>
              </w:tc>
              <w:tc>
                <w:tcPr>
                  <w:tcW w:w="2282" w:type="dxa"/>
                  <w:vMerge w:val="continue"/>
                  <w:vAlign w:val="center"/>
                </w:tcPr>
                <w:p>
                  <w:pPr>
                    <w:pStyle w:val="22"/>
                    <w:jc w:val="center"/>
                    <w:rPr>
                      <w:rFonts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98" w:hRule="atLeast"/>
                <w:jc w:val="center"/>
              </w:trPr>
              <w:tc>
                <w:tcPr>
                  <w:tcW w:w="1258" w:type="dxa"/>
                  <w:vAlign w:val="center"/>
                </w:tcPr>
                <w:p>
                  <w:pPr>
                    <w:pStyle w:val="22"/>
                    <w:jc w:val="center"/>
                    <w:rPr>
                      <w:rFonts w:ascii="Times New Roman" w:hAnsi="Times New Roman" w:eastAsia="宋体" w:cs="Times New Roman"/>
                    </w:rPr>
                  </w:pPr>
                  <w:r>
                    <w:rPr>
                      <w:rFonts w:ascii="Times New Roman" w:hAnsi="Times New Roman" w:eastAsia="宋体" w:cs="Times New Roman"/>
                    </w:rPr>
                    <w:t>4</w:t>
                  </w:r>
                </w:p>
              </w:tc>
              <w:tc>
                <w:tcPr>
                  <w:tcW w:w="2112" w:type="dxa"/>
                  <w:vAlign w:val="center"/>
                </w:tcPr>
                <w:p>
                  <w:pPr>
                    <w:pStyle w:val="22"/>
                    <w:jc w:val="center"/>
                    <w:rPr>
                      <w:rFonts w:ascii="Times New Roman" w:hAnsi="Times New Roman" w:eastAsia="宋体" w:cs="Times New Roman"/>
                    </w:rPr>
                  </w:pPr>
                  <w:r>
                    <w:rPr>
                      <w:rFonts w:ascii="Times New Roman" w:hAnsi="宋体" w:eastAsia="宋体" w:cs="Times New Roman"/>
                    </w:rPr>
                    <w:t>绿地面积</w:t>
                  </w:r>
                </w:p>
              </w:tc>
              <w:tc>
                <w:tcPr>
                  <w:tcW w:w="1479" w:type="dxa"/>
                  <w:vAlign w:val="center"/>
                </w:tcPr>
                <w:p>
                  <w:pPr>
                    <w:pStyle w:val="22"/>
                    <w:jc w:val="center"/>
                    <w:rPr>
                      <w:rFonts w:ascii="Times New Roman" w:hAnsi="Times New Roman" w:eastAsia="宋体" w:cs="Times New Roman"/>
                    </w:rPr>
                  </w:pPr>
                  <w:r>
                    <w:rPr>
                      <w:rFonts w:ascii="Times New Roman" w:hAnsi="Times New Roman" w:eastAsia="宋体" w:cs="Times New Roman"/>
                    </w:rPr>
                    <w:t>m</w:t>
                  </w:r>
                  <w:r>
                    <w:rPr>
                      <w:rFonts w:ascii="Times New Roman" w:hAnsi="Times New Roman" w:eastAsia="宋体" w:cs="Times New Roman"/>
                      <w:vertAlign w:val="superscript"/>
                    </w:rPr>
                    <w:t>2</w:t>
                  </w:r>
                </w:p>
              </w:tc>
              <w:tc>
                <w:tcPr>
                  <w:tcW w:w="2169" w:type="dxa"/>
                  <w:vAlign w:val="center"/>
                </w:tcPr>
                <w:p>
                  <w:pPr>
                    <w:pStyle w:val="22"/>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绿化建设中</w:t>
                  </w:r>
                </w:p>
              </w:tc>
              <w:tc>
                <w:tcPr>
                  <w:tcW w:w="2282" w:type="dxa"/>
                  <w:vMerge w:val="continue"/>
                  <w:vAlign w:val="center"/>
                </w:tcPr>
                <w:p>
                  <w:pPr>
                    <w:pStyle w:val="22"/>
                    <w:jc w:val="center"/>
                    <w:rPr>
                      <w:rFonts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98" w:hRule="atLeast"/>
                <w:jc w:val="center"/>
              </w:trPr>
              <w:tc>
                <w:tcPr>
                  <w:tcW w:w="1258" w:type="dxa"/>
                  <w:vAlign w:val="center"/>
                </w:tcPr>
                <w:p>
                  <w:pPr>
                    <w:pStyle w:val="22"/>
                    <w:jc w:val="center"/>
                    <w:rPr>
                      <w:rFonts w:ascii="Times New Roman" w:hAnsi="Times New Roman" w:eastAsia="宋体" w:cs="Times New Roman"/>
                    </w:rPr>
                  </w:pPr>
                  <w:r>
                    <w:rPr>
                      <w:rFonts w:ascii="Times New Roman" w:hAnsi="Times New Roman" w:eastAsia="宋体" w:cs="Times New Roman"/>
                    </w:rPr>
                    <w:t>5</w:t>
                  </w:r>
                </w:p>
              </w:tc>
              <w:tc>
                <w:tcPr>
                  <w:tcW w:w="2112" w:type="dxa"/>
                  <w:vAlign w:val="center"/>
                </w:tcPr>
                <w:p>
                  <w:pPr>
                    <w:pStyle w:val="22"/>
                    <w:jc w:val="center"/>
                    <w:rPr>
                      <w:rFonts w:ascii="Times New Roman" w:hAnsi="Times New Roman" w:eastAsia="宋体" w:cs="Times New Roman"/>
                    </w:rPr>
                  </w:pPr>
                  <w:r>
                    <w:rPr>
                      <w:rFonts w:ascii="Times New Roman" w:hAnsi="宋体" w:eastAsia="宋体" w:cs="Times New Roman"/>
                    </w:rPr>
                    <w:t>建筑密度</w:t>
                  </w:r>
                </w:p>
              </w:tc>
              <w:tc>
                <w:tcPr>
                  <w:tcW w:w="1479" w:type="dxa"/>
                  <w:vAlign w:val="center"/>
                </w:tcPr>
                <w:p>
                  <w:pPr>
                    <w:pStyle w:val="22"/>
                    <w:jc w:val="center"/>
                    <w:rPr>
                      <w:rFonts w:ascii="Times New Roman" w:hAnsi="Times New Roman" w:eastAsia="宋体" w:cs="Times New Roman"/>
                    </w:rPr>
                  </w:pPr>
                  <w:r>
                    <w:rPr>
                      <w:rFonts w:ascii="Times New Roman" w:hAnsi="Times New Roman" w:eastAsia="宋体" w:cs="Times New Roman"/>
                    </w:rPr>
                    <w:t>%</w:t>
                  </w:r>
                </w:p>
              </w:tc>
              <w:tc>
                <w:tcPr>
                  <w:tcW w:w="2169" w:type="dxa"/>
                  <w:vAlign w:val="center"/>
                </w:tcPr>
                <w:p>
                  <w:pPr>
                    <w:pStyle w:val="22"/>
                    <w:jc w:val="center"/>
                    <w:rPr>
                      <w:rFonts w:hint="eastAsia" w:ascii="Times New Roman" w:hAnsi="Times New Roman" w:eastAsia="宋体" w:cs="Times New Roman"/>
                      <w:lang w:val="en-US" w:eastAsia="zh-CN"/>
                    </w:rPr>
                  </w:pPr>
                  <w:r>
                    <w:rPr>
                      <w:rFonts w:ascii="Times New Roman" w:hAnsi="Times New Roman" w:eastAsia="宋体" w:cs="Times New Roman"/>
                      <w:color w:val="000000" w:themeColor="text1"/>
                    </w:rPr>
                    <w:t>25.</w:t>
                  </w:r>
                  <w:r>
                    <w:rPr>
                      <w:rFonts w:hint="eastAsia" w:ascii="Times New Roman" w:hAnsi="Times New Roman" w:eastAsia="宋体" w:cs="Times New Roman"/>
                      <w:color w:val="000000" w:themeColor="text1"/>
                      <w:lang w:val="en-US" w:eastAsia="zh-CN"/>
                    </w:rPr>
                    <w:t>9</w:t>
                  </w:r>
                </w:p>
              </w:tc>
              <w:tc>
                <w:tcPr>
                  <w:tcW w:w="2282" w:type="dxa"/>
                  <w:vMerge w:val="continue"/>
                  <w:vAlign w:val="center"/>
                </w:tcPr>
                <w:p>
                  <w:pPr>
                    <w:pStyle w:val="22"/>
                    <w:jc w:val="center"/>
                    <w:rPr>
                      <w:rFonts w:ascii="Times New Roman" w:hAnsi="Times New Roman" w:eastAsia="宋体" w:cs="Times New Roman"/>
                    </w:rPr>
                  </w:pPr>
                </w:p>
              </w:tc>
            </w:tr>
          </w:tbl>
          <w:p>
            <w:pPr>
              <w:keepNext w:val="0"/>
              <w:keepLines w:val="0"/>
              <w:pageBreakBefore w:val="0"/>
              <w:widowControl w:val="0"/>
              <w:kinsoku/>
              <w:wordWrap/>
              <w:overflowPunct/>
              <w:topLinePunct w:val="0"/>
              <w:autoSpaceDE/>
              <w:autoSpaceDN/>
              <w:bidi w:val="0"/>
              <w:adjustRightInd/>
              <w:snapToGrid/>
              <w:spacing w:line="240" w:lineRule="auto"/>
              <w:ind w:right="482"/>
              <w:jc w:val="center"/>
              <w:textAlignment w:val="auto"/>
              <w:rPr>
                <w:rFonts w:hAnsi="宋体"/>
                <w:b/>
                <w:kern w:val="0"/>
              </w:rPr>
            </w:pPr>
          </w:p>
          <w:p>
            <w:pPr>
              <w:keepNext w:val="0"/>
              <w:keepLines w:val="0"/>
              <w:pageBreakBefore w:val="0"/>
              <w:widowControl w:val="0"/>
              <w:kinsoku/>
              <w:wordWrap/>
              <w:overflowPunct/>
              <w:topLinePunct w:val="0"/>
              <w:autoSpaceDE/>
              <w:autoSpaceDN/>
              <w:bidi w:val="0"/>
              <w:adjustRightInd/>
              <w:snapToGrid/>
              <w:spacing w:line="240" w:lineRule="auto"/>
              <w:ind w:right="482"/>
              <w:jc w:val="center"/>
              <w:textAlignment w:val="auto"/>
              <w:rPr>
                <w:rFonts w:hAnsi="宋体"/>
                <w:b/>
                <w:kern w:val="0"/>
              </w:rPr>
            </w:pPr>
          </w:p>
          <w:p>
            <w:pPr>
              <w:keepNext w:val="0"/>
              <w:keepLines w:val="0"/>
              <w:pageBreakBefore w:val="0"/>
              <w:widowControl w:val="0"/>
              <w:kinsoku/>
              <w:wordWrap/>
              <w:overflowPunct/>
              <w:topLinePunct w:val="0"/>
              <w:autoSpaceDE/>
              <w:autoSpaceDN/>
              <w:bidi w:val="0"/>
              <w:adjustRightInd/>
              <w:snapToGrid/>
              <w:spacing w:line="240" w:lineRule="auto"/>
              <w:ind w:right="482"/>
              <w:jc w:val="center"/>
              <w:textAlignment w:val="auto"/>
              <w:rPr>
                <w:rFonts w:hAnsi="宋体"/>
                <w:b/>
                <w:kern w:val="0"/>
              </w:rPr>
            </w:pPr>
          </w:p>
          <w:p>
            <w:pPr>
              <w:pStyle w:val="2"/>
            </w:pPr>
          </w:p>
          <w:p>
            <w:pPr>
              <w:pStyle w:val="2"/>
            </w:pPr>
          </w:p>
          <w:p>
            <w:pPr>
              <w:pStyle w:val="2"/>
              <w:rPr>
                <w:rFonts w:hAnsi="宋体"/>
                <w:b/>
                <w:kern w:val="0"/>
              </w:rPr>
            </w:pPr>
          </w:p>
          <w:p>
            <w:pPr>
              <w:keepNext w:val="0"/>
              <w:keepLines w:val="0"/>
              <w:pageBreakBefore w:val="0"/>
              <w:widowControl w:val="0"/>
              <w:kinsoku/>
              <w:wordWrap/>
              <w:overflowPunct/>
              <w:topLinePunct w:val="0"/>
              <w:autoSpaceDE/>
              <w:autoSpaceDN/>
              <w:bidi w:val="0"/>
              <w:adjustRightInd/>
              <w:snapToGrid/>
              <w:spacing w:line="240" w:lineRule="auto"/>
              <w:ind w:right="482"/>
              <w:jc w:val="center"/>
              <w:textAlignment w:val="auto"/>
              <w:rPr>
                <w:rFonts w:hAnsi="宋体"/>
                <w:b/>
                <w:kern w:val="0"/>
              </w:rPr>
            </w:pPr>
            <w:r>
              <w:rPr>
                <w:rFonts w:hAnsi="宋体"/>
                <w:b/>
                <w:kern w:val="0"/>
              </w:rPr>
              <w:t>表2-2  项目工程组成一览表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95"/>
              <w:gridCol w:w="828"/>
              <w:gridCol w:w="1972"/>
              <w:gridCol w:w="3230"/>
              <w:gridCol w:w="1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29" w:type="dxa"/>
                  <w:shd w:val="clear" w:color="auto" w:fill="auto"/>
                  <w:vAlign w:val="center"/>
                </w:tcPr>
                <w:p>
                  <w:pPr>
                    <w:spacing w:line="240" w:lineRule="auto"/>
                    <w:ind w:right="-86" w:rightChars="-36"/>
                    <w:jc w:val="center"/>
                    <w:rPr>
                      <w:b/>
                      <w:sz w:val="21"/>
                      <w:szCs w:val="21"/>
                    </w:rPr>
                  </w:pPr>
                  <w:r>
                    <w:rPr>
                      <w:rFonts w:hAnsi="宋体"/>
                      <w:b/>
                      <w:sz w:val="21"/>
                      <w:szCs w:val="21"/>
                    </w:rPr>
                    <w:t>类别</w:t>
                  </w:r>
                </w:p>
              </w:tc>
              <w:tc>
                <w:tcPr>
                  <w:tcW w:w="3795" w:type="dxa"/>
                  <w:gridSpan w:val="3"/>
                  <w:shd w:val="clear" w:color="auto" w:fill="auto"/>
                  <w:vAlign w:val="center"/>
                </w:tcPr>
                <w:p>
                  <w:pPr>
                    <w:spacing w:line="240" w:lineRule="auto"/>
                    <w:ind w:right="-86" w:rightChars="-36"/>
                    <w:jc w:val="center"/>
                    <w:rPr>
                      <w:b/>
                      <w:sz w:val="21"/>
                      <w:szCs w:val="21"/>
                    </w:rPr>
                  </w:pPr>
                  <w:r>
                    <w:rPr>
                      <w:rFonts w:hAnsi="宋体"/>
                      <w:b/>
                      <w:bCs/>
                      <w:sz w:val="21"/>
                      <w:szCs w:val="21"/>
                    </w:rPr>
                    <w:t>环评工程内容</w:t>
                  </w:r>
                </w:p>
              </w:tc>
              <w:tc>
                <w:tcPr>
                  <w:tcW w:w="3230" w:type="dxa"/>
                  <w:shd w:val="clear" w:color="auto" w:fill="auto"/>
                  <w:vAlign w:val="center"/>
                </w:tcPr>
                <w:p>
                  <w:pPr>
                    <w:spacing w:line="240" w:lineRule="auto"/>
                    <w:ind w:right="-86" w:rightChars="-36"/>
                    <w:jc w:val="center"/>
                    <w:rPr>
                      <w:b/>
                      <w:sz w:val="21"/>
                      <w:szCs w:val="21"/>
                    </w:rPr>
                  </w:pPr>
                  <w:r>
                    <w:rPr>
                      <w:rFonts w:hAnsi="宋体"/>
                      <w:b/>
                      <w:sz w:val="21"/>
                      <w:szCs w:val="21"/>
                    </w:rPr>
                    <w:t>实际建设情况</w:t>
                  </w:r>
                </w:p>
              </w:tc>
              <w:tc>
                <w:tcPr>
                  <w:tcW w:w="1546" w:type="dxa"/>
                  <w:shd w:val="clear" w:color="auto" w:fill="auto"/>
                  <w:vAlign w:val="center"/>
                </w:tcPr>
                <w:p>
                  <w:pPr>
                    <w:spacing w:line="240" w:lineRule="auto"/>
                    <w:ind w:right="-86" w:rightChars="-36"/>
                    <w:jc w:val="center"/>
                    <w:rPr>
                      <w:b/>
                      <w:sz w:val="21"/>
                      <w:szCs w:val="21"/>
                    </w:rPr>
                  </w:pPr>
                  <w:r>
                    <w:rPr>
                      <w:rFonts w:hAnsi="宋体"/>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9" w:type="dxa"/>
                  <w:shd w:val="clear" w:color="auto" w:fill="auto"/>
                  <w:vAlign w:val="center"/>
                </w:tcPr>
                <w:p>
                  <w:pPr>
                    <w:spacing w:line="240" w:lineRule="auto"/>
                    <w:ind w:right="-86" w:rightChars="-36"/>
                    <w:jc w:val="center"/>
                    <w:rPr>
                      <w:sz w:val="21"/>
                      <w:szCs w:val="21"/>
                    </w:rPr>
                  </w:pPr>
                  <w:r>
                    <w:rPr>
                      <w:rFonts w:hAnsi="宋体"/>
                      <w:sz w:val="21"/>
                      <w:szCs w:val="21"/>
                    </w:rPr>
                    <w:t>主体工程</w:t>
                  </w:r>
                </w:p>
              </w:tc>
              <w:tc>
                <w:tcPr>
                  <w:tcW w:w="3795" w:type="dxa"/>
                  <w:gridSpan w:val="3"/>
                  <w:shd w:val="clear" w:color="auto" w:fill="auto"/>
                  <w:vAlign w:val="center"/>
                </w:tcPr>
                <w:p>
                  <w:pPr>
                    <w:spacing w:line="240" w:lineRule="auto"/>
                    <w:ind w:right="-86" w:rightChars="-36"/>
                    <w:rPr>
                      <w:color w:val="FF0000"/>
                      <w:sz w:val="21"/>
                      <w:szCs w:val="21"/>
                    </w:rPr>
                  </w:pPr>
                  <w:r>
                    <w:rPr>
                      <w:rFonts w:hAnsi="宋体"/>
                      <w:sz w:val="21"/>
                      <w:szCs w:val="21"/>
                    </w:rPr>
                    <w:t>根据吉首大学张家界学院总体规划，项目建成分五大块：教学区、住宅区（学生、教师、专家）、活动区、公共服务区及接待区</w:t>
                  </w:r>
                </w:p>
              </w:tc>
              <w:tc>
                <w:tcPr>
                  <w:tcW w:w="3230" w:type="dxa"/>
                  <w:shd w:val="clear" w:color="auto" w:fill="auto"/>
                  <w:vAlign w:val="center"/>
                </w:tcPr>
                <w:p>
                  <w:pPr>
                    <w:spacing w:line="240" w:lineRule="auto"/>
                    <w:ind w:right="-86" w:rightChars="-36"/>
                    <w:rPr>
                      <w:color w:val="FF0000"/>
                      <w:sz w:val="21"/>
                      <w:szCs w:val="21"/>
                    </w:rPr>
                  </w:pPr>
                  <w:r>
                    <w:rPr>
                      <w:rFonts w:hAnsi="宋体"/>
                      <w:sz w:val="21"/>
                      <w:szCs w:val="21"/>
                    </w:rPr>
                    <w:t>混凝土框架结构的</w:t>
                  </w:r>
                  <w:r>
                    <w:rPr>
                      <w:rFonts w:hint="eastAsia"/>
                      <w:sz w:val="21"/>
                      <w:szCs w:val="21"/>
                      <w:lang w:val="en-US" w:eastAsia="zh-CN"/>
                    </w:rPr>
                    <w:t>18</w:t>
                  </w:r>
                  <w:r>
                    <w:rPr>
                      <w:rFonts w:hAnsi="宋体"/>
                      <w:sz w:val="21"/>
                      <w:szCs w:val="21"/>
                    </w:rPr>
                    <w:t>层楼宿舍，设置标准</w:t>
                  </w:r>
                  <w:r>
                    <w:rPr>
                      <w:sz w:val="21"/>
                      <w:szCs w:val="21"/>
                    </w:rPr>
                    <w:t>5</w:t>
                  </w:r>
                  <w:r>
                    <w:rPr>
                      <w:rFonts w:hAnsi="宋体"/>
                      <w:sz w:val="21"/>
                      <w:szCs w:val="21"/>
                    </w:rPr>
                    <w:t>人间</w:t>
                  </w:r>
                  <w:r>
                    <w:rPr>
                      <w:rFonts w:hint="eastAsia"/>
                      <w:sz w:val="21"/>
                      <w:szCs w:val="21"/>
                      <w:lang w:val="en-US" w:eastAsia="zh-CN"/>
                    </w:rPr>
                    <w:t>300</w:t>
                  </w:r>
                  <w:r>
                    <w:rPr>
                      <w:rFonts w:hAnsi="宋体"/>
                      <w:sz w:val="21"/>
                      <w:szCs w:val="21"/>
                    </w:rPr>
                    <w:t>间，无障碍宿舍</w:t>
                  </w:r>
                  <w:r>
                    <w:rPr>
                      <w:sz w:val="21"/>
                      <w:szCs w:val="21"/>
                    </w:rPr>
                    <w:t>2</w:t>
                  </w:r>
                  <w:r>
                    <w:rPr>
                      <w:rFonts w:hAnsi="宋体"/>
                      <w:sz w:val="21"/>
                      <w:szCs w:val="21"/>
                    </w:rPr>
                    <w:t>间（设置在一层），可容纳学生</w:t>
                  </w:r>
                  <w:r>
                    <w:rPr>
                      <w:rFonts w:hint="eastAsia"/>
                      <w:sz w:val="21"/>
                      <w:szCs w:val="21"/>
                    </w:rPr>
                    <w:t>1</w:t>
                  </w:r>
                  <w:r>
                    <w:rPr>
                      <w:sz w:val="21"/>
                      <w:szCs w:val="21"/>
                    </w:rPr>
                    <w:t>496</w:t>
                  </w:r>
                  <w:r>
                    <w:rPr>
                      <w:rFonts w:hAnsi="宋体"/>
                      <w:sz w:val="21"/>
                      <w:szCs w:val="21"/>
                    </w:rPr>
                    <w:t>人</w:t>
                  </w:r>
                </w:p>
              </w:tc>
              <w:tc>
                <w:tcPr>
                  <w:tcW w:w="1546" w:type="dxa"/>
                  <w:shd w:val="clear" w:color="auto" w:fill="auto"/>
                  <w:vAlign w:val="center"/>
                </w:tcPr>
                <w:p>
                  <w:pPr>
                    <w:spacing w:line="240" w:lineRule="auto"/>
                    <w:ind w:right="-86" w:rightChars="-36"/>
                    <w:jc w:val="center"/>
                    <w:rPr>
                      <w:rFonts w:hint="default" w:eastAsia="宋体"/>
                      <w:sz w:val="21"/>
                      <w:szCs w:val="21"/>
                      <w:lang w:val="en-US" w:eastAsia="zh-CN"/>
                    </w:rPr>
                  </w:pPr>
                  <w:r>
                    <w:rPr>
                      <w:rFonts w:hint="eastAsia" w:hAnsi="宋体"/>
                      <w:sz w:val="21"/>
                      <w:szCs w:val="21"/>
                      <w:lang w:val="en-US" w:eastAsia="zh-CN"/>
                    </w:rPr>
                    <w:t>分批建设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29" w:type="dxa"/>
                  <w:vMerge w:val="restart"/>
                  <w:shd w:val="clear" w:color="auto" w:fill="auto"/>
                  <w:vAlign w:val="center"/>
                </w:tcPr>
                <w:p>
                  <w:pPr>
                    <w:spacing w:line="240" w:lineRule="auto"/>
                    <w:ind w:right="-86" w:rightChars="-36"/>
                    <w:jc w:val="center"/>
                    <w:rPr>
                      <w:sz w:val="21"/>
                      <w:szCs w:val="21"/>
                    </w:rPr>
                  </w:pPr>
                  <w:r>
                    <w:rPr>
                      <w:rFonts w:hAnsi="宋体"/>
                      <w:sz w:val="21"/>
                      <w:szCs w:val="21"/>
                    </w:rPr>
                    <w:t>公用工程</w:t>
                  </w:r>
                </w:p>
              </w:tc>
              <w:tc>
                <w:tcPr>
                  <w:tcW w:w="1823" w:type="dxa"/>
                  <w:gridSpan w:val="2"/>
                  <w:shd w:val="clear" w:color="auto" w:fill="auto"/>
                  <w:vAlign w:val="center"/>
                </w:tcPr>
                <w:p>
                  <w:pPr>
                    <w:spacing w:line="240" w:lineRule="auto"/>
                    <w:ind w:right="-86" w:rightChars="-36"/>
                    <w:jc w:val="center"/>
                    <w:rPr>
                      <w:sz w:val="21"/>
                      <w:szCs w:val="21"/>
                    </w:rPr>
                  </w:pPr>
                  <w:r>
                    <w:rPr>
                      <w:rFonts w:hAnsi="宋体"/>
                      <w:sz w:val="21"/>
                      <w:szCs w:val="21"/>
                    </w:rPr>
                    <w:t>供水系统</w:t>
                  </w:r>
                </w:p>
              </w:tc>
              <w:tc>
                <w:tcPr>
                  <w:tcW w:w="1972" w:type="dxa"/>
                  <w:shd w:val="clear" w:color="auto" w:fill="auto"/>
                  <w:vAlign w:val="center"/>
                </w:tcPr>
                <w:p>
                  <w:pPr>
                    <w:spacing w:line="240" w:lineRule="auto"/>
                    <w:ind w:right="-86" w:rightChars="-36"/>
                    <w:jc w:val="center"/>
                    <w:rPr>
                      <w:kern w:val="1"/>
                      <w:sz w:val="21"/>
                      <w:szCs w:val="21"/>
                    </w:rPr>
                  </w:pPr>
                  <w:r>
                    <w:rPr>
                      <w:rFonts w:hAnsi="宋体"/>
                      <w:kern w:val="1"/>
                      <w:sz w:val="21"/>
                      <w:szCs w:val="21"/>
                    </w:rPr>
                    <w:t>市政给水管网</w:t>
                  </w:r>
                </w:p>
              </w:tc>
              <w:tc>
                <w:tcPr>
                  <w:tcW w:w="3230" w:type="dxa"/>
                  <w:shd w:val="clear" w:color="auto" w:fill="auto"/>
                  <w:vAlign w:val="center"/>
                </w:tcPr>
                <w:p>
                  <w:pPr>
                    <w:spacing w:line="240" w:lineRule="auto"/>
                    <w:ind w:right="-86" w:rightChars="-36"/>
                    <w:jc w:val="center"/>
                    <w:rPr>
                      <w:rFonts w:hint="eastAsia" w:eastAsia="宋体"/>
                      <w:sz w:val="21"/>
                      <w:szCs w:val="21"/>
                      <w:lang w:eastAsia="zh-CN"/>
                    </w:rPr>
                  </w:pPr>
                  <w:r>
                    <w:rPr>
                      <w:rFonts w:hAnsi="宋体"/>
                      <w:kern w:val="1"/>
                      <w:sz w:val="21"/>
                      <w:szCs w:val="21"/>
                    </w:rPr>
                    <w:t>市政给水管网</w:t>
                  </w:r>
                  <w:r>
                    <w:rPr>
                      <w:rFonts w:hint="eastAsia" w:hAnsi="宋体"/>
                      <w:kern w:val="1"/>
                      <w:sz w:val="21"/>
                      <w:szCs w:val="21"/>
                      <w:lang w:eastAsia="zh-CN"/>
                    </w:rPr>
                    <w:t>，并在地下配置消防水泵房和生活水泵房</w:t>
                  </w:r>
                </w:p>
              </w:tc>
              <w:tc>
                <w:tcPr>
                  <w:tcW w:w="1546" w:type="dxa"/>
                  <w:shd w:val="clear" w:color="auto" w:fill="auto"/>
                  <w:vAlign w:val="center"/>
                </w:tcPr>
                <w:p>
                  <w:pPr>
                    <w:spacing w:line="240" w:lineRule="auto"/>
                    <w:ind w:right="-86" w:rightChars="-36"/>
                    <w:jc w:val="center"/>
                    <w:rPr>
                      <w:sz w:val="21"/>
                      <w:szCs w:val="21"/>
                    </w:rPr>
                  </w:pPr>
                  <w:r>
                    <w:rPr>
                      <w:rFonts w:hAnsi="宋体"/>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1823" w:type="dxa"/>
                  <w:gridSpan w:val="2"/>
                  <w:shd w:val="clear" w:color="auto" w:fill="auto"/>
                  <w:vAlign w:val="center"/>
                </w:tcPr>
                <w:p>
                  <w:pPr>
                    <w:spacing w:line="240" w:lineRule="auto"/>
                    <w:ind w:right="-86" w:rightChars="-36"/>
                    <w:jc w:val="center"/>
                    <w:rPr>
                      <w:sz w:val="21"/>
                      <w:szCs w:val="21"/>
                    </w:rPr>
                  </w:pPr>
                  <w:r>
                    <w:rPr>
                      <w:rFonts w:hAnsi="宋体"/>
                      <w:sz w:val="21"/>
                      <w:szCs w:val="21"/>
                    </w:rPr>
                    <w:t>排水系统</w:t>
                  </w:r>
                </w:p>
              </w:tc>
              <w:tc>
                <w:tcPr>
                  <w:tcW w:w="1972" w:type="dxa"/>
                  <w:shd w:val="clear" w:color="auto" w:fill="auto"/>
                  <w:vAlign w:val="center"/>
                </w:tcPr>
                <w:p>
                  <w:pPr>
                    <w:spacing w:line="240" w:lineRule="auto"/>
                    <w:ind w:right="-86" w:rightChars="-36"/>
                    <w:jc w:val="center"/>
                    <w:rPr>
                      <w:kern w:val="1"/>
                      <w:sz w:val="21"/>
                      <w:szCs w:val="21"/>
                    </w:rPr>
                  </w:pPr>
                  <w:r>
                    <w:rPr>
                      <w:rFonts w:hAnsi="宋体"/>
                      <w:kern w:val="0"/>
                      <w:sz w:val="21"/>
                      <w:szCs w:val="21"/>
                    </w:rPr>
                    <w:t>排水系统采用雨污分流制</w:t>
                  </w:r>
                </w:p>
              </w:tc>
              <w:tc>
                <w:tcPr>
                  <w:tcW w:w="3230" w:type="dxa"/>
                  <w:shd w:val="clear" w:color="auto" w:fill="auto"/>
                  <w:vAlign w:val="center"/>
                </w:tcPr>
                <w:p>
                  <w:pPr>
                    <w:spacing w:line="240" w:lineRule="auto"/>
                    <w:ind w:right="-86" w:rightChars="-36"/>
                    <w:jc w:val="center"/>
                    <w:rPr>
                      <w:sz w:val="21"/>
                      <w:szCs w:val="21"/>
                    </w:rPr>
                  </w:pPr>
                  <w:r>
                    <w:rPr>
                      <w:rFonts w:hAnsi="宋体"/>
                      <w:kern w:val="0"/>
                      <w:sz w:val="21"/>
                      <w:szCs w:val="21"/>
                    </w:rPr>
                    <w:t>排水系统采用雨污分流制</w:t>
                  </w:r>
                </w:p>
              </w:tc>
              <w:tc>
                <w:tcPr>
                  <w:tcW w:w="1546" w:type="dxa"/>
                  <w:shd w:val="clear" w:color="auto" w:fill="auto"/>
                  <w:vAlign w:val="center"/>
                </w:tcPr>
                <w:p>
                  <w:pPr>
                    <w:spacing w:line="240" w:lineRule="auto"/>
                    <w:ind w:right="-86" w:rightChars="-36"/>
                    <w:jc w:val="center"/>
                    <w:rPr>
                      <w:sz w:val="21"/>
                      <w:szCs w:val="21"/>
                    </w:rPr>
                  </w:pPr>
                  <w:r>
                    <w:rPr>
                      <w:rFonts w:hAnsi="宋体"/>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1823" w:type="dxa"/>
                  <w:gridSpan w:val="2"/>
                  <w:shd w:val="clear" w:color="auto" w:fill="auto"/>
                  <w:vAlign w:val="center"/>
                </w:tcPr>
                <w:p>
                  <w:pPr>
                    <w:spacing w:line="240" w:lineRule="auto"/>
                    <w:ind w:right="-86" w:rightChars="-36"/>
                    <w:jc w:val="center"/>
                    <w:rPr>
                      <w:sz w:val="21"/>
                      <w:szCs w:val="21"/>
                    </w:rPr>
                  </w:pPr>
                  <w:r>
                    <w:rPr>
                      <w:rFonts w:hAnsi="宋体"/>
                      <w:sz w:val="21"/>
                      <w:szCs w:val="21"/>
                    </w:rPr>
                    <w:t>供电</w:t>
                  </w:r>
                </w:p>
              </w:tc>
              <w:tc>
                <w:tcPr>
                  <w:tcW w:w="1972" w:type="dxa"/>
                  <w:shd w:val="clear" w:color="auto" w:fill="auto"/>
                  <w:vAlign w:val="center"/>
                </w:tcPr>
                <w:p>
                  <w:pPr>
                    <w:spacing w:line="240" w:lineRule="auto"/>
                    <w:ind w:right="-86" w:rightChars="-36"/>
                    <w:jc w:val="center"/>
                    <w:rPr>
                      <w:kern w:val="0"/>
                      <w:sz w:val="21"/>
                      <w:szCs w:val="21"/>
                    </w:rPr>
                  </w:pPr>
                  <w:r>
                    <w:rPr>
                      <w:rFonts w:hAnsi="宋体"/>
                      <w:kern w:val="0"/>
                      <w:sz w:val="21"/>
                      <w:szCs w:val="21"/>
                    </w:rPr>
                    <w:t>电力部门提供</w:t>
                  </w:r>
                </w:p>
              </w:tc>
              <w:tc>
                <w:tcPr>
                  <w:tcW w:w="3230" w:type="dxa"/>
                  <w:shd w:val="clear" w:color="auto" w:fill="auto"/>
                  <w:vAlign w:val="center"/>
                </w:tcPr>
                <w:p>
                  <w:pPr>
                    <w:spacing w:line="240" w:lineRule="auto"/>
                    <w:ind w:right="-86" w:rightChars="-36"/>
                    <w:jc w:val="center"/>
                    <w:rPr>
                      <w:rFonts w:hint="eastAsia" w:eastAsia="宋体"/>
                      <w:kern w:val="0"/>
                      <w:sz w:val="21"/>
                      <w:szCs w:val="21"/>
                      <w:lang w:val="en-US" w:eastAsia="zh-CN"/>
                    </w:rPr>
                  </w:pPr>
                  <w:r>
                    <w:rPr>
                      <w:rFonts w:hAnsi="宋体"/>
                      <w:kern w:val="0"/>
                      <w:sz w:val="21"/>
                      <w:szCs w:val="21"/>
                    </w:rPr>
                    <w:t>电力部门提供，同时配置一台箱式变电站</w:t>
                  </w:r>
                  <w:r>
                    <w:rPr>
                      <w:rFonts w:hint="eastAsia" w:hAnsi="宋体"/>
                      <w:kern w:val="0"/>
                      <w:sz w:val="21"/>
                      <w:szCs w:val="21"/>
                      <w:lang w:eastAsia="zh-CN"/>
                    </w:rPr>
                    <w:t>，配置一台柴油发电机备用</w:t>
                  </w:r>
                </w:p>
              </w:tc>
              <w:tc>
                <w:tcPr>
                  <w:tcW w:w="1546" w:type="dxa"/>
                  <w:shd w:val="clear" w:color="auto" w:fill="auto"/>
                  <w:vAlign w:val="center"/>
                </w:tcPr>
                <w:p>
                  <w:pPr>
                    <w:spacing w:line="240" w:lineRule="auto"/>
                    <w:ind w:right="-86" w:rightChars="-36"/>
                    <w:jc w:val="center"/>
                    <w:rPr>
                      <w:rFonts w:hint="eastAsia" w:eastAsia="宋体"/>
                      <w:sz w:val="21"/>
                      <w:szCs w:val="21"/>
                      <w:lang w:eastAsia="zh-CN"/>
                    </w:rPr>
                  </w:pPr>
                  <w:r>
                    <w:rPr>
                      <w:rFonts w:hint="eastAsia" w:hAnsi="宋体"/>
                      <w:sz w:val="21"/>
                      <w:szCs w:val="21"/>
                      <w:lang w:eastAsia="zh-CN"/>
                    </w:rPr>
                    <w:t>环评未提及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29" w:type="dxa"/>
                  <w:vMerge w:val="restart"/>
                  <w:shd w:val="clear" w:color="auto" w:fill="auto"/>
                  <w:vAlign w:val="center"/>
                </w:tcPr>
                <w:p>
                  <w:pPr>
                    <w:spacing w:line="240" w:lineRule="auto"/>
                    <w:ind w:right="-86" w:rightChars="-36"/>
                    <w:jc w:val="center"/>
                    <w:rPr>
                      <w:rFonts w:hint="default" w:eastAsia="宋体"/>
                      <w:sz w:val="21"/>
                      <w:szCs w:val="21"/>
                      <w:lang w:val="en-US" w:eastAsia="zh-CN"/>
                    </w:rPr>
                  </w:pPr>
                  <w:r>
                    <w:rPr>
                      <w:rFonts w:hint="eastAsia"/>
                      <w:sz w:val="21"/>
                      <w:szCs w:val="21"/>
                      <w:lang w:val="en-US" w:eastAsia="zh-CN"/>
                    </w:rPr>
                    <w:t>环保工程</w:t>
                  </w:r>
                </w:p>
              </w:tc>
              <w:tc>
                <w:tcPr>
                  <w:tcW w:w="995" w:type="dxa"/>
                  <w:shd w:val="clear" w:color="auto" w:fill="auto"/>
                  <w:vAlign w:val="center"/>
                </w:tcPr>
                <w:p>
                  <w:pPr>
                    <w:spacing w:line="240" w:lineRule="auto"/>
                    <w:ind w:right="-86" w:rightChars="-36" w:firstLine="105" w:firstLineChars="50"/>
                    <w:jc w:val="center"/>
                    <w:rPr>
                      <w:sz w:val="21"/>
                      <w:szCs w:val="21"/>
                    </w:rPr>
                  </w:pPr>
                  <w:r>
                    <w:rPr>
                      <w:rFonts w:hAnsi="宋体"/>
                      <w:kern w:val="1"/>
                      <w:sz w:val="21"/>
                      <w:szCs w:val="21"/>
                    </w:rPr>
                    <w:t>废水</w:t>
                  </w:r>
                </w:p>
              </w:tc>
              <w:tc>
                <w:tcPr>
                  <w:tcW w:w="2800" w:type="dxa"/>
                  <w:gridSpan w:val="2"/>
                  <w:shd w:val="clear" w:color="auto" w:fill="auto"/>
                  <w:vAlign w:val="center"/>
                </w:tcPr>
                <w:p>
                  <w:pPr>
                    <w:spacing w:line="240" w:lineRule="auto"/>
                    <w:ind w:right="-86" w:rightChars="-36"/>
                    <w:rPr>
                      <w:sz w:val="21"/>
                      <w:szCs w:val="21"/>
                    </w:rPr>
                  </w:pPr>
                  <w:r>
                    <w:rPr>
                      <w:rFonts w:hAnsi="宋体"/>
                      <w:kern w:val="0"/>
                      <w:sz w:val="21"/>
                      <w:szCs w:val="21"/>
                    </w:rPr>
                    <w:t>排水系统采用雨污分流制，雨水收集汇总后直接排入市政雨水管网；生活污水经化粪池处理后排入市政污水管网</w:t>
                  </w:r>
                </w:p>
              </w:tc>
              <w:tc>
                <w:tcPr>
                  <w:tcW w:w="3230" w:type="dxa"/>
                  <w:shd w:val="clear" w:color="auto" w:fill="auto"/>
                  <w:vAlign w:val="center"/>
                </w:tcPr>
                <w:p>
                  <w:pPr>
                    <w:spacing w:line="240" w:lineRule="auto"/>
                    <w:ind w:right="-86" w:rightChars="-36"/>
                    <w:rPr>
                      <w:sz w:val="21"/>
                      <w:szCs w:val="21"/>
                    </w:rPr>
                  </w:pPr>
                  <w:r>
                    <w:rPr>
                      <w:sz w:val="21"/>
                      <w:szCs w:val="21"/>
                    </w:rPr>
                    <w:t>1</w:t>
                  </w:r>
                  <w:r>
                    <w:rPr>
                      <w:rFonts w:hAnsi="宋体"/>
                      <w:sz w:val="21"/>
                      <w:szCs w:val="21"/>
                    </w:rPr>
                    <w:t>、实行雨污分流；</w:t>
                  </w:r>
                </w:p>
                <w:p>
                  <w:pPr>
                    <w:spacing w:line="240" w:lineRule="auto"/>
                    <w:ind w:right="-86" w:rightChars="-36"/>
                    <w:rPr>
                      <w:sz w:val="21"/>
                      <w:szCs w:val="21"/>
                    </w:rPr>
                  </w:pPr>
                  <w:r>
                    <w:rPr>
                      <w:sz w:val="21"/>
                      <w:szCs w:val="21"/>
                    </w:rPr>
                    <w:t>2</w:t>
                  </w:r>
                  <w:r>
                    <w:rPr>
                      <w:rFonts w:hAnsi="宋体"/>
                      <w:sz w:val="21"/>
                      <w:szCs w:val="21"/>
                    </w:rPr>
                    <w:t>、修建</w:t>
                  </w:r>
                  <w:r>
                    <w:rPr>
                      <w:rFonts w:hint="eastAsia"/>
                      <w:sz w:val="21"/>
                      <w:szCs w:val="21"/>
                      <w:lang w:val="en-US" w:eastAsia="zh-CN"/>
                    </w:rPr>
                    <w:t>2</w:t>
                  </w:r>
                  <w:r>
                    <w:rPr>
                      <w:rFonts w:hAnsi="宋体"/>
                      <w:sz w:val="21"/>
                      <w:szCs w:val="21"/>
                    </w:rPr>
                    <w:t>个化粪池（</w:t>
                  </w:r>
                  <w:r>
                    <w:rPr>
                      <w:rFonts w:hint="eastAsia" w:hAnsi="宋体"/>
                      <w:sz w:val="21"/>
                      <w:szCs w:val="21"/>
                      <w:lang w:val="en-US" w:eastAsia="zh-CN"/>
                    </w:rPr>
                    <w:t>每个</w:t>
                  </w:r>
                  <w:r>
                    <w:rPr>
                      <w:rFonts w:hint="eastAsia"/>
                      <w:sz w:val="21"/>
                      <w:szCs w:val="21"/>
                      <w:lang w:val="en-US" w:eastAsia="zh-CN"/>
                    </w:rPr>
                    <w:t>6</w:t>
                  </w:r>
                  <w:r>
                    <w:rPr>
                      <w:sz w:val="21"/>
                      <w:szCs w:val="21"/>
                    </w:rPr>
                    <w:t>0m</w:t>
                  </w:r>
                  <w:r>
                    <w:rPr>
                      <w:sz w:val="21"/>
                      <w:szCs w:val="21"/>
                      <w:vertAlign w:val="superscript"/>
                    </w:rPr>
                    <w:t>3</w:t>
                  </w:r>
                  <w:r>
                    <w:rPr>
                      <w:rFonts w:hAnsi="宋体"/>
                      <w:sz w:val="21"/>
                      <w:szCs w:val="21"/>
                    </w:rPr>
                    <w:t>）</w:t>
                  </w:r>
                </w:p>
              </w:tc>
              <w:tc>
                <w:tcPr>
                  <w:tcW w:w="1546" w:type="dxa"/>
                  <w:shd w:val="clear" w:color="auto" w:fill="auto"/>
                  <w:vAlign w:val="center"/>
                </w:tcPr>
                <w:p>
                  <w:pPr>
                    <w:spacing w:line="240" w:lineRule="auto"/>
                    <w:ind w:right="-86" w:rightChars="-36"/>
                    <w:jc w:val="center"/>
                    <w:rPr>
                      <w:sz w:val="21"/>
                      <w:szCs w:val="21"/>
                    </w:rPr>
                  </w:pPr>
                  <w:r>
                    <w:rPr>
                      <w:rFonts w:hAnsi="宋体"/>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shd w:val="clear" w:color="auto" w:fill="auto"/>
                  <w:vAlign w:val="center"/>
                </w:tcPr>
                <w:p>
                  <w:pPr>
                    <w:spacing w:line="240" w:lineRule="auto"/>
                    <w:ind w:right="-86" w:rightChars="-36"/>
                    <w:jc w:val="center"/>
                    <w:rPr>
                      <w:sz w:val="21"/>
                      <w:szCs w:val="21"/>
                    </w:rPr>
                  </w:pPr>
                  <w:r>
                    <w:rPr>
                      <w:rFonts w:hAnsi="宋体"/>
                      <w:kern w:val="1"/>
                      <w:sz w:val="21"/>
                      <w:szCs w:val="21"/>
                    </w:rPr>
                    <w:t>固废</w:t>
                  </w:r>
                </w:p>
              </w:tc>
              <w:tc>
                <w:tcPr>
                  <w:tcW w:w="2800" w:type="dxa"/>
                  <w:gridSpan w:val="2"/>
                  <w:shd w:val="clear" w:color="auto" w:fill="auto"/>
                  <w:vAlign w:val="center"/>
                </w:tcPr>
                <w:p>
                  <w:pPr>
                    <w:spacing w:line="240" w:lineRule="auto"/>
                    <w:ind w:right="164"/>
                    <w:rPr>
                      <w:color w:val="000000"/>
                      <w:sz w:val="21"/>
                      <w:szCs w:val="21"/>
                    </w:rPr>
                  </w:pPr>
                  <w:r>
                    <w:rPr>
                      <w:rFonts w:hAnsi="宋体"/>
                      <w:sz w:val="21"/>
                      <w:szCs w:val="21"/>
                    </w:rPr>
                    <w:t>设多个垃圾集中收集点，收集点为垃圾桶，用于临时垃圾储存</w:t>
                  </w:r>
                </w:p>
              </w:tc>
              <w:tc>
                <w:tcPr>
                  <w:tcW w:w="3230" w:type="dxa"/>
                  <w:shd w:val="clear" w:color="auto" w:fill="auto"/>
                  <w:vAlign w:val="center"/>
                </w:tcPr>
                <w:p>
                  <w:pPr>
                    <w:spacing w:line="240" w:lineRule="auto"/>
                    <w:ind w:right="-86" w:rightChars="-36"/>
                    <w:rPr>
                      <w:rFonts w:hint="default" w:eastAsia="宋体"/>
                      <w:sz w:val="21"/>
                      <w:szCs w:val="21"/>
                      <w:lang w:val="en-US" w:eastAsia="zh-CN"/>
                    </w:rPr>
                  </w:pPr>
                  <w:r>
                    <w:rPr>
                      <w:rFonts w:hAnsi="宋体"/>
                      <w:sz w:val="21"/>
                      <w:szCs w:val="21"/>
                    </w:rPr>
                    <w:t>设置了</w:t>
                  </w:r>
                  <w:r>
                    <w:rPr>
                      <w:rFonts w:hint="eastAsia" w:hAnsi="宋体"/>
                      <w:sz w:val="21"/>
                      <w:szCs w:val="21"/>
                      <w:lang w:val="en-US" w:eastAsia="zh-CN"/>
                    </w:rPr>
                    <w:t>一个</w:t>
                  </w:r>
                  <w:r>
                    <w:rPr>
                      <w:rFonts w:hAnsi="宋体"/>
                      <w:sz w:val="21"/>
                      <w:szCs w:val="21"/>
                    </w:rPr>
                    <w:t>垃圾集中收集点（</w:t>
                  </w:r>
                  <w:r>
                    <w:rPr>
                      <w:rFonts w:hint="eastAsia" w:hAnsi="宋体"/>
                      <w:sz w:val="21"/>
                      <w:szCs w:val="21"/>
                      <w:lang w:val="en-US" w:eastAsia="zh-CN"/>
                    </w:rPr>
                    <w:t>1F</w:t>
                  </w:r>
                  <w:r>
                    <w:rPr>
                      <w:rFonts w:hAnsi="宋体"/>
                      <w:sz w:val="21"/>
                      <w:szCs w:val="21"/>
                    </w:rPr>
                    <w:t>），收集点为垃圾桶</w:t>
                  </w:r>
                  <w:r>
                    <w:rPr>
                      <w:rFonts w:hint="eastAsia" w:hAnsi="宋体"/>
                      <w:sz w:val="21"/>
                      <w:szCs w:val="21"/>
                      <w:lang w:eastAsia="zh-CN"/>
                    </w:rPr>
                    <w:t>，</w:t>
                  </w:r>
                  <w:r>
                    <w:rPr>
                      <w:rFonts w:hint="eastAsia" w:hAnsi="宋体"/>
                      <w:sz w:val="21"/>
                      <w:szCs w:val="21"/>
                      <w:lang w:val="en-US" w:eastAsia="zh-CN"/>
                    </w:rPr>
                    <w:t>用于临时垃圾储存</w:t>
                  </w:r>
                </w:p>
              </w:tc>
              <w:tc>
                <w:tcPr>
                  <w:tcW w:w="1546" w:type="dxa"/>
                  <w:shd w:val="clear" w:color="auto" w:fill="auto"/>
                  <w:vAlign w:val="center"/>
                </w:tcPr>
                <w:p>
                  <w:pPr>
                    <w:spacing w:line="240" w:lineRule="auto"/>
                    <w:ind w:right="-86" w:rightChars="-36"/>
                    <w:jc w:val="center"/>
                    <w:rPr>
                      <w:sz w:val="21"/>
                      <w:szCs w:val="21"/>
                    </w:rPr>
                  </w:pPr>
                  <w:r>
                    <w:rPr>
                      <w:rFonts w:hAnsi="宋体"/>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vMerge w:val="restart"/>
                  <w:shd w:val="clear" w:color="auto" w:fill="auto"/>
                  <w:vAlign w:val="center"/>
                </w:tcPr>
                <w:p>
                  <w:pPr>
                    <w:spacing w:line="240" w:lineRule="auto"/>
                    <w:ind w:right="-86" w:rightChars="-36"/>
                    <w:jc w:val="center"/>
                    <w:rPr>
                      <w:kern w:val="1"/>
                      <w:sz w:val="21"/>
                      <w:szCs w:val="21"/>
                    </w:rPr>
                  </w:pPr>
                  <w:r>
                    <w:rPr>
                      <w:rFonts w:hAnsi="宋体"/>
                      <w:kern w:val="1"/>
                      <w:sz w:val="21"/>
                      <w:szCs w:val="21"/>
                    </w:rPr>
                    <w:t>噪声</w:t>
                  </w:r>
                </w:p>
              </w:tc>
              <w:tc>
                <w:tcPr>
                  <w:tcW w:w="2800" w:type="dxa"/>
                  <w:gridSpan w:val="2"/>
                  <w:shd w:val="clear" w:color="auto" w:fill="auto"/>
                  <w:vAlign w:val="center"/>
                </w:tcPr>
                <w:p>
                  <w:pPr>
                    <w:spacing w:line="240" w:lineRule="auto"/>
                    <w:rPr>
                      <w:sz w:val="21"/>
                      <w:szCs w:val="21"/>
                    </w:rPr>
                  </w:pPr>
                  <w:r>
                    <w:rPr>
                      <w:rFonts w:hAnsi="宋体"/>
                      <w:sz w:val="21"/>
                      <w:szCs w:val="21"/>
                    </w:rPr>
                    <w:t>空调外机安装减振措施，隔音消声处理，降低人员活动声</w:t>
                  </w:r>
                  <w:r>
                    <w:rPr>
                      <w:sz w:val="21"/>
                      <w:szCs w:val="21"/>
                    </w:rPr>
                    <w:t xml:space="preserve"> </w:t>
                  </w:r>
                </w:p>
              </w:tc>
              <w:tc>
                <w:tcPr>
                  <w:tcW w:w="3230" w:type="dxa"/>
                  <w:shd w:val="clear" w:color="auto" w:fill="auto"/>
                  <w:vAlign w:val="center"/>
                </w:tcPr>
                <w:p>
                  <w:pPr>
                    <w:spacing w:line="240" w:lineRule="auto"/>
                    <w:ind w:right="-86" w:rightChars="-36"/>
                    <w:rPr>
                      <w:sz w:val="21"/>
                      <w:szCs w:val="21"/>
                    </w:rPr>
                  </w:pPr>
                  <w:r>
                    <w:rPr>
                      <w:sz w:val="21"/>
                      <w:szCs w:val="21"/>
                    </w:rPr>
                    <w:t>1</w:t>
                  </w:r>
                  <w:r>
                    <w:rPr>
                      <w:rFonts w:hAnsi="宋体"/>
                      <w:sz w:val="21"/>
                      <w:szCs w:val="21"/>
                    </w:rPr>
                    <w:t>、空调设备均安装减振措施；</w:t>
                  </w:r>
                </w:p>
                <w:p>
                  <w:pPr>
                    <w:spacing w:line="240" w:lineRule="auto"/>
                    <w:ind w:right="-86" w:rightChars="-36"/>
                    <w:rPr>
                      <w:sz w:val="21"/>
                      <w:szCs w:val="21"/>
                    </w:rPr>
                  </w:pPr>
                  <w:r>
                    <w:rPr>
                      <w:sz w:val="21"/>
                      <w:szCs w:val="21"/>
                    </w:rPr>
                    <w:t>2</w:t>
                  </w:r>
                  <w:r>
                    <w:rPr>
                      <w:rFonts w:hAnsi="宋体"/>
                      <w:sz w:val="21"/>
                      <w:szCs w:val="21"/>
                    </w:rPr>
                    <w:t>、人员活动在室内进行</w:t>
                  </w:r>
                </w:p>
              </w:tc>
              <w:tc>
                <w:tcPr>
                  <w:tcW w:w="1546" w:type="dxa"/>
                  <w:shd w:val="clear" w:color="auto" w:fill="auto"/>
                  <w:vAlign w:val="center"/>
                </w:tcPr>
                <w:p>
                  <w:pPr>
                    <w:spacing w:line="240" w:lineRule="auto"/>
                    <w:ind w:right="-86" w:rightChars="-36"/>
                    <w:jc w:val="center"/>
                    <w:rPr>
                      <w:sz w:val="21"/>
                      <w:szCs w:val="21"/>
                    </w:rPr>
                  </w:pPr>
                  <w:r>
                    <w:rPr>
                      <w:rFonts w:hAnsi="宋体"/>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vMerge w:val="continue"/>
                  <w:shd w:val="clear" w:color="auto" w:fill="auto"/>
                  <w:vAlign w:val="center"/>
                </w:tcPr>
                <w:p>
                  <w:pPr>
                    <w:spacing w:line="240" w:lineRule="auto"/>
                    <w:ind w:right="-86" w:rightChars="-36"/>
                    <w:jc w:val="center"/>
                    <w:rPr>
                      <w:rFonts w:hAnsi="宋体"/>
                      <w:kern w:val="1"/>
                      <w:sz w:val="21"/>
                      <w:szCs w:val="21"/>
                    </w:rPr>
                  </w:pPr>
                </w:p>
              </w:tc>
              <w:tc>
                <w:tcPr>
                  <w:tcW w:w="2800" w:type="dxa"/>
                  <w:gridSpan w:val="2"/>
                  <w:shd w:val="clear" w:color="auto" w:fill="auto"/>
                  <w:vAlign w:val="center"/>
                </w:tcPr>
                <w:p>
                  <w:pPr>
                    <w:spacing w:line="240" w:lineRule="auto"/>
                    <w:jc w:val="center"/>
                    <w:rPr>
                      <w:rFonts w:hint="default" w:hAnsi="宋体" w:eastAsia="宋体"/>
                      <w:sz w:val="21"/>
                      <w:szCs w:val="21"/>
                      <w:lang w:val="en-US" w:eastAsia="zh-CN"/>
                    </w:rPr>
                  </w:pPr>
                  <w:r>
                    <w:rPr>
                      <w:rFonts w:hint="eastAsia" w:hAnsi="宋体"/>
                      <w:sz w:val="21"/>
                      <w:szCs w:val="21"/>
                      <w:lang w:val="en-US" w:eastAsia="zh-CN"/>
                    </w:rPr>
                    <w:t>/</w:t>
                  </w:r>
                </w:p>
              </w:tc>
              <w:tc>
                <w:tcPr>
                  <w:tcW w:w="3230" w:type="dxa"/>
                  <w:shd w:val="clear" w:color="auto" w:fill="auto"/>
                  <w:vAlign w:val="center"/>
                </w:tcPr>
                <w:p>
                  <w:pPr>
                    <w:spacing w:line="240" w:lineRule="auto"/>
                    <w:ind w:right="-86" w:rightChars="-36"/>
                    <w:rPr>
                      <w:rFonts w:hint="default" w:eastAsia="宋体"/>
                      <w:sz w:val="21"/>
                      <w:szCs w:val="21"/>
                      <w:lang w:val="en-US" w:eastAsia="zh-CN"/>
                    </w:rPr>
                  </w:pPr>
                  <w:r>
                    <w:rPr>
                      <w:rFonts w:hint="eastAsia"/>
                      <w:sz w:val="21"/>
                      <w:szCs w:val="21"/>
                      <w:lang w:eastAsia="zh-CN"/>
                    </w:rPr>
                    <w:t>电梯设备均安装减振措施</w:t>
                  </w:r>
                </w:p>
              </w:tc>
              <w:tc>
                <w:tcPr>
                  <w:tcW w:w="1546" w:type="dxa"/>
                  <w:shd w:val="clear" w:color="auto" w:fill="auto"/>
                  <w:vAlign w:val="center"/>
                </w:tcPr>
                <w:p>
                  <w:pPr>
                    <w:spacing w:line="240" w:lineRule="auto"/>
                    <w:ind w:right="-86" w:rightChars="-36"/>
                    <w:jc w:val="center"/>
                    <w:rPr>
                      <w:rFonts w:hint="eastAsia" w:hAnsi="宋体" w:eastAsia="宋体"/>
                      <w:sz w:val="21"/>
                      <w:szCs w:val="21"/>
                      <w:lang w:eastAsia="zh-CN"/>
                    </w:rPr>
                  </w:pPr>
                  <w:r>
                    <w:rPr>
                      <w:rFonts w:hint="eastAsia" w:hAnsi="宋体"/>
                      <w:sz w:val="21"/>
                      <w:szCs w:val="21"/>
                      <w:lang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vMerge w:val="continue"/>
                  <w:shd w:val="clear" w:color="auto" w:fill="auto"/>
                  <w:vAlign w:val="center"/>
                </w:tcPr>
                <w:p>
                  <w:pPr>
                    <w:spacing w:line="240" w:lineRule="auto"/>
                    <w:ind w:right="-86" w:rightChars="-36"/>
                    <w:jc w:val="center"/>
                    <w:rPr>
                      <w:rFonts w:hAnsi="宋体"/>
                      <w:kern w:val="1"/>
                      <w:sz w:val="21"/>
                      <w:szCs w:val="21"/>
                    </w:rPr>
                  </w:pPr>
                </w:p>
              </w:tc>
              <w:tc>
                <w:tcPr>
                  <w:tcW w:w="2800" w:type="dxa"/>
                  <w:gridSpan w:val="2"/>
                  <w:shd w:val="clear" w:color="auto" w:fill="auto"/>
                  <w:vAlign w:val="center"/>
                </w:tcPr>
                <w:p>
                  <w:pPr>
                    <w:spacing w:line="240" w:lineRule="auto"/>
                    <w:jc w:val="center"/>
                    <w:rPr>
                      <w:rFonts w:hint="default" w:hAnsi="宋体"/>
                      <w:sz w:val="21"/>
                      <w:szCs w:val="21"/>
                      <w:lang w:val="en-US" w:eastAsia="zh-CN"/>
                    </w:rPr>
                  </w:pPr>
                  <w:r>
                    <w:rPr>
                      <w:rFonts w:hint="eastAsia" w:hAnsi="宋体"/>
                      <w:sz w:val="21"/>
                      <w:szCs w:val="21"/>
                      <w:lang w:val="en-US" w:eastAsia="zh-CN"/>
                    </w:rPr>
                    <w:t>/</w:t>
                  </w:r>
                </w:p>
              </w:tc>
              <w:tc>
                <w:tcPr>
                  <w:tcW w:w="3230" w:type="dxa"/>
                  <w:shd w:val="clear" w:color="auto" w:fill="auto"/>
                  <w:vAlign w:val="center"/>
                </w:tcPr>
                <w:p>
                  <w:pPr>
                    <w:spacing w:line="240" w:lineRule="auto"/>
                    <w:ind w:right="-86" w:rightChars="-36"/>
                    <w:rPr>
                      <w:rFonts w:hint="eastAsia"/>
                      <w:sz w:val="21"/>
                      <w:szCs w:val="21"/>
                      <w:lang w:eastAsia="zh-CN"/>
                    </w:rPr>
                  </w:pPr>
                  <w:r>
                    <w:rPr>
                      <w:rFonts w:hint="eastAsia"/>
                      <w:sz w:val="21"/>
                      <w:szCs w:val="21"/>
                      <w:lang w:eastAsia="zh-CN"/>
                    </w:rPr>
                    <w:t>柴油发电机安装于地下，且具有减振措施，仅在突发断电时使用，产生噪声能得到有效控制</w:t>
                  </w:r>
                </w:p>
              </w:tc>
              <w:tc>
                <w:tcPr>
                  <w:tcW w:w="1546" w:type="dxa"/>
                  <w:shd w:val="clear" w:color="auto" w:fill="auto"/>
                  <w:vAlign w:val="center"/>
                </w:tcPr>
                <w:p>
                  <w:pPr>
                    <w:spacing w:line="240" w:lineRule="auto"/>
                    <w:ind w:right="-86" w:rightChars="-36"/>
                    <w:jc w:val="center"/>
                    <w:rPr>
                      <w:rFonts w:hint="eastAsia" w:hAnsi="宋体"/>
                      <w:sz w:val="21"/>
                      <w:szCs w:val="21"/>
                      <w:lang w:eastAsia="zh-CN"/>
                    </w:rPr>
                  </w:pPr>
                  <w:r>
                    <w:rPr>
                      <w:rFonts w:hint="eastAsia" w:hAnsi="宋体"/>
                      <w:sz w:val="21"/>
                      <w:szCs w:val="21"/>
                      <w:lang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vMerge w:val="continue"/>
                  <w:shd w:val="clear" w:color="auto" w:fill="auto"/>
                  <w:vAlign w:val="center"/>
                </w:tcPr>
                <w:p>
                  <w:pPr>
                    <w:spacing w:line="240" w:lineRule="auto"/>
                    <w:ind w:right="-86" w:rightChars="-36"/>
                    <w:jc w:val="center"/>
                    <w:rPr>
                      <w:rFonts w:hAnsi="宋体"/>
                      <w:kern w:val="1"/>
                      <w:sz w:val="21"/>
                      <w:szCs w:val="21"/>
                    </w:rPr>
                  </w:pPr>
                </w:p>
              </w:tc>
              <w:tc>
                <w:tcPr>
                  <w:tcW w:w="2800" w:type="dxa"/>
                  <w:gridSpan w:val="2"/>
                  <w:shd w:val="clear" w:color="auto" w:fill="auto"/>
                  <w:vAlign w:val="center"/>
                </w:tcPr>
                <w:p>
                  <w:pPr>
                    <w:spacing w:line="240" w:lineRule="auto"/>
                    <w:jc w:val="center"/>
                    <w:rPr>
                      <w:rFonts w:hint="default" w:hAnsi="宋体"/>
                      <w:sz w:val="21"/>
                      <w:szCs w:val="21"/>
                      <w:lang w:val="en-US" w:eastAsia="zh-CN"/>
                    </w:rPr>
                  </w:pPr>
                  <w:r>
                    <w:rPr>
                      <w:rFonts w:hint="eastAsia" w:hAnsi="宋体"/>
                      <w:sz w:val="21"/>
                      <w:szCs w:val="21"/>
                      <w:lang w:val="en-US" w:eastAsia="zh-CN"/>
                    </w:rPr>
                    <w:t>/</w:t>
                  </w:r>
                </w:p>
              </w:tc>
              <w:tc>
                <w:tcPr>
                  <w:tcW w:w="3230" w:type="dxa"/>
                  <w:shd w:val="clear" w:color="auto" w:fill="auto"/>
                  <w:vAlign w:val="center"/>
                </w:tcPr>
                <w:p>
                  <w:pPr>
                    <w:spacing w:line="240" w:lineRule="auto"/>
                    <w:ind w:right="-86" w:rightChars="-36"/>
                    <w:rPr>
                      <w:rFonts w:hint="default"/>
                      <w:sz w:val="21"/>
                      <w:szCs w:val="21"/>
                      <w:lang w:val="en-US" w:eastAsia="zh-CN"/>
                    </w:rPr>
                  </w:pPr>
                  <w:r>
                    <w:rPr>
                      <w:rFonts w:hint="eastAsia"/>
                      <w:sz w:val="21"/>
                      <w:szCs w:val="21"/>
                      <w:lang w:val="en-US" w:eastAsia="zh-CN"/>
                    </w:rPr>
                    <w:t>生活水泵房及消防水泵房均在地下，隔音效果较好，噪声得到有效控制</w:t>
                  </w:r>
                </w:p>
              </w:tc>
              <w:tc>
                <w:tcPr>
                  <w:tcW w:w="1546" w:type="dxa"/>
                  <w:shd w:val="clear" w:color="auto" w:fill="auto"/>
                  <w:vAlign w:val="center"/>
                </w:tcPr>
                <w:p>
                  <w:pPr>
                    <w:spacing w:line="240" w:lineRule="auto"/>
                    <w:ind w:right="-86" w:rightChars="-36"/>
                    <w:jc w:val="center"/>
                    <w:rPr>
                      <w:rFonts w:hint="eastAsia" w:hAnsi="宋体"/>
                      <w:sz w:val="21"/>
                      <w:szCs w:val="21"/>
                      <w:lang w:eastAsia="zh-CN"/>
                    </w:rPr>
                  </w:pPr>
                  <w:r>
                    <w:rPr>
                      <w:rFonts w:hint="eastAsia" w:hAnsi="宋体"/>
                      <w:sz w:val="21"/>
                      <w:szCs w:val="21"/>
                      <w:lang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29" w:type="dxa"/>
                  <w:vMerge w:val="continue"/>
                  <w:shd w:val="clear" w:color="auto" w:fill="auto"/>
                  <w:vAlign w:val="center"/>
                </w:tcPr>
                <w:p>
                  <w:pPr>
                    <w:spacing w:line="240" w:lineRule="auto"/>
                    <w:ind w:right="-86" w:rightChars="-36"/>
                    <w:jc w:val="center"/>
                    <w:rPr>
                      <w:sz w:val="21"/>
                      <w:szCs w:val="21"/>
                    </w:rPr>
                  </w:pPr>
                </w:p>
              </w:tc>
              <w:tc>
                <w:tcPr>
                  <w:tcW w:w="995" w:type="dxa"/>
                  <w:shd w:val="clear" w:color="auto" w:fill="auto"/>
                  <w:vAlign w:val="center"/>
                </w:tcPr>
                <w:p>
                  <w:pPr>
                    <w:spacing w:line="240" w:lineRule="auto"/>
                    <w:ind w:right="-86" w:rightChars="-36"/>
                    <w:jc w:val="center"/>
                    <w:rPr>
                      <w:rFonts w:hint="eastAsia" w:hAnsi="宋体" w:eastAsia="宋体"/>
                      <w:kern w:val="1"/>
                      <w:sz w:val="21"/>
                      <w:szCs w:val="21"/>
                      <w:lang w:eastAsia="zh-CN"/>
                    </w:rPr>
                  </w:pPr>
                  <w:r>
                    <w:rPr>
                      <w:rFonts w:hint="eastAsia" w:hAnsi="宋体"/>
                      <w:kern w:val="1"/>
                      <w:sz w:val="21"/>
                      <w:szCs w:val="21"/>
                      <w:lang w:eastAsia="zh-CN"/>
                    </w:rPr>
                    <w:t>废气</w:t>
                  </w:r>
                </w:p>
              </w:tc>
              <w:tc>
                <w:tcPr>
                  <w:tcW w:w="2800" w:type="dxa"/>
                  <w:gridSpan w:val="2"/>
                  <w:shd w:val="clear" w:color="auto" w:fill="auto"/>
                  <w:vAlign w:val="center"/>
                </w:tcPr>
                <w:p>
                  <w:pPr>
                    <w:spacing w:line="240" w:lineRule="auto"/>
                    <w:jc w:val="center"/>
                    <w:rPr>
                      <w:rFonts w:hint="default" w:hAnsi="宋体"/>
                      <w:color w:val="FF0000"/>
                      <w:sz w:val="21"/>
                      <w:szCs w:val="21"/>
                      <w:lang w:val="en-US" w:eastAsia="zh-CN"/>
                    </w:rPr>
                  </w:pPr>
                  <w:r>
                    <w:rPr>
                      <w:rFonts w:hint="eastAsia" w:hAnsi="宋体"/>
                      <w:color w:val="FF0000"/>
                      <w:sz w:val="21"/>
                      <w:szCs w:val="21"/>
                      <w:lang w:val="en-US" w:eastAsia="zh-CN"/>
                    </w:rPr>
                    <w:t>/</w:t>
                  </w:r>
                </w:p>
              </w:tc>
              <w:tc>
                <w:tcPr>
                  <w:tcW w:w="3230" w:type="dxa"/>
                  <w:shd w:val="clear" w:color="auto" w:fill="auto"/>
                  <w:vAlign w:val="center"/>
                </w:tcPr>
                <w:p>
                  <w:pPr>
                    <w:spacing w:line="240" w:lineRule="auto"/>
                    <w:ind w:right="-86" w:rightChars="-36"/>
                    <w:rPr>
                      <w:rFonts w:hint="default"/>
                      <w:sz w:val="21"/>
                      <w:szCs w:val="21"/>
                      <w:lang w:val="en-US" w:eastAsia="zh-CN"/>
                    </w:rPr>
                  </w:pPr>
                  <w:r>
                    <w:rPr>
                      <w:rFonts w:hint="eastAsia"/>
                      <w:sz w:val="21"/>
                      <w:szCs w:val="21"/>
                      <w:lang w:val="en-US" w:eastAsia="zh-CN"/>
                    </w:rPr>
                    <w:t>柴油发电机仅在突发断电情况下使用，其废气沿管道转移至楼顶排放</w:t>
                  </w:r>
                </w:p>
              </w:tc>
              <w:tc>
                <w:tcPr>
                  <w:tcW w:w="1546" w:type="dxa"/>
                  <w:shd w:val="clear" w:color="auto" w:fill="auto"/>
                  <w:vAlign w:val="center"/>
                </w:tcPr>
                <w:p>
                  <w:pPr>
                    <w:spacing w:line="240" w:lineRule="auto"/>
                    <w:ind w:right="-86" w:rightChars="-36"/>
                    <w:jc w:val="center"/>
                    <w:rPr>
                      <w:rFonts w:hint="eastAsia" w:hAnsi="宋体"/>
                      <w:sz w:val="21"/>
                      <w:szCs w:val="21"/>
                      <w:lang w:eastAsia="zh-CN"/>
                    </w:rPr>
                  </w:pPr>
                  <w:r>
                    <w:rPr>
                      <w:rFonts w:hint="eastAsia" w:hAnsi="宋体"/>
                      <w:sz w:val="21"/>
                      <w:szCs w:val="21"/>
                      <w:lang w:eastAsia="zh-CN"/>
                    </w:rPr>
                    <w:t>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300" w:type="dxa"/>
                  <w:gridSpan w:val="6"/>
                  <w:tcBorders>
                    <w:left w:val="nil"/>
                    <w:bottom w:val="nil"/>
                    <w:right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lang w:eastAsia="zh-CN"/>
                    </w:rPr>
                  </w:pPr>
                  <w:r>
                    <w:rPr>
                      <w:rFonts w:hint="eastAsia"/>
                      <w:lang w:val="en-US" w:eastAsia="zh-CN"/>
                    </w:rPr>
                    <w:t>由上表可知</w:t>
                  </w:r>
                  <w:r>
                    <w:t>本项目实际建设工程内容与环评报告表总体上看</w:t>
                  </w:r>
                  <w:r>
                    <w:rPr>
                      <w:rFonts w:hint="eastAsia"/>
                      <w:lang w:val="en-US" w:eastAsia="zh-CN"/>
                    </w:rPr>
                    <w:t>仅在基础设施方面发生少许变动</w:t>
                  </w:r>
                  <w:r>
                    <w:t>，项目建设未发生重大变动</w:t>
                  </w:r>
                  <w:r>
                    <w:rPr>
                      <w:rFonts w:hint="eastAsia"/>
                      <w:lang w:eastAsia="zh-CN"/>
                    </w:rPr>
                    <w:t>。</w:t>
                  </w: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ind w:left="0" w:leftChars="0" w:firstLine="0" w:firstLineChars="0"/>
                    <w:rPr>
                      <w:rFonts w:hint="eastAsia"/>
                      <w:lang w:eastAsia="zh-CN"/>
                    </w:rPr>
                  </w:pPr>
                </w:p>
              </w:tc>
            </w:tr>
          </w:tbl>
          <w:p>
            <w:pPr>
              <w:rPr>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3" w:hRule="atLeast"/>
          <w:jc w:val="center"/>
        </w:trPr>
        <w:tc>
          <w:tcPr>
            <w:tcW w:w="9526" w:type="dxa"/>
          </w:tcPr>
          <w:p>
            <w:r>
              <w:t>主要工艺流程及产污环节：</w:t>
            </w:r>
          </w:p>
          <w:p>
            <w:pPr>
              <w:spacing w:line="500" w:lineRule="exact"/>
            </w:pPr>
            <w:r>
              <w:t>施工期工艺流程及产污环节如下图所示：</w:t>
            </w:r>
          </w:p>
          <w:p/>
          <w:p>
            <w:pPr>
              <w:ind w:firstLine="480" w:firstLineChars="200"/>
            </w:pPr>
            <w:r>
              <w:drawing>
                <wp:inline distT="0" distB="0" distL="114300" distR="114300">
                  <wp:extent cx="5194935" cy="2896870"/>
                  <wp:effectExtent l="0" t="0" r="5715"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194935" cy="2896870"/>
                          </a:xfrm>
                          <a:prstGeom prst="rect">
                            <a:avLst/>
                          </a:prstGeom>
                          <a:noFill/>
                          <a:ln>
                            <a:noFill/>
                          </a:ln>
                        </pic:spPr>
                      </pic:pic>
                    </a:graphicData>
                  </a:graphic>
                </wp:inline>
              </w:drawing>
            </w:r>
          </w:p>
          <w:p>
            <w:pPr>
              <w:pStyle w:val="42"/>
            </w:pPr>
          </w:p>
          <w:p>
            <w:pPr>
              <w:jc w:val="center"/>
              <w:textAlignment w:val="top"/>
            </w:pPr>
            <w:r>
              <w:t xml:space="preserve">          图2-1  施工期工艺流程及产污环节图</w:t>
            </w: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p>
            <w:pPr>
              <w:pStyle w:val="42"/>
              <w:ind w:left="0" w:leftChars="0" w:firstLine="0" w:firstLineChars="0"/>
              <w:rPr>
                <w:b/>
                <w:bCs/>
              </w:rPr>
            </w:pPr>
          </w:p>
        </w:tc>
      </w:tr>
    </w:tbl>
    <w:p>
      <w:pPr>
        <w:spacing w:line="240" w:lineRule="auto"/>
        <w:jc w:val="center"/>
        <w:outlineLvl w:val="0"/>
        <w:rPr>
          <w:rFonts w:hAnsi="宋体"/>
          <w:b/>
          <w:sz w:val="28"/>
          <w:szCs w:val="28"/>
        </w:rPr>
      </w:pPr>
      <w:bookmarkStart w:id="5" w:name="_Toc30174"/>
    </w:p>
    <w:p>
      <w:pPr>
        <w:spacing w:line="240" w:lineRule="auto"/>
        <w:jc w:val="center"/>
        <w:outlineLvl w:val="0"/>
        <w:rPr>
          <w:rFonts w:hAnsi="宋体"/>
          <w:b/>
          <w:sz w:val="28"/>
          <w:szCs w:val="28"/>
        </w:rPr>
      </w:pPr>
      <w:r>
        <w:rPr>
          <w:rFonts w:hAnsi="宋体"/>
          <w:b/>
          <w:sz w:val="28"/>
          <w:szCs w:val="28"/>
        </w:rPr>
        <w:t>表三   主要污染源、污染物处理及排放</w:t>
      </w:r>
      <w:bookmarkEnd w:id="5"/>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6" w:type="dxa"/>
            <w:vAlign w:val="center"/>
          </w:tcPr>
          <w:p>
            <w:pPr>
              <w:ind w:firstLine="480" w:firstLineChars="200"/>
            </w:pPr>
            <w:r>
              <w:t>一、主要污染源、污染物处理及排放</w:t>
            </w:r>
          </w:p>
          <w:p>
            <w:pPr>
              <w:ind w:firstLine="480" w:firstLineChars="200"/>
            </w:pPr>
            <w:r>
              <w:t>1、废水污染源、污染物处理及排放</w:t>
            </w:r>
          </w:p>
          <w:p>
            <w:pPr>
              <w:ind w:firstLine="480" w:firstLineChars="200"/>
            </w:pPr>
            <w:r>
              <w:t>项目施工期废水主要为施工废水和施工人员生活污水。施工废水主要污染物为SS，施工废水经沉淀池处理后回用，不外排。施工人员生活污水主要污染物为CODcr、BOD5、氨氮、SS等，施工人员生活污水依托学校厕所，经化粪池处理后进入市政污水系统，最终送杨家溪污水处理厂，对周边环境影响较小。</w:t>
            </w:r>
          </w:p>
          <w:p>
            <w:pPr>
              <w:spacing w:line="500" w:lineRule="exact"/>
              <w:ind w:firstLine="480" w:firstLineChars="200"/>
            </w:pPr>
            <w:r>
              <w:t>营运期，项目产生的废水来自学生日常生活污水，特征污染物主要是CODcr、BOD5、NH3-N、SS等，生活污水经化粪池处理后排入市政污水管网，最终送杨家溪污水处理厂处理，对区域水环境影响小。</w:t>
            </w:r>
          </w:p>
          <w:p>
            <w:pPr>
              <w:ind w:firstLine="480" w:firstLineChars="200"/>
            </w:pPr>
            <w:r>
              <w:t>2、废气污染源、污染物处理和排放</w:t>
            </w:r>
          </w:p>
          <w:p>
            <w:pPr>
              <w:ind w:firstLine="480" w:firstLineChars="200"/>
            </w:pPr>
            <w:r>
              <w:t>项目施工期废气主要为施工扬尘。</w:t>
            </w:r>
          </w:p>
          <w:p>
            <w:pPr>
              <w:ind w:firstLine="480" w:firstLineChars="200"/>
            </w:pPr>
            <w:r>
              <w:t>采取的污染治理措施如下：</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pPr>
            <w:r>
              <w:rPr>
                <w:rFonts w:hint="eastAsia"/>
                <w:lang w:eastAsia="zh-CN"/>
              </w:rPr>
              <w:t>（</w:t>
            </w:r>
            <w:r>
              <w:rPr>
                <w:rFonts w:hint="eastAsia"/>
                <w:lang w:val="en-US" w:eastAsia="zh-CN"/>
              </w:rPr>
              <w:t>1）</w:t>
            </w:r>
            <w:r>
              <w:t>拆迁时对拆迁建筑墙体外采取篷布遮拦，施工场地定期洒水；</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pPr>
            <w:r>
              <w:rPr>
                <w:rFonts w:hint="eastAsia"/>
                <w:lang w:eastAsia="zh-CN"/>
              </w:rPr>
              <w:t>（</w:t>
            </w:r>
            <w:r>
              <w:rPr>
                <w:rFonts w:hint="eastAsia"/>
                <w:lang w:val="en-US" w:eastAsia="zh-CN"/>
              </w:rPr>
              <w:t>2）</w:t>
            </w:r>
            <w:r>
              <w:t>施工场所四周设防护围栏，张挂防尘网；</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pPr>
            <w:r>
              <w:rPr>
                <w:rFonts w:hint="eastAsia"/>
                <w:lang w:eastAsia="zh-CN"/>
              </w:rPr>
              <w:t>（</w:t>
            </w:r>
            <w:r>
              <w:rPr>
                <w:rFonts w:hint="eastAsia"/>
                <w:lang w:val="en-US" w:eastAsia="zh-CN"/>
              </w:rPr>
              <w:t>3）</w:t>
            </w:r>
            <w:r>
              <w:t>进出施工场地的车辆，清洗轮胎，防止车辆夹带泥土上路；</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pPr>
            <w:r>
              <w:rPr>
                <w:rFonts w:hint="eastAsia"/>
                <w:lang w:eastAsia="zh-CN"/>
              </w:rPr>
              <w:t>（</w:t>
            </w:r>
            <w:r>
              <w:rPr>
                <w:rFonts w:hint="eastAsia"/>
                <w:lang w:val="en-US" w:eastAsia="zh-CN"/>
              </w:rPr>
              <w:t>4）</w:t>
            </w:r>
            <w:r>
              <w:t>禁止渣土、粉状物建材超载运输，并加盖盖板或篷布进行封闭运输；</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pPr>
            <w:r>
              <w:rPr>
                <w:rFonts w:hint="eastAsia"/>
                <w:lang w:eastAsia="zh-CN"/>
              </w:rPr>
              <w:t>（</w:t>
            </w:r>
            <w:r>
              <w:rPr>
                <w:rFonts w:hint="eastAsia"/>
                <w:lang w:val="en-US" w:eastAsia="zh-CN"/>
              </w:rPr>
              <w:t>5）</w:t>
            </w:r>
            <w:r>
              <w:t>对运输路线中洒落的渣土及时清理。</w:t>
            </w:r>
          </w:p>
          <w:p>
            <w:pPr>
              <w:ind w:firstLine="480" w:firstLineChars="200"/>
            </w:pPr>
            <w:r>
              <w:t>营运期，项目无食堂、无地下停车场，垃圾集中收集点每日一清，</w:t>
            </w:r>
            <w:r>
              <w:rPr>
                <w:rFonts w:hint="eastAsia"/>
                <w:lang w:val="en-US" w:eastAsia="zh-CN"/>
              </w:rPr>
              <w:t>柴油发电机仅在突发断电时使用，</w:t>
            </w:r>
            <w:r>
              <w:t>无固定废气产生。</w:t>
            </w:r>
          </w:p>
          <w:p>
            <w:pPr>
              <w:ind w:firstLine="480" w:firstLineChars="200"/>
            </w:pPr>
            <w:r>
              <w:t>3、噪声污染源、污染物处理和排放</w:t>
            </w:r>
          </w:p>
          <w:p>
            <w:pPr>
              <w:ind w:firstLine="480" w:firstLineChars="200"/>
            </w:pPr>
            <w:r>
              <w:t>项目施工期噪声源主要为施工作业噪声和施工车辆噪声。</w:t>
            </w:r>
          </w:p>
          <w:p>
            <w:pPr>
              <w:ind w:firstLine="480" w:firstLineChars="200"/>
            </w:pPr>
            <w:r>
              <w:t>施工中采用了低噪声设备，对动力机械设备及时进行维修、养护；购买商品混凝土，不设置混凝土拌合站；合理进行施工总平面布置，将高噪声设备及材料加工区布置在厂区中央，并在施工场地周围设置围挡，夜间10点至凌晨6点未施工。</w:t>
            </w:r>
          </w:p>
          <w:p>
            <w:pPr>
              <w:ind w:firstLine="480" w:firstLineChars="200"/>
            </w:pPr>
            <w:r>
              <w:t>项目运行期噪声源主要为院区人员活动及空调</w:t>
            </w:r>
            <w:r>
              <w:rPr>
                <w:rFonts w:hint="eastAsia"/>
                <w:lang w:val="en-US" w:eastAsia="zh-CN"/>
              </w:rPr>
              <w:t>、电梯、水泵等</w:t>
            </w:r>
            <w:r>
              <w:t>运行噪声，采取的防治措施主要有：</w:t>
            </w:r>
          </w:p>
          <w:p>
            <w:pPr>
              <w:ind w:firstLine="480" w:firstLineChars="200"/>
            </w:pPr>
            <w:r>
              <w:t>（1）均选用低噪声设备同时安装减振措施并设置隔音消声处理；</w:t>
            </w:r>
          </w:p>
          <w:p>
            <w:pPr>
              <w:ind w:firstLine="480" w:firstLineChars="200"/>
              <w:rPr>
                <w:rFonts w:hint="eastAsia"/>
                <w:lang w:eastAsia="zh-CN"/>
              </w:rPr>
            </w:pPr>
            <w:r>
              <w:t>（2）人员活动安排在室内进行，夜间不安排大型活动</w:t>
            </w:r>
            <w:r>
              <w:rPr>
                <w:rFonts w:hint="eastAsia"/>
                <w:lang w:eastAsia="zh-CN"/>
              </w:rPr>
              <w:t>；</w:t>
            </w:r>
          </w:p>
          <w:p>
            <w:pPr>
              <w:pStyle w:val="42"/>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lang w:val="en-US" w:eastAsia="zh-CN"/>
              </w:rPr>
            </w:pPr>
            <w:r>
              <w:rPr>
                <w:rFonts w:hint="eastAsia"/>
                <w:lang w:eastAsia="zh-CN"/>
              </w:rPr>
              <w:t>（</w:t>
            </w:r>
            <w:r>
              <w:rPr>
                <w:rFonts w:hint="eastAsia"/>
                <w:lang w:val="en-US" w:eastAsia="zh-CN"/>
              </w:rPr>
              <w:t>3）水泵房置于地下，对环境无明显影响。</w:t>
            </w:r>
          </w:p>
          <w:p>
            <w:pPr>
              <w:ind w:firstLine="480" w:firstLineChars="200"/>
            </w:pPr>
            <w:r>
              <w:t>4、固废产生环节和处置</w:t>
            </w:r>
          </w:p>
          <w:p>
            <w:pPr>
              <w:ind w:firstLine="480" w:firstLineChars="200"/>
            </w:pPr>
            <w:r>
              <w:t>施工期，项目产生的固体废物主要为建筑垃圾、弃土以及施工人员产生的生活垃圾。建筑渣土及时清运至市渣土办指定地点，场地无堆场。施工人员的生活垃圾及时清运，送至城市垃圾中转站。</w:t>
            </w:r>
          </w:p>
          <w:p>
            <w:pPr>
              <w:ind w:firstLine="480" w:firstLineChars="200"/>
            </w:pPr>
            <w:r>
              <w:t>营运期，项目产生的固体废物主要是学生的日常生活垃圾。在宿舍一楼楼梯间设置垃圾收集</w:t>
            </w:r>
            <w:r>
              <w:rPr>
                <w:rFonts w:hint="eastAsia"/>
                <w:lang w:val="en-US" w:eastAsia="zh-CN"/>
              </w:rPr>
              <w:t>点，配置多个垃圾</w:t>
            </w:r>
            <w:r>
              <w:t>桶</w:t>
            </w:r>
            <w:r>
              <w:rPr>
                <w:rFonts w:hint="eastAsia"/>
                <w:lang w:val="en-US" w:eastAsia="zh-CN"/>
              </w:rPr>
              <w:t>用于临时存放</w:t>
            </w:r>
            <w:r>
              <w:t>，生活垃圾由工作人员收集后送垃圾中转站。</w:t>
            </w:r>
          </w:p>
          <w:p>
            <w:r>
              <w:t xml:space="preserve"> 二、环保设施建设及投资情况</w:t>
            </w:r>
          </w:p>
          <w:p>
            <w:pPr>
              <w:ind w:firstLine="480" w:firstLineChars="200"/>
            </w:pPr>
            <w:r>
              <w:t>本项目废气、废水、噪声治理措施等实际环保投资共计</w:t>
            </w:r>
            <w:r>
              <w:rPr>
                <w:rFonts w:hint="eastAsia"/>
                <w:lang w:val="en-US" w:eastAsia="zh-CN"/>
              </w:rPr>
              <w:t>180</w:t>
            </w:r>
            <w:r>
              <w:t>万元，占总投资的</w:t>
            </w:r>
            <w:r>
              <w:rPr>
                <w:rFonts w:hint="eastAsia"/>
                <w:lang w:val="en-US" w:eastAsia="zh-CN"/>
              </w:rPr>
              <w:t>3.4</w:t>
            </w:r>
            <w:r>
              <w:t xml:space="preserve">%。 </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b/>
                <w:bCs/>
              </w:rPr>
            </w:pPr>
            <w:bookmarkStart w:id="16" w:name="_GoBack"/>
            <w:r>
              <w:rPr>
                <w:b/>
                <w:bCs/>
              </w:rPr>
              <w:t>表3-1  环保设施投资情况一览表</w:t>
            </w:r>
          </w:p>
          <w:bookmarkEnd w:id="16"/>
          <w:tbl>
            <w:tblPr>
              <w:tblStyle w:val="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
              <w:gridCol w:w="1731"/>
              <w:gridCol w:w="4689"/>
              <w:gridCol w:w="21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51" w:type="dxa"/>
                  <w:tcBorders>
                    <w:right w:val="single" w:color="auto" w:sz="4" w:space="0"/>
                  </w:tcBorders>
                  <w:vAlign w:val="center"/>
                </w:tcPr>
                <w:p>
                  <w:pPr>
                    <w:spacing w:line="240" w:lineRule="auto"/>
                    <w:jc w:val="center"/>
                  </w:pPr>
                  <w:r>
                    <w:t>分类</w:t>
                  </w:r>
                </w:p>
              </w:tc>
              <w:tc>
                <w:tcPr>
                  <w:tcW w:w="1731" w:type="dxa"/>
                  <w:tcBorders>
                    <w:left w:val="single" w:color="auto" w:sz="4" w:space="0"/>
                  </w:tcBorders>
                  <w:vAlign w:val="center"/>
                </w:tcPr>
                <w:p>
                  <w:pPr>
                    <w:spacing w:line="240" w:lineRule="auto"/>
                    <w:jc w:val="center"/>
                  </w:pPr>
                  <w:r>
                    <w:t>污染控制类型</w:t>
                  </w:r>
                </w:p>
              </w:tc>
              <w:tc>
                <w:tcPr>
                  <w:tcW w:w="4689" w:type="dxa"/>
                  <w:vAlign w:val="center"/>
                </w:tcPr>
                <w:p>
                  <w:pPr>
                    <w:spacing w:line="240" w:lineRule="auto"/>
                    <w:jc w:val="center"/>
                  </w:pPr>
                  <w:r>
                    <w:t>控制措施</w:t>
                  </w:r>
                </w:p>
              </w:tc>
              <w:tc>
                <w:tcPr>
                  <w:tcW w:w="2129" w:type="dxa"/>
                  <w:vAlign w:val="center"/>
                </w:tcPr>
                <w:p>
                  <w:pPr>
                    <w:spacing w:line="240" w:lineRule="auto"/>
                    <w:jc w:val="center"/>
                  </w:pPr>
                  <w:r>
                    <w:t>环保投资（万元）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51" w:type="dxa"/>
                  <w:vMerge w:val="restart"/>
                  <w:tcBorders>
                    <w:right w:val="single" w:color="auto" w:sz="4" w:space="0"/>
                  </w:tcBorders>
                  <w:vAlign w:val="center"/>
                </w:tcPr>
                <w:p>
                  <w:pPr>
                    <w:spacing w:line="240" w:lineRule="auto"/>
                    <w:jc w:val="center"/>
                  </w:pPr>
                  <w:r>
                    <w:t>施工期</w:t>
                  </w:r>
                </w:p>
              </w:tc>
              <w:tc>
                <w:tcPr>
                  <w:tcW w:w="1731" w:type="dxa"/>
                  <w:tcBorders>
                    <w:left w:val="single" w:color="auto" w:sz="4" w:space="0"/>
                  </w:tcBorders>
                  <w:vAlign w:val="center"/>
                </w:tcPr>
                <w:p>
                  <w:pPr>
                    <w:spacing w:line="240" w:lineRule="auto"/>
                    <w:jc w:val="center"/>
                  </w:pPr>
                  <w:r>
                    <w:t>废气防治工程</w:t>
                  </w:r>
                </w:p>
              </w:tc>
              <w:tc>
                <w:tcPr>
                  <w:tcW w:w="4689" w:type="dxa"/>
                  <w:vAlign w:val="center"/>
                </w:tcPr>
                <w:p>
                  <w:pPr>
                    <w:spacing w:line="240" w:lineRule="auto"/>
                    <w:jc w:val="center"/>
                  </w:pPr>
                  <w:r>
                    <w:t>设置施工围档、加强洒水、水泥硬化地面、洗车池及冲洗设备等</w:t>
                  </w:r>
                </w:p>
              </w:tc>
              <w:tc>
                <w:tcPr>
                  <w:tcW w:w="2129" w:type="dxa"/>
                  <w:vAlign w:val="center"/>
                </w:tcPr>
                <w:p>
                  <w:pPr>
                    <w:spacing w:line="240" w:lineRule="auto"/>
                    <w:jc w:val="center"/>
                  </w:pPr>
                  <w:r>
                    <w: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废水防治工程</w:t>
                  </w:r>
                </w:p>
              </w:tc>
              <w:tc>
                <w:tcPr>
                  <w:tcW w:w="4689" w:type="dxa"/>
                  <w:vAlign w:val="center"/>
                </w:tcPr>
                <w:p>
                  <w:pPr>
                    <w:spacing w:line="240" w:lineRule="auto"/>
                    <w:jc w:val="center"/>
                  </w:pPr>
                  <w:r>
                    <w:t>沉淀池</w:t>
                  </w:r>
                </w:p>
              </w:tc>
              <w:tc>
                <w:tcPr>
                  <w:tcW w:w="2129" w:type="dxa"/>
                  <w:vAlign w:val="center"/>
                </w:tcPr>
                <w:p>
                  <w:pPr>
                    <w:spacing w:line="240" w:lineRule="auto"/>
                    <w:jc w:val="center"/>
                    <w:rPr>
                      <w:rFonts w:hint="default"/>
                      <w:lang w:val="en-US" w:eastAsia="zh-CN"/>
                    </w:rPr>
                  </w:pPr>
                  <w:r>
                    <w:rPr>
                      <w:rFonts w:hint="eastAsia"/>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噪声防治工程</w:t>
                  </w:r>
                </w:p>
              </w:tc>
              <w:tc>
                <w:tcPr>
                  <w:tcW w:w="4689" w:type="dxa"/>
                  <w:vAlign w:val="center"/>
                </w:tcPr>
                <w:p>
                  <w:pPr>
                    <w:spacing w:line="240" w:lineRule="auto"/>
                    <w:jc w:val="center"/>
                  </w:pPr>
                  <w:r>
                    <w:t>围挡、隔声屏障、合理安排施工时间、选用噪声较小的施工机械</w:t>
                  </w:r>
                </w:p>
              </w:tc>
              <w:tc>
                <w:tcPr>
                  <w:tcW w:w="2129" w:type="dxa"/>
                  <w:vAlign w:val="center"/>
                </w:tcPr>
                <w:p>
                  <w:pPr>
                    <w:spacing w:line="240" w:lineRule="auto"/>
                    <w:jc w:val="center"/>
                  </w:pPr>
                  <w: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固体废物处置工程</w:t>
                  </w:r>
                </w:p>
              </w:tc>
              <w:tc>
                <w:tcPr>
                  <w:tcW w:w="4689" w:type="dxa"/>
                  <w:vAlign w:val="center"/>
                </w:tcPr>
                <w:p>
                  <w:pPr>
                    <w:spacing w:line="240" w:lineRule="auto"/>
                    <w:jc w:val="center"/>
                  </w:pPr>
                  <w:r>
                    <w:t>建筑垃圾尽量回用或调配，多余送建筑垃圾堆放场，生活垃圾分类收集交当地垃圾中转站</w:t>
                  </w:r>
                </w:p>
              </w:tc>
              <w:tc>
                <w:tcPr>
                  <w:tcW w:w="2129" w:type="dxa"/>
                  <w:vAlign w:val="center"/>
                </w:tcPr>
                <w:p>
                  <w:pPr>
                    <w:spacing w:line="240" w:lineRule="auto"/>
                    <w:jc w:val="center"/>
                  </w:pPr>
                  <w: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51" w:type="dxa"/>
                  <w:vMerge w:val="restart"/>
                  <w:tcBorders>
                    <w:right w:val="single" w:color="auto" w:sz="4" w:space="0"/>
                  </w:tcBorders>
                  <w:vAlign w:val="center"/>
                </w:tcPr>
                <w:p>
                  <w:pPr>
                    <w:spacing w:line="240" w:lineRule="auto"/>
                    <w:jc w:val="center"/>
                  </w:pPr>
                  <w:r>
                    <w:t>运营期</w:t>
                  </w:r>
                </w:p>
              </w:tc>
              <w:tc>
                <w:tcPr>
                  <w:tcW w:w="1731" w:type="dxa"/>
                  <w:tcBorders>
                    <w:left w:val="single" w:color="auto" w:sz="4" w:space="0"/>
                  </w:tcBorders>
                  <w:vAlign w:val="center"/>
                </w:tcPr>
                <w:p>
                  <w:pPr>
                    <w:spacing w:line="240" w:lineRule="auto"/>
                    <w:jc w:val="center"/>
                  </w:pPr>
                  <w:r>
                    <w:rPr>
                      <w:rFonts w:hint="eastAsia"/>
                      <w:lang w:eastAsia="zh-CN"/>
                    </w:rPr>
                    <w:t>废气污染防治工程</w:t>
                  </w:r>
                </w:p>
              </w:tc>
              <w:tc>
                <w:tcPr>
                  <w:tcW w:w="4689" w:type="dxa"/>
                  <w:vAlign w:val="center"/>
                </w:tcPr>
                <w:p>
                  <w:pPr>
                    <w:autoSpaceDE w:val="0"/>
                    <w:autoSpaceDN w:val="0"/>
                    <w:adjustRightInd w:val="0"/>
                    <w:spacing w:line="240" w:lineRule="auto"/>
                    <w:jc w:val="center"/>
                  </w:pPr>
                  <w:r>
                    <w:rPr>
                      <w:rFonts w:hint="eastAsia"/>
                      <w:lang w:eastAsia="zh-CN"/>
                    </w:rPr>
                    <w:t>采取专用通道，楼顶排放</w:t>
                  </w:r>
                </w:p>
              </w:tc>
              <w:tc>
                <w:tcPr>
                  <w:tcW w:w="2129" w:type="dxa"/>
                  <w:vAlign w:val="center"/>
                </w:tcPr>
                <w:p>
                  <w:pPr>
                    <w:spacing w:line="240" w:lineRule="auto"/>
                    <w:jc w:val="center"/>
                  </w:pPr>
                  <w:r>
                    <w:rPr>
                      <w:rFonts w:hint="eastAsia"/>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废水污染防治工程</w:t>
                  </w:r>
                </w:p>
              </w:tc>
              <w:tc>
                <w:tcPr>
                  <w:tcW w:w="4689" w:type="dxa"/>
                  <w:vAlign w:val="center"/>
                </w:tcPr>
                <w:p>
                  <w:pPr>
                    <w:spacing w:line="240" w:lineRule="auto"/>
                    <w:jc w:val="center"/>
                  </w:pPr>
                  <w:r>
                    <w:t>设置化粪池</w:t>
                  </w:r>
                  <w:r>
                    <w:rPr>
                      <w:rFonts w:hint="eastAsia"/>
                      <w:lang w:val="en-US" w:eastAsia="zh-CN"/>
                    </w:rPr>
                    <w:t>2个</w:t>
                  </w:r>
                  <w:r>
                    <w:rPr>
                      <w:rFonts w:hint="eastAsia"/>
                      <w:lang w:eastAsia="zh-CN"/>
                    </w:rPr>
                    <w:t>（</w:t>
                  </w:r>
                  <w:r>
                    <w:rPr>
                      <w:rFonts w:hint="eastAsia"/>
                      <w:lang w:val="en-US" w:eastAsia="zh-CN"/>
                    </w:rPr>
                    <w:t>每个60m2)</w:t>
                  </w:r>
                  <w:r>
                    <w:t>、配套污水管网，处理后排入市政污水管网</w:t>
                  </w:r>
                </w:p>
              </w:tc>
              <w:tc>
                <w:tcPr>
                  <w:tcW w:w="2129" w:type="dxa"/>
                  <w:vAlign w:val="center"/>
                </w:tcPr>
                <w:p>
                  <w:pPr>
                    <w:spacing w:line="240" w:lineRule="auto"/>
                    <w:jc w:val="center"/>
                  </w:pPr>
                  <w: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噪声污染防治工程</w:t>
                  </w:r>
                </w:p>
              </w:tc>
              <w:tc>
                <w:tcPr>
                  <w:tcW w:w="4689" w:type="dxa"/>
                  <w:vAlign w:val="center"/>
                </w:tcPr>
                <w:p>
                  <w:pPr>
                    <w:autoSpaceDE w:val="0"/>
                    <w:autoSpaceDN w:val="0"/>
                    <w:adjustRightInd w:val="0"/>
                    <w:spacing w:line="240" w:lineRule="auto"/>
                    <w:jc w:val="center"/>
                  </w:pPr>
                  <w:r>
                    <w:t>采取隔声、减振、消声处理</w:t>
                  </w:r>
                </w:p>
              </w:tc>
              <w:tc>
                <w:tcPr>
                  <w:tcW w:w="2129" w:type="dxa"/>
                  <w:vAlign w:val="center"/>
                </w:tcPr>
                <w:p>
                  <w:pPr>
                    <w:spacing w:line="240" w:lineRule="auto"/>
                    <w:jc w:val="center"/>
                    <w:rPr>
                      <w:rFonts w:hint="default"/>
                      <w:lang w:val="en-US" w:eastAsia="zh-CN"/>
                    </w:rPr>
                  </w:pPr>
                  <w:r>
                    <w:rPr>
                      <w:rFonts w:hint="eastAsia"/>
                      <w:lang w:val="en-US"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rPr>
                      <w:rFonts w:hint="eastAsia"/>
                      <w:lang w:eastAsia="zh-CN"/>
                    </w:rPr>
                  </w:pPr>
                  <w:r>
                    <w:t>固体废物处置工程</w:t>
                  </w:r>
                </w:p>
              </w:tc>
              <w:tc>
                <w:tcPr>
                  <w:tcW w:w="4689" w:type="dxa"/>
                  <w:vAlign w:val="center"/>
                </w:tcPr>
                <w:p>
                  <w:pPr>
                    <w:spacing w:line="240" w:lineRule="auto"/>
                    <w:jc w:val="center"/>
                    <w:rPr>
                      <w:rFonts w:hint="eastAsia"/>
                      <w:lang w:eastAsia="zh-CN"/>
                    </w:rPr>
                  </w:pPr>
                  <w:r>
                    <w:t>生活垃圾</w:t>
                  </w:r>
                  <w:r>
                    <w:rPr>
                      <w:rFonts w:hint="eastAsia"/>
                      <w:lang w:val="en-US" w:eastAsia="zh-CN"/>
                    </w:rPr>
                    <w:t>在一楼垃圾收集点</w:t>
                  </w:r>
                  <w:r>
                    <w:t>分类收集</w:t>
                  </w:r>
                  <w:r>
                    <w:rPr>
                      <w:rFonts w:hint="eastAsia"/>
                      <w:lang w:val="en-US" w:eastAsia="zh-CN"/>
                    </w:rPr>
                    <w:t>暂存，后</w:t>
                  </w:r>
                  <w:r>
                    <w:t>交当地垃圾中转站</w:t>
                  </w:r>
                </w:p>
              </w:tc>
              <w:tc>
                <w:tcPr>
                  <w:tcW w:w="2129" w:type="dxa"/>
                  <w:vAlign w:val="center"/>
                </w:tcPr>
                <w:p>
                  <w:pPr>
                    <w:spacing w:line="240" w:lineRule="auto"/>
                    <w:jc w:val="center"/>
                    <w:rPr>
                      <w:rFonts w:hint="default"/>
                      <w:lang w:val="en-US" w:eastAsia="zh-CN"/>
                    </w:rPr>
                  </w:pPr>
                  <w:r>
                    <w:rPr>
                      <w:rFonts w:hint="eastAsia"/>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751" w:type="dxa"/>
                  <w:vMerge w:val="continue"/>
                  <w:tcBorders>
                    <w:right w:val="single" w:color="auto" w:sz="4" w:space="0"/>
                  </w:tcBorders>
                  <w:vAlign w:val="center"/>
                </w:tcPr>
                <w:p>
                  <w:pPr>
                    <w:spacing w:line="240" w:lineRule="auto"/>
                    <w:jc w:val="center"/>
                  </w:pPr>
                </w:p>
              </w:tc>
              <w:tc>
                <w:tcPr>
                  <w:tcW w:w="1731" w:type="dxa"/>
                  <w:tcBorders>
                    <w:left w:val="single" w:color="auto" w:sz="4" w:space="0"/>
                  </w:tcBorders>
                  <w:vAlign w:val="center"/>
                </w:tcPr>
                <w:p>
                  <w:pPr>
                    <w:spacing w:line="240" w:lineRule="auto"/>
                    <w:jc w:val="center"/>
                  </w:pPr>
                  <w:r>
                    <w:t>其他</w:t>
                  </w:r>
                </w:p>
              </w:tc>
              <w:tc>
                <w:tcPr>
                  <w:tcW w:w="4689" w:type="dxa"/>
                  <w:vAlign w:val="center"/>
                </w:tcPr>
                <w:p>
                  <w:pPr>
                    <w:spacing w:line="240" w:lineRule="auto"/>
                    <w:jc w:val="center"/>
                  </w:pPr>
                  <w:r>
                    <w:t>绿化工程</w:t>
                  </w:r>
                </w:p>
              </w:tc>
              <w:tc>
                <w:tcPr>
                  <w:tcW w:w="2129" w:type="dxa"/>
                  <w:vAlign w:val="center"/>
                </w:tcPr>
                <w:p>
                  <w:pPr>
                    <w:spacing w:line="240" w:lineRule="auto"/>
                    <w:jc w:val="center"/>
                  </w:pPr>
                  <w:r>
                    <w:rPr>
                      <w:rFonts w:hint="eastAsia"/>
                      <w:lang w:val="en-US" w:eastAsia="zh-CN"/>
                    </w:rPr>
                    <w:t>4</w:t>
                  </w:r>
                  <w: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71" w:type="dxa"/>
                  <w:gridSpan w:val="3"/>
                  <w:vAlign w:val="center"/>
                </w:tcPr>
                <w:p>
                  <w:pPr>
                    <w:spacing w:line="240" w:lineRule="auto"/>
                    <w:jc w:val="center"/>
                  </w:pPr>
                  <w:r>
                    <w:t>合计</w:t>
                  </w:r>
                </w:p>
              </w:tc>
              <w:tc>
                <w:tcPr>
                  <w:tcW w:w="2129" w:type="dxa"/>
                  <w:vAlign w:val="center"/>
                </w:tcPr>
                <w:p>
                  <w:pPr>
                    <w:spacing w:line="240" w:lineRule="auto"/>
                    <w:jc w:val="center"/>
                    <w:rPr>
                      <w:rFonts w:hint="default"/>
                      <w:lang w:val="en-US" w:eastAsia="zh-CN"/>
                    </w:rPr>
                  </w:pPr>
                  <w:r>
                    <w:rPr>
                      <w:rFonts w:hint="eastAsia"/>
                      <w:lang w:val="en-US" w:eastAsia="zh-CN"/>
                    </w:rPr>
                    <w:t>180</w:t>
                  </w:r>
                </w:p>
              </w:tc>
            </w:tr>
          </w:tbl>
          <w:p/>
          <w:p>
            <w:pPr>
              <w:keepNext w:val="0"/>
              <w:keepLines w:val="0"/>
              <w:pageBreakBefore w:val="0"/>
              <w:widowControl w:val="0"/>
              <w:kinsoku/>
              <w:wordWrap/>
              <w:overflowPunct/>
              <w:topLinePunct w:val="0"/>
              <w:autoSpaceDE/>
              <w:autoSpaceDN/>
              <w:bidi w:val="0"/>
              <w:adjustRightInd/>
              <w:snapToGrid/>
              <w:spacing w:line="240" w:lineRule="auto"/>
              <w:ind w:right="482" w:firstLine="480" w:firstLineChars="200"/>
              <w:jc w:val="center"/>
              <w:textAlignment w:val="auto"/>
            </w:pPr>
          </w:p>
          <w:p>
            <w:pPr>
              <w:pStyle w:val="42"/>
              <w:ind w:left="0" w:leftChars="0" w:firstLine="0" w:firstLineChars="0"/>
            </w:pPr>
          </w:p>
          <w:p>
            <w:pPr>
              <w:pStyle w:val="2"/>
              <w:ind w:left="0" w:leftChars="0" w:firstLine="0" w:firstLineChars="0"/>
            </w:pPr>
          </w:p>
        </w:tc>
      </w:tr>
    </w:tbl>
    <w:p>
      <w:pPr>
        <w:spacing w:line="240" w:lineRule="auto"/>
        <w:jc w:val="center"/>
        <w:outlineLvl w:val="0"/>
        <w:rPr>
          <w:rFonts w:hAnsi="宋体"/>
          <w:b/>
          <w:sz w:val="28"/>
          <w:szCs w:val="28"/>
        </w:rPr>
      </w:pPr>
      <w:bookmarkStart w:id="6" w:name="_Toc15605"/>
      <w:r>
        <w:rPr>
          <w:rFonts w:hAnsi="宋体"/>
          <w:b/>
          <w:sz w:val="28"/>
          <w:szCs w:val="28"/>
        </w:rPr>
        <w:t>表四  建设项目环境影响报告表主要结论及审批部门审批决定</w:t>
      </w:r>
      <w:bookmarkEnd w:id="6"/>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3" w:hRule="atLeast"/>
          <w:jc w:val="center"/>
        </w:trPr>
        <w:tc>
          <w:tcPr>
            <w:tcW w:w="9526" w:type="dxa"/>
          </w:tcPr>
          <w:p>
            <w:pPr>
              <w:ind w:firstLine="480" w:firstLineChars="200"/>
            </w:pPr>
            <w:r>
              <w:t>一、环境影响报告表主要结论</w:t>
            </w:r>
          </w:p>
          <w:p>
            <w:pPr>
              <w:ind w:firstLine="480" w:firstLineChars="200"/>
            </w:pPr>
            <w:r>
              <w:t>1、本工程区域环境质量现状</w:t>
            </w:r>
          </w:p>
          <w:p>
            <w:pPr>
              <w:ind w:firstLine="480" w:firstLineChars="200"/>
            </w:pPr>
            <w:r>
              <w:t>(1)根据现状监测结果：该区域内地表水质达国家《地表水质量标准》(GHZB-1999)Ⅱ类标准，水质良好。(2)调查区域空气质量级别为国家环境空气质量标准(GB3095-1996)二级，SO2、NO2达一级标准，TSP浓度稍高(达二级)，为该区域主要空气污染物，主要因为附近道路施工尚未完成，裸露土层面积较大，施工及过往车辆导致灰尘对空气造成污染。(3)根据现场监测结果：该区域内声环境质量现状良好。(4)项目拟建区位于市城区西部城郊结合部，现为永定区大庸桥办事处热水坑居委会属地，东面紧邻张清公路，东南接武陵高等专科学校，西南、西北、正西方向均止于山岭，地势西高东低，以水田为斑块，镶嵌有旱地、园地和宅地，无事溪蜿蜒流经该区域，为该区域内唯一自然水源，水面约90亩。山岭生长着以次生灌木丛少乔木林，为植被集中覆盖区，共有林地857亩。区域内另有稻田660亩、旱地208亩。评价区域内无工业污染源</w:t>
            </w:r>
            <w:r>
              <w:rPr>
                <w:rFonts w:hint="eastAsia" w:ascii="宋体" w:hAnsi="宋体" w:eastAsia="宋体" w:cs="宋体"/>
              </w:rPr>
              <w:t>,</w:t>
            </w:r>
            <w:r>
              <w:t>区域内自然生态结构较为简单，张清公路对区域生态环境质量有一定影响。</w:t>
            </w:r>
          </w:p>
          <w:p>
            <w:pPr>
              <w:ind w:firstLine="480" w:firstLineChars="200"/>
            </w:pPr>
            <w:r>
              <w:t>2、环境影响分析结论</w:t>
            </w:r>
          </w:p>
          <w:p>
            <w:pPr>
              <w:ind w:firstLine="480" w:firstLineChars="200"/>
            </w:pPr>
            <w:r>
              <w:t>(1)施工期环境影响</w:t>
            </w:r>
          </w:p>
          <w:p>
            <w:pPr>
              <w:ind w:firstLine="480" w:firstLineChars="200"/>
            </w:pPr>
            <w:r>
              <w:t>①工程施工中产生的废水、废气、废渣及噪声对环境都将产生不利影响，但通过加强施工管理，落实施工环境保护措施，可使施工对环境的不利影响降到最小程度。</w:t>
            </w:r>
          </w:p>
          <w:p>
            <w:pPr>
              <w:ind w:firstLine="480" w:firstLineChars="200"/>
            </w:pPr>
            <w:r>
              <w:t>②本项目在建设过程中将会有部分林地和草地被砍伐开垦，从而导致地面裸露、表上湿度变化增大，对土壤的理化特性有不利影响,挖方和低洼处的填方有可能产生水土流失。因此，建设方在施工过程中必须做好防护措施，避免对环境造成大的生态破坏。</w:t>
            </w:r>
          </w:p>
          <w:p>
            <w:pPr>
              <w:ind w:firstLine="480" w:firstLineChars="200"/>
            </w:pPr>
            <w:r>
              <w:t>(2)营运期环境影</w:t>
            </w:r>
          </w:p>
          <w:p>
            <w:pPr>
              <w:ind w:firstLine="480" w:firstLineChars="200"/>
            </w:pPr>
            <w:r>
              <w:t>工程竣工投入使用后，主要污染源为生活污水和固体废弃物，生活污水经处理达标后排入城市市政排水管网汇入城市污水处理厂作最终处理。固体废弃物应做好收集、外运填埋等工作，避免固体废弃物的二次污染。</w:t>
            </w:r>
          </w:p>
          <w:p>
            <w:pPr>
              <w:ind w:firstLine="480" w:firstLineChars="200"/>
            </w:pPr>
            <w:r>
              <w:t>3、工程选址</w:t>
            </w:r>
          </w:p>
          <w:p>
            <w:pPr>
              <w:ind w:firstLine="480" w:firstLineChars="200"/>
            </w:pPr>
            <w:r>
              <w:t>本项目拟建地位于张家界市城市建设规划区内，在市城区的上游方向。拟选院址范围内目前均为居民区和农田、山坡地,空气清新，周边无工业污染，区域环境良好，地域宽阔，有充足的土地面积，有方便的供水、供电来源，交通便利；且有适宜的人文环境、自然景观、生态环境和便利的城市基础设施，符合学院建设的技术环境要求。在进行必要的地质和水文地质勘察后，该项目建设选址符合《张家界市城市总体规划》要求，符合城市环保要求。</w:t>
            </w:r>
          </w:p>
          <w:p>
            <w:pPr>
              <w:ind w:firstLine="480" w:firstLineChars="200"/>
            </w:pPr>
            <w:r>
              <w:t>二、审批部门审批决定</w:t>
            </w:r>
          </w:p>
          <w:p>
            <w:pPr>
              <w:ind w:firstLine="480" w:firstLineChars="200"/>
            </w:pPr>
            <w:r>
              <w:t>2002年5月25日，张家界市环境保护局以（张环</w:t>
            </w:r>
            <w:r>
              <w:rPr>
                <w:color w:val="000000"/>
              </w:rPr>
              <w:t>[20</w:t>
            </w:r>
            <w:r>
              <w:rPr>
                <w:rFonts w:hint="eastAsia"/>
                <w:color w:val="000000"/>
                <w:lang w:val="en-US" w:eastAsia="zh-CN"/>
              </w:rPr>
              <w:t>02</w:t>
            </w:r>
            <w:r>
              <w:rPr>
                <w:color w:val="000000"/>
              </w:rPr>
              <w:t>]</w:t>
            </w:r>
            <w:r>
              <w:t>15号）对《吉首大学张家界学院扩建工程建设项目环境影响报告表》予以批复，原文如下：</w:t>
            </w:r>
          </w:p>
          <w:p>
            <w:pPr>
              <w:ind w:firstLine="480" w:firstLineChars="200"/>
            </w:pPr>
            <w:r>
              <w:t>一、原则同意报告表内容与专家评审意见，修改后的报告表可以作为项目设计、建设和环境管理的依据。</w:t>
            </w:r>
          </w:p>
          <w:p>
            <w:pPr>
              <w:ind w:firstLine="480" w:firstLineChars="200"/>
            </w:pPr>
            <w:r>
              <w:t>二、建设单位应严格执行环保“三同时”制度，切实落实环境影响评价报告表中提出的防治污染和生态破坏措施，做好项目建设期和菅运期的各项环境保护工作。</w:t>
            </w:r>
          </w:p>
          <w:p>
            <w:pPr>
              <w:ind w:firstLine="480" w:firstLineChars="200"/>
            </w:pPr>
            <w:r>
              <w:t>三、建设单位在工程设计、建设和管理中，应重点做好以下几个方面的工作：</w:t>
            </w:r>
          </w:p>
          <w:p>
            <w:pPr>
              <w:ind w:firstLine="480" w:firstLineChars="200"/>
            </w:pPr>
            <w:r>
              <w:t>1、科学合理搞好校园规划布局，避免生活区、教学区、运动区等相互交叉于扰，运动区宜布置在交通噪声较大的张清公路两侧。</w:t>
            </w:r>
          </w:p>
          <w:p>
            <w:pPr>
              <w:ind w:firstLine="480" w:firstLineChars="200"/>
            </w:pPr>
            <w:r>
              <w:t>2、切实保护好工程所在地现有林地，尽量不毁林搞建设。</w:t>
            </w:r>
          </w:p>
          <w:p>
            <w:pPr>
              <w:ind w:firstLine="480" w:firstLineChars="200"/>
            </w:pPr>
            <w:r>
              <w:t>3、排水系统应实行清污分流，生活活水应处理达标后排入城市污水管网，不能排入无事溪。</w:t>
            </w:r>
          </w:p>
          <w:p>
            <w:pPr>
              <w:ind w:firstLine="480" w:firstLineChars="200"/>
            </w:pPr>
            <w:r>
              <w:t>4、搞好校园绿化规划建设。</w:t>
            </w:r>
          </w:p>
          <w:p>
            <w:pPr>
              <w:ind w:firstLine="480" w:firstLineChars="200"/>
            </w:pPr>
            <w:r>
              <w:t>四、项目建成后，必须按《建设项目环境保护管理条例》的规定进行环境保护设施竣工验收，验收合格后方可正式投入使用。</w:t>
            </w: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p>
          <w:p>
            <w:pPr>
              <w:ind w:firstLine="480" w:firstLineChars="200"/>
            </w:pPr>
            <w:r>
              <w:t>三、环评报告及批复文件中环保措施落实情况</w:t>
            </w:r>
          </w:p>
          <w:p>
            <w:pPr>
              <w:keepNext w:val="0"/>
              <w:keepLines w:val="0"/>
              <w:pageBreakBefore w:val="0"/>
              <w:widowControl w:val="0"/>
              <w:kinsoku/>
              <w:wordWrap/>
              <w:overflowPunct/>
              <w:topLinePunct w:val="0"/>
              <w:autoSpaceDE/>
              <w:autoSpaceDN/>
              <w:bidi w:val="0"/>
              <w:adjustRightInd/>
              <w:snapToGrid/>
              <w:spacing w:line="240" w:lineRule="auto"/>
              <w:jc w:val="center"/>
              <w:textAlignment w:val="top"/>
            </w:pPr>
            <w:r>
              <w:rPr>
                <w:rFonts w:hAnsi="宋体"/>
                <w:b/>
                <w:kern w:val="0"/>
              </w:rPr>
              <w:t>表4-1  项目环保设施环评批复要求及实际建设情况一览表</w:t>
            </w:r>
          </w:p>
          <w:tbl>
            <w:tblPr>
              <w:tblStyle w:val="43"/>
              <w:tblW w:w="929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63"/>
              <w:gridCol w:w="4000"/>
              <w:gridCol w:w="4111"/>
              <w:gridCol w:w="72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tblHeader/>
                <w:jc w:val="center"/>
              </w:trPr>
              <w:tc>
                <w:tcPr>
                  <w:tcW w:w="463" w:type="dxa"/>
                  <w:vAlign w:val="center"/>
                </w:tcPr>
                <w:p>
                  <w:pPr>
                    <w:snapToGrid w:val="0"/>
                    <w:spacing w:line="240" w:lineRule="auto"/>
                    <w:ind w:left="-120" w:leftChars="-50" w:right="-120" w:rightChars="-50"/>
                    <w:jc w:val="center"/>
                    <w:rPr>
                      <w:b/>
                      <w:bCs/>
                      <w:sz w:val="21"/>
                      <w:szCs w:val="21"/>
                    </w:rPr>
                  </w:pPr>
                  <w:r>
                    <w:rPr>
                      <w:b/>
                      <w:bCs/>
                      <w:sz w:val="21"/>
                      <w:szCs w:val="21"/>
                    </w:rPr>
                    <w:t>序号</w:t>
                  </w:r>
                </w:p>
              </w:tc>
              <w:tc>
                <w:tcPr>
                  <w:tcW w:w="4000" w:type="dxa"/>
                  <w:vAlign w:val="center"/>
                </w:tcPr>
                <w:p>
                  <w:pPr>
                    <w:snapToGrid w:val="0"/>
                    <w:spacing w:line="240" w:lineRule="auto"/>
                    <w:ind w:left="-120" w:leftChars="-50" w:right="-120" w:rightChars="-50"/>
                    <w:jc w:val="center"/>
                    <w:rPr>
                      <w:b/>
                      <w:bCs/>
                      <w:sz w:val="21"/>
                      <w:szCs w:val="21"/>
                    </w:rPr>
                  </w:pPr>
                  <w:r>
                    <w:rPr>
                      <w:b/>
                      <w:bCs/>
                      <w:sz w:val="21"/>
                      <w:szCs w:val="21"/>
                    </w:rPr>
                    <w:t>环评批复要求</w:t>
                  </w:r>
                </w:p>
              </w:tc>
              <w:tc>
                <w:tcPr>
                  <w:tcW w:w="4111" w:type="dxa"/>
                  <w:vAlign w:val="center"/>
                </w:tcPr>
                <w:p>
                  <w:pPr>
                    <w:snapToGrid w:val="0"/>
                    <w:spacing w:line="240" w:lineRule="auto"/>
                    <w:ind w:left="-120" w:leftChars="-50" w:right="-120" w:rightChars="-50"/>
                    <w:jc w:val="center"/>
                    <w:rPr>
                      <w:b/>
                      <w:bCs/>
                      <w:sz w:val="21"/>
                      <w:szCs w:val="21"/>
                    </w:rPr>
                  </w:pPr>
                  <w:r>
                    <w:rPr>
                      <w:b/>
                      <w:bCs/>
                      <w:sz w:val="21"/>
                      <w:szCs w:val="21"/>
                    </w:rPr>
                    <w:t>落实情况</w:t>
                  </w:r>
                </w:p>
              </w:tc>
              <w:tc>
                <w:tcPr>
                  <w:tcW w:w="720" w:type="dxa"/>
                  <w:vAlign w:val="center"/>
                </w:tcPr>
                <w:p>
                  <w:pPr>
                    <w:snapToGrid w:val="0"/>
                    <w:spacing w:line="240" w:lineRule="auto"/>
                    <w:ind w:left="-120" w:leftChars="-50" w:right="-120" w:rightChars="-50"/>
                    <w:jc w:val="center"/>
                    <w:rPr>
                      <w:b/>
                      <w:bCs/>
                      <w:sz w:val="21"/>
                      <w:szCs w:val="21"/>
                    </w:rPr>
                  </w:pPr>
                  <w:r>
                    <w:rPr>
                      <w:b/>
                      <w:bCs/>
                      <w:sz w:val="21"/>
                      <w:szCs w:val="21"/>
                    </w:rPr>
                    <w:t>是否</w:t>
                  </w:r>
                </w:p>
                <w:p>
                  <w:pPr>
                    <w:snapToGrid w:val="0"/>
                    <w:spacing w:line="240" w:lineRule="auto"/>
                    <w:ind w:left="-120" w:leftChars="-50" w:right="-120" w:rightChars="-50"/>
                    <w:jc w:val="center"/>
                    <w:rPr>
                      <w:b/>
                      <w:bCs/>
                      <w:sz w:val="21"/>
                      <w:szCs w:val="21"/>
                    </w:rPr>
                  </w:pPr>
                  <w:r>
                    <w:rPr>
                      <w:b/>
                      <w:bCs/>
                      <w:sz w:val="21"/>
                      <w:szCs w:val="21"/>
                    </w:rPr>
                    <w:t>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63" w:type="dxa"/>
                  <w:vAlign w:val="center"/>
                </w:tcPr>
                <w:p>
                  <w:pPr>
                    <w:snapToGrid w:val="0"/>
                    <w:spacing w:line="240" w:lineRule="auto"/>
                    <w:jc w:val="center"/>
                    <w:rPr>
                      <w:sz w:val="21"/>
                      <w:szCs w:val="21"/>
                    </w:rPr>
                  </w:pPr>
                  <w:r>
                    <w:rPr>
                      <w:sz w:val="21"/>
                      <w:szCs w:val="21"/>
                    </w:rPr>
                    <w:t>1</w:t>
                  </w:r>
                </w:p>
              </w:tc>
              <w:tc>
                <w:tcPr>
                  <w:tcW w:w="4000" w:type="dxa"/>
                  <w:vAlign w:val="center"/>
                </w:tcPr>
                <w:p>
                  <w:pPr>
                    <w:snapToGrid w:val="0"/>
                    <w:spacing w:line="240" w:lineRule="auto"/>
                    <w:jc w:val="left"/>
                    <w:rPr>
                      <w:sz w:val="21"/>
                      <w:szCs w:val="21"/>
                    </w:rPr>
                  </w:pPr>
                  <w:r>
                    <w:rPr>
                      <w:sz w:val="21"/>
                      <w:szCs w:val="21"/>
                    </w:rPr>
                    <w:t>科学合理搞好校园规划布局，避免生活区、教学区、运动区等相互交叉于扰，运动区宜布置在交通噪声较大的张清公路两侧。</w:t>
                  </w:r>
                </w:p>
              </w:tc>
              <w:tc>
                <w:tcPr>
                  <w:tcW w:w="4111" w:type="dxa"/>
                  <w:vAlign w:val="center"/>
                </w:tcPr>
                <w:p>
                  <w:pPr>
                    <w:snapToGrid w:val="0"/>
                    <w:spacing w:line="240" w:lineRule="auto"/>
                    <w:rPr>
                      <w:sz w:val="21"/>
                      <w:szCs w:val="21"/>
                    </w:rPr>
                  </w:pPr>
                  <w:r>
                    <w:rPr>
                      <w:sz w:val="21"/>
                      <w:szCs w:val="21"/>
                    </w:rPr>
                    <w:t>合理划分静动区域， 符合学生作息习惯及流线布局。 各区域之间通过道路、 绿化做合理有效连接和分隔， 确保各区域之间通行方便又互不干扰， 功能上满足学校的要求</w:t>
                  </w:r>
                </w:p>
              </w:tc>
              <w:tc>
                <w:tcPr>
                  <w:tcW w:w="720" w:type="dxa"/>
                  <w:vAlign w:val="center"/>
                </w:tcPr>
                <w:p>
                  <w:pPr>
                    <w:spacing w:line="240" w:lineRule="auto"/>
                    <w:jc w:val="center"/>
                    <w:rPr>
                      <w:sz w:val="21"/>
                      <w:szCs w:val="21"/>
                    </w:rPr>
                  </w:pPr>
                  <w:r>
                    <w:rPr>
                      <w:sz w:val="21"/>
                      <w:szCs w:val="21"/>
                    </w:rPr>
                    <w:t>已按要求落实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63" w:type="dxa"/>
                  <w:vAlign w:val="center"/>
                </w:tcPr>
                <w:p>
                  <w:pPr>
                    <w:snapToGrid w:val="0"/>
                    <w:spacing w:line="240" w:lineRule="auto"/>
                    <w:jc w:val="center"/>
                    <w:rPr>
                      <w:sz w:val="21"/>
                      <w:szCs w:val="21"/>
                    </w:rPr>
                  </w:pPr>
                  <w:r>
                    <w:rPr>
                      <w:sz w:val="21"/>
                      <w:szCs w:val="21"/>
                    </w:rPr>
                    <w:t>2</w:t>
                  </w:r>
                </w:p>
              </w:tc>
              <w:tc>
                <w:tcPr>
                  <w:tcW w:w="4000" w:type="dxa"/>
                  <w:vAlign w:val="center"/>
                </w:tcPr>
                <w:p>
                  <w:pPr>
                    <w:snapToGrid w:val="0"/>
                    <w:spacing w:line="240" w:lineRule="auto"/>
                    <w:jc w:val="left"/>
                    <w:rPr>
                      <w:sz w:val="21"/>
                      <w:szCs w:val="21"/>
                    </w:rPr>
                  </w:pPr>
                  <w:r>
                    <w:rPr>
                      <w:sz w:val="21"/>
                      <w:szCs w:val="21"/>
                    </w:rPr>
                    <w:t>切实保护好工程所在地现有林地，尽量不毁林搞建设。</w:t>
                  </w:r>
                </w:p>
              </w:tc>
              <w:tc>
                <w:tcPr>
                  <w:tcW w:w="4111" w:type="dxa"/>
                  <w:vAlign w:val="center"/>
                </w:tcPr>
                <w:p>
                  <w:pPr>
                    <w:spacing w:line="240" w:lineRule="auto"/>
                    <w:rPr>
                      <w:sz w:val="21"/>
                      <w:szCs w:val="21"/>
                    </w:rPr>
                  </w:pPr>
                  <w:r>
                    <w:rPr>
                      <w:sz w:val="21"/>
                      <w:szCs w:val="21"/>
                    </w:rPr>
                    <w:t>1、土石方无任意弃置现象，</w:t>
                  </w:r>
                </w:p>
                <w:p>
                  <w:pPr>
                    <w:spacing w:line="240" w:lineRule="auto"/>
                    <w:rPr>
                      <w:sz w:val="21"/>
                      <w:szCs w:val="21"/>
                    </w:rPr>
                  </w:pPr>
                  <w:r>
                    <w:rPr>
                      <w:sz w:val="21"/>
                      <w:szCs w:val="21"/>
                    </w:rPr>
                    <w:t>2、控制施工作业带在规划红线范围内，明令禁止对周围林、灌木乱砍乱伐。</w:t>
                  </w:r>
                </w:p>
              </w:tc>
              <w:tc>
                <w:tcPr>
                  <w:tcW w:w="720" w:type="dxa"/>
                  <w:vAlign w:val="center"/>
                </w:tcPr>
                <w:p>
                  <w:pPr>
                    <w:spacing w:line="240" w:lineRule="auto"/>
                    <w:jc w:val="center"/>
                    <w:rPr>
                      <w:sz w:val="21"/>
                      <w:szCs w:val="21"/>
                    </w:rPr>
                  </w:pPr>
                  <w:r>
                    <w:rPr>
                      <w:sz w:val="21"/>
                      <w:szCs w:val="21"/>
                    </w:rPr>
                    <w:t>已按要求落实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63" w:type="dxa"/>
                  <w:vAlign w:val="center"/>
                </w:tcPr>
                <w:p>
                  <w:pPr>
                    <w:snapToGrid w:val="0"/>
                    <w:spacing w:line="240" w:lineRule="auto"/>
                    <w:jc w:val="center"/>
                    <w:rPr>
                      <w:sz w:val="21"/>
                      <w:szCs w:val="21"/>
                    </w:rPr>
                  </w:pPr>
                  <w:r>
                    <w:rPr>
                      <w:sz w:val="21"/>
                      <w:szCs w:val="21"/>
                    </w:rPr>
                    <w:t>3</w:t>
                  </w:r>
                </w:p>
              </w:tc>
              <w:tc>
                <w:tcPr>
                  <w:tcW w:w="4000" w:type="dxa"/>
                  <w:vAlign w:val="center"/>
                </w:tcPr>
                <w:p>
                  <w:pPr>
                    <w:snapToGrid w:val="0"/>
                    <w:spacing w:line="240" w:lineRule="auto"/>
                    <w:jc w:val="left"/>
                    <w:rPr>
                      <w:sz w:val="21"/>
                      <w:szCs w:val="21"/>
                    </w:rPr>
                  </w:pPr>
                  <w:r>
                    <w:rPr>
                      <w:sz w:val="21"/>
                      <w:szCs w:val="21"/>
                    </w:rPr>
                    <w:t>排水系统应实行清污分流，生活活水应处理达标后排入城市污水管网，不能排入无事溪。</w:t>
                  </w:r>
                </w:p>
              </w:tc>
              <w:tc>
                <w:tcPr>
                  <w:tcW w:w="4111" w:type="dxa"/>
                  <w:vAlign w:val="center"/>
                </w:tcPr>
                <w:p>
                  <w:pPr>
                    <w:spacing w:line="240" w:lineRule="auto"/>
                    <w:rPr>
                      <w:sz w:val="21"/>
                      <w:szCs w:val="21"/>
                    </w:rPr>
                  </w:pPr>
                  <w:r>
                    <w:rPr>
                      <w:sz w:val="21"/>
                      <w:szCs w:val="21"/>
                    </w:rPr>
                    <w:t>1、实行了雨污分流，雨水和污水经化粪池（</w:t>
                  </w:r>
                  <w:r>
                    <w:rPr>
                      <w:rFonts w:hint="eastAsia"/>
                      <w:sz w:val="21"/>
                      <w:szCs w:val="21"/>
                      <w:lang w:val="en-US" w:eastAsia="zh-CN"/>
                    </w:rPr>
                    <w:t>共12</w:t>
                  </w:r>
                  <w:r>
                    <w:rPr>
                      <w:sz w:val="21"/>
                      <w:szCs w:val="21"/>
                    </w:rPr>
                    <w:t>0m</w:t>
                  </w:r>
                  <w:r>
                    <w:rPr>
                      <w:sz w:val="21"/>
                      <w:szCs w:val="21"/>
                      <w:vertAlign w:val="superscript"/>
                    </w:rPr>
                    <w:t>3</w:t>
                  </w:r>
                  <w:r>
                    <w:rPr>
                      <w:sz w:val="21"/>
                      <w:szCs w:val="21"/>
                    </w:rPr>
                    <w:t>）处理后分别由进入市政污水管网和雨水管网，</w:t>
                  </w:r>
                </w:p>
                <w:p>
                  <w:pPr>
                    <w:spacing w:line="240" w:lineRule="auto"/>
                    <w:rPr>
                      <w:sz w:val="21"/>
                      <w:szCs w:val="21"/>
                    </w:rPr>
                  </w:pPr>
                  <w:r>
                    <w:rPr>
                      <w:sz w:val="21"/>
                      <w:szCs w:val="21"/>
                    </w:rPr>
                    <w:t>2、场地四周围墙内设置雨水沟。</w:t>
                  </w:r>
                </w:p>
              </w:tc>
              <w:tc>
                <w:tcPr>
                  <w:tcW w:w="720" w:type="dxa"/>
                  <w:vAlign w:val="center"/>
                </w:tcPr>
                <w:p>
                  <w:pPr>
                    <w:spacing w:line="240" w:lineRule="auto"/>
                    <w:jc w:val="center"/>
                    <w:rPr>
                      <w:sz w:val="21"/>
                      <w:szCs w:val="21"/>
                    </w:rPr>
                  </w:pPr>
                  <w:r>
                    <w:rPr>
                      <w:sz w:val="21"/>
                      <w:szCs w:val="21"/>
                    </w:rPr>
                    <w:t>已按要求落实</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63" w:type="dxa"/>
                  <w:vAlign w:val="center"/>
                </w:tcPr>
                <w:p>
                  <w:pPr>
                    <w:snapToGrid w:val="0"/>
                    <w:spacing w:line="240" w:lineRule="auto"/>
                    <w:jc w:val="center"/>
                    <w:rPr>
                      <w:sz w:val="21"/>
                      <w:szCs w:val="21"/>
                    </w:rPr>
                  </w:pPr>
                  <w:r>
                    <w:rPr>
                      <w:sz w:val="21"/>
                      <w:szCs w:val="21"/>
                    </w:rPr>
                    <w:t>4</w:t>
                  </w:r>
                </w:p>
              </w:tc>
              <w:tc>
                <w:tcPr>
                  <w:tcW w:w="4000" w:type="dxa"/>
                  <w:vAlign w:val="center"/>
                </w:tcPr>
                <w:p>
                  <w:pPr>
                    <w:snapToGrid w:val="0"/>
                    <w:spacing w:line="240" w:lineRule="auto"/>
                    <w:jc w:val="left"/>
                    <w:rPr>
                      <w:sz w:val="21"/>
                      <w:szCs w:val="21"/>
                    </w:rPr>
                  </w:pPr>
                  <w:r>
                    <w:rPr>
                      <w:sz w:val="21"/>
                      <w:szCs w:val="21"/>
                    </w:rPr>
                    <w:t>搞好校园绿化规划建设。</w:t>
                  </w:r>
                </w:p>
              </w:tc>
              <w:tc>
                <w:tcPr>
                  <w:tcW w:w="4111" w:type="dxa"/>
                  <w:vAlign w:val="center"/>
                </w:tcPr>
                <w:p>
                  <w:pPr>
                    <w:spacing w:line="240" w:lineRule="auto"/>
                    <w:rPr>
                      <w:sz w:val="21"/>
                      <w:szCs w:val="21"/>
                    </w:rPr>
                  </w:pPr>
                  <w:r>
                    <w:rPr>
                      <w:sz w:val="21"/>
                      <w:szCs w:val="21"/>
                    </w:rPr>
                    <w:t>1、加大绿化投入，增加人工植被；</w:t>
                  </w:r>
                </w:p>
                <w:p>
                  <w:pPr>
                    <w:spacing w:line="240" w:lineRule="auto"/>
                    <w:rPr>
                      <w:sz w:val="21"/>
                      <w:szCs w:val="21"/>
                    </w:rPr>
                  </w:pPr>
                  <w:r>
                    <w:rPr>
                      <w:sz w:val="21"/>
                      <w:szCs w:val="21"/>
                    </w:rPr>
                    <w:t>2、部分区域已实施绿化，绿化工作尚未结束。</w:t>
                  </w:r>
                </w:p>
              </w:tc>
              <w:tc>
                <w:tcPr>
                  <w:tcW w:w="720" w:type="dxa"/>
                  <w:vAlign w:val="center"/>
                </w:tcPr>
                <w:p>
                  <w:pPr>
                    <w:spacing w:line="240" w:lineRule="auto"/>
                    <w:jc w:val="center"/>
                    <w:rPr>
                      <w:sz w:val="21"/>
                      <w:szCs w:val="21"/>
                    </w:rPr>
                  </w:pPr>
                  <w:r>
                    <w:rPr>
                      <w:sz w:val="21"/>
                      <w:szCs w:val="21"/>
                    </w:rPr>
                    <w:t>已按要求落实</w:t>
                  </w:r>
                </w:p>
              </w:tc>
            </w:tr>
          </w:tbl>
          <w:p/>
          <w:p/>
          <w:p>
            <w:pPr>
              <w:pStyle w:val="42"/>
            </w:pPr>
          </w:p>
          <w:p>
            <w:pPr>
              <w:pStyle w:val="42"/>
              <w:ind w:left="0" w:leftChars="0" w:firstLine="0" w:firstLineChars="0"/>
            </w:pPr>
          </w:p>
          <w:p>
            <w:pPr>
              <w:pStyle w:val="42"/>
              <w:ind w:left="0" w:leftChars="0" w:firstLine="0" w:firstLineChars="0"/>
            </w:pPr>
          </w:p>
          <w:p>
            <w:pPr>
              <w:pStyle w:val="42"/>
              <w:ind w:left="0" w:leftChars="0" w:firstLine="0" w:firstLineChars="0"/>
            </w:pPr>
          </w:p>
          <w:p>
            <w:pPr>
              <w:pStyle w:val="42"/>
              <w:ind w:left="0" w:leftChars="0" w:firstLine="0" w:firstLineChars="0"/>
            </w:pPr>
          </w:p>
          <w:p>
            <w:pPr>
              <w:pStyle w:val="42"/>
              <w:ind w:left="0" w:leftChars="0" w:firstLine="0" w:firstLineChars="0"/>
            </w:pPr>
          </w:p>
          <w:p>
            <w:pPr>
              <w:pStyle w:val="42"/>
              <w:ind w:left="0" w:leftChars="0" w:firstLine="0" w:firstLineChars="0"/>
            </w:pPr>
          </w:p>
          <w:p>
            <w:pPr>
              <w:pStyle w:val="42"/>
              <w:ind w:left="0" w:leftChars="0" w:firstLine="0" w:firstLineChars="0"/>
            </w:pPr>
          </w:p>
        </w:tc>
      </w:tr>
    </w:tbl>
    <w:p>
      <w:pPr>
        <w:spacing w:line="240" w:lineRule="auto"/>
        <w:jc w:val="both"/>
        <w:outlineLvl w:val="0"/>
        <w:rPr>
          <w:rFonts w:hAnsi="宋体"/>
          <w:b/>
          <w:sz w:val="28"/>
          <w:szCs w:val="28"/>
        </w:rPr>
      </w:pPr>
      <w:bookmarkStart w:id="7" w:name="_Toc26142"/>
    </w:p>
    <w:p>
      <w:pPr>
        <w:spacing w:line="240" w:lineRule="auto"/>
        <w:jc w:val="center"/>
        <w:outlineLvl w:val="0"/>
        <w:rPr>
          <w:rFonts w:hAnsi="宋体"/>
          <w:b/>
          <w:sz w:val="28"/>
          <w:szCs w:val="28"/>
        </w:rPr>
      </w:pPr>
    </w:p>
    <w:p>
      <w:pPr>
        <w:spacing w:line="240" w:lineRule="auto"/>
        <w:jc w:val="center"/>
        <w:outlineLvl w:val="0"/>
        <w:rPr>
          <w:rFonts w:hAnsi="宋体"/>
          <w:b/>
          <w:sz w:val="28"/>
          <w:szCs w:val="28"/>
        </w:rPr>
      </w:pPr>
      <w:r>
        <w:rPr>
          <w:rFonts w:hAnsi="宋体"/>
          <w:b/>
          <w:sz w:val="28"/>
          <w:szCs w:val="28"/>
        </w:rPr>
        <w:t>表五  验收监测质量保证及质量控制</w:t>
      </w:r>
      <w:bookmarkEnd w:id="7"/>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526" w:type="dxa"/>
            <w:vAlign w:val="center"/>
          </w:tcPr>
          <w:p>
            <w:pPr>
              <w:ind w:firstLine="480" w:firstLineChars="200"/>
              <w:rPr>
                <w:color w:val="000000" w:themeColor="text1"/>
              </w:rPr>
            </w:pPr>
            <w:r>
              <w:rPr>
                <w:rFonts w:hAnsi="宋体"/>
                <w:color w:val="000000" w:themeColor="text1"/>
              </w:rPr>
              <w:t>本次项目验收检测委托湖南蓝科检测评价有限公司进行，检测过程的质量保证和质量控制按照《环境监测技术规范》、《环境监测质量管理技术导则》（</w:t>
            </w:r>
            <w:r>
              <w:rPr>
                <w:color w:val="000000" w:themeColor="text1"/>
              </w:rPr>
              <w:t>HJ 630-2011</w:t>
            </w:r>
            <w:r>
              <w:rPr>
                <w:rFonts w:hAnsi="宋体"/>
                <w:color w:val="000000" w:themeColor="text1"/>
              </w:rPr>
              <w:t>）、《地表水和污水监测技术规范》（</w:t>
            </w:r>
            <w:r>
              <w:rPr>
                <w:color w:val="000000" w:themeColor="text1"/>
              </w:rPr>
              <w:t>HJ/T91-2002</w:t>
            </w:r>
            <w:r>
              <w:rPr>
                <w:rFonts w:hAnsi="宋体"/>
                <w:color w:val="000000" w:themeColor="text1"/>
              </w:rPr>
              <w:t>）、《污水综合排放标准》（</w:t>
            </w:r>
            <w:r>
              <w:rPr>
                <w:color w:val="000000" w:themeColor="text1"/>
              </w:rPr>
              <w:t>GB8978-1996</w:t>
            </w:r>
            <w:r>
              <w:rPr>
                <w:rFonts w:hAnsi="宋体"/>
                <w:color w:val="000000" w:themeColor="text1"/>
              </w:rPr>
              <w:t>）、</w:t>
            </w:r>
            <w:r>
              <w:rPr>
                <w:rFonts w:hint="eastAsia"/>
                <w:color w:val="000000" w:themeColor="text1"/>
              </w:rPr>
              <w:t>《</w:t>
            </w:r>
            <w:r>
              <w:rPr>
                <w:rFonts w:hint="eastAsia"/>
                <w:color w:val="000000" w:themeColor="text1"/>
                <w:lang w:val="en-US" w:eastAsia="zh-CN"/>
              </w:rPr>
              <w:t>工业企业厂界环境噪声排放标准</w:t>
            </w:r>
            <w:r>
              <w:rPr>
                <w:rFonts w:hint="eastAsia"/>
                <w:color w:val="000000" w:themeColor="text1"/>
              </w:rPr>
              <w:t>》（GB</w:t>
            </w:r>
            <w:r>
              <w:rPr>
                <w:rFonts w:hint="eastAsia"/>
                <w:color w:val="000000" w:themeColor="text1"/>
                <w:lang w:val="en-US" w:eastAsia="zh-CN"/>
              </w:rPr>
              <w:t>12348-2008</w:t>
            </w:r>
            <w:r>
              <w:rPr>
                <w:rFonts w:hint="eastAsia"/>
                <w:color w:val="000000" w:themeColor="text1"/>
              </w:rPr>
              <w:t>）</w:t>
            </w:r>
            <w:r>
              <w:rPr>
                <w:rFonts w:hAnsi="宋体"/>
                <w:color w:val="000000" w:themeColor="text1"/>
                <w:kern w:val="0"/>
              </w:rPr>
              <w:t>中</w:t>
            </w:r>
            <w:r>
              <w:rPr>
                <w:rFonts w:hAnsi="宋体"/>
                <w:color w:val="000000" w:themeColor="text1"/>
              </w:rPr>
              <w:t>的质量保证和质量控制有关章节的要求进行，其主要要求包括：</w:t>
            </w:r>
          </w:p>
          <w:p>
            <w:pPr>
              <w:pStyle w:val="2"/>
              <w:keepNext w:val="0"/>
              <w:keepLines w:val="0"/>
              <w:pageBreakBefore w:val="0"/>
              <w:widowControl w:val="0"/>
              <w:kinsoku/>
              <w:wordWrap/>
              <w:overflowPunct/>
              <w:topLinePunct w:val="0"/>
              <w:autoSpaceDE/>
              <w:autoSpaceDN/>
              <w:bidi w:val="0"/>
              <w:adjustRightInd/>
              <w:snapToGrid/>
              <w:spacing w:line="360" w:lineRule="auto"/>
              <w:ind w:left="0"/>
              <w:textAlignment w:val="auto"/>
              <w:rPr>
                <w:rFonts w:eastAsiaTheme="minorEastAsia"/>
                <w:color w:val="000000" w:themeColor="text1"/>
                <w:sz w:val="24"/>
              </w:rPr>
            </w:pPr>
            <w:r>
              <w:rPr>
                <w:rFonts w:hint="eastAsia" w:eastAsiaTheme="minorEastAsia"/>
                <w:color w:val="000000" w:themeColor="text1"/>
                <w:sz w:val="24"/>
                <w:lang w:eastAsia="zh-CN"/>
              </w:rPr>
              <w:t>（</w:t>
            </w:r>
            <w:r>
              <w:rPr>
                <w:rFonts w:hint="eastAsia" w:eastAsiaTheme="minorEastAsia"/>
                <w:color w:val="000000" w:themeColor="text1"/>
                <w:sz w:val="24"/>
                <w:lang w:val="en-US" w:eastAsia="zh-CN"/>
              </w:rPr>
              <w:t>1）</w:t>
            </w:r>
            <w:r>
              <w:rPr>
                <w:rFonts w:eastAsiaTheme="minorEastAsia"/>
                <w:color w:val="000000" w:themeColor="text1"/>
                <w:sz w:val="24"/>
              </w:rPr>
              <w:t>所有</w:t>
            </w:r>
            <w:r>
              <w:rPr>
                <w:rFonts w:hint="eastAsia" w:eastAsiaTheme="minorEastAsia"/>
                <w:color w:val="000000" w:themeColor="text1"/>
                <w:sz w:val="24"/>
              </w:rPr>
              <w:t>检测</w:t>
            </w:r>
            <w:r>
              <w:rPr>
                <w:rFonts w:eastAsiaTheme="minorEastAsia"/>
                <w:color w:val="000000" w:themeColor="text1"/>
                <w:sz w:val="24"/>
              </w:rPr>
              <w:t>人员均取得公司上岗证。</w:t>
            </w:r>
          </w:p>
          <w:p>
            <w:pPr>
              <w:pStyle w:val="2"/>
              <w:keepNext w:val="0"/>
              <w:keepLines w:val="0"/>
              <w:pageBreakBefore w:val="0"/>
              <w:widowControl w:val="0"/>
              <w:kinsoku/>
              <w:wordWrap/>
              <w:overflowPunct/>
              <w:topLinePunct w:val="0"/>
              <w:autoSpaceDE/>
              <w:autoSpaceDN/>
              <w:bidi w:val="0"/>
              <w:adjustRightInd/>
              <w:snapToGrid/>
              <w:spacing w:line="360" w:lineRule="auto"/>
              <w:ind w:left="0"/>
              <w:textAlignment w:val="auto"/>
              <w:rPr>
                <w:rFonts w:eastAsiaTheme="minorEastAsia"/>
                <w:color w:val="000000" w:themeColor="text1"/>
                <w:sz w:val="24"/>
              </w:rPr>
            </w:pPr>
            <w:r>
              <w:rPr>
                <w:rFonts w:hint="eastAsia" w:eastAsiaTheme="minorEastAsia"/>
                <w:color w:val="000000" w:themeColor="text1"/>
                <w:sz w:val="24"/>
                <w:lang w:eastAsia="zh-CN"/>
              </w:rPr>
              <w:t>（</w:t>
            </w:r>
            <w:r>
              <w:rPr>
                <w:rFonts w:hint="eastAsia" w:eastAsiaTheme="minorEastAsia"/>
                <w:color w:val="000000" w:themeColor="text1"/>
                <w:sz w:val="24"/>
                <w:lang w:val="en-US" w:eastAsia="zh-CN"/>
              </w:rPr>
              <w:t>2）</w:t>
            </w:r>
            <w:r>
              <w:rPr>
                <w:rFonts w:eastAsiaTheme="minorEastAsia"/>
                <w:color w:val="000000" w:themeColor="text1"/>
                <w:sz w:val="24"/>
              </w:rPr>
              <w:t>检测设备均通过</w:t>
            </w:r>
            <w:r>
              <w:rPr>
                <w:rFonts w:hint="eastAsia" w:eastAsiaTheme="minorEastAsia"/>
                <w:color w:val="000000" w:themeColor="text1"/>
                <w:sz w:val="24"/>
              </w:rPr>
              <w:t>校准</w:t>
            </w:r>
            <w:r>
              <w:rPr>
                <w:rFonts w:hint="eastAsia" w:eastAsiaTheme="minorEastAsia"/>
                <w:color w:val="000000" w:themeColor="text1"/>
                <w:sz w:val="24"/>
                <w:lang w:val="en-US" w:eastAsia="zh-CN"/>
              </w:rPr>
              <w:t>和检定</w:t>
            </w:r>
            <w:r>
              <w:rPr>
                <w:rFonts w:eastAsiaTheme="minorEastAsia"/>
                <w:color w:val="000000" w:themeColor="text1"/>
                <w:sz w:val="24"/>
              </w:rPr>
              <w:t>，性能良好。</w:t>
            </w:r>
          </w:p>
          <w:p>
            <w:pPr>
              <w:pStyle w:val="2"/>
              <w:keepNext w:val="0"/>
              <w:keepLines w:val="0"/>
              <w:pageBreakBefore w:val="0"/>
              <w:widowControl w:val="0"/>
              <w:kinsoku/>
              <w:wordWrap/>
              <w:overflowPunct/>
              <w:topLinePunct w:val="0"/>
              <w:autoSpaceDE/>
              <w:autoSpaceDN/>
              <w:bidi w:val="0"/>
              <w:adjustRightInd/>
              <w:snapToGrid/>
              <w:spacing w:line="360" w:lineRule="auto"/>
              <w:ind w:left="0"/>
              <w:textAlignment w:val="auto"/>
              <w:rPr>
                <w:rFonts w:eastAsiaTheme="minorEastAsia"/>
                <w:color w:val="000000" w:themeColor="text1"/>
                <w:sz w:val="24"/>
              </w:rPr>
            </w:pPr>
            <w:r>
              <w:rPr>
                <w:rFonts w:hint="eastAsia" w:eastAsiaTheme="minorEastAsia"/>
                <w:color w:val="000000" w:themeColor="text1"/>
                <w:sz w:val="24"/>
                <w:lang w:eastAsia="zh-CN"/>
              </w:rPr>
              <w:t>（</w:t>
            </w:r>
            <w:r>
              <w:rPr>
                <w:rFonts w:hint="eastAsia" w:eastAsiaTheme="minorEastAsia"/>
                <w:color w:val="000000" w:themeColor="text1"/>
                <w:sz w:val="24"/>
                <w:lang w:val="en-US" w:eastAsia="zh-CN"/>
              </w:rPr>
              <w:t>3）</w:t>
            </w:r>
            <w:r>
              <w:rPr>
                <w:rFonts w:eastAsiaTheme="minorEastAsia"/>
                <w:color w:val="000000" w:themeColor="text1"/>
                <w:sz w:val="24"/>
              </w:rPr>
              <w:t>所有项目分析方法采用国家标准方法。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eastAsiaTheme="minorEastAsia"/>
                <w:color w:val="000000" w:themeColor="text1"/>
                <w:sz w:val="24"/>
              </w:rPr>
            </w:pPr>
            <w:r>
              <w:rPr>
                <w:rFonts w:hint="eastAsia" w:eastAsiaTheme="minorEastAsia"/>
                <w:color w:val="000000" w:themeColor="text1"/>
                <w:sz w:val="24"/>
                <w:lang w:eastAsia="zh-CN"/>
              </w:rPr>
              <w:t>（</w:t>
            </w:r>
            <w:r>
              <w:rPr>
                <w:rFonts w:hint="eastAsia" w:eastAsiaTheme="minorEastAsia"/>
                <w:color w:val="000000" w:themeColor="text1"/>
                <w:sz w:val="24"/>
                <w:lang w:val="en-US" w:eastAsia="zh-CN"/>
              </w:rPr>
              <w:t>4）</w:t>
            </w:r>
            <w:r>
              <w:rPr>
                <w:rFonts w:hint="eastAsia" w:eastAsiaTheme="minorEastAsia"/>
                <w:color w:val="000000" w:themeColor="text1"/>
                <w:sz w:val="24"/>
              </w:rPr>
              <w:t>检</w:t>
            </w:r>
            <w:r>
              <w:rPr>
                <w:rFonts w:eastAsiaTheme="minorEastAsia"/>
                <w:color w:val="000000" w:themeColor="text1"/>
                <w:sz w:val="24"/>
              </w:rPr>
              <w:t>测数据和报告严格按照三级审核制度进行审核</w:t>
            </w:r>
            <w:r>
              <w:rPr>
                <w:rFonts w:hint="eastAsia" w:eastAsiaTheme="minorEastAsia"/>
                <w:color w:val="000000" w:themeColor="text1"/>
                <w:sz w:val="24"/>
              </w:rPr>
              <w:t>。</w:t>
            </w:r>
          </w:p>
          <w:p>
            <w:pPr>
              <w:pStyle w:val="2"/>
              <w:spacing w:line="360" w:lineRule="auto"/>
              <w:rPr>
                <w:rFonts w:hint="default" w:eastAsiaTheme="minorEastAsia"/>
                <w:lang w:val="en-US" w:eastAsia="zh-CN"/>
              </w:rPr>
            </w:pPr>
            <w:r>
              <w:rPr>
                <w:rFonts w:hint="eastAsia" w:asciiTheme="minorEastAsia" w:hAnsiTheme="minorEastAsia" w:eastAsiaTheme="minorEastAsia"/>
                <w:color w:val="000000" w:themeColor="text1"/>
                <w:sz w:val="24"/>
              </w:rPr>
              <w:t>质控结果见表</w:t>
            </w:r>
            <w:r>
              <w:rPr>
                <w:rFonts w:hint="eastAsia" w:eastAsiaTheme="minorEastAsia"/>
                <w:color w:val="000000" w:themeColor="text1"/>
                <w:sz w:val="24"/>
                <w:lang w:val="en-US" w:eastAsia="zh-CN"/>
              </w:rPr>
              <w:t>5</w:t>
            </w:r>
            <w:r>
              <w:rPr>
                <w:rFonts w:hint="eastAsia" w:eastAsiaTheme="minorEastAsia"/>
                <w:color w:val="000000" w:themeColor="text1"/>
                <w:sz w:val="24"/>
              </w:rPr>
              <w:t>-1</w:t>
            </w:r>
            <w:r>
              <w:rPr>
                <w:rFonts w:hint="eastAsia" w:eastAsiaTheme="minorEastAsia"/>
                <w:color w:val="000000" w:themeColor="text1"/>
                <w:sz w:val="24"/>
                <w:lang w:eastAsia="zh-CN"/>
              </w:rPr>
              <w:t>、</w:t>
            </w:r>
            <w:r>
              <w:rPr>
                <w:rFonts w:hint="eastAsia" w:eastAsiaTheme="minorEastAsia"/>
                <w:color w:val="000000" w:themeColor="text1"/>
                <w:sz w:val="24"/>
                <w:lang w:val="en-US" w:eastAsia="zh-CN"/>
              </w:rPr>
              <w:t>5-2。</w:t>
            </w:r>
          </w:p>
          <w:p>
            <w:pPr>
              <w:pStyle w:val="2"/>
              <w:spacing w:line="360" w:lineRule="auto"/>
              <w:jc w:val="center"/>
              <w:rPr>
                <w:rFonts w:asciiTheme="minorEastAsia" w:hAnsiTheme="minorEastAsia" w:eastAsiaTheme="minorEastAsia"/>
                <w:b/>
                <w:color w:val="000000"/>
                <w:kern w:val="0"/>
                <w:sz w:val="24"/>
              </w:rPr>
            </w:pPr>
            <w:r>
              <w:rPr>
                <w:rFonts w:hint="eastAsia" w:eastAsiaTheme="minorEastAsia"/>
                <w:b/>
                <w:kern w:val="0"/>
                <w:sz w:val="24"/>
              </w:rPr>
              <w:t xml:space="preserve"> </w:t>
            </w:r>
            <w:r>
              <w:rPr>
                <w:rFonts w:hint="eastAsia" w:asciiTheme="minorEastAsia" w:hAnsiTheme="minorEastAsia" w:eastAsiaTheme="minorEastAsia"/>
                <w:b/>
                <w:kern w:val="0"/>
                <w:sz w:val="24"/>
              </w:rPr>
              <w:t xml:space="preserve">      表</w:t>
            </w:r>
            <w:r>
              <w:rPr>
                <w:rFonts w:hint="eastAsia" w:eastAsiaTheme="minorEastAsia"/>
                <w:b/>
                <w:kern w:val="0"/>
                <w:sz w:val="24"/>
                <w:lang w:val="en-US" w:eastAsia="zh-CN"/>
              </w:rPr>
              <w:t>5</w:t>
            </w:r>
            <w:r>
              <w:rPr>
                <w:rFonts w:eastAsiaTheme="minorEastAsia"/>
                <w:b/>
                <w:kern w:val="0"/>
                <w:sz w:val="24"/>
              </w:rPr>
              <w:t>-</w:t>
            </w:r>
            <w:r>
              <w:rPr>
                <w:rFonts w:hint="eastAsia" w:eastAsiaTheme="minorEastAsia"/>
                <w:b/>
                <w:kern w:val="0"/>
                <w:sz w:val="24"/>
              </w:rPr>
              <w:t>1</w:t>
            </w:r>
            <w:r>
              <w:rPr>
                <w:rFonts w:hint="eastAsia" w:asciiTheme="minorEastAsia" w:hAnsiTheme="minorEastAsia" w:eastAsiaTheme="minorEastAsia"/>
                <w:b/>
                <w:color w:val="000000"/>
                <w:kern w:val="0"/>
                <w:sz w:val="24"/>
              </w:rPr>
              <w:t xml:space="preserve">  加标回收准确度结果一览表</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758"/>
              <w:gridCol w:w="1429"/>
              <w:gridCol w:w="982"/>
              <w:gridCol w:w="1434"/>
              <w:gridCol w:w="1364"/>
              <w:gridCol w:w="1354"/>
              <w:gridCol w:w="1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89"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序号</w:t>
                  </w:r>
                </w:p>
              </w:tc>
              <w:tc>
                <w:tcPr>
                  <w:tcW w:w="758"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项目</w:t>
                  </w:r>
                </w:p>
              </w:tc>
              <w:tc>
                <w:tcPr>
                  <w:tcW w:w="1429"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样品检测值（ug）</w:t>
                  </w:r>
                </w:p>
              </w:tc>
              <w:tc>
                <w:tcPr>
                  <w:tcW w:w="982"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加标</w:t>
                  </w:r>
                  <w:r>
                    <w:rPr>
                      <w:rFonts w:hint="eastAsia" w:ascii="Times New Roman" w:hAnsi="Times New Roman" w:eastAsia="宋体" w:cs="宋体"/>
                      <w:b/>
                      <w:bCs w:val="0"/>
                      <w:sz w:val="21"/>
                      <w:szCs w:val="21"/>
                      <w:lang w:val="en-US" w:eastAsia="zh-CN"/>
                    </w:rPr>
                    <w:t>量</w:t>
                  </w:r>
                  <w:r>
                    <w:rPr>
                      <w:rFonts w:hint="eastAsia" w:ascii="Times New Roman" w:hAnsi="Times New Roman" w:eastAsia="宋体" w:cs="宋体"/>
                      <w:b/>
                      <w:bCs w:val="0"/>
                      <w:sz w:val="21"/>
                      <w:szCs w:val="21"/>
                    </w:rPr>
                    <w:t>（ug）</w:t>
                  </w:r>
                </w:p>
              </w:tc>
              <w:tc>
                <w:tcPr>
                  <w:tcW w:w="1434"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加标检测值（ug）</w:t>
                  </w:r>
                </w:p>
              </w:tc>
              <w:tc>
                <w:tcPr>
                  <w:tcW w:w="1364"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加标回收率（%）</w:t>
                  </w:r>
                </w:p>
              </w:tc>
              <w:tc>
                <w:tcPr>
                  <w:tcW w:w="1354"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lang w:val="en-US" w:eastAsia="zh-CN"/>
                    </w:rPr>
                    <w:t>质控要求</w:t>
                  </w:r>
                </w:p>
              </w:tc>
              <w:tc>
                <w:tcPr>
                  <w:tcW w:w="1190" w:type="dxa"/>
                  <w:tcBorders>
                    <w:tl2br w:val="nil"/>
                    <w:tr2bl w:val="nil"/>
                  </w:tcBorders>
                  <w:vAlign w:val="center"/>
                </w:tcPr>
                <w:p>
                  <w:pPr>
                    <w:jc w:val="center"/>
                    <w:rPr>
                      <w:rFonts w:hint="eastAsia" w:ascii="Times New Roman" w:hAnsi="Times New Roman" w:eastAsia="宋体" w:cs="宋体"/>
                      <w:b/>
                      <w:bCs w:val="0"/>
                      <w:sz w:val="21"/>
                      <w:szCs w:val="21"/>
                    </w:rPr>
                  </w:pPr>
                  <w:r>
                    <w:rPr>
                      <w:rFonts w:hint="eastAsia" w:ascii="Times New Roman" w:hAnsi="Times New Roman" w:eastAsia="宋体" w:cs="宋体"/>
                      <w:b/>
                      <w:bCs w:val="0"/>
                      <w:sz w:val="21"/>
                      <w:szCs w:val="21"/>
                    </w:rPr>
                    <w:t>质控结果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89" w:type="dxa"/>
                  <w:tcBorders>
                    <w:tl2br w:val="nil"/>
                    <w:tr2bl w:val="nil"/>
                  </w:tcBorders>
                  <w:vAlign w:val="center"/>
                </w:tcPr>
                <w:p>
                  <w:pPr>
                    <w:jc w:val="center"/>
                    <w:rPr>
                      <w:rFonts w:hint="eastAsia" w:ascii="Times New Roman" w:hAnsi="Times New Roman" w:eastAsia="宋体" w:cs="宋体"/>
                      <w:bCs/>
                      <w:szCs w:val="21"/>
                    </w:rPr>
                  </w:pPr>
                  <w:r>
                    <w:rPr>
                      <w:rFonts w:hint="eastAsia" w:ascii="Times New Roman" w:hAnsi="Times New Roman" w:eastAsia="宋体" w:cs="宋体"/>
                      <w:bCs/>
                      <w:szCs w:val="21"/>
                    </w:rPr>
                    <w:t>1</w:t>
                  </w:r>
                </w:p>
              </w:tc>
              <w:tc>
                <w:tcPr>
                  <w:tcW w:w="758" w:type="dxa"/>
                  <w:tcBorders>
                    <w:tl2br w:val="nil"/>
                    <w:tr2bl w:val="nil"/>
                  </w:tcBorders>
                  <w:vAlign w:val="center"/>
                </w:tcPr>
                <w:p>
                  <w:pPr>
                    <w:jc w:val="center"/>
                    <w:rPr>
                      <w:rFonts w:hint="eastAsia" w:ascii="Times New Roman" w:hAnsi="Times New Roman" w:eastAsia="宋体" w:cs="宋体"/>
                      <w:bCs/>
                      <w:szCs w:val="21"/>
                    </w:rPr>
                  </w:pPr>
                  <w:r>
                    <w:rPr>
                      <w:rFonts w:hint="eastAsia" w:ascii="Times New Roman" w:hAnsi="Times New Roman" w:eastAsia="宋体" w:cs="宋体"/>
                      <w:szCs w:val="21"/>
                    </w:rPr>
                    <w:t>氨氮</w:t>
                  </w:r>
                </w:p>
              </w:tc>
              <w:tc>
                <w:tcPr>
                  <w:tcW w:w="1429"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34.4</w:t>
                  </w:r>
                </w:p>
              </w:tc>
              <w:tc>
                <w:tcPr>
                  <w:tcW w:w="982"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40.0</w:t>
                  </w:r>
                </w:p>
              </w:tc>
              <w:tc>
                <w:tcPr>
                  <w:tcW w:w="1434"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74.0</w:t>
                  </w:r>
                </w:p>
              </w:tc>
              <w:tc>
                <w:tcPr>
                  <w:tcW w:w="1364"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99.0</w:t>
                  </w:r>
                </w:p>
              </w:tc>
              <w:tc>
                <w:tcPr>
                  <w:tcW w:w="1354" w:type="dxa"/>
                  <w:tcBorders>
                    <w:tl2br w:val="nil"/>
                    <w:tr2bl w:val="nil"/>
                  </w:tcBorders>
                  <w:vAlign w:val="center"/>
                </w:tcPr>
                <w:p>
                  <w:pPr>
                    <w:jc w:val="center"/>
                    <w:rPr>
                      <w:rFonts w:hint="eastAsia" w:ascii="Times New Roman" w:hAnsi="Times New Roman" w:eastAsia="宋体" w:cs="宋体"/>
                      <w:bCs/>
                      <w:kern w:val="2"/>
                      <w:sz w:val="21"/>
                      <w:szCs w:val="21"/>
                      <w:lang w:val="en-US" w:eastAsia="zh-CN" w:bidi="ar-SA"/>
                    </w:rPr>
                  </w:pPr>
                  <w:r>
                    <w:rPr>
                      <w:rFonts w:hint="eastAsia" w:ascii="Times New Roman" w:hAnsi="Times New Roman" w:eastAsia="宋体" w:cs="宋体"/>
                      <w:bCs/>
                      <w:szCs w:val="21"/>
                      <w:lang w:val="en-US" w:eastAsia="zh-CN"/>
                    </w:rPr>
                    <w:t>80%~120%</w:t>
                  </w:r>
                </w:p>
              </w:tc>
              <w:tc>
                <w:tcPr>
                  <w:tcW w:w="1190" w:type="dxa"/>
                  <w:tcBorders>
                    <w:tl2br w:val="nil"/>
                    <w:tr2bl w:val="nil"/>
                  </w:tcBorders>
                  <w:vAlign w:val="center"/>
                </w:tcPr>
                <w:p>
                  <w:pPr>
                    <w:jc w:val="center"/>
                    <w:rPr>
                      <w:rFonts w:hint="eastAsia" w:ascii="Times New Roman" w:hAnsi="Times New Roman" w:eastAsia="宋体" w:cs="宋体"/>
                      <w:bCs/>
                      <w:szCs w:val="21"/>
                    </w:rPr>
                  </w:pPr>
                  <w:r>
                    <w:rPr>
                      <w:rFonts w:hint="eastAsia" w:ascii="Times New Roman" w:hAnsi="Times New Roman" w:eastAsia="宋体" w:cs="宋体"/>
                      <w:bCs/>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89"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2</w:t>
                  </w:r>
                </w:p>
              </w:tc>
              <w:tc>
                <w:tcPr>
                  <w:tcW w:w="758" w:type="dxa"/>
                  <w:tcBorders>
                    <w:tl2br w:val="nil"/>
                    <w:tr2bl w:val="nil"/>
                  </w:tcBorders>
                  <w:vAlign w:val="center"/>
                </w:tcPr>
                <w:p>
                  <w:pPr>
                    <w:jc w:val="center"/>
                    <w:rPr>
                      <w:rFonts w:hint="eastAsia" w:ascii="Times New Roman" w:hAnsi="Times New Roman" w:eastAsia="宋体" w:cs="宋体"/>
                      <w:szCs w:val="21"/>
                    </w:rPr>
                  </w:pPr>
                  <w:r>
                    <w:rPr>
                      <w:rFonts w:hint="eastAsia" w:ascii="Times New Roman" w:hAnsi="Times New Roman" w:eastAsia="宋体" w:cs="宋体"/>
                      <w:szCs w:val="21"/>
                    </w:rPr>
                    <w:t>氨氮</w:t>
                  </w:r>
                </w:p>
              </w:tc>
              <w:tc>
                <w:tcPr>
                  <w:tcW w:w="1429"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35.6</w:t>
                  </w:r>
                </w:p>
              </w:tc>
              <w:tc>
                <w:tcPr>
                  <w:tcW w:w="982"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40.0</w:t>
                  </w:r>
                </w:p>
              </w:tc>
              <w:tc>
                <w:tcPr>
                  <w:tcW w:w="1434"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75.1</w:t>
                  </w:r>
                </w:p>
              </w:tc>
              <w:tc>
                <w:tcPr>
                  <w:tcW w:w="1364"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98.75</w:t>
                  </w:r>
                </w:p>
              </w:tc>
              <w:tc>
                <w:tcPr>
                  <w:tcW w:w="1354" w:type="dxa"/>
                  <w:tcBorders>
                    <w:tl2br w:val="nil"/>
                    <w:tr2bl w:val="nil"/>
                  </w:tcBorders>
                  <w:vAlign w:val="center"/>
                </w:tcPr>
                <w:p>
                  <w:pPr>
                    <w:jc w:val="center"/>
                    <w:rPr>
                      <w:rFonts w:hint="eastAsia" w:ascii="Times New Roman" w:hAnsi="Times New Roman" w:eastAsia="宋体" w:cs="宋体"/>
                      <w:bCs/>
                      <w:szCs w:val="21"/>
                      <w:lang w:val="en-US" w:eastAsia="zh-CN"/>
                    </w:rPr>
                  </w:pPr>
                  <w:r>
                    <w:rPr>
                      <w:rFonts w:hint="eastAsia" w:ascii="Times New Roman" w:hAnsi="Times New Roman" w:eastAsia="宋体" w:cs="宋体"/>
                      <w:bCs/>
                      <w:szCs w:val="21"/>
                      <w:lang w:val="en-US" w:eastAsia="zh-CN"/>
                    </w:rPr>
                    <w:t>80%~120%</w:t>
                  </w:r>
                </w:p>
              </w:tc>
              <w:tc>
                <w:tcPr>
                  <w:tcW w:w="1190" w:type="dxa"/>
                  <w:tcBorders>
                    <w:tl2br w:val="nil"/>
                    <w:tr2bl w:val="nil"/>
                  </w:tcBorders>
                  <w:vAlign w:val="center"/>
                </w:tcPr>
                <w:p>
                  <w:pPr>
                    <w:jc w:val="center"/>
                    <w:rPr>
                      <w:rFonts w:hint="eastAsia" w:ascii="Times New Roman" w:hAnsi="Times New Roman" w:eastAsia="宋体" w:cs="宋体"/>
                      <w:bCs/>
                      <w:szCs w:val="21"/>
                    </w:rPr>
                  </w:pPr>
                  <w:r>
                    <w:rPr>
                      <w:rFonts w:hint="eastAsia" w:ascii="Times New Roman" w:hAnsi="Times New Roman" w:eastAsia="宋体" w:cs="宋体"/>
                      <w:bCs/>
                      <w:szCs w:val="21"/>
                    </w:rPr>
                    <w:t>合格</w:t>
                  </w:r>
                </w:p>
              </w:tc>
            </w:tr>
          </w:tbl>
          <w:p>
            <w:pPr>
              <w:pStyle w:val="2"/>
              <w:spacing w:line="360" w:lineRule="auto"/>
              <w:jc w:val="center"/>
              <w:rPr>
                <w:rFonts w:asciiTheme="minorEastAsia" w:hAnsiTheme="minorEastAsia" w:eastAsiaTheme="minorEastAsia"/>
                <w:b/>
                <w:color w:val="000000"/>
                <w:kern w:val="0"/>
                <w:sz w:val="24"/>
              </w:rPr>
            </w:pPr>
            <w:r>
              <w:rPr>
                <w:rFonts w:hint="eastAsia" w:asciiTheme="minorEastAsia" w:hAnsiTheme="minorEastAsia" w:eastAsiaTheme="minorEastAsia"/>
                <w:b/>
                <w:kern w:val="0"/>
                <w:sz w:val="24"/>
              </w:rPr>
              <w:t xml:space="preserve"> </w:t>
            </w:r>
            <w:r>
              <w:rPr>
                <w:rFonts w:hint="eastAsia" w:asciiTheme="minorEastAsia" w:hAnsiTheme="minorEastAsia" w:eastAsiaTheme="minorEastAsia"/>
                <w:b/>
                <w:kern w:val="0"/>
                <w:sz w:val="24"/>
                <w:lang w:val="en-US" w:eastAsia="zh-CN"/>
              </w:rPr>
              <w:t xml:space="preserve">      </w:t>
            </w:r>
            <w:r>
              <w:rPr>
                <w:rFonts w:hint="eastAsia" w:asciiTheme="minorEastAsia" w:hAnsiTheme="minorEastAsia" w:eastAsiaTheme="minorEastAsia"/>
                <w:b/>
                <w:kern w:val="0"/>
                <w:sz w:val="24"/>
              </w:rPr>
              <w:t>表</w:t>
            </w:r>
            <w:r>
              <w:rPr>
                <w:rFonts w:hint="eastAsia" w:eastAsiaTheme="minorEastAsia"/>
                <w:b/>
                <w:kern w:val="0"/>
                <w:sz w:val="24"/>
                <w:lang w:val="en-US" w:eastAsia="zh-CN"/>
              </w:rPr>
              <w:t>5</w:t>
            </w:r>
            <w:r>
              <w:rPr>
                <w:rFonts w:eastAsiaTheme="minorEastAsia"/>
                <w:b/>
                <w:kern w:val="0"/>
                <w:sz w:val="24"/>
              </w:rPr>
              <w:t>-</w:t>
            </w:r>
            <w:r>
              <w:rPr>
                <w:rFonts w:hint="eastAsia" w:eastAsiaTheme="minorEastAsia"/>
                <w:b/>
                <w:kern w:val="0"/>
                <w:sz w:val="24"/>
                <w:lang w:val="en-US" w:eastAsia="zh-CN"/>
              </w:rPr>
              <w:t>2</w:t>
            </w:r>
            <w:r>
              <w:rPr>
                <w:rFonts w:hint="eastAsia" w:asciiTheme="minorEastAsia" w:hAnsiTheme="minorEastAsia" w:eastAsiaTheme="minorEastAsia"/>
                <w:b/>
                <w:color w:val="000000"/>
                <w:kern w:val="0"/>
                <w:sz w:val="24"/>
              </w:rPr>
              <w:t xml:space="preserve"> </w:t>
            </w:r>
            <w:r>
              <w:rPr>
                <w:rFonts w:hint="eastAsia" w:asciiTheme="minorEastAsia" w:hAnsiTheme="minorEastAsia" w:eastAsiaTheme="minorEastAsia"/>
                <w:b/>
                <w:color w:val="000000"/>
                <w:kern w:val="0"/>
                <w:sz w:val="24"/>
                <w:lang w:val="en-US" w:eastAsia="zh-CN"/>
              </w:rPr>
              <w:t>化学需氧量平行样</w:t>
            </w:r>
            <w:r>
              <w:rPr>
                <w:rFonts w:hint="eastAsia" w:asciiTheme="minorEastAsia" w:hAnsiTheme="minorEastAsia" w:eastAsiaTheme="minorEastAsia"/>
                <w:b/>
                <w:color w:val="000000"/>
                <w:kern w:val="0"/>
                <w:sz w:val="24"/>
              </w:rPr>
              <w:t>结果一览表</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457"/>
              <w:gridCol w:w="1188"/>
              <w:gridCol w:w="1985"/>
              <w:gridCol w:w="1344"/>
              <w:gridCol w:w="1251"/>
              <w:gridCol w:w="1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2" w:type="dxa"/>
                  <w:tcBorders>
                    <w:tl2br w:val="nil"/>
                    <w:tr2bl w:val="nil"/>
                  </w:tcBorders>
                  <w:vAlign w:val="center"/>
                </w:tcPr>
                <w:p>
                  <w:pPr>
                    <w:jc w:val="center"/>
                    <w:rPr>
                      <w:rFonts w:ascii="Times New Roman" w:hAnsi="Times New Roman" w:eastAsia="宋体"/>
                      <w:b/>
                      <w:bCs w:val="0"/>
                      <w:sz w:val="21"/>
                      <w:szCs w:val="21"/>
                    </w:rPr>
                  </w:pPr>
                  <w:r>
                    <w:rPr>
                      <w:rFonts w:ascii="Times New Roman" w:hAnsi="Times New Roman" w:eastAsia="宋体"/>
                      <w:b/>
                      <w:bCs w:val="0"/>
                      <w:sz w:val="21"/>
                      <w:szCs w:val="21"/>
                    </w:rPr>
                    <w:t>序号</w:t>
                  </w:r>
                </w:p>
              </w:tc>
              <w:tc>
                <w:tcPr>
                  <w:tcW w:w="1335" w:type="dxa"/>
                  <w:tcBorders>
                    <w:tl2br w:val="nil"/>
                    <w:tr2bl w:val="nil"/>
                  </w:tcBorders>
                  <w:vAlign w:val="center"/>
                </w:tcPr>
                <w:p>
                  <w:pPr>
                    <w:jc w:val="center"/>
                    <w:rPr>
                      <w:rFonts w:ascii="Times New Roman" w:hAnsi="Times New Roman" w:eastAsia="宋体"/>
                      <w:b/>
                      <w:bCs w:val="0"/>
                      <w:sz w:val="21"/>
                      <w:szCs w:val="21"/>
                    </w:rPr>
                  </w:pPr>
                  <w:r>
                    <w:rPr>
                      <w:rFonts w:ascii="Times New Roman" w:hAnsi="Times New Roman" w:eastAsia="宋体"/>
                      <w:b/>
                      <w:bCs w:val="0"/>
                      <w:sz w:val="21"/>
                      <w:szCs w:val="21"/>
                    </w:rPr>
                    <w:t>项目</w:t>
                  </w:r>
                </w:p>
              </w:tc>
              <w:tc>
                <w:tcPr>
                  <w:tcW w:w="1089" w:type="dxa"/>
                  <w:tcBorders>
                    <w:tl2br w:val="nil"/>
                    <w:tr2bl w:val="nil"/>
                  </w:tcBorders>
                  <w:vAlign w:val="center"/>
                </w:tcPr>
                <w:p>
                  <w:pPr>
                    <w:jc w:val="center"/>
                    <w:rPr>
                      <w:rFonts w:hint="eastAsia" w:ascii="Times New Roman" w:hAnsi="Times New Roman" w:eastAsia="宋体"/>
                      <w:b/>
                      <w:bCs w:val="0"/>
                      <w:sz w:val="21"/>
                      <w:szCs w:val="21"/>
                      <w:lang w:eastAsia="zh-CN"/>
                    </w:rPr>
                  </w:pPr>
                  <w:r>
                    <w:rPr>
                      <w:rFonts w:ascii="Times New Roman" w:hAnsi="Times New Roman" w:eastAsia="宋体"/>
                      <w:b/>
                      <w:bCs w:val="0"/>
                      <w:sz w:val="21"/>
                      <w:szCs w:val="21"/>
                    </w:rPr>
                    <w:t>检测值</w:t>
                  </w:r>
                  <w:r>
                    <w:rPr>
                      <w:rFonts w:hint="eastAsia" w:ascii="Times New Roman" w:hAnsi="Times New Roman" w:eastAsia="宋体"/>
                      <w:b/>
                      <w:bCs w:val="0"/>
                      <w:sz w:val="21"/>
                      <w:szCs w:val="21"/>
                      <w:lang w:eastAsia="zh-CN"/>
                    </w:rPr>
                    <w:t>（mg/L）</w:t>
                  </w:r>
                </w:p>
              </w:tc>
              <w:tc>
                <w:tcPr>
                  <w:tcW w:w="1819" w:type="dxa"/>
                  <w:tcBorders>
                    <w:tl2br w:val="nil"/>
                    <w:tr2bl w:val="nil"/>
                  </w:tcBorders>
                  <w:vAlign w:val="center"/>
                </w:tcPr>
                <w:p>
                  <w:pPr>
                    <w:jc w:val="center"/>
                    <w:rPr>
                      <w:rFonts w:ascii="Times New Roman" w:hAnsi="Times New Roman" w:eastAsia="宋体"/>
                      <w:b/>
                      <w:bCs w:val="0"/>
                      <w:sz w:val="21"/>
                      <w:szCs w:val="21"/>
                    </w:rPr>
                  </w:pPr>
                  <w:r>
                    <w:rPr>
                      <w:rFonts w:ascii="Times New Roman" w:hAnsi="Times New Roman" w:eastAsia="宋体"/>
                      <w:b/>
                      <w:bCs w:val="0"/>
                      <w:sz w:val="21"/>
                      <w:szCs w:val="21"/>
                    </w:rPr>
                    <w:t>平行样检测值</w:t>
                  </w:r>
                  <w:r>
                    <w:rPr>
                      <w:rFonts w:hint="eastAsia" w:ascii="Times New Roman" w:hAnsi="Times New Roman" w:eastAsia="宋体"/>
                      <w:b/>
                      <w:bCs w:val="0"/>
                      <w:sz w:val="21"/>
                      <w:szCs w:val="21"/>
                      <w:lang w:eastAsia="zh-CN"/>
                    </w:rPr>
                    <w:t>（mg/L）</w:t>
                  </w:r>
                </w:p>
              </w:tc>
              <w:tc>
                <w:tcPr>
                  <w:tcW w:w="1232" w:type="dxa"/>
                  <w:tcBorders>
                    <w:tl2br w:val="nil"/>
                    <w:tr2bl w:val="nil"/>
                  </w:tcBorders>
                  <w:vAlign w:val="center"/>
                </w:tcPr>
                <w:p>
                  <w:pPr>
                    <w:jc w:val="center"/>
                    <w:rPr>
                      <w:rFonts w:ascii="Times New Roman" w:hAnsi="Times New Roman" w:eastAsia="宋体"/>
                      <w:b/>
                      <w:bCs w:val="0"/>
                      <w:sz w:val="21"/>
                      <w:szCs w:val="21"/>
                    </w:rPr>
                  </w:pPr>
                  <w:r>
                    <w:rPr>
                      <w:rFonts w:ascii="Times New Roman" w:hAnsi="Times New Roman" w:eastAsia="宋体"/>
                      <w:b/>
                      <w:bCs w:val="0"/>
                      <w:sz w:val="21"/>
                      <w:szCs w:val="21"/>
                    </w:rPr>
                    <w:t>相对</w:t>
                  </w:r>
                  <w:r>
                    <w:rPr>
                      <w:rFonts w:hint="eastAsia" w:ascii="Times New Roman" w:hAnsi="Times New Roman" w:eastAsia="宋体"/>
                      <w:b/>
                      <w:bCs w:val="0"/>
                      <w:sz w:val="21"/>
                      <w:szCs w:val="21"/>
                      <w:lang w:val="en-US" w:eastAsia="zh-CN"/>
                    </w:rPr>
                    <w:t>偏</w:t>
                  </w:r>
                  <w:r>
                    <w:rPr>
                      <w:rFonts w:ascii="Times New Roman" w:hAnsi="Times New Roman" w:eastAsia="宋体"/>
                      <w:b/>
                      <w:bCs w:val="0"/>
                      <w:sz w:val="21"/>
                      <w:szCs w:val="21"/>
                    </w:rPr>
                    <w:t>差（%）</w:t>
                  </w:r>
                </w:p>
              </w:tc>
              <w:tc>
                <w:tcPr>
                  <w:tcW w:w="1146" w:type="dxa"/>
                  <w:tcBorders>
                    <w:tl2br w:val="nil"/>
                    <w:tr2bl w:val="nil"/>
                  </w:tcBorders>
                  <w:vAlign w:val="center"/>
                </w:tcPr>
                <w:p>
                  <w:pPr>
                    <w:jc w:val="center"/>
                    <w:rPr>
                      <w:rFonts w:hint="eastAsia" w:ascii="Times New Roman" w:hAnsi="Times New Roman" w:eastAsia="宋体"/>
                      <w:b/>
                      <w:bCs w:val="0"/>
                      <w:sz w:val="21"/>
                      <w:szCs w:val="21"/>
                      <w:lang w:val="en-US" w:eastAsia="zh-CN"/>
                    </w:rPr>
                  </w:pPr>
                  <w:r>
                    <w:rPr>
                      <w:rFonts w:hint="eastAsia" w:ascii="Times New Roman" w:hAnsi="Times New Roman" w:eastAsia="宋体"/>
                      <w:b/>
                      <w:bCs w:val="0"/>
                      <w:sz w:val="21"/>
                      <w:szCs w:val="21"/>
                      <w:lang w:val="en-US" w:eastAsia="zh-CN"/>
                    </w:rPr>
                    <w:t>质控要求</w:t>
                  </w:r>
                </w:p>
              </w:tc>
              <w:tc>
                <w:tcPr>
                  <w:tcW w:w="1149" w:type="dxa"/>
                  <w:tcBorders>
                    <w:tl2br w:val="nil"/>
                    <w:tr2bl w:val="nil"/>
                  </w:tcBorders>
                  <w:vAlign w:val="center"/>
                </w:tcPr>
                <w:p>
                  <w:pPr>
                    <w:jc w:val="center"/>
                    <w:rPr>
                      <w:rFonts w:ascii="Times New Roman" w:hAnsi="Times New Roman" w:eastAsia="宋体"/>
                      <w:b/>
                      <w:bCs w:val="0"/>
                      <w:sz w:val="21"/>
                      <w:szCs w:val="21"/>
                    </w:rPr>
                  </w:pPr>
                  <w:r>
                    <w:rPr>
                      <w:rFonts w:ascii="Times New Roman" w:hAnsi="Times New Roman" w:eastAsia="宋体"/>
                      <w:b/>
                      <w:bCs w:val="0"/>
                      <w:sz w:val="21"/>
                      <w:szCs w:val="21"/>
                    </w:rPr>
                    <w:t>质控结果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2" w:type="dxa"/>
                  <w:tcBorders>
                    <w:tl2br w:val="nil"/>
                    <w:tr2bl w:val="nil"/>
                  </w:tcBorders>
                  <w:vAlign w:val="center"/>
                </w:tcPr>
                <w:p>
                  <w:pPr>
                    <w:jc w:val="center"/>
                    <w:rPr>
                      <w:rFonts w:ascii="Times New Roman" w:hAnsi="Times New Roman" w:eastAsia="宋体"/>
                      <w:bCs/>
                      <w:szCs w:val="21"/>
                    </w:rPr>
                  </w:pPr>
                  <w:r>
                    <w:rPr>
                      <w:rFonts w:ascii="Times New Roman" w:hAnsi="Times New Roman" w:eastAsia="宋体"/>
                      <w:bCs/>
                      <w:szCs w:val="21"/>
                    </w:rPr>
                    <w:t>1</w:t>
                  </w:r>
                </w:p>
              </w:tc>
              <w:tc>
                <w:tcPr>
                  <w:tcW w:w="1335" w:type="dxa"/>
                  <w:tcBorders>
                    <w:tl2br w:val="nil"/>
                    <w:tr2bl w:val="nil"/>
                  </w:tcBorders>
                  <w:vAlign w:val="center"/>
                </w:tcPr>
                <w:p>
                  <w:pPr>
                    <w:pStyle w:val="242"/>
                    <w:rPr>
                      <w:rFonts w:ascii="Times New Roman" w:hAnsi="Times New Roman" w:eastAsia="宋体" w:cs="Times New Roman"/>
                      <w:bCs/>
                      <w:szCs w:val="21"/>
                    </w:rPr>
                  </w:pPr>
                  <w:r>
                    <w:rPr>
                      <w:rFonts w:hint="default" w:ascii="Times New Roman" w:hAnsi="Times New Roman" w:eastAsia="宋体" w:cs="Times New Roman"/>
                      <w:sz w:val="21"/>
                      <w:szCs w:val="21"/>
                      <w:lang w:val="en-US" w:eastAsia="zh-CN"/>
                    </w:rPr>
                    <w:t>化学需氧量</w:t>
                  </w:r>
                </w:p>
              </w:tc>
              <w:tc>
                <w:tcPr>
                  <w:tcW w:w="108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487</w:t>
                  </w:r>
                </w:p>
              </w:tc>
              <w:tc>
                <w:tcPr>
                  <w:tcW w:w="181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481</w:t>
                  </w:r>
                </w:p>
              </w:tc>
              <w:tc>
                <w:tcPr>
                  <w:tcW w:w="1232"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0.62</w:t>
                  </w:r>
                </w:p>
              </w:tc>
              <w:tc>
                <w:tcPr>
                  <w:tcW w:w="1146"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≤±10%</w:t>
                  </w:r>
                </w:p>
              </w:tc>
              <w:tc>
                <w:tcPr>
                  <w:tcW w:w="1149" w:type="dxa"/>
                  <w:tcBorders>
                    <w:tl2br w:val="nil"/>
                    <w:tr2bl w:val="nil"/>
                  </w:tcBorders>
                  <w:vAlign w:val="center"/>
                </w:tcPr>
                <w:p>
                  <w:pPr>
                    <w:jc w:val="center"/>
                    <w:rPr>
                      <w:rFonts w:ascii="Times New Roman" w:hAnsi="Times New Roman" w:eastAsia="宋体"/>
                      <w:bCs/>
                      <w:szCs w:val="21"/>
                    </w:rPr>
                  </w:pPr>
                  <w:r>
                    <w:rPr>
                      <w:rFonts w:ascii="Times New Roman" w:hAnsi="Times New Roman" w:eastAsia="宋体"/>
                      <w:bCs/>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2" w:type="dxa"/>
                  <w:tcBorders>
                    <w:tl2br w:val="nil"/>
                    <w:tr2bl w:val="nil"/>
                  </w:tcBorders>
                  <w:vAlign w:val="center"/>
                </w:tcPr>
                <w:p>
                  <w:pPr>
                    <w:jc w:val="center"/>
                    <w:rPr>
                      <w:rFonts w:hint="eastAsia" w:ascii="Times New Roman" w:hAnsi="Times New Roman" w:eastAsia="宋体"/>
                      <w:bCs/>
                      <w:szCs w:val="21"/>
                      <w:lang w:val="en-US" w:eastAsia="zh-CN"/>
                    </w:rPr>
                  </w:pPr>
                  <w:r>
                    <w:rPr>
                      <w:rFonts w:hint="eastAsia" w:ascii="Times New Roman" w:hAnsi="Times New Roman" w:eastAsia="宋体"/>
                      <w:bCs/>
                      <w:szCs w:val="21"/>
                      <w:lang w:val="en-US" w:eastAsia="zh-CN"/>
                    </w:rPr>
                    <w:t>2</w:t>
                  </w:r>
                </w:p>
              </w:tc>
              <w:tc>
                <w:tcPr>
                  <w:tcW w:w="1335" w:type="dxa"/>
                  <w:tcBorders>
                    <w:tl2br w:val="nil"/>
                    <w:tr2bl w:val="nil"/>
                  </w:tcBorders>
                  <w:vAlign w:val="center"/>
                </w:tcPr>
                <w:p>
                  <w:pPr>
                    <w:pStyle w:val="242"/>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化学需氧量</w:t>
                  </w:r>
                </w:p>
              </w:tc>
              <w:tc>
                <w:tcPr>
                  <w:tcW w:w="108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485</w:t>
                  </w:r>
                </w:p>
              </w:tc>
              <w:tc>
                <w:tcPr>
                  <w:tcW w:w="181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493</w:t>
                  </w:r>
                </w:p>
              </w:tc>
              <w:tc>
                <w:tcPr>
                  <w:tcW w:w="1232"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-0.82</w:t>
                  </w:r>
                </w:p>
              </w:tc>
              <w:tc>
                <w:tcPr>
                  <w:tcW w:w="1146" w:type="dxa"/>
                  <w:tcBorders>
                    <w:tl2br w:val="nil"/>
                    <w:tr2bl w:val="nil"/>
                  </w:tcBorders>
                  <w:vAlign w:val="center"/>
                </w:tcPr>
                <w:p>
                  <w:pPr>
                    <w:jc w:val="center"/>
                    <w:rPr>
                      <w:rFonts w:hint="eastAsia" w:ascii="Times New Roman" w:hAnsi="Times New Roman" w:eastAsia="宋体"/>
                      <w:bCs/>
                      <w:szCs w:val="21"/>
                      <w:lang w:val="en-US" w:eastAsia="zh-CN"/>
                    </w:rPr>
                  </w:pPr>
                  <w:r>
                    <w:rPr>
                      <w:rFonts w:hint="eastAsia" w:ascii="Times New Roman" w:hAnsi="Times New Roman" w:eastAsia="宋体"/>
                      <w:bCs/>
                      <w:szCs w:val="21"/>
                      <w:lang w:val="en-US" w:eastAsia="zh-CN"/>
                    </w:rPr>
                    <w:t>≤±10%</w:t>
                  </w:r>
                </w:p>
              </w:tc>
              <w:tc>
                <w:tcPr>
                  <w:tcW w:w="1149" w:type="dxa"/>
                  <w:tcBorders>
                    <w:tl2br w:val="nil"/>
                    <w:tr2bl w:val="nil"/>
                  </w:tcBorders>
                  <w:vAlign w:val="center"/>
                </w:tcPr>
                <w:p>
                  <w:pPr>
                    <w:jc w:val="center"/>
                    <w:rPr>
                      <w:rFonts w:ascii="Times New Roman" w:hAnsi="Times New Roman" w:eastAsia="宋体"/>
                      <w:bCs/>
                      <w:szCs w:val="21"/>
                    </w:rPr>
                  </w:pPr>
                  <w:r>
                    <w:rPr>
                      <w:rFonts w:ascii="Times New Roman" w:hAnsi="Times New Roman" w:eastAsia="宋体"/>
                      <w:bCs/>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2" w:type="dxa"/>
                  <w:tcBorders>
                    <w:tl2br w:val="nil"/>
                    <w:tr2bl w:val="nil"/>
                  </w:tcBorders>
                  <w:vAlign w:val="center"/>
                </w:tcPr>
                <w:p>
                  <w:pPr>
                    <w:jc w:val="center"/>
                    <w:rPr>
                      <w:rFonts w:hint="eastAsia" w:ascii="Times New Roman" w:hAnsi="Times New Roman" w:eastAsia="宋体"/>
                      <w:bCs/>
                      <w:szCs w:val="21"/>
                      <w:lang w:val="en-US" w:eastAsia="zh-CN"/>
                    </w:rPr>
                  </w:pPr>
                  <w:r>
                    <w:rPr>
                      <w:rFonts w:hint="eastAsia" w:ascii="Times New Roman" w:hAnsi="Times New Roman" w:eastAsia="宋体"/>
                      <w:bCs/>
                      <w:szCs w:val="21"/>
                      <w:lang w:val="en-US" w:eastAsia="zh-CN"/>
                    </w:rPr>
                    <w:t>3</w:t>
                  </w:r>
                </w:p>
              </w:tc>
              <w:tc>
                <w:tcPr>
                  <w:tcW w:w="1335" w:type="dxa"/>
                  <w:tcBorders>
                    <w:tl2br w:val="nil"/>
                    <w:tr2bl w:val="nil"/>
                  </w:tcBorders>
                  <w:vAlign w:val="center"/>
                </w:tcPr>
                <w:p>
                  <w:pPr>
                    <w:pStyle w:val="242"/>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化学需氧量</w:t>
                  </w:r>
                </w:p>
              </w:tc>
              <w:tc>
                <w:tcPr>
                  <w:tcW w:w="108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481</w:t>
                  </w:r>
                </w:p>
              </w:tc>
              <w:tc>
                <w:tcPr>
                  <w:tcW w:w="181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489</w:t>
                  </w:r>
                </w:p>
              </w:tc>
              <w:tc>
                <w:tcPr>
                  <w:tcW w:w="1232"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-0.82</w:t>
                  </w:r>
                </w:p>
              </w:tc>
              <w:tc>
                <w:tcPr>
                  <w:tcW w:w="1146" w:type="dxa"/>
                  <w:tcBorders>
                    <w:tl2br w:val="nil"/>
                    <w:tr2bl w:val="nil"/>
                  </w:tcBorders>
                  <w:vAlign w:val="center"/>
                </w:tcPr>
                <w:p>
                  <w:pPr>
                    <w:jc w:val="center"/>
                    <w:rPr>
                      <w:rFonts w:hint="eastAsia" w:ascii="Times New Roman" w:hAnsi="Times New Roman" w:eastAsia="宋体"/>
                      <w:bCs/>
                      <w:szCs w:val="21"/>
                      <w:lang w:val="en-US" w:eastAsia="zh-CN"/>
                    </w:rPr>
                  </w:pPr>
                  <w:r>
                    <w:rPr>
                      <w:rFonts w:hint="eastAsia" w:ascii="Times New Roman" w:hAnsi="Times New Roman" w:eastAsia="宋体"/>
                      <w:bCs/>
                      <w:szCs w:val="21"/>
                      <w:lang w:val="en-US" w:eastAsia="zh-CN"/>
                    </w:rPr>
                    <w:t>≤±10%</w:t>
                  </w:r>
                </w:p>
              </w:tc>
              <w:tc>
                <w:tcPr>
                  <w:tcW w:w="1149" w:type="dxa"/>
                  <w:tcBorders>
                    <w:tl2br w:val="nil"/>
                    <w:tr2bl w:val="nil"/>
                  </w:tcBorders>
                  <w:vAlign w:val="center"/>
                </w:tcPr>
                <w:p>
                  <w:pPr>
                    <w:jc w:val="center"/>
                    <w:rPr>
                      <w:rFonts w:ascii="Times New Roman" w:hAnsi="Times New Roman" w:eastAsia="宋体"/>
                      <w:bCs/>
                      <w:szCs w:val="21"/>
                    </w:rPr>
                  </w:pPr>
                  <w:r>
                    <w:rPr>
                      <w:rFonts w:ascii="Times New Roman" w:hAnsi="Times New Roman" w:eastAsia="宋体"/>
                      <w:bCs/>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2"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 xml:space="preserve">4 </w:t>
                  </w:r>
                </w:p>
              </w:tc>
              <w:tc>
                <w:tcPr>
                  <w:tcW w:w="1335" w:type="dxa"/>
                  <w:tcBorders>
                    <w:tl2br w:val="nil"/>
                    <w:tr2bl w:val="nil"/>
                  </w:tcBorders>
                  <w:vAlign w:val="center"/>
                </w:tcPr>
                <w:p>
                  <w:pPr>
                    <w:pStyle w:val="242"/>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化学需氧量</w:t>
                  </w:r>
                </w:p>
              </w:tc>
              <w:tc>
                <w:tcPr>
                  <w:tcW w:w="108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481</w:t>
                  </w:r>
                </w:p>
              </w:tc>
              <w:tc>
                <w:tcPr>
                  <w:tcW w:w="1819"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491</w:t>
                  </w:r>
                </w:p>
              </w:tc>
              <w:tc>
                <w:tcPr>
                  <w:tcW w:w="1232" w:type="dxa"/>
                  <w:tcBorders>
                    <w:tl2br w:val="nil"/>
                    <w:tr2bl w:val="nil"/>
                  </w:tcBorders>
                  <w:vAlign w:val="center"/>
                </w:tcPr>
                <w:p>
                  <w:pPr>
                    <w:jc w:val="center"/>
                    <w:rPr>
                      <w:rFonts w:hint="default" w:ascii="Times New Roman" w:hAnsi="Times New Roman" w:eastAsia="宋体"/>
                      <w:bCs/>
                      <w:szCs w:val="21"/>
                      <w:lang w:val="en-US" w:eastAsia="zh-CN"/>
                    </w:rPr>
                  </w:pPr>
                  <w:r>
                    <w:rPr>
                      <w:rFonts w:hint="eastAsia" w:ascii="Times New Roman" w:hAnsi="Times New Roman" w:eastAsia="宋体"/>
                      <w:bCs/>
                      <w:szCs w:val="21"/>
                      <w:lang w:val="en-US" w:eastAsia="zh-CN"/>
                    </w:rPr>
                    <w:t>-1.03</w:t>
                  </w:r>
                </w:p>
              </w:tc>
              <w:tc>
                <w:tcPr>
                  <w:tcW w:w="1146" w:type="dxa"/>
                  <w:tcBorders>
                    <w:tl2br w:val="nil"/>
                    <w:tr2bl w:val="nil"/>
                  </w:tcBorders>
                  <w:vAlign w:val="center"/>
                </w:tcPr>
                <w:p>
                  <w:pPr>
                    <w:jc w:val="center"/>
                    <w:rPr>
                      <w:rFonts w:hint="eastAsia" w:ascii="Times New Roman" w:hAnsi="Times New Roman" w:eastAsia="宋体"/>
                      <w:bCs/>
                      <w:szCs w:val="21"/>
                      <w:lang w:val="en-US" w:eastAsia="zh-CN"/>
                    </w:rPr>
                  </w:pPr>
                  <w:r>
                    <w:rPr>
                      <w:rFonts w:hint="eastAsia" w:ascii="Times New Roman" w:hAnsi="Times New Roman" w:eastAsia="宋体"/>
                      <w:bCs/>
                      <w:szCs w:val="21"/>
                      <w:lang w:val="en-US" w:eastAsia="zh-CN"/>
                    </w:rPr>
                    <w:t>≤±10%</w:t>
                  </w:r>
                </w:p>
              </w:tc>
              <w:tc>
                <w:tcPr>
                  <w:tcW w:w="1149" w:type="dxa"/>
                  <w:tcBorders>
                    <w:tl2br w:val="nil"/>
                    <w:tr2bl w:val="nil"/>
                  </w:tcBorders>
                  <w:vAlign w:val="center"/>
                </w:tcPr>
                <w:p>
                  <w:pPr>
                    <w:jc w:val="center"/>
                    <w:rPr>
                      <w:rFonts w:ascii="Times New Roman" w:hAnsi="Times New Roman" w:eastAsia="宋体"/>
                      <w:bCs/>
                      <w:szCs w:val="21"/>
                    </w:rPr>
                  </w:pPr>
                  <w:r>
                    <w:rPr>
                      <w:rFonts w:ascii="Times New Roman" w:hAnsi="Times New Roman" w:eastAsia="宋体"/>
                      <w:bCs/>
                      <w:szCs w:val="21"/>
                    </w:rPr>
                    <w:t>合格</w:t>
                  </w:r>
                </w:p>
              </w:tc>
            </w:tr>
          </w:tbl>
          <w:p>
            <w:pPr>
              <w:ind w:firstLine="480" w:firstLineChars="200"/>
              <w:rPr>
                <w:color w:val="000000" w:themeColor="text1"/>
              </w:rPr>
            </w:pPr>
            <w:r>
              <w:rPr>
                <w:rFonts w:hAnsi="宋体"/>
                <w:color w:val="000000" w:themeColor="text1"/>
              </w:rPr>
              <w:t>检测分析方法及仪器见下表</w:t>
            </w:r>
            <w:r>
              <w:rPr>
                <w:color w:val="000000" w:themeColor="text1"/>
              </w:rPr>
              <w:t>5-</w:t>
            </w:r>
            <w:r>
              <w:rPr>
                <w:rFonts w:hint="eastAsia"/>
                <w:color w:val="000000" w:themeColor="text1"/>
                <w:lang w:val="en-US" w:eastAsia="zh-CN"/>
              </w:rPr>
              <w:t>3</w:t>
            </w:r>
            <w:r>
              <w:rPr>
                <w:rFonts w:hAnsi="宋体"/>
                <w:color w:val="000000" w:themeColor="text1"/>
              </w:rPr>
              <w:t>。</w:t>
            </w:r>
          </w:p>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rFonts w:hAnsi="宋体"/>
                <w:b/>
                <w:kern w:val="0"/>
              </w:rPr>
            </w:pPr>
            <w:r>
              <w:rPr>
                <w:rFonts w:hAnsi="宋体"/>
                <w:b/>
                <w:kern w:val="0"/>
              </w:rPr>
              <w:t>表5-</w:t>
            </w:r>
            <w:r>
              <w:rPr>
                <w:rFonts w:hint="eastAsia" w:hAnsi="宋体"/>
                <w:b/>
                <w:kern w:val="0"/>
                <w:lang w:val="en-US" w:eastAsia="zh-CN"/>
              </w:rPr>
              <w:t>3</w:t>
            </w:r>
            <w:r>
              <w:rPr>
                <w:rFonts w:hAnsi="宋体"/>
                <w:b/>
                <w:kern w:val="0"/>
              </w:rPr>
              <w:t xml:space="preserve">  检测分析方法及使用仪器一览表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64"/>
              <w:gridCol w:w="3116"/>
              <w:gridCol w:w="2768"/>
              <w:gridCol w:w="1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rPr>
                      <w:b/>
                      <w:bCs/>
                      <w:sz w:val="21"/>
                      <w:szCs w:val="21"/>
                    </w:rPr>
                  </w:pPr>
                  <w:r>
                    <w:rPr>
                      <w:rFonts w:hAnsi="宋体"/>
                      <w:b/>
                      <w:bCs/>
                      <w:sz w:val="21"/>
                      <w:szCs w:val="21"/>
                    </w:rPr>
                    <w:t>类别</w:t>
                  </w:r>
                </w:p>
              </w:tc>
              <w:tc>
                <w:tcPr>
                  <w:tcW w:w="126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
                      <w:bCs/>
                      <w:sz w:val="21"/>
                      <w:szCs w:val="21"/>
                    </w:rPr>
                  </w:pPr>
                  <w:r>
                    <w:rPr>
                      <w:rFonts w:hAnsi="宋体"/>
                      <w:b/>
                      <w:bCs/>
                      <w:sz w:val="21"/>
                      <w:szCs w:val="21"/>
                    </w:rPr>
                    <w:t>检测项目</w:t>
                  </w:r>
                </w:p>
              </w:tc>
              <w:tc>
                <w:tcPr>
                  <w:tcW w:w="3116"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
                      <w:bCs/>
                      <w:sz w:val="21"/>
                      <w:szCs w:val="21"/>
                    </w:rPr>
                  </w:pPr>
                  <w:r>
                    <w:rPr>
                      <w:rFonts w:hAnsi="宋体"/>
                      <w:b/>
                      <w:bCs/>
                      <w:sz w:val="21"/>
                      <w:szCs w:val="21"/>
                    </w:rPr>
                    <w:t>检测方法及方法来源</w:t>
                  </w:r>
                </w:p>
              </w:tc>
              <w:tc>
                <w:tcPr>
                  <w:tcW w:w="2768"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
                      <w:bCs/>
                      <w:sz w:val="21"/>
                      <w:szCs w:val="21"/>
                    </w:rPr>
                  </w:pPr>
                  <w:r>
                    <w:rPr>
                      <w:rFonts w:hAnsi="宋体"/>
                      <w:b/>
                      <w:bCs/>
                      <w:sz w:val="21"/>
                      <w:szCs w:val="21"/>
                    </w:rPr>
                    <w:t>使用仪器型号及编号</w:t>
                  </w:r>
                </w:p>
              </w:tc>
              <w:tc>
                <w:tcPr>
                  <w:tcW w:w="1447" w:type="dxa"/>
                  <w:tcBorders>
                    <w:top w:val="single" w:color="auto" w:sz="4" w:space="0"/>
                    <w:left w:val="single" w:color="auto" w:sz="4" w:space="0"/>
                    <w:bottom w:val="single" w:color="auto" w:sz="4" w:space="0"/>
                    <w:right w:val="single" w:color="auto" w:sz="4" w:space="0"/>
                  </w:tcBorders>
                  <w:vAlign w:val="center"/>
                </w:tcPr>
                <w:p>
                  <w:pPr>
                    <w:spacing w:line="240" w:lineRule="auto"/>
                    <w:rPr>
                      <w:b/>
                      <w:bCs/>
                      <w:sz w:val="21"/>
                      <w:szCs w:val="21"/>
                    </w:rPr>
                  </w:pPr>
                  <w:r>
                    <w:rPr>
                      <w:rFonts w:hAnsi="宋体"/>
                      <w:b/>
                      <w:bCs/>
                      <w:sz w:val="21"/>
                      <w:szCs w:val="21"/>
                    </w:rPr>
                    <w:t>方法检出限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705" w:type="dxa"/>
                  <w:vMerge w:val="restart"/>
                  <w:tcBorders>
                    <w:top w:val="single" w:color="auto" w:sz="4" w:space="0"/>
                    <w:left w:val="single" w:color="auto" w:sz="4" w:space="0"/>
                    <w:right w:val="single" w:color="auto" w:sz="4" w:space="0"/>
                  </w:tcBorders>
                  <w:vAlign w:val="center"/>
                </w:tcPr>
                <w:p>
                  <w:pPr>
                    <w:spacing w:line="240" w:lineRule="auto"/>
                    <w:rPr>
                      <w:bCs/>
                      <w:sz w:val="21"/>
                      <w:szCs w:val="21"/>
                    </w:rPr>
                  </w:pPr>
                  <w:r>
                    <w:rPr>
                      <w:rFonts w:hAnsi="宋体"/>
                      <w:bCs/>
                      <w:sz w:val="21"/>
                      <w:szCs w:val="21"/>
                    </w:rPr>
                    <w:t>废水</w:t>
                  </w:r>
                </w:p>
              </w:tc>
              <w:tc>
                <w:tcPr>
                  <w:tcW w:w="1264" w:type="dxa"/>
                  <w:tcBorders>
                    <w:top w:val="single" w:color="auto" w:sz="4" w:space="0"/>
                    <w:left w:val="single" w:color="auto" w:sz="4" w:space="0"/>
                    <w:bottom w:val="single" w:color="auto" w:sz="4" w:space="0"/>
                    <w:right w:val="single" w:color="auto" w:sz="4" w:space="0"/>
                  </w:tcBorders>
                  <w:vAlign w:val="center"/>
                </w:tcPr>
                <w:p>
                  <w:pPr>
                    <w:pStyle w:val="242"/>
                    <w:spacing w:line="240" w:lineRule="auto"/>
                    <w:rPr>
                      <w:bCs/>
                      <w:sz w:val="21"/>
                      <w:szCs w:val="21"/>
                    </w:rPr>
                  </w:pPr>
                  <w:r>
                    <w:rPr>
                      <w:rFonts w:hint="eastAsia" w:cs="Times New Roman"/>
                      <w:snapToGrid w:val="0"/>
                      <w:color w:val="000000"/>
                      <w:kern w:val="0"/>
                      <w:szCs w:val="21"/>
                    </w:rPr>
                    <w:t>pH</w:t>
                  </w:r>
                </w:p>
              </w:tc>
              <w:tc>
                <w:tcPr>
                  <w:tcW w:w="3116" w:type="dxa"/>
                  <w:tcBorders>
                    <w:top w:val="single" w:color="auto" w:sz="4" w:space="0"/>
                    <w:left w:val="single" w:color="auto" w:sz="4" w:space="0"/>
                    <w:bottom w:val="single" w:color="auto" w:sz="4" w:space="0"/>
                    <w:right w:val="single" w:color="auto" w:sz="4" w:space="0"/>
                  </w:tcBorders>
                  <w:vAlign w:val="center"/>
                </w:tcPr>
                <w:p>
                  <w:pPr>
                    <w:pStyle w:val="242"/>
                    <w:spacing w:line="240" w:lineRule="auto"/>
                    <w:rPr>
                      <w:bCs/>
                      <w:sz w:val="21"/>
                      <w:szCs w:val="21"/>
                    </w:rPr>
                  </w:pPr>
                  <w:r>
                    <w:rPr>
                      <w:rFonts w:hint="eastAsia" w:ascii="宋体" w:hAnsi="宋体" w:eastAsia="宋体" w:cs="宋体"/>
                      <w:sz w:val="21"/>
                      <w:szCs w:val="21"/>
                    </w:rPr>
                    <w:t>《水和废水监测分析方法》（第四版增补版）国家环保护总局（</w:t>
                  </w:r>
                  <w:r>
                    <w:rPr>
                      <w:rFonts w:hint="default" w:ascii="Times New Roman" w:hAnsi="Times New Roman" w:eastAsia="宋体" w:cs="Times New Roman"/>
                      <w:sz w:val="21"/>
                      <w:szCs w:val="21"/>
                    </w:rPr>
                    <w:t>2002</w:t>
                  </w:r>
                  <w:r>
                    <w:rPr>
                      <w:rFonts w:hint="eastAsia" w:ascii="宋体" w:hAnsi="宋体" w:eastAsia="宋体" w:cs="宋体"/>
                      <w:sz w:val="21"/>
                      <w:szCs w:val="21"/>
                    </w:rPr>
                    <w:t>年）便携式</w:t>
                  </w:r>
                  <w:r>
                    <w:rPr>
                      <w:rFonts w:hint="default" w:ascii="Times New Roman" w:hAnsi="Times New Roman" w:eastAsia="宋体" w:cs="Times New Roman"/>
                      <w:sz w:val="21"/>
                      <w:szCs w:val="21"/>
                    </w:rPr>
                    <w:t>PH</w:t>
                  </w:r>
                  <w:r>
                    <w:rPr>
                      <w:rFonts w:hint="eastAsia" w:ascii="宋体" w:hAnsi="宋体" w:eastAsia="宋体" w:cs="宋体"/>
                      <w:sz w:val="21"/>
                      <w:szCs w:val="21"/>
                    </w:rPr>
                    <w:t>计法</w:t>
                  </w:r>
                </w:p>
              </w:tc>
              <w:tc>
                <w:tcPr>
                  <w:tcW w:w="276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bCs/>
                      <w:sz w:val="21"/>
                      <w:szCs w:val="21"/>
                    </w:rPr>
                  </w:pPr>
                  <w:r>
                    <w:rPr>
                      <w:rFonts w:hint="eastAsia" w:ascii="Times New Roman" w:hAnsi="Times New Roman" w:eastAsia="宋体" w:cs="Times New Roman"/>
                      <w:kern w:val="2"/>
                      <w:sz w:val="21"/>
                      <w:szCs w:val="21"/>
                      <w:lang w:val="en-US" w:eastAsia="zh-CN" w:bidi="ar-SA"/>
                    </w:rPr>
                    <w:t>PHBJ-260</w:t>
                  </w:r>
                  <w:r>
                    <w:rPr>
                      <w:rFonts w:hint="default" w:ascii="Times New Roman" w:hAnsi="Times New Roman" w:eastAsia="宋体" w:cs="Times New Roman"/>
                      <w:kern w:val="2"/>
                      <w:sz w:val="21"/>
                      <w:szCs w:val="21"/>
                      <w:lang w:val="en-US" w:eastAsia="zh-CN" w:bidi="ar-SA"/>
                    </w:rPr>
                    <w:t>便携式pH计/LKT-YQ-0</w:t>
                  </w:r>
                  <w:r>
                    <w:rPr>
                      <w:rFonts w:hint="eastAsia" w:cs="Times New Roman"/>
                      <w:kern w:val="2"/>
                      <w:sz w:val="21"/>
                      <w:szCs w:val="21"/>
                      <w:lang w:val="en-US" w:eastAsia="zh-CN" w:bidi="ar-SA"/>
                    </w:rPr>
                    <w:t>65</w:t>
                  </w:r>
                </w:p>
              </w:tc>
              <w:tc>
                <w:tcPr>
                  <w:tcW w:w="144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1"/>
                      <w:szCs w:val="21"/>
                    </w:rPr>
                  </w:pPr>
                  <w:r>
                    <w:rPr>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05" w:type="dxa"/>
                  <w:vMerge w:val="continue"/>
                  <w:tcBorders>
                    <w:left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1"/>
                      <w:szCs w:val="21"/>
                    </w:rPr>
                  </w:pPr>
                  <w:r>
                    <w:rPr>
                      <w:bCs/>
                      <w:sz w:val="21"/>
                      <w:szCs w:val="21"/>
                    </w:rPr>
                    <w:t>SS</w:t>
                  </w:r>
                </w:p>
              </w:tc>
              <w:tc>
                <w:tcPr>
                  <w:tcW w:w="3116" w:type="dxa"/>
                  <w:tcBorders>
                    <w:top w:val="single" w:color="auto" w:sz="4" w:space="0"/>
                    <w:left w:val="single" w:color="auto" w:sz="4" w:space="0"/>
                    <w:bottom w:val="single" w:color="auto" w:sz="4" w:space="0"/>
                    <w:right w:val="single" w:color="auto" w:sz="4" w:space="0"/>
                  </w:tcBorders>
                  <w:vAlign w:val="center"/>
                </w:tcPr>
                <w:p>
                  <w:pPr>
                    <w:pStyle w:val="242"/>
                    <w:spacing w:line="240" w:lineRule="auto"/>
                    <w:jc w:val="center"/>
                    <w:rPr>
                      <w:bCs/>
                      <w:sz w:val="21"/>
                      <w:szCs w:val="21"/>
                    </w:rPr>
                  </w:pPr>
                  <w:r>
                    <w:rPr>
                      <w:rFonts w:hint="eastAsia" w:ascii="Times New Roman" w:hAnsi="Times New Roman" w:eastAsia="宋体" w:cs="Times New Roman"/>
                      <w:b w:val="0"/>
                      <w:bCs/>
                      <w:color w:val="auto"/>
                      <w:kern w:val="0"/>
                      <w:sz w:val="21"/>
                      <w:szCs w:val="21"/>
                      <w:lang w:val="en-US" w:eastAsia="zh-CN" w:bidi="ar-SA"/>
                    </w:rPr>
                    <w:t>《水质 悬浮物的测定 重量法》（GB11901-1989）</w:t>
                  </w:r>
                </w:p>
              </w:tc>
              <w:tc>
                <w:tcPr>
                  <w:tcW w:w="2768" w:type="dxa"/>
                  <w:tcBorders>
                    <w:top w:val="single" w:color="auto" w:sz="4" w:space="0"/>
                    <w:left w:val="single" w:color="auto" w:sz="4" w:space="0"/>
                    <w:bottom w:val="single" w:color="auto" w:sz="4" w:space="0"/>
                    <w:right w:val="single" w:color="auto" w:sz="4" w:space="0"/>
                  </w:tcBorders>
                  <w:vAlign w:val="center"/>
                </w:tcPr>
                <w:p>
                  <w:pPr>
                    <w:pStyle w:val="242"/>
                    <w:spacing w:line="240" w:lineRule="auto"/>
                    <w:jc w:val="center"/>
                    <w:rPr>
                      <w:bCs/>
                      <w:sz w:val="21"/>
                      <w:szCs w:val="21"/>
                    </w:rPr>
                  </w:pPr>
                  <w:r>
                    <w:rPr>
                      <w:rFonts w:hint="eastAsia" w:ascii="Times New Roman" w:hAnsi="Times New Roman" w:eastAsia="宋体" w:cs="Times New Roman"/>
                      <w:b w:val="0"/>
                      <w:bCs/>
                      <w:color w:val="auto"/>
                      <w:kern w:val="0"/>
                      <w:sz w:val="21"/>
                      <w:szCs w:val="21"/>
                      <w:lang w:val="en-US" w:eastAsia="zh-CN" w:bidi="ar-SA"/>
                    </w:rPr>
                    <w:t>ATY244万分之一天平/LKT-YQ-007</w:t>
                  </w:r>
                </w:p>
              </w:tc>
              <w:tc>
                <w:tcPr>
                  <w:tcW w:w="144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eastAsia="宋体"/>
                      <w:bCs/>
                      <w:sz w:val="21"/>
                      <w:szCs w:val="21"/>
                      <w:lang w:val="en-US" w:eastAsia="zh-CN"/>
                    </w:rPr>
                  </w:pPr>
                  <w:r>
                    <w:rPr>
                      <w:rFonts w:hint="eastAsia"/>
                      <w:bCs/>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705" w:type="dxa"/>
                  <w:vMerge w:val="continue"/>
                  <w:tcBorders>
                    <w:left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bCs/>
                      <w:sz w:val="21"/>
                      <w:szCs w:val="21"/>
                    </w:rPr>
                  </w:pPr>
                  <w:r>
                    <w:rPr>
                      <w:rFonts w:hint="eastAsia" w:ascii="Times New Roman" w:hAnsi="Times New Roman" w:eastAsia="宋体" w:cs="Times New Roman"/>
                      <w:kern w:val="0"/>
                      <w:sz w:val="21"/>
                      <w:szCs w:val="21"/>
                    </w:rPr>
                    <w:t>总磷</w:t>
                  </w:r>
                </w:p>
              </w:tc>
              <w:tc>
                <w:tcPr>
                  <w:tcW w:w="3116" w:type="dxa"/>
                  <w:tcBorders>
                    <w:top w:val="single" w:color="auto" w:sz="4" w:space="0"/>
                    <w:left w:val="single" w:color="auto" w:sz="4" w:space="0"/>
                    <w:bottom w:val="single" w:color="auto" w:sz="4" w:space="0"/>
                    <w:right w:val="single" w:color="auto" w:sz="4" w:space="0"/>
                  </w:tcBorders>
                  <w:vAlign w:val="center"/>
                </w:tcPr>
                <w:p>
                  <w:pPr>
                    <w:pStyle w:val="242"/>
                    <w:rPr>
                      <w:rFonts w:hint="eastAsia" w:ascii="Times New Roman" w:hAnsi="Times New Roman" w:eastAsia="宋体" w:cs="Times New Roman"/>
                      <w:bCs/>
                      <w:sz w:val="21"/>
                      <w:szCs w:val="21"/>
                    </w:rPr>
                  </w:pPr>
                  <w:r>
                    <w:rPr>
                      <w:rFonts w:hint="eastAsia" w:ascii="Times New Roman" w:hAnsi="Times New Roman" w:eastAsia="宋体" w:cs="Times New Roman"/>
                      <w:sz w:val="21"/>
                      <w:szCs w:val="21"/>
                    </w:rPr>
                    <w:t>《水质 总磷的测定 钼酸铵分光光度法》（HJ 11893-89）</w:t>
                  </w:r>
                </w:p>
              </w:tc>
              <w:tc>
                <w:tcPr>
                  <w:tcW w:w="2768"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722-可见分光光度计/</w:t>
                  </w:r>
                </w:p>
                <w:p>
                  <w:pPr>
                    <w:spacing w:line="240" w:lineRule="exact"/>
                    <w:jc w:val="center"/>
                    <w:rPr>
                      <w:rFonts w:hint="eastAsia" w:ascii="Times New Roman" w:hAnsi="Times New Roman" w:eastAsia="宋体" w:cs="Times New Roman"/>
                      <w:bCs/>
                      <w:sz w:val="21"/>
                      <w:szCs w:val="21"/>
                    </w:rPr>
                  </w:pPr>
                  <w:r>
                    <w:rPr>
                      <w:rFonts w:hint="eastAsia" w:ascii="Times New Roman" w:hAnsi="Times New Roman" w:eastAsia="宋体" w:cs="Times New Roman"/>
                      <w:sz w:val="21"/>
                      <w:szCs w:val="21"/>
                    </w:rPr>
                    <w:t>LKT-YQ-007</w:t>
                  </w:r>
                </w:p>
              </w:tc>
              <w:tc>
                <w:tcPr>
                  <w:tcW w:w="144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bCs/>
                      <w:sz w:val="21"/>
                      <w:szCs w:val="21"/>
                    </w:rPr>
                  </w:pPr>
                  <w:r>
                    <w:rPr>
                      <w:rFonts w:hint="eastAsia" w:ascii="Times New Roman" w:hAnsi="Times New Roman" w:eastAsia="宋体" w:cs="Times New Roman"/>
                      <w:sz w:val="21"/>
                      <w:szCs w:val="21"/>
                    </w:rPr>
                    <w:t xml:space="preserve">0.01mg/L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705" w:type="dxa"/>
                  <w:vMerge w:val="continue"/>
                  <w:tcBorders>
                    <w:left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pStyle w:val="242"/>
                    <w:rPr>
                      <w:rFonts w:hint="eastAsia"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总氮</w:t>
                  </w:r>
                </w:p>
              </w:tc>
              <w:tc>
                <w:tcPr>
                  <w:tcW w:w="3116" w:type="dxa"/>
                  <w:tcBorders>
                    <w:top w:val="single" w:color="auto" w:sz="4" w:space="0"/>
                    <w:left w:val="single" w:color="auto" w:sz="4" w:space="0"/>
                    <w:bottom w:val="single" w:color="auto" w:sz="4" w:space="0"/>
                    <w:right w:val="single" w:color="auto" w:sz="4" w:space="0"/>
                  </w:tcBorders>
                  <w:vAlign w:val="center"/>
                </w:tcPr>
                <w:p>
                  <w:pPr>
                    <w:pStyle w:val="242"/>
                    <w:rPr>
                      <w:rFonts w:hint="eastAsia" w:ascii="Times New Roman" w:hAnsi="Times New Roman" w:eastAsia="宋体" w:cs="Times New Roman"/>
                      <w:sz w:val="21"/>
                      <w:szCs w:val="21"/>
                    </w:rPr>
                  </w:pPr>
                  <w:r>
                    <w:rPr>
                      <w:rFonts w:hint="default" w:ascii="Times New Roman" w:hAnsi="Times New Roman" w:eastAsia="宋体" w:cs="Times New Roman"/>
                      <w:sz w:val="21"/>
                      <w:szCs w:val="21"/>
                    </w:rPr>
                    <w:t>《水质 总氮的测定 碱性过硫酸钾消解紫外分光光度法》（HJ 636-2012）</w:t>
                  </w:r>
                </w:p>
              </w:tc>
              <w:tc>
                <w:tcPr>
                  <w:tcW w:w="2768" w:type="dxa"/>
                  <w:tcBorders>
                    <w:top w:val="single" w:color="auto" w:sz="4" w:space="0"/>
                    <w:left w:val="single" w:color="auto" w:sz="4" w:space="0"/>
                    <w:bottom w:val="single" w:color="auto" w:sz="4" w:space="0"/>
                    <w:right w:val="single" w:color="auto" w:sz="4" w:space="0"/>
                  </w:tcBorders>
                  <w:vAlign w:val="center"/>
                </w:tcPr>
                <w:p>
                  <w:pPr>
                    <w:pStyle w:val="242"/>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L5S-紫外可见分光光度计</w:t>
                  </w:r>
                  <w:r>
                    <w:rPr>
                      <w:rFonts w:hint="eastAsia" w:ascii="Times New Roman" w:hAnsi="Times New Roman" w:eastAsia="宋体" w:cs="Times New Roman"/>
                      <w:sz w:val="21"/>
                      <w:szCs w:val="21"/>
                    </w:rPr>
                    <w:t>/</w:t>
                  </w:r>
                </w:p>
                <w:p>
                  <w:pPr>
                    <w:pStyle w:val="242"/>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LKT-YQ-0</w:t>
                  </w:r>
                  <w:r>
                    <w:rPr>
                      <w:rFonts w:hint="eastAsia" w:ascii="Times New Roman" w:hAnsi="Times New Roman" w:eastAsia="宋体" w:cs="Times New Roman"/>
                      <w:sz w:val="21"/>
                      <w:szCs w:val="21"/>
                      <w:lang w:val="en-US" w:eastAsia="zh-CN"/>
                    </w:rPr>
                    <w:t>10</w:t>
                  </w:r>
                </w:p>
              </w:tc>
              <w:tc>
                <w:tcPr>
                  <w:tcW w:w="1447" w:type="dxa"/>
                  <w:tcBorders>
                    <w:top w:val="single" w:color="auto" w:sz="4" w:space="0"/>
                    <w:left w:val="single" w:color="auto" w:sz="4" w:space="0"/>
                    <w:bottom w:val="single" w:color="auto" w:sz="4" w:space="0"/>
                    <w:right w:val="single" w:color="auto" w:sz="4" w:space="0"/>
                  </w:tcBorders>
                  <w:vAlign w:val="center"/>
                </w:tcPr>
                <w:p>
                  <w:pPr>
                    <w:pStyle w:val="242"/>
                    <w:rPr>
                      <w:rFonts w:hint="eastAsia" w:ascii="Times New Roman" w:hAnsi="Times New Roman" w:eastAsia="宋体" w:cs="Times New Roman"/>
                      <w:sz w:val="21"/>
                      <w:szCs w:val="21"/>
                    </w:rPr>
                  </w:pPr>
                  <w:r>
                    <w:rPr>
                      <w:rFonts w:hint="default" w:ascii="Times New Roman" w:hAnsi="Times New Roman" w:eastAsia="宋体" w:cs="Times New Roman"/>
                      <w:sz w:val="21"/>
                      <w:szCs w:val="21"/>
                    </w:rPr>
                    <w:t>0.05mg/L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05" w:type="dxa"/>
                  <w:vMerge w:val="continue"/>
                  <w:tcBorders>
                    <w:left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氨氮</w:t>
                  </w:r>
                </w:p>
              </w:tc>
              <w:tc>
                <w:tcPr>
                  <w:tcW w:w="31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《水质 氨氮的测定的测定 纳氏试剂分光光度法 》（HJ535-2009）</w:t>
                  </w:r>
                </w:p>
              </w:tc>
              <w:tc>
                <w:tcPr>
                  <w:tcW w:w="27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722-可见分光光度计/</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LKT-YQ-007</w:t>
                  </w:r>
                </w:p>
              </w:tc>
              <w:tc>
                <w:tcPr>
                  <w:tcW w:w="14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05" w:type="dxa"/>
                  <w:vMerge w:val="continue"/>
                  <w:tcBorders>
                    <w:left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化学需氧量</w:t>
                  </w:r>
                </w:p>
              </w:tc>
              <w:tc>
                <w:tcPr>
                  <w:tcW w:w="31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《水质 化学需氧量的测定 重铬酸盐法》（HJ828-2017）</w:t>
                  </w:r>
                </w:p>
              </w:tc>
              <w:tc>
                <w:tcPr>
                  <w:tcW w:w="27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HCA-102COD空气冷却消解仪/LKT-YQ-01</w:t>
                  </w:r>
                  <w:r>
                    <w:rPr>
                      <w:rFonts w:hint="eastAsia" w:ascii="Times New Roman" w:hAnsi="Times New Roman" w:eastAsia="宋体" w:cs="Times New Roman"/>
                      <w:kern w:val="0"/>
                      <w:sz w:val="21"/>
                      <w:szCs w:val="21"/>
                      <w:lang w:val="en-US" w:eastAsia="zh-CN"/>
                    </w:rPr>
                    <w:t>1</w:t>
                  </w:r>
                </w:p>
              </w:tc>
              <w:tc>
                <w:tcPr>
                  <w:tcW w:w="14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705" w:type="dxa"/>
                  <w:vMerge w:val="continue"/>
                  <w:tcBorders>
                    <w:left w:val="single" w:color="auto" w:sz="4" w:space="0"/>
                    <w:bottom w:val="single" w:color="auto" w:sz="4" w:space="0"/>
                    <w:right w:val="single" w:color="auto" w:sz="4" w:space="0"/>
                  </w:tcBorders>
                  <w:vAlign w:val="center"/>
                </w:tcPr>
                <w:p>
                  <w:pPr>
                    <w:widowControl/>
                    <w:spacing w:line="240" w:lineRule="auto"/>
                    <w:jc w:val="left"/>
                    <w:rPr>
                      <w:bCs/>
                      <w:sz w:val="21"/>
                      <w:szCs w:val="21"/>
                    </w:rPr>
                  </w:pPr>
                </w:p>
              </w:tc>
              <w:tc>
                <w:tcPr>
                  <w:tcW w:w="12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五日生化需氧量</w:t>
                  </w:r>
                </w:p>
              </w:tc>
              <w:tc>
                <w:tcPr>
                  <w:tcW w:w="31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rPr>
                    <w:t>《水质 五日生化需氧量（BOD5）的测定 稀释与接种法》（HJ 505-2009）</w:t>
                  </w:r>
                </w:p>
              </w:tc>
              <w:tc>
                <w:tcPr>
                  <w:tcW w:w="27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SPX-250B-Z</w:t>
                  </w:r>
                  <w:r>
                    <w:rPr>
                      <w:rFonts w:hint="default" w:ascii="Times New Roman" w:hAnsi="Times New Roman" w:eastAsia="宋体" w:cs="Times New Roman"/>
                      <w:kern w:val="0"/>
                      <w:sz w:val="21"/>
                      <w:szCs w:val="21"/>
                      <w:lang w:val="en-US" w:eastAsia="zh-CN"/>
                    </w:rPr>
                    <w:t>生化培养箱/LKT-YQ-009</w:t>
                  </w:r>
                </w:p>
              </w:tc>
              <w:tc>
                <w:tcPr>
                  <w:tcW w:w="14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0.5</w:t>
                  </w:r>
                  <w:r>
                    <w:rPr>
                      <w:rFonts w:hint="default" w:ascii="Times New Roman" w:hAnsi="Times New Roman" w:eastAsia="宋体" w:cs="Times New Roman"/>
                      <w:kern w:val="0"/>
                      <w:sz w:val="21"/>
                      <w:szCs w:val="21"/>
                      <w:lang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pPr>
                    <w:spacing w:line="240" w:lineRule="auto"/>
                    <w:rPr>
                      <w:bCs/>
                      <w:sz w:val="21"/>
                      <w:szCs w:val="21"/>
                    </w:rPr>
                  </w:pPr>
                  <w:r>
                    <w:rPr>
                      <w:rFonts w:hAnsi="宋体"/>
                      <w:bCs/>
                      <w:sz w:val="21"/>
                      <w:szCs w:val="21"/>
                    </w:rPr>
                    <w:t>噪声</w:t>
                  </w:r>
                </w:p>
              </w:tc>
              <w:tc>
                <w:tcPr>
                  <w:tcW w:w="12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厂界环境噪声</w:t>
                  </w:r>
                </w:p>
              </w:tc>
              <w:tc>
                <w:tcPr>
                  <w:tcW w:w="31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《工厂企业厂界环境噪声</w:t>
                  </w:r>
                  <w:r>
                    <w:rPr>
                      <w:rFonts w:hint="eastAsia" w:ascii="Times New Roman" w:hAnsi="Times New Roman" w:eastAsia="宋体" w:cs="Times New Roman"/>
                      <w:kern w:val="0"/>
                      <w:sz w:val="21"/>
                      <w:szCs w:val="21"/>
                      <w:lang w:val="en-US" w:eastAsia="zh-CN"/>
                    </w:rPr>
                    <w:t>排放</w:t>
                  </w:r>
                  <w:r>
                    <w:rPr>
                      <w:rFonts w:hint="default" w:ascii="Times New Roman" w:hAnsi="Times New Roman" w:eastAsia="宋体" w:cs="Times New Roman"/>
                      <w:kern w:val="0"/>
                      <w:sz w:val="21"/>
                      <w:szCs w:val="21"/>
                      <w:lang w:val="en-US" w:eastAsia="zh-CN"/>
                    </w:rPr>
                    <w:t>标准》</w:t>
                  </w:r>
                  <w:r>
                    <w:rPr>
                      <w:rFonts w:hint="default" w:ascii="Times New Roman" w:hAnsi="Times New Roman" w:eastAsia="宋体" w:cs="Times New Roman"/>
                      <w:kern w:val="0"/>
                      <w:sz w:val="21"/>
                      <w:szCs w:val="21"/>
                    </w:rPr>
                    <w:t>（</w:t>
                  </w:r>
                  <w:r>
                    <w:rPr>
                      <w:rFonts w:hint="default" w:ascii="Times New Roman" w:hAnsi="Times New Roman" w:eastAsia="宋体" w:cs="Times New Roman"/>
                      <w:kern w:val="0"/>
                      <w:sz w:val="21"/>
                      <w:szCs w:val="21"/>
                      <w:lang w:val="en-US" w:eastAsia="zh-CN"/>
                    </w:rPr>
                    <w:t>GB12348-2008）</w:t>
                  </w:r>
                </w:p>
              </w:tc>
              <w:tc>
                <w:tcPr>
                  <w:tcW w:w="276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AWA5688多功能声级计/LKT-YQ-061</w:t>
                  </w:r>
                </w:p>
              </w:tc>
              <w:tc>
                <w:tcPr>
                  <w:tcW w:w="1447"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bCs/>
                      <w:sz w:val="21"/>
                      <w:szCs w:val="21"/>
                    </w:rPr>
                  </w:pPr>
                  <w:r>
                    <w:rPr>
                      <w:bCs/>
                      <w:sz w:val="21"/>
                      <w:szCs w:val="21"/>
                    </w:rPr>
                    <w:t>/</w:t>
                  </w:r>
                </w:p>
              </w:tc>
            </w:tr>
          </w:tbl>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ind w:left="0" w:leftChars="0" w:firstLine="0" w:firstLineChars="0"/>
              <w:rPr>
                <w:color w:val="000000" w:themeColor="text1"/>
              </w:rPr>
            </w:pPr>
          </w:p>
          <w:p>
            <w:pPr>
              <w:pStyle w:val="42"/>
              <w:rPr>
                <w:color w:val="000000" w:themeColor="text1"/>
              </w:rPr>
            </w:pPr>
          </w:p>
          <w:p>
            <w:pPr>
              <w:rPr>
                <w:color w:val="FF0000"/>
              </w:rPr>
            </w:pPr>
          </w:p>
        </w:tc>
      </w:tr>
    </w:tbl>
    <w:p>
      <w:pPr>
        <w:spacing w:line="240" w:lineRule="auto"/>
        <w:jc w:val="center"/>
        <w:outlineLvl w:val="0"/>
        <w:rPr>
          <w:rFonts w:hAnsi="宋体"/>
          <w:b/>
          <w:sz w:val="28"/>
          <w:szCs w:val="28"/>
        </w:rPr>
      </w:pPr>
      <w:bookmarkStart w:id="8" w:name="_Toc29450"/>
    </w:p>
    <w:p>
      <w:pPr>
        <w:spacing w:line="240" w:lineRule="auto"/>
        <w:jc w:val="center"/>
        <w:outlineLvl w:val="0"/>
        <w:rPr>
          <w:rFonts w:hAnsi="宋体"/>
          <w:b/>
          <w:sz w:val="28"/>
          <w:szCs w:val="28"/>
        </w:rPr>
      </w:pPr>
      <w:r>
        <w:rPr>
          <w:rFonts w:hAnsi="宋体"/>
          <w:b/>
          <w:sz w:val="28"/>
          <w:szCs w:val="28"/>
        </w:rPr>
        <w:t>表六   验收监测内容</w:t>
      </w:r>
      <w:bookmarkEnd w:id="8"/>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9526" w:type="dxa"/>
          </w:tcPr>
          <w:p>
            <w:pPr>
              <w:keepNext w:val="0"/>
              <w:keepLines w:val="0"/>
              <w:pageBreakBefore w:val="0"/>
              <w:widowControl w:val="0"/>
              <w:kinsoku/>
              <w:wordWrap/>
              <w:overflowPunct/>
              <w:topLinePunct w:val="0"/>
              <w:autoSpaceDE/>
              <w:autoSpaceDN/>
              <w:bidi w:val="0"/>
              <w:adjustRightInd/>
              <w:snapToGrid/>
              <w:spacing w:line="240" w:lineRule="auto"/>
              <w:ind w:right="482" w:firstLine="482" w:firstLineChars="200"/>
              <w:jc w:val="center"/>
              <w:textAlignment w:val="auto"/>
              <w:rPr>
                <w:rFonts w:hAnsi="宋体"/>
                <w:b/>
                <w:kern w:val="0"/>
              </w:rPr>
            </w:pPr>
            <w:r>
              <w:rPr>
                <w:rFonts w:hAnsi="宋体"/>
                <w:b/>
                <w:kern w:val="0"/>
              </w:rPr>
              <w:t>表6-1  监测点位、监测因子、监测频次一览表</w:t>
            </w:r>
          </w:p>
          <w:tbl>
            <w:tblPr>
              <w:tblStyle w:val="43"/>
              <w:tblW w:w="93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43"/>
              <w:gridCol w:w="2687"/>
              <w:gridCol w:w="2325"/>
              <w:gridCol w:w="334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943" w:type="dxa"/>
                  <w:tcBorders>
                    <w:top w:val="single" w:color="auto" w:sz="4" w:space="0"/>
                  </w:tcBorders>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b/>
                      <w:bCs/>
                      <w:color w:val="000000" w:themeColor="text1"/>
                      <w:kern w:val="2"/>
                      <w:sz w:val="21"/>
                      <w:szCs w:val="21"/>
                    </w:rPr>
                    <w:t>类别</w:t>
                  </w:r>
                </w:p>
              </w:tc>
              <w:tc>
                <w:tcPr>
                  <w:tcW w:w="2687" w:type="dxa"/>
                  <w:tcBorders>
                    <w:top w:val="single" w:color="auto" w:sz="4" w:space="0"/>
                  </w:tcBorders>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b/>
                      <w:bCs/>
                      <w:color w:val="000000" w:themeColor="text1"/>
                      <w:kern w:val="2"/>
                      <w:sz w:val="21"/>
                      <w:szCs w:val="21"/>
                    </w:rPr>
                    <w:t>采样点位</w:t>
                  </w:r>
                </w:p>
              </w:tc>
              <w:tc>
                <w:tcPr>
                  <w:tcW w:w="2325" w:type="dxa"/>
                  <w:tcBorders>
                    <w:top w:val="single" w:color="auto" w:sz="4" w:space="0"/>
                  </w:tcBorders>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b/>
                      <w:bCs/>
                      <w:color w:val="000000" w:themeColor="text1"/>
                      <w:kern w:val="2"/>
                      <w:sz w:val="21"/>
                      <w:szCs w:val="21"/>
                    </w:rPr>
                    <w:t>检测项目</w:t>
                  </w:r>
                </w:p>
              </w:tc>
              <w:tc>
                <w:tcPr>
                  <w:tcW w:w="3345" w:type="dxa"/>
                  <w:tcBorders>
                    <w:top w:val="single" w:color="auto" w:sz="4" w:space="0"/>
                  </w:tcBorders>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b/>
                      <w:bCs/>
                      <w:color w:val="000000" w:themeColor="text1"/>
                      <w:kern w:val="2"/>
                      <w:sz w:val="21"/>
                      <w:szCs w:val="21"/>
                    </w:rPr>
                    <w:t>检测频次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3" w:type="dxa"/>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color w:val="000000" w:themeColor="text1"/>
                      <w:kern w:val="2"/>
                      <w:sz w:val="21"/>
                      <w:szCs w:val="21"/>
                    </w:rPr>
                    <w:t>废水</w:t>
                  </w:r>
                </w:p>
              </w:tc>
              <w:tc>
                <w:tcPr>
                  <w:tcW w:w="2687" w:type="dxa"/>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宋体" w:eastAsia="宋体" w:cs="Times New Roman"/>
                      <w:color w:val="000000" w:themeColor="text1"/>
                      <w:kern w:val="2"/>
                      <w:sz w:val="21"/>
                      <w:szCs w:val="21"/>
                    </w:rPr>
                    <w:t>生活污水出口</w:t>
                  </w:r>
                </w:p>
              </w:tc>
              <w:tc>
                <w:tcPr>
                  <w:tcW w:w="2325" w:type="dxa"/>
                  <w:vAlign w:val="center"/>
                </w:tcPr>
                <w:p>
                  <w:pPr>
                    <w:pStyle w:val="242"/>
                    <w:spacing w:before="0" w:after="0"/>
                    <w:jc w:val="center"/>
                    <w:rPr>
                      <w:rFonts w:hint="eastAsia" w:ascii="Times New Roman" w:hAnsi="Times New Roman" w:eastAsia="宋体" w:cs="Times New Roman"/>
                      <w:color w:val="000000" w:themeColor="text1"/>
                      <w:sz w:val="21"/>
                      <w:szCs w:val="21"/>
                      <w:lang w:val="en-US" w:eastAsia="zh-CN"/>
                    </w:rPr>
                  </w:pPr>
                  <w:r>
                    <w:rPr>
                      <w:rFonts w:ascii="Times New Roman" w:hAnsi="Times New Roman" w:eastAsia="宋体" w:cs="Times New Roman"/>
                      <w:color w:val="000000" w:themeColor="text1"/>
                      <w:kern w:val="2"/>
                      <w:sz w:val="21"/>
                      <w:szCs w:val="21"/>
                    </w:rPr>
                    <w:t>pH</w:t>
                  </w:r>
                  <w:r>
                    <w:rPr>
                      <w:rFonts w:ascii="Times New Roman" w:hAnsi="宋体" w:eastAsia="宋体" w:cs="Times New Roman"/>
                      <w:color w:val="000000" w:themeColor="text1"/>
                      <w:kern w:val="2"/>
                      <w:sz w:val="21"/>
                      <w:szCs w:val="21"/>
                    </w:rPr>
                    <w:t>值</w:t>
                  </w:r>
                  <w:r>
                    <w:rPr>
                      <w:rFonts w:hint="eastAsia" w:ascii="Times New Roman" w:hAnsi="Times New Roman" w:eastAsia="宋体" w:cs="Times New Roman"/>
                      <w:color w:val="000000" w:themeColor="text1"/>
                      <w:sz w:val="21"/>
                      <w:szCs w:val="21"/>
                      <w:lang w:val="en-US" w:eastAsia="zh-CN"/>
                    </w:rPr>
                    <w:t>、</w:t>
                  </w:r>
                  <w:r>
                    <w:rPr>
                      <w:rFonts w:ascii="Times New Roman" w:hAnsi="Times New Roman" w:eastAsia="宋体" w:cs="Times New Roman"/>
                      <w:color w:val="000000" w:themeColor="text1"/>
                      <w:sz w:val="21"/>
                      <w:szCs w:val="21"/>
                    </w:rPr>
                    <w:t>COD</w:t>
                  </w:r>
                  <w:r>
                    <w:rPr>
                      <w:rFonts w:ascii="Times New Roman" w:hAnsi="Times New Roman" w:eastAsia="宋体" w:cs="Times New Roman"/>
                      <w:color w:val="000000" w:themeColor="text1"/>
                      <w:sz w:val="21"/>
                      <w:szCs w:val="21"/>
                      <w:vertAlign w:val="subscript"/>
                    </w:rPr>
                    <w:t>c</w:t>
                  </w:r>
                  <w:r>
                    <w:rPr>
                      <w:rFonts w:ascii="Times New Roman" w:hAnsi="Times New Roman" w:eastAsia="宋体" w:cs="Times New Roman"/>
                      <w:color w:val="000000" w:themeColor="text1"/>
                      <w:sz w:val="21"/>
                      <w:szCs w:val="21"/>
                      <w:vertAlign w:val="baseline"/>
                    </w:rPr>
                    <w:t>r</w:t>
                  </w:r>
                  <w:r>
                    <w:rPr>
                      <w:rFonts w:hint="eastAsia" w:ascii="Times New Roman" w:hAnsi="Times New Roman" w:eastAsia="宋体" w:cs="Times New Roman"/>
                      <w:color w:val="000000" w:themeColor="text1"/>
                      <w:sz w:val="21"/>
                      <w:szCs w:val="21"/>
                      <w:vertAlign w:val="baseline"/>
                      <w:lang w:val="en-US" w:eastAsia="zh-CN"/>
                    </w:rPr>
                    <w:t>、</w:t>
                  </w:r>
                  <w:r>
                    <w:rPr>
                      <w:rFonts w:ascii="Times New Roman" w:hAnsi="宋体" w:eastAsia="宋体" w:cs="Times New Roman"/>
                      <w:color w:val="000000" w:themeColor="text1"/>
                      <w:sz w:val="21"/>
                      <w:szCs w:val="21"/>
                    </w:rPr>
                    <w:t>氨氮</w:t>
                  </w:r>
                  <w:r>
                    <w:rPr>
                      <w:rFonts w:hint="eastAsia" w:ascii="Times New Roman" w:hAnsi="宋体" w:eastAsia="宋体" w:cs="Times New Roman"/>
                      <w:color w:val="000000" w:themeColor="text1"/>
                      <w:sz w:val="21"/>
                      <w:szCs w:val="21"/>
                      <w:lang w:val="en-US" w:eastAsia="zh-CN"/>
                    </w:rPr>
                    <w:t>、</w:t>
                  </w:r>
                </w:p>
                <w:p>
                  <w:pPr>
                    <w:pStyle w:val="242"/>
                    <w:spacing w:before="0" w:after="0"/>
                    <w:jc w:val="both"/>
                    <w:rPr>
                      <w:rFonts w:hint="default" w:ascii="Times New Roman" w:hAnsi="宋体" w:eastAsia="宋体" w:cs="Times New Roman"/>
                      <w:color w:val="000000" w:themeColor="text1"/>
                      <w:kern w:val="2"/>
                      <w:sz w:val="21"/>
                      <w:szCs w:val="21"/>
                      <w:lang w:val="en-US" w:eastAsia="zh-CN"/>
                    </w:rPr>
                  </w:pPr>
                  <w:r>
                    <w:rPr>
                      <w:rFonts w:ascii="Times New Roman" w:hAnsi="宋体" w:eastAsia="宋体" w:cs="Times New Roman"/>
                      <w:color w:val="000000" w:themeColor="text1"/>
                      <w:kern w:val="2"/>
                      <w:sz w:val="21"/>
                      <w:szCs w:val="21"/>
                    </w:rPr>
                    <w:t>悬浮物</w:t>
                  </w:r>
                  <w:r>
                    <w:rPr>
                      <w:rFonts w:hint="eastAsia" w:ascii="Times New Roman" w:hAnsi="宋体" w:eastAsia="宋体" w:cs="Times New Roman"/>
                      <w:color w:val="000000" w:themeColor="text1"/>
                      <w:kern w:val="2"/>
                      <w:sz w:val="21"/>
                      <w:szCs w:val="21"/>
                      <w:lang w:val="en-US" w:eastAsia="zh-CN"/>
                    </w:rPr>
                    <w:t>、BOD</w:t>
                  </w:r>
                  <w:r>
                    <w:rPr>
                      <w:rFonts w:hint="eastAsia" w:ascii="Times New Roman" w:hAnsi="宋体" w:eastAsia="宋体" w:cs="Times New Roman"/>
                      <w:color w:val="000000" w:themeColor="text1"/>
                      <w:kern w:val="2"/>
                      <w:sz w:val="21"/>
                      <w:szCs w:val="21"/>
                      <w:vertAlign w:val="subscript"/>
                      <w:lang w:val="en-US" w:eastAsia="zh-CN"/>
                    </w:rPr>
                    <w:t>5</w:t>
                  </w:r>
                  <w:r>
                    <w:rPr>
                      <w:rFonts w:hint="eastAsia" w:ascii="Times New Roman" w:hAnsi="宋体" w:eastAsia="宋体" w:cs="Times New Roman"/>
                      <w:color w:val="000000" w:themeColor="text1"/>
                      <w:kern w:val="2"/>
                      <w:sz w:val="21"/>
                      <w:szCs w:val="21"/>
                      <w:lang w:val="en-US" w:eastAsia="zh-CN"/>
                    </w:rPr>
                    <w:t>、TP、TN</w:t>
                  </w:r>
                </w:p>
              </w:tc>
              <w:tc>
                <w:tcPr>
                  <w:tcW w:w="3345" w:type="dxa"/>
                  <w:vAlign w:val="center"/>
                </w:tcPr>
                <w:p>
                  <w:pPr>
                    <w:pStyle w:val="242"/>
                    <w:jc w:val="center"/>
                    <w:rPr>
                      <w:rFonts w:ascii="Times New Roman" w:hAnsi="Times New Roman" w:eastAsia="宋体" w:cs="Times New Roman"/>
                      <w:b/>
                      <w:bCs/>
                      <w:color w:val="000000" w:themeColor="text1"/>
                      <w:kern w:val="2"/>
                      <w:sz w:val="21"/>
                      <w:szCs w:val="21"/>
                    </w:rPr>
                  </w:pPr>
                  <w:r>
                    <w:rPr>
                      <w:rFonts w:ascii="Times New Roman" w:hAnsi="Times New Roman" w:eastAsia="宋体" w:cs="Times New Roman"/>
                      <w:color w:val="000000" w:themeColor="text1"/>
                      <w:kern w:val="2"/>
                      <w:sz w:val="21"/>
                      <w:szCs w:val="21"/>
                    </w:rPr>
                    <w:t>4</w:t>
                  </w:r>
                  <w:r>
                    <w:rPr>
                      <w:rFonts w:ascii="Times New Roman" w:hAnsi="宋体" w:eastAsia="宋体" w:cs="Times New Roman"/>
                      <w:color w:val="000000" w:themeColor="text1"/>
                      <w:kern w:val="2"/>
                      <w:sz w:val="21"/>
                      <w:szCs w:val="21"/>
                    </w:rPr>
                    <w:t>次</w:t>
                  </w:r>
                  <w:r>
                    <w:rPr>
                      <w:rFonts w:ascii="Times New Roman" w:hAnsi="Times New Roman" w:eastAsia="宋体" w:cs="Times New Roman"/>
                      <w:color w:val="000000" w:themeColor="text1"/>
                      <w:kern w:val="2"/>
                      <w:sz w:val="21"/>
                      <w:szCs w:val="21"/>
                    </w:rPr>
                    <w:t>/</w:t>
                  </w:r>
                  <w:r>
                    <w:rPr>
                      <w:rFonts w:ascii="Times New Roman" w:hAnsi="宋体" w:eastAsia="宋体" w:cs="Times New Roman"/>
                      <w:color w:val="000000" w:themeColor="text1"/>
                      <w:kern w:val="2"/>
                      <w:sz w:val="21"/>
                      <w:szCs w:val="21"/>
                    </w:rPr>
                    <w:t>天，连续</w:t>
                  </w:r>
                  <w:r>
                    <w:rPr>
                      <w:rFonts w:ascii="Times New Roman" w:hAnsi="Times New Roman" w:eastAsia="宋体" w:cs="Times New Roman"/>
                      <w:color w:val="000000" w:themeColor="text1"/>
                      <w:kern w:val="2"/>
                      <w:sz w:val="21"/>
                      <w:szCs w:val="21"/>
                    </w:rPr>
                    <w:t>2</w:t>
                  </w:r>
                  <w:r>
                    <w:rPr>
                      <w:rFonts w:ascii="Times New Roman" w:hAnsi="宋体" w:eastAsia="宋体" w:cs="Times New Roman"/>
                      <w:color w:val="000000" w:themeColor="text1"/>
                      <w:kern w:val="2"/>
                      <w:sz w:val="21"/>
                      <w:szCs w:val="21"/>
                    </w:rPr>
                    <w:t>天</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3" w:type="dxa"/>
                  <w:vMerge w:val="restart"/>
                  <w:vAlign w:val="center"/>
                </w:tcPr>
                <w:p>
                  <w:pPr>
                    <w:pStyle w:val="242"/>
                    <w:jc w:val="center"/>
                    <w:rPr>
                      <w:rFonts w:ascii="Times New Roman" w:hAnsi="Times New Roman" w:eastAsia="宋体" w:cs="Times New Roman"/>
                      <w:color w:val="000000" w:themeColor="text1"/>
                      <w:kern w:val="2"/>
                      <w:sz w:val="21"/>
                      <w:szCs w:val="21"/>
                    </w:rPr>
                  </w:pPr>
                  <w:r>
                    <w:rPr>
                      <w:rFonts w:ascii="Times New Roman" w:hAnsi="宋体" w:eastAsia="宋体" w:cs="Times New Roman"/>
                      <w:color w:val="000000" w:themeColor="text1"/>
                      <w:kern w:val="2"/>
                      <w:sz w:val="21"/>
                      <w:szCs w:val="21"/>
                    </w:rPr>
                    <w:t>噪声</w:t>
                  </w:r>
                </w:p>
              </w:tc>
              <w:tc>
                <w:tcPr>
                  <w:tcW w:w="2687" w:type="dxa"/>
                  <w:vAlign w:val="center"/>
                </w:tcPr>
                <w:p>
                  <w:pPr>
                    <w:pStyle w:val="242"/>
                    <w:jc w:val="center"/>
                    <w:rPr>
                      <w:rFonts w:ascii="Times New Roman" w:hAnsi="Times New Roman" w:eastAsia="宋体" w:cs="Times New Roman"/>
                      <w:color w:val="000000" w:themeColor="text1"/>
                      <w:kern w:val="2"/>
                      <w:sz w:val="21"/>
                      <w:szCs w:val="21"/>
                    </w:rPr>
                  </w:pPr>
                  <w:r>
                    <w:rPr>
                      <w:rFonts w:ascii="Times New Roman" w:hAnsi="Times New Roman" w:eastAsia="宋体" w:cs="Times New Roman"/>
                      <w:color w:val="000000" w:themeColor="text1"/>
                      <w:kern w:val="2"/>
                      <w:sz w:val="21"/>
                      <w:szCs w:val="21"/>
                    </w:rPr>
                    <w:t>N1</w:t>
                  </w:r>
                  <w:r>
                    <w:rPr>
                      <w:rFonts w:ascii="Times New Roman" w:hAnsi="宋体" w:eastAsia="宋体" w:cs="Times New Roman"/>
                      <w:color w:val="000000" w:themeColor="text1"/>
                      <w:kern w:val="2"/>
                      <w:sz w:val="21"/>
                      <w:szCs w:val="21"/>
                    </w:rPr>
                    <w:t>界外南侧</w:t>
                  </w:r>
                </w:p>
              </w:tc>
              <w:tc>
                <w:tcPr>
                  <w:tcW w:w="2325" w:type="dxa"/>
                  <w:vMerge w:val="restart"/>
                  <w:vAlign w:val="center"/>
                </w:tcPr>
                <w:p>
                  <w:pPr>
                    <w:pStyle w:val="242"/>
                    <w:jc w:val="center"/>
                    <w:rPr>
                      <w:rFonts w:ascii="Times New Roman" w:hAnsi="Times New Roman" w:eastAsia="宋体" w:cs="Times New Roman"/>
                      <w:color w:val="000000" w:themeColor="text1"/>
                      <w:kern w:val="2"/>
                      <w:sz w:val="21"/>
                      <w:szCs w:val="21"/>
                    </w:rPr>
                  </w:pPr>
                  <w:r>
                    <w:rPr>
                      <w:rFonts w:hint="eastAsia" w:ascii="Times New Roman" w:hAnsi="宋体" w:eastAsia="宋体" w:cs="Times New Roman"/>
                      <w:color w:val="000000" w:themeColor="text1"/>
                      <w:kern w:val="2"/>
                      <w:sz w:val="21"/>
                      <w:szCs w:val="21"/>
                      <w:lang w:val="en-US" w:eastAsia="zh-CN"/>
                    </w:rPr>
                    <w:t>厂界环境</w:t>
                  </w:r>
                  <w:r>
                    <w:rPr>
                      <w:rFonts w:ascii="Times New Roman" w:hAnsi="宋体" w:eastAsia="宋体" w:cs="Times New Roman"/>
                      <w:color w:val="000000" w:themeColor="text1"/>
                      <w:kern w:val="2"/>
                      <w:sz w:val="21"/>
                      <w:szCs w:val="21"/>
                    </w:rPr>
                    <w:t>噪声</w:t>
                  </w:r>
                </w:p>
              </w:tc>
              <w:tc>
                <w:tcPr>
                  <w:tcW w:w="3345" w:type="dxa"/>
                  <w:vMerge w:val="restart"/>
                  <w:vAlign w:val="center"/>
                </w:tcPr>
                <w:p>
                  <w:pPr>
                    <w:pStyle w:val="242"/>
                    <w:overflowPunct/>
                    <w:spacing w:before="0" w:after="0" w:line="240" w:lineRule="auto"/>
                    <w:jc w:val="center"/>
                    <w:textAlignment w:val="auto"/>
                    <w:rPr>
                      <w:rFonts w:ascii="Times New Roman" w:hAnsi="Times New Roman" w:eastAsia="宋体" w:cs="Times New Roman"/>
                      <w:color w:val="000000" w:themeColor="text1"/>
                      <w:kern w:val="2"/>
                      <w:sz w:val="21"/>
                      <w:szCs w:val="21"/>
                    </w:rPr>
                  </w:pPr>
                  <w:r>
                    <w:rPr>
                      <w:rFonts w:ascii="Times New Roman" w:hAnsi="Times New Roman" w:eastAsia="宋体" w:cs="Times New Roman"/>
                      <w:color w:val="000000" w:themeColor="text1"/>
                      <w:kern w:val="2"/>
                      <w:sz w:val="21"/>
                      <w:szCs w:val="21"/>
                    </w:rPr>
                    <w:t>2</w:t>
                  </w:r>
                  <w:r>
                    <w:rPr>
                      <w:rFonts w:ascii="Times New Roman" w:hAnsi="宋体" w:eastAsia="宋体" w:cs="Times New Roman"/>
                      <w:color w:val="000000" w:themeColor="text1"/>
                      <w:kern w:val="2"/>
                      <w:sz w:val="21"/>
                      <w:szCs w:val="21"/>
                    </w:rPr>
                    <w:t>次</w:t>
                  </w:r>
                  <w:r>
                    <w:rPr>
                      <w:rFonts w:ascii="Times New Roman" w:hAnsi="Times New Roman" w:eastAsia="宋体" w:cs="Times New Roman"/>
                      <w:color w:val="000000" w:themeColor="text1"/>
                      <w:kern w:val="2"/>
                      <w:sz w:val="21"/>
                      <w:szCs w:val="21"/>
                    </w:rPr>
                    <w:t>/</w:t>
                  </w:r>
                  <w:r>
                    <w:rPr>
                      <w:rFonts w:ascii="Times New Roman" w:hAnsi="宋体" w:eastAsia="宋体" w:cs="Times New Roman"/>
                      <w:color w:val="000000" w:themeColor="text1"/>
                      <w:kern w:val="2"/>
                      <w:sz w:val="21"/>
                      <w:szCs w:val="21"/>
                    </w:rPr>
                    <w:t>天，昼、夜各一次，连续</w:t>
                  </w:r>
                  <w:r>
                    <w:rPr>
                      <w:rFonts w:ascii="Times New Roman" w:hAnsi="Times New Roman" w:eastAsia="宋体" w:cs="Times New Roman"/>
                      <w:color w:val="000000" w:themeColor="text1"/>
                      <w:kern w:val="2"/>
                      <w:sz w:val="21"/>
                      <w:szCs w:val="21"/>
                    </w:rPr>
                    <w:t>2</w:t>
                  </w:r>
                  <w:r>
                    <w:rPr>
                      <w:rFonts w:ascii="Times New Roman" w:hAnsi="宋体" w:eastAsia="宋体" w:cs="Times New Roman"/>
                      <w:color w:val="000000" w:themeColor="text1"/>
                      <w:kern w:val="2"/>
                      <w:sz w:val="21"/>
                      <w:szCs w:val="21"/>
                    </w:rPr>
                    <w:t>天</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3"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2687" w:type="dxa"/>
                  <w:vAlign w:val="center"/>
                </w:tcPr>
                <w:p>
                  <w:pPr>
                    <w:pStyle w:val="242"/>
                    <w:jc w:val="center"/>
                    <w:rPr>
                      <w:rFonts w:ascii="Times New Roman" w:hAnsi="Times New Roman" w:eastAsia="宋体" w:cs="Times New Roman"/>
                      <w:color w:val="000000" w:themeColor="text1"/>
                      <w:kern w:val="2"/>
                      <w:sz w:val="21"/>
                      <w:szCs w:val="21"/>
                    </w:rPr>
                  </w:pPr>
                  <w:r>
                    <w:rPr>
                      <w:rFonts w:ascii="Times New Roman" w:hAnsi="Times New Roman" w:eastAsia="宋体" w:cs="Times New Roman"/>
                      <w:color w:val="000000" w:themeColor="text1"/>
                      <w:kern w:val="2"/>
                      <w:sz w:val="21"/>
                      <w:szCs w:val="21"/>
                    </w:rPr>
                    <w:t>N2</w:t>
                  </w:r>
                  <w:r>
                    <w:rPr>
                      <w:rFonts w:ascii="Times New Roman" w:hAnsi="宋体" w:eastAsia="宋体" w:cs="Times New Roman"/>
                      <w:color w:val="000000" w:themeColor="text1"/>
                      <w:kern w:val="2"/>
                      <w:sz w:val="21"/>
                      <w:szCs w:val="21"/>
                    </w:rPr>
                    <w:t>界外西侧</w:t>
                  </w:r>
                </w:p>
              </w:tc>
              <w:tc>
                <w:tcPr>
                  <w:tcW w:w="2325"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3345" w:type="dxa"/>
                  <w:vMerge w:val="continue"/>
                  <w:vAlign w:val="center"/>
                </w:tcPr>
                <w:p>
                  <w:pPr>
                    <w:pStyle w:val="242"/>
                    <w:jc w:val="center"/>
                    <w:rPr>
                      <w:rFonts w:ascii="Times New Roman" w:hAnsi="Times New Roman" w:eastAsia="宋体" w:cs="Times New Roman"/>
                      <w:color w:val="000000" w:themeColor="text1"/>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3"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2687" w:type="dxa"/>
                  <w:vAlign w:val="center"/>
                </w:tcPr>
                <w:p>
                  <w:pPr>
                    <w:pStyle w:val="242"/>
                    <w:jc w:val="center"/>
                    <w:rPr>
                      <w:rFonts w:ascii="Times New Roman" w:hAnsi="Times New Roman" w:eastAsia="宋体" w:cs="Times New Roman"/>
                      <w:color w:val="000000" w:themeColor="text1"/>
                      <w:kern w:val="2"/>
                      <w:sz w:val="21"/>
                      <w:szCs w:val="21"/>
                    </w:rPr>
                  </w:pPr>
                  <w:r>
                    <w:rPr>
                      <w:rFonts w:ascii="Times New Roman" w:hAnsi="Times New Roman" w:eastAsia="宋体" w:cs="Times New Roman"/>
                      <w:color w:val="000000" w:themeColor="text1"/>
                      <w:kern w:val="2"/>
                      <w:sz w:val="21"/>
                      <w:szCs w:val="21"/>
                    </w:rPr>
                    <w:t>N3</w:t>
                  </w:r>
                  <w:r>
                    <w:rPr>
                      <w:rFonts w:ascii="Times New Roman" w:hAnsi="宋体" w:eastAsia="宋体" w:cs="Times New Roman"/>
                      <w:color w:val="000000" w:themeColor="text1"/>
                      <w:kern w:val="2"/>
                      <w:sz w:val="21"/>
                      <w:szCs w:val="21"/>
                    </w:rPr>
                    <w:t>界外北侧</w:t>
                  </w:r>
                </w:p>
              </w:tc>
              <w:tc>
                <w:tcPr>
                  <w:tcW w:w="2325"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3345" w:type="dxa"/>
                  <w:vMerge w:val="continue"/>
                  <w:vAlign w:val="center"/>
                </w:tcPr>
                <w:p>
                  <w:pPr>
                    <w:pStyle w:val="242"/>
                    <w:jc w:val="center"/>
                    <w:rPr>
                      <w:rFonts w:ascii="Times New Roman" w:hAnsi="Times New Roman" w:eastAsia="宋体" w:cs="Times New Roman"/>
                      <w:color w:val="000000" w:themeColor="text1"/>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3"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2687" w:type="dxa"/>
                  <w:vAlign w:val="center"/>
                </w:tcPr>
                <w:p>
                  <w:pPr>
                    <w:pStyle w:val="242"/>
                    <w:jc w:val="center"/>
                    <w:rPr>
                      <w:rFonts w:ascii="Times New Roman" w:hAnsi="Times New Roman" w:eastAsia="宋体" w:cs="Times New Roman"/>
                      <w:color w:val="000000" w:themeColor="text1"/>
                      <w:kern w:val="2"/>
                      <w:sz w:val="21"/>
                      <w:szCs w:val="21"/>
                    </w:rPr>
                  </w:pPr>
                  <w:r>
                    <w:rPr>
                      <w:rFonts w:ascii="Times New Roman" w:hAnsi="Times New Roman" w:eastAsia="宋体" w:cs="Times New Roman"/>
                      <w:color w:val="000000" w:themeColor="text1"/>
                      <w:kern w:val="2"/>
                      <w:sz w:val="21"/>
                      <w:szCs w:val="21"/>
                    </w:rPr>
                    <w:t>N4</w:t>
                  </w:r>
                  <w:r>
                    <w:rPr>
                      <w:rFonts w:ascii="Times New Roman" w:hAnsi="宋体" w:eastAsia="宋体" w:cs="Times New Roman"/>
                      <w:color w:val="000000" w:themeColor="text1"/>
                      <w:kern w:val="2"/>
                      <w:sz w:val="21"/>
                      <w:szCs w:val="21"/>
                    </w:rPr>
                    <w:t>界外东侧</w:t>
                  </w:r>
                </w:p>
              </w:tc>
              <w:tc>
                <w:tcPr>
                  <w:tcW w:w="2325" w:type="dxa"/>
                  <w:vMerge w:val="continue"/>
                  <w:vAlign w:val="center"/>
                </w:tcPr>
                <w:p>
                  <w:pPr>
                    <w:pStyle w:val="242"/>
                    <w:jc w:val="center"/>
                    <w:rPr>
                      <w:rFonts w:ascii="Times New Roman" w:hAnsi="Times New Roman" w:eastAsia="宋体" w:cs="Times New Roman"/>
                      <w:color w:val="000000" w:themeColor="text1"/>
                      <w:kern w:val="2"/>
                      <w:sz w:val="21"/>
                      <w:szCs w:val="21"/>
                    </w:rPr>
                  </w:pPr>
                </w:p>
              </w:tc>
              <w:tc>
                <w:tcPr>
                  <w:tcW w:w="3345" w:type="dxa"/>
                  <w:vMerge w:val="continue"/>
                  <w:vAlign w:val="center"/>
                </w:tcPr>
                <w:p>
                  <w:pPr>
                    <w:pStyle w:val="242"/>
                    <w:jc w:val="center"/>
                    <w:rPr>
                      <w:rFonts w:ascii="Times New Roman" w:hAnsi="Times New Roman" w:eastAsia="宋体" w:cs="Times New Roman"/>
                      <w:color w:val="000000" w:themeColor="text1"/>
                      <w:kern w:val="2"/>
                      <w:sz w:val="21"/>
                      <w:szCs w:val="21"/>
                    </w:rPr>
                  </w:pPr>
                </w:p>
              </w:tc>
            </w:tr>
          </w:tbl>
          <w:p>
            <w:pPr>
              <w:rPr>
                <w:color w:val="000000" w:themeColor="text1"/>
                <w:szCs w:val="21"/>
              </w:rPr>
            </w:pPr>
          </w:p>
          <w:p>
            <w:pPr>
              <w:pStyle w:val="42"/>
              <w:ind w:left="0" w:leftChars="0" w:firstLine="0" w:firstLineChars="0"/>
              <w:rPr>
                <w:color w:val="000000" w:themeColor="text1"/>
                <w:szCs w:val="21"/>
              </w:rPr>
            </w:pPr>
          </w:p>
          <w:p>
            <w:pPr>
              <w:keepNext w:val="0"/>
              <w:keepLines w:val="0"/>
              <w:pageBreakBefore w:val="0"/>
              <w:widowControl w:val="0"/>
              <w:kinsoku/>
              <w:wordWrap/>
              <w:overflowPunct/>
              <w:topLinePunct w:val="0"/>
              <w:autoSpaceDE/>
              <w:autoSpaceDN/>
              <w:bidi w:val="0"/>
              <w:adjustRightInd/>
              <w:snapToGrid/>
              <w:spacing w:line="240" w:lineRule="auto"/>
              <w:ind w:right="482" w:firstLine="480" w:firstLineChars="200"/>
              <w:jc w:val="center"/>
              <w:textAlignment w:val="auto"/>
              <w:rPr>
                <w:color w:val="000000" w:themeColor="text1"/>
                <w:szCs w:val="21"/>
              </w:rPr>
            </w:pPr>
          </w:p>
          <w:p>
            <w:pPr>
              <w:pStyle w:val="42"/>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pStyle w:val="42"/>
              <w:rPr>
                <w:color w:val="000000" w:themeColor="text1"/>
                <w:szCs w:val="21"/>
              </w:rPr>
            </w:pPr>
          </w:p>
          <w:p>
            <w:pPr>
              <w:rPr>
                <w:color w:val="000000" w:themeColor="text1"/>
                <w:szCs w:val="21"/>
              </w:rPr>
            </w:pPr>
          </w:p>
          <w:p>
            <w:pPr>
              <w:rPr>
                <w:color w:val="000000" w:themeColor="text1"/>
                <w:szCs w:val="21"/>
              </w:rPr>
            </w:pPr>
          </w:p>
          <w:p>
            <w:pPr>
              <w:rPr>
                <w:color w:val="000000" w:themeColor="text1"/>
                <w:szCs w:val="21"/>
              </w:rPr>
            </w:pPr>
          </w:p>
        </w:tc>
      </w:tr>
    </w:tbl>
    <w:p>
      <w:pPr>
        <w:spacing w:line="240" w:lineRule="auto"/>
        <w:jc w:val="center"/>
        <w:outlineLvl w:val="0"/>
        <w:rPr>
          <w:rFonts w:hAnsi="宋体"/>
          <w:b/>
          <w:sz w:val="28"/>
          <w:szCs w:val="28"/>
        </w:rPr>
      </w:pPr>
      <w:bookmarkStart w:id="9" w:name="_Toc26622"/>
      <w:r>
        <w:rPr>
          <w:rFonts w:hAnsi="宋体"/>
          <w:b/>
          <w:sz w:val="28"/>
          <w:szCs w:val="28"/>
        </w:rPr>
        <w:t>表七   验收监测结果</w:t>
      </w:r>
      <w:bookmarkEnd w:id="9"/>
    </w:p>
    <w:tbl>
      <w:tblPr>
        <w:tblStyle w:val="43"/>
        <w:tblW w:w="51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8738" w:type="dxa"/>
          </w:tcPr>
          <w:p>
            <w:pPr>
              <w:spacing w:before="65"/>
              <w:rPr>
                <w:b/>
                <w:color w:val="000000" w:themeColor="text1"/>
                <w:kern w:val="0"/>
                <w:szCs w:val="21"/>
              </w:rPr>
            </w:pPr>
            <w:r>
              <w:rPr>
                <w:rFonts w:hAnsi="宋体"/>
                <w:b/>
                <w:color w:val="000000" w:themeColor="text1"/>
                <w:kern w:val="0"/>
                <w:szCs w:val="21"/>
              </w:rPr>
              <w:t>验收监测期间生产工况记录：</w:t>
            </w:r>
          </w:p>
          <w:p>
            <w:pPr>
              <w:jc w:val="left"/>
              <w:textAlignment w:val="top"/>
              <w:rPr>
                <w:color w:val="000000" w:themeColor="text1"/>
                <w:kern w:val="0"/>
                <w:szCs w:val="21"/>
              </w:rPr>
            </w:pPr>
            <w:r>
              <w:rPr>
                <w:color w:val="000000" w:themeColor="text1"/>
                <w:shd w:val="clear" w:color="auto" w:fill="FFFFFF"/>
              </w:rPr>
              <w:t xml:space="preserve">    </w:t>
            </w:r>
            <w:r>
              <w:rPr>
                <w:rFonts w:hAnsi="宋体"/>
                <w:color w:val="000000" w:themeColor="text1"/>
                <w:shd w:val="clear" w:color="auto" w:fill="FFFFFF"/>
              </w:rPr>
              <w:t>本次验收检测期间（</w:t>
            </w:r>
            <w:r>
              <w:rPr>
                <w:color w:val="000000" w:themeColor="text1"/>
                <w:shd w:val="clear" w:color="auto" w:fill="FFFFFF"/>
              </w:rPr>
              <w:t>202</w:t>
            </w:r>
            <w:r>
              <w:rPr>
                <w:rFonts w:hint="eastAsia"/>
                <w:color w:val="000000" w:themeColor="text1"/>
                <w:shd w:val="clear" w:color="auto" w:fill="FFFFFF"/>
                <w:lang w:val="en-US" w:eastAsia="zh-CN"/>
              </w:rPr>
              <w:t>1</w:t>
            </w:r>
            <w:r>
              <w:rPr>
                <w:rFonts w:hAnsi="宋体"/>
                <w:color w:val="000000" w:themeColor="text1"/>
                <w:shd w:val="clear" w:color="auto" w:fill="FFFFFF"/>
              </w:rPr>
              <w:t>年</w:t>
            </w:r>
            <w:r>
              <w:rPr>
                <w:color w:val="000000" w:themeColor="text1"/>
                <w:shd w:val="clear" w:color="auto" w:fill="FFFFFF"/>
              </w:rPr>
              <w:t>10</w:t>
            </w:r>
            <w:r>
              <w:rPr>
                <w:rFonts w:hAnsi="宋体"/>
                <w:color w:val="000000" w:themeColor="text1"/>
                <w:shd w:val="clear" w:color="auto" w:fill="FFFFFF"/>
              </w:rPr>
              <w:t>月</w:t>
            </w:r>
            <w:r>
              <w:rPr>
                <w:rFonts w:hint="eastAsia" w:hAnsi="宋体"/>
                <w:color w:val="000000" w:themeColor="text1"/>
                <w:shd w:val="clear" w:color="auto" w:fill="FFFFFF"/>
                <w:lang w:val="en-US" w:eastAsia="zh-CN"/>
              </w:rPr>
              <w:t>20</w:t>
            </w:r>
            <w:r>
              <w:rPr>
                <w:rFonts w:hAnsi="宋体"/>
                <w:color w:val="000000" w:themeColor="text1"/>
                <w:shd w:val="clear" w:color="auto" w:fill="FFFFFF"/>
              </w:rPr>
              <w:t>日</w:t>
            </w:r>
            <w:r>
              <w:rPr>
                <w:color w:val="000000" w:themeColor="text1"/>
                <w:shd w:val="clear" w:color="auto" w:fill="FFFFFF"/>
              </w:rPr>
              <w:t>-202</w:t>
            </w:r>
            <w:r>
              <w:rPr>
                <w:rFonts w:hint="eastAsia"/>
                <w:color w:val="000000" w:themeColor="text1"/>
                <w:shd w:val="clear" w:color="auto" w:fill="FFFFFF"/>
                <w:lang w:val="en-US" w:eastAsia="zh-CN"/>
              </w:rPr>
              <w:t>1</w:t>
            </w:r>
            <w:r>
              <w:rPr>
                <w:rFonts w:hAnsi="宋体"/>
                <w:color w:val="000000" w:themeColor="text1"/>
                <w:shd w:val="clear" w:color="auto" w:fill="FFFFFF"/>
              </w:rPr>
              <w:t>年</w:t>
            </w:r>
            <w:r>
              <w:rPr>
                <w:color w:val="000000" w:themeColor="text1"/>
                <w:shd w:val="clear" w:color="auto" w:fill="FFFFFF"/>
              </w:rPr>
              <w:t>10</w:t>
            </w:r>
            <w:r>
              <w:rPr>
                <w:rFonts w:hAnsi="宋体"/>
                <w:color w:val="000000" w:themeColor="text1"/>
                <w:shd w:val="clear" w:color="auto" w:fill="FFFFFF"/>
              </w:rPr>
              <w:t>月</w:t>
            </w:r>
            <w:r>
              <w:rPr>
                <w:color w:val="000000" w:themeColor="text1"/>
                <w:shd w:val="clear" w:color="auto" w:fill="FFFFFF"/>
              </w:rPr>
              <w:t>2</w:t>
            </w:r>
            <w:r>
              <w:rPr>
                <w:rFonts w:hint="eastAsia"/>
                <w:color w:val="000000" w:themeColor="text1"/>
                <w:shd w:val="clear" w:color="auto" w:fill="FFFFFF"/>
                <w:lang w:val="en-US" w:eastAsia="zh-CN"/>
              </w:rPr>
              <w:t>1</w:t>
            </w:r>
            <w:r>
              <w:rPr>
                <w:rFonts w:hAnsi="宋体"/>
                <w:color w:val="000000" w:themeColor="text1"/>
                <w:shd w:val="clear" w:color="auto" w:fill="FFFFFF"/>
              </w:rPr>
              <w:t>日）。检测期间吉首大学张家界学校正常运行，环境保设施正常运行。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jc w:val="center"/>
        </w:trPr>
        <w:tc>
          <w:tcPr>
            <w:tcW w:w="8738" w:type="dxa"/>
            <w:vAlign w:val="center"/>
          </w:tcPr>
          <w:p>
            <w:pPr>
              <w:spacing w:before="65"/>
            </w:pPr>
            <w:r>
              <w:t>验收监测结果：</w:t>
            </w:r>
          </w:p>
          <w:p>
            <w:pPr>
              <w:pStyle w:val="52"/>
              <w:numPr>
                <w:ilvl w:val="0"/>
                <w:numId w:val="4"/>
              </w:numPr>
              <w:ind w:firstLineChars="0"/>
            </w:pPr>
            <w:r>
              <w:t>废水检测结果</w:t>
            </w:r>
            <w:r>
              <w:rPr>
                <w:rFonts w:hint="eastAsia"/>
                <w:lang w:eastAsia="zh-CN"/>
              </w:rPr>
              <w:t>：</w:t>
            </w:r>
          </w:p>
          <w:p>
            <w:pPr>
              <w:pStyle w:val="52"/>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jc w:val="center"/>
              <w:textAlignment w:val="auto"/>
              <w:rPr>
                <w:lang w:val="en-US" w:eastAsia="zh-CN"/>
              </w:rPr>
            </w:pPr>
            <w:r>
              <w:rPr>
                <w:lang w:val="en-US" w:eastAsia="zh-CN"/>
              </w:rPr>
              <w:t>表7-1  废水检测结果一览表</w:t>
            </w:r>
          </w:p>
          <w:tbl>
            <w:tblPr>
              <w:tblStyle w:val="44"/>
              <w:tblpPr w:leftFromText="180" w:rightFromText="180" w:vertAnchor="text" w:horzAnchor="page" w:tblpX="343" w:tblpY="321"/>
              <w:tblOverlap w:val="never"/>
              <w:tblW w:w="852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773"/>
              <w:gridCol w:w="1064"/>
              <w:gridCol w:w="1759"/>
              <w:gridCol w:w="1100"/>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063" w:type="dxa"/>
                  <w:tcBorders>
                    <w:tl2br w:val="nil"/>
                    <w:tr2bl w:val="nil"/>
                  </w:tcBorders>
                  <w:vAlign w:val="center"/>
                </w:tcPr>
                <w:p>
                  <w:pPr>
                    <w:jc w:val="center"/>
                  </w:pPr>
                  <w:r>
                    <w:t>采样点位</w:t>
                  </w:r>
                </w:p>
              </w:tc>
              <w:tc>
                <w:tcPr>
                  <w:tcW w:w="1773" w:type="dxa"/>
                  <w:tcBorders>
                    <w:tl2br w:val="nil"/>
                    <w:tr2bl w:val="nil"/>
                  </w:tcBorders>
                  <w:vAlign w:val="center"/>
                </w:tcPr>
                <w:p>
                  <w:pPr>
                    <w:jc w:val="center"/>
                  </w:pPr>
                  <w:r>
                    <w:t>采样日期</w:t>
                  </w:r>
                </w:p>
              </w:tc>
              <w:tc>
                <w:tcPr>
                  <w:tcW w:w="1064" w:type="dxa"/>
                  <w:tcBorders>
                    <w:tl2br w:val="nil"/>
                    <w:tr2bl w:val="nil"/>
                  </w:tcBorders>
                  <w:vAlign w:val="center"/>
                </w:tcPr>
                <w:p>
                  <w:pPr>
                    <w:jc w:val="center"/>
                  </w:pPr>
                  <w:r>
                    <w:t>样品状态</w:t>
                  </w:r>
                </w:p>
              </w:tc>
              <w:tc>
                <w:tcPr>
                  <w:tcW w:w="1759" w:type="dxa"/>
                  <w:tcBorders>
                    <w:tl2br w:val="nil"/>
                    <w:tr2bl w:val="nil"/>
                  </w:tcBorders>
                  <w:vAlign w:val="center"/>
                </w:tcPr>
                <w:p>
                  <w:pPr>
                    <w:jc w:val="center"/>
                  </w:pPr>
                  <w:r>
                    <w:rPr>
                      <w:rFonts w:hint="eastAsia"/>
                    </w:rPr>
                    <w:t>检测项目</w:t>
                  </w:r>
                </w:p>
              </w:tc>
              <w:tc>
                <w:tcPr>
                  <w:tcW w:w="1100" w:type="dxa"/>
                  <w:tcBorders>
                    <w:tl2br w:val="nil"/>
                    <w:tr2bl w:val="nil"/>
                  </w:tcBorders>
                  <w:vAlign w:val="center"/>
                </w:tcPr>
                <w:p>
                  <w:pPr>
                    <w:jc w:val="center"/>
                  </w:pPr>
                  <w:r>
                    <w:t>检测结果</w:t>
                  </w:r>
                </w:p>
              </w:tc>
              <w:tc>
                <w:tcPr>
                  <w:tcW w:w="1763" w:type="dxa"/>
                  <w:tcBorders>
                    <w:tl2br w:val="nil"/>
                    <w:tr2bl w:val="nil"/>
                  </w:tcBorders>
                  <w:vAlign w:val="center"/>
                </w:tcPr>
                <w:p>
                  <w:pPr>
                    <w:jc w:val="center"/>
                    <w:rPr>
                      <w:rFonts w:hint="default"/>
                      <w:lang w:val="en-US" w:eastAsia="zh-CN"/>
                    </w:rPr>
                  </w:pPr>
                  <w:r>
                    <w:rPr>
                      <w:rFonts w:hint="eastAsia"/>
                      <w:lang w:val="en-US" w:eastAsia="zh-CN"/>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trPr>
              <w:tc>
                <w:tcPr>
                  <w:tcW w:w="1063" w:type="dxa"/>
                  <w:vMerge w:val="restart"/>
                  <w:tcBorders>
                    <w:tl2br w:val="nil"/>
                    <w:tr2bl w:val="nil"/>
                  </w:tcBorders>
                  <w:vAlign w:val="center"/>
                </w:tcPr>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jc w:val="both"/>
                    <w:rPr>
                      <w:rFonts w:hint="eastAsia"/>
                      <w:lang w:val="en-US" w:eastAsia="zh-CN"/>
                    </w:rPr>
                  </w:pPr>
                </w:p>
                <w:p>
                  <w:pPr>
                    <w:ind w:left="210" w:hanging="240" w:hangingChars="100"/>
                    <w:jc w:val="both"/>
                    <w:rPr>
                      <w:rFonts w:hint="default"/>
                      <w:lang w:val="en-US" w:eastAsia="zh-CN"/>
                    </w:rPr>
                  </w:pPr>
                  <w:r>
                    <w:rPr>
                      <w:rFonts w:hint="eastAsia"/>
                      <w:lang w:val="en-US" w:eastAsia="zh-CN"/>
                    </w:rPr>
                    <w:t>总出口W1</w:t>
                  </w:r>
                </w:p>
              </w:tc>
              <w:tc>
                <w:tcPr>
                  <w:tcW w:w="1773" w:type="dxa"/>
                  <w:vMerge w:val="restart"/>
                  <w:tcBorders>
                    <w:tl2br w:val="nil"/>
                    <w:tr2bl w:val="nil"/>
                  </w:tcBorders>
                  <w:vAlign w:val="center"/>
                </w:tcPr>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both"/>
                    <w:rPr>
                      <w:rFonts w:hint="eastAsia"/>
                    </w:rPr>
                  </w:pPr>
                </w:p>
                <w:p>
                  <w:pPr>
                    <w:spacing w:line="240" w:lineRule="atLeast"/>
                    <w:jc w:val="center"/>
                    <w:rPr>
                      <w:rFonts w:hint="eastAsia"/>
                      <w:lang w:val="en-US" w:eastAsia="zh-CN"/>
                    </w:rPr>
                  </w:pPr>
                  <w:r>
                    <w:rPr>
                      <w:rFonts w:hint="eastAsia"/>
                    </w:rPr>
                    <w:t>202</w:t>
                  </w:r>
                  <w:r>
                    <w:rPr>
                      <w:rFonts w:hint="eastAsia"/>
                      <w:lang w:val="en-US" w:eastAsia="zh-CN"/>
                    </w:rPr>
                    <w:t>1.10.20-</w:t>
                  </w:r>
                </w:p>
                <w:p>
                  <w:pPr>
                    <w:spacing w:line="240" w:lineRule="atLeast"/>
                    <w:jc w:val="center"/>
                    <w:rPr>
                      <w:rFonts w:hint="default"/>
                      <w:lang w:val="en-US"/>
                    </w:rPr>
                  </w:pPr>
                  <w:r>
                    <w:rPr>
                      <w:rFonts w:hint="eastAsia"/>
                      <w:lang w:val="en-US" w:eastAsia="zh-CN"/>
                    </w:rPr>
                    <w:t>2021.10.21</w:t>
                  </w:r>
                </w:p>
              </w:tc>
              <w:tc>
                <w:tcPr>
                  <w:tcW w:w="1064" w:type="dxa"/>
                  <w:vMerge w:val="restart"/>
                  <w:tcBorders>
                    <w:tl2br w:val="nil"/>
                    <w:tr2bl w:val="nil"/>
                  </w:tcBorders>
                  <w:vAlign w:val="center"/>
                </w:tcPr>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center"/>
                    <w:textAlignment w:val="center"/>
                    <w:rPr>
                      <w:rFonts w:hint="eastAsia"/>
                      <w:lang w:val="en-US" w:eastAsia="zh-CN"/>
                    </w:rPr>
                  </w:pPr>
                </w:p>
                <w:p>
                  <w:pPr>
                    <w:widowControl/>
                    <w:jc w:val="both"/>
                    <w:textAlignment w:val="center"/>
                    <w:rPr>
                      <w:rFonts w:hint="eastAsia"/>
                      <w:lang w:val="en-US" w:eastAsia="zh-CN"/>
                    </w:rPr>
                  </w:pPr>
                </w:p>
                <w:p>
                  <w:pPr>
                    <w:pStyle w:val="2"/>
                    <w:rPr>
                      <w:rFonts w:hint="eastAsia"/>
                      <w:lang w:val="en-US" w:eastAsia="zh-CN"/>
                    </w:rPr>
                  </w:pPr>
                </w:p>
                <w:p>
                  <w:pPr>
                    <w:widowControl/>
                    <w:jc w:val="center"/>
                    <w:textAlignment w:val="center"/>
                    <w:rPr>
                      <w:rFonts w:hint="eastAsia"/>
                      <w:lang w:eastAsia="zh-CN"/>
                    </w:rPr>
                  </w:pPr>
                  <w:r>
                    <w:rPr>
                      <w:rFonts w:hint="eastAsia"/>
                      <w:lang w:val="en-US" w:eastAsia="zh-CN"/>
                    </w:rPr>
                    <w:t>黄</w:t>
                  </w:r>
                  <w:r>
                    <w:rPr>
                      <w:rFonts w:hint="eastAsia"/>
                    </w:rPr>
                    <w:t>色</w:t>
                  </w:r>
                  <w:r>
                    <w:rPr>
                      <w:rFonts w:hint="eastAsia"/>
                      <w:lang w:eastAsia="zh-CN"/>
                    </w:rPr>
                    <w:t>、</w:t>
                  </w:r>
                </w:p>
                <w:p>
                  <w:pPr>
                    <w:widowControl/>
                    <w:jc w:val="center"/>
                    <w:textAlignment w:val="center"/>
                    <w:rPr>
                      <w:rFonts w:hint="eastAsia"/>
                      <w:lang w:eastAsia="zh-CN"/>
                    </w:rPr>
                  </w:pPr>
                  <w:r>
                    <w:rPr>
                      <w:rFonts w:hint="eastAsia"/>
                      <w:lang w:val="en-US" w:eastAsia="zh-CN"/>
                    </w:rPr>
                    <w:t>异</w:t>
                  </w:r>
                  <w:r>
                    <w:rPr>
                      <w:rFonts w:hint="eastAsia"/>
                    </w:rPr>
                    <w:t>味</w:t>
                  </w:r>
                  <w:r>
                    <w:rPr>
                      <w:rFonts w:hint="eastAsia"/>
                      <w:lang w:eastAsia="zh-CN"/>
                    </w:rPr>
                    <w:t>、</w:t>
                  </w:r>
                </w:p>
                <w:p>
                  <w:pPr>
                    <w:widowControl/>
                    <w:jc w:val="center"/>
                    <w:textAlignment w:val="center"/>
                    <w:rPr>
                      <w:rFonts w:hint="default"/>
                      <w:lang w:val="en-US" w:eastAsia="zh-CN"/>
                    </w:rPr>
                  </w:pPr>
                  <w:r>
                    <w:rPr>
                      <w:rFonts w:hint="eastAsia"/>
                      <w:lang w:val="en-US" w:eastAsia="zh-CN"/>
                    </w:rPr>
                    <w:t>无浮油</w:t>
                  </w:r>
                </w:p>
              </w:tc>
              <w:tc>
                <w:tcPr>
                  <w:tcW w:w="1759" w:type="dxa"/>
                  <w:vMerge w:val="restart"/>
                  <w:tcBorders>
                    <w:tl2br w:val="nil"/>
                    <w:tr2bl w:val="nil"/>
                  </w:tcBorders>
                  <w:vAlign w:val="center"/>
                </w:tcPr>
                <w:p>
                  <w:pPr>
                    <w:pStyle w:val="242"/>
                    <w:jc w:val="center"/>
                  </w:pPr>
                </w:p>
                <w:p>
                  <w:pPr>
                    <w:pStyle w:val="242"/>
                    <w:jc w:val="center"/>
                  </w:pPr>
                </w:p>
                <w:p>
                  <w:pPr>
                    <w:pStyle w:val="242"/>
                    <w:jc w:val="center"/>
                  </w:pPr>
                </w:p>
                <w:p>
                  <w:pPr>
                    <w:pStyle w:val="242"/>
                    <w:jc w:val="center"/>
                  </w:pPr>
                  <w:r>
                    <w:t>pH</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7.76</w:t>
                  </w:r>
                </w:p>
              </w:tc>
              <w:tc>
                <w:tcPr>
                  <w:tcW w:w="1763" w:type="dxa"/>
                  <w:vMerge w:val="restart"/>
                  <w:tcBorders>
                    <w:tl2br w:val="nil"/>
                    <w:tr2bl w:val="nil"/>
                  </w:tcBorders>
                  <w:vAlign w:val="center"/>
                </w:tcPr>
                <w:p>
                  <w:pPr>
                    <w:spacing w:line="240" w:lineRule="atLeast"/>
                    <w:jc w:val="center"/>
                    <w:rPr>
                      <w:rFonts w:hint="eastAsia"/>
                      <w:lang w:val="en-US" w:eastAsia="zh-CN"/>
                    </w:rPr>
                  </w:pPr>
                </w:p>
                <w:p>
                  <w:pPr>
                    <w:spacing w:line="240" w:lineRule="atLeast"/>
                    <w:jc w:val="center"/>
                    <w:rPr>
                      <w:rFonts w:hint="eastAsia"/>
                      <w:lang w:val="en-US" w:eastAsia="zh-CN"/>
                    </w:rPr>
                  </w:pPr>
                </w:p>
                <w:p>
                  <w:pPr>
                    <w:spacing w:line="240" w:lineRule="atLeast"/>
                    <w:jc w:val="center"/>
                    <w:rPr>
                      <w:rFonts w:hint="eastAsia"/>
                      <w:lang w:val="en-US" w:eastAsia="zh-CN"/>
                    </w:rPr>
                  </w:pPr>
                </w:p>
                <w:p>
                  <w:pPr>
                    <w:spacing w:line="240" w:lineRule="atLeast"/>
                    <w:jc w:val="center"/>
                    <w:rPr>
                      <w:rFonts w:hint="eastAsia"/>
                      <w:lang w:val="en-US" w:eastAsia="zh-CN"/>
                    </w:rPr>
                  </w:pPr>
                </w:p>
                <w:p>
                  <w:pPr>
                    <w:spacing w:line="240" w:lineRule="atLeast"/>
                    <w:jc w:val="center"/>
                    <w:rPr>
                      <w:rFonts w:hint="default"/>
                      <w:lang w:val="en-US" w:eastAsia="zh-CN"/>
                    </w:rPr>
                  </w:pPr>
                  <w:r>
                    <w:rPr>
                      <w:rFonts w:hint="eastAsia"/>
                      <w:lang w:val="en-US" w:eastAsia="zh-CN"/>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063" w:type="dxa"/>
                  <w:vMerge w:val="continue"/>
                  <w:tcBorders>
                    <w:tl2br w:val="nil"/>
                    <w:tr2bl w:val="nil"/>
                  </w:tcBorders>
                  <w:vAlign w:val="center"/>
                </w:tcPr>
                <w:p>
                  <w:pPr>
                    <w:jc w:val="both"/>
                    <w:rPr>
                      <w:rFonts w:hint="eastAsia"/>
                      <w:lang w:val="en-US" w:eastAsia="zh-CN"/>
                    </w:rPr>
                  </w:pPr>
                </w:p>
              </w:tc>
              <w:tc>
                <w:tcPr>
                  <w:tcW w:w="1773" w:type="dxa"/>
                  <w:vMerge w:val="continue"/>
                  <w:tcBorders>
                    <w:tl2br w:val="nil"/>
                    <w:tr2bl w:val="nil"/>
                  </w:tcBorders>
                  <w:vAlign w:val="center"/>
                </w:tcPr>
                <w:p>
                  <w:pPr>
                    <w:spacing w:line="240" w:lineRule="atLeast"/>
                    <w:jc w:val="both"/>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7.77</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063" w:type="dxa"/>
                  <w:vMerge w:val="continue"/>
                  <w:tcBorders>
                    <w:tl2br w:val="nil"/>
                    <w:tr2bl w:val="nil"/>
                  </w:tcBorders>
                  <w:vAlign w:val="center"/>
                </w:tcPr>
                <w:p>
                  <w:pPr>
                    <w:jc w:val="both"/>
                    <w:rPr>
                      <w:rFonts w:hint="eastAsia"/>
                      <w:lang w:val="en-US" w:eastAsia="zh-CN"/>
                    </w:rPr>
                  </w:pPr>
                </w:p>
              </w:tc>
              <w:tc>
                <w:tcPr>
                  <w:tcW w:w="1773" w:type="dxa"/>
                  <w:vMerge w:val="continue"/>
                  <w:tcBorders>
                    <w:tl2br w:val="nil"/>
                    <w:tr2bl w:val="nil"/>
                  </w:tcBorders>
                  <w:vAlign w:val="center"/>
                </w:tcPr>
                <w:p>
                  <w:pPr>
                    <w:spacing w:line="240" w:lineRule="atLeast"/>
                    <w:jc w:val="both"/>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1063" w:type="dxa"/>
                  <w:vMerge w:val="continue"/>
                  <w:tcBorders>
                    <w:tl2br w:val="nil"/>
                    <w:tr2bl w:val="nil"/>
                  </w:tcBorders>
                  <w:vAlign w:val="center"/>
                </w:tcPr>
                <w:p>
                  <w:pPr>
                    <w:jc w:val="both"/>
                    <w:rPr>
                      <w:rFonts w:hint="eastAsia"/>
                      <w:lang w:val="en-US" w:eastAsia="zh-CN"/>
                    </w:rPr>
                  </w:pPr>
                </w:p>
              </w:tc>
              <w:tc>
                <w:tcPr>
                  <w:tcW w:w="1773" w:type="dxa"/>
                  <w:vMerge w:val="continue"/>
                  <w:tcBorders>
                    <w:tl2br w:val="nil"/>
                    <w:tr2bl w:val="nil"/>
                  </w:tcBorders>
                  <w:vAlign w:val="center"/>
                </w:tcPr>
                <w:p>
                  <w:pPr>
                    <w:spacing w:line="240" w:lineRule="atLeast"/>
                    <w:jc w:val="both"/>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063" w:type="dxa"/>
                  <w:vMerge w:val="continue"/>
                  <w:tcBorders>
                    <w:tl2br w:val="nil"/>
                    <w:tr2bl w:val="nil"/>
                  </w:tcBorders>
                  <w:vAlign w:val="center"/>
                </w:tcPr>
                <w:p>
                  <w:pPr>
                    <w:jc w:val="center"/>
                    <w:rPr>
                      <w:rFonts w:hint="eastAsia"/>
                    </w:rPr>
                  </w:pPr>
                </w:p>
              </w:tc>
              <w:tc>
                <w:tcPr>
                  <w:tcW w:w="1773" w:type="dxa"/>
                  <w:vMerge w:val="continue"/>
                  <w:tcBorders>
                    <w:tl2br w:val="nil"/>
                    <w:tr2bl w:val="nil"/>
                  </w:tcBorders>
                  <w:vAlign w:val="center"/>
                </w:tcPr>
                <w:p>
                  <w:pPr>
                    <w:spacing w:line="240" w:lineRule="atLeast"/>
                    <w:jc w:val="center"/>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1063" w:type="dxa"/>
                  <w:vMerge w:val="continue"/>
                  <w:tcBorders>
                    <w:tl2br w:val="nil"/>
                    <w:tr2bl w:val="nil"/>
                  </w:tcBorders>
                  <w:vAlign w:val="center"/>
                </w:tcPr>
                <w:p>
                  <w:pPr>
                    <w:jc w:val="center"/>
                    <w:rPr>
                      <w:rFonts w:hint="eastAsia"/>
                    </w:rPr>
                  </w:pPr>
                </w:p>
              </w:tc>
              <w:tc>
                <w:tcPr>
                  <w:tcW w:w="1773" w:type="dxa"/>
                  <w:vMerge w:val="continue"/>
                  <w:tcBorders>
                    <w:tl2br w:val="nil"/>
                    <w:tr2bl w:val="nil"/>
                  </w:tcBorders>
                  <w:vAlign w:val="center"/>
                </w:tcPr>
                <w:p>
                  <w:pPr>
                    <w:spacing w:line="240" w:lineRule="atLeast"/>
                    <w:jc w:val="center"/>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1063" w:type="dxa"/>
                  <w:vMerge w:val="continue"/>
                  <w:tcBorders>
                    <w:tl2br w:val="nil"/>
                    <w:tr2bl w:val="nil"/>
                  </w:tcBorders>
                  <w:vAlign w:val="center"/>
                </w:tcPr>
                <w:p>
                  <w:pPr>
                    <w:jc w:val="center"/>
                    <w:rPr>
                      <w:rFonts w:hint="eastAsia"/>
                    </w:rPr>
                  </w:pPr>
                </w:p>
              </w:tc>
              <w:tc>
                <w:tcPr>
                  <w:tcW w:w="1773" w:type="dxa"/>
                  <w:vMerge w:val="continue"/>
                  <w:tcBorders>
                    <w:tl2br w:val="nil"/>
                    <w:tr2bl w:val="nil"/>
                  </w:tcBorders>
                  <w:vAlign w:val="center"/>
                </w:tcPr>
                <w:p>
                  <w:pPr>
                    <w:spacing w:line="240" w:lineRule="atLeast"/>
                    <w:jc w:val="center"/>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7.72</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trPr>
              <w:tc>
                <w:tcPr>
                  <w:tcW w:w="1063" w:type="dxa"/>
                  <w:vMerge w:val="continue"/>
                  <w:tcBorders>
                    <w:tl2br w:val="nil"/>
                    <w:tr2bl w:val="nil"/>
                  </w:tcBorders>
                  <w:vAlign w:val="center"/>
                </w:tcPr>
                <w:p>
                  <w:pPr>
                    <w:jc w:val="center"/>
                    <w:rPr>
                      <w:rFonts w:hint="eastAsia"/>
                    </w:rPr>
                  </w:pPr>
                </w:p>
              </w:tc>
              <w:tc>
                <w:tcPr>
                  <w:tcW w:w="1773" w:type="dxa"/>
                  <w:vMerge w:val="continue"/>
                  <w:tcBorders>
                    <w:tl2br w:val="nil"/>
                    <w:tr2bl w:val="nil"/>
                  </w:tcBorders>
                  <w:vAlign w:val="center"/>
                </w:tcPr>
                <w:p>
                  <w:pPr>
                    <w:spacing w:line="240" w:lineRule="atLeast"/>
                    <w:jc w:val="center"/>
                    <w:rPr>
                      <w:rFonts w:hint="eastAsia"/>
                    </w:rPr>
                  </w:pPr>
                </w:p>
              </w:tc>
              <w:tc>
                <w:tcPr>
                  <w:tcW w:w="1064" w:type="dxa"/>
                  <w:vMerge w:val="continue"/>
                  <w:tcBorders>
                    <w:tl2br w:val="nil"/>
                    <w:tr2bl w:val="nil"/>
                  </w:tcBorders>
                  <w:vAlign w:val="center"/>
                </w:tcPr>
                <w:p>
                  <w:pPr>
                    <w:widowControl/>
                    <w:jc w:val="center"/>
                    <w:textAlignment w:val="center"/>
                    <w:rPr>
                      <w:rFonts w:hint="eastAsia"/>
                      <w:lang w:val="en-US" w:eastAsia="zh-CN"/>
                    </w:rP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7.77</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restart"/>
                  <w:tcBorders>
                    <w:tl2br w:val="nil"/>
                    <w:tr2bl w:val="nil"/>
                  </w:tcBorders>
                  <w:vAlign w:val="center"/>
                </w:tcPr>
                <w:p>
                  <w:pPr>
                    <w:pStyle w:val="242"/>
                  </w:pPr>
                  <w:r>
                    <w:rPr>
                      <w:rFonts w:hint="eastAsia" w:ascii="宋体" w:hAnsi="宋体" w:eastAsia="宋体" w:cs="宋体"/>
                    </w:rPr>
                    <w:t>悬浮物</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380</w:t>
                  </w:r>
                </w:p>
              </w:tc>
              <w:tc>
                <w:tcPr>
                  <w:tcW w:w="1763"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395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295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5"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185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370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395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290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widowControl/>
                    <w:jc w:val="center"/>
                    <w:textAlignment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200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restart"/>
                  <w:tcBorders>
                    <w:tl2br w:val="nil"/>
                    <w:tr2bl w:val="nil"/>
                  </w:tcBorders>
                  <w:vAlign w:val="center"/>
                </w:tcPr>
                <w:p>
                  <w:pPr>
                    <w:pStyle w:val="242"/>
                    <w:rPr>
                      <w:rFonts w:hint="eastAsia"/>
                      <w:lang w:val="en-US" w:eastAsia="zh-CN"/>
                    </w:rPr>
                  </w:pPr>
                  <w:r>
                    <w:rPr>
                      <w:rFonts w:hint="eastAsia" w:ascii="宋体" w:hAnsi="宋体" w:eastAsia="宋体" w:cs="宋体"/>
                      <w:lang w:val="en-US" w:eastAsia="zh-CN"/>
                    </w:rPr>
                    <w:t>氨氮</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34.4</w:t>
                  </w:r>
                </w:p>
              </w:tc>
              <w:tc>
                <w:tcPr>
                  <w:tcW w:w="1763" w:type="dxa"/>
                  <w:vMerge w:val="restart"/>
                  <w:tcBorders>
                    <w:tl2br w:val="nil"/>
                    <w:tr2bl w:val="nil"/>
                  </w:tcBorders>
                  <w:vAlign w:val="center"/>
                </w:tcPr>
                <w:p>
                  <w:pPr>
                    <w:ind w:firstLine="720" w:firstLineChars="300"/>
                    <w:rPr>
                      <w:rFonts w:hint="default"/>
                      <w:lang w:val="en-US" w:eastAsia="zh-CN"/>
                    </w:rPr>
                  </w:pPr>
                  <w:r>
                    <w:rPr>
                      <w:rFonts w:hint="eastAsia"/>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34.1</w:t>
                  </w:r>
                </w:p>
              </w:tc>
              <w:tc>
                <w:tcPr>
                  <w:tcW w:w="1763" w:type="dxa"/>
                  <w:vMerge w:val="continue"/>
                  <w:tcBorders>
                    <w:tl2br w:val="nil"/>
                    <w:tr2bl w:val="nil"/>
                  </w:tcBorders>
                  <w:vAlign w:val="center"/>
                </w:tcPr>
                <w:p>
                  <w:pPr>
                    <w:ind w:firstLine="720" w:firstLineChars="30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35.2</w:t>
                  </w:r>
                </w:p>
              </w:tc>
              <w:tc>
                <w:tcPr>
                  <w:tcW w:w="1763" w:type="dxa"/>
                  <w:vMerge w:val="continue"/>
                  <w:tcBorders>
                    <w:tl2br w:val="nil"/>
                    <w:tr2bl w:val="nil"/>
                  </w:tcBorders>
                  <w:vAlign w:val="center"/>
                </w:tcPr>
                <w:p>
                  <w:pPr>
                    <w:ind w:firstLine="720" w:firstLineChars="30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34.9</w:t>
                  </w:r>
                </w:p>
              </w:tc>
              <w:tc>
                <w:tcPr>
                  <w:tcW w:w="1763" w:type="dxa"/>
                  <w:vMerge w:val="continue"/>
                  <w:tcBorders>
                    <w:tl2br w:val="nil"/>
                    <w:tr2bl w:val="nil"/>
                  </w:tcBorders>
                  <w:vAlign w:val="center"/>
                </w:tcPr>
                <w:p>
                  <w:pPr>
                    <w:ind w:firstLine="720" w:firstLineChars="30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35.6</w:t>
                  </w:r>
                </w:p>
              </w:tc>
              <w:tc>
                <w:tcPr>
                  <w:tcW w:w="1763" w:type="dxa"/>
                  <w:vMerge w:val="continue"/>
                  <w:tcBorders>
                    <w:tl2br w:val="nil"/>
                    <w:tr2bl w:val="nil"/>
                  </w:tcBorders>
                  <w:vAlign w:val="center"/>
                </w:tcPr>
                <w:p>
                  <w:pPr>
                    <w:ind w:firstLine="720" w:firstLineChars="300"/>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35.2</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34.5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34.1</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restart"/>
                  <w:tcBorders>
                    <w:tl2br w:val="nil"/>
                    <w:tr2bl w:val="nil"/>
                  </w:tcBorders>
                  <w:vAlign w:val="center"/>
                </w:tcPr>
                <w:p>
                  <w:pPr>
                    <w:pStyle w:val="242"/>
                    <w:rPr>
                      <w:rFonts w:hint="eastAsia"/>
                      <w:lang w:val="en-US" w:eastAsia="zh-CN"/>
                    </w:rPr>
                  </w:pPr>
                  <w:r>
                    <w:rPr>
                      <w:rFonts w:hint="eastAsia" w:ascii="宋体" w:hAnsi="宋体" w:eastAsia="宋体" w:cs="宋体"/>
                      <w:lang w:val="en-US" w:eastAsia="zh-CN"/>
                    </w:rPr>
                    <w:t>总氮</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67.7</w:t>
                  </w:r>
                </w:p>
              </w:tc>
              <w:tc>
                <w:tcPr>
                  <w:tcW w:w="1763" w:type="dxa"/>
                  <w:vMerge w:val="restart"/>
                  <w:tcBorders>
                    <w:tl2br w:val="nil"/>
                    <w:tr2bl w:val="nil"/>
                  </w:tcBorders>
                  <w:vAlign w:val="center"/>
                </w:tcPr>
                <w:p>
                  <w:pPr>
                    <w:ind w:firstLine="720" w:firstLineChars="300"/>
                    <w:rPr>
                      <w:rFonts w:hint="default"/>
                      <w:lang w:val="en-US" w:eastAsia="zh-CN"/>
                    </w:rPr>
                  </w:pPr>
                  <w:r>
                    <w:rPr>
                      <w:rFonts w:hint="eastAsia"/>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3"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68.1</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67.7</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67.4</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68.2</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restart"/>
                  <w:tcBorders>
                    <w:tl2br w:val="nil"/>
                    <w:tr2bl w:val="nil"/>
                  </w:tcBorders>
                  <w:vAlign w:val="center"/>
                </w:tcPr>
                <w:p>
                  <w:pPr>
                    <w:pStyle w:val="242"/>
                    <w:rPr>
                      <w:rFonts w:hint="eastAsia" w:ascii="宋体" w:hAnsi="宋体" w:eastAsia="宋体" w:cs="宋体"/>
                      <w:lang w:val="en-US" w:eastAsia="zh-CN"/>
                    </w:rPr>
                  </w:pPr>
                  <w:r>
                    <w:rPr>
                      <w:rFonts w:hint="eastAsia" w:ascii="宋体" w:hAnsi="宋体" w:eastAsia="宋体" w:cs="宋体"/>
                      <w:lang w:val="en-US" w:eastAsia="zh-CN"/>
                    </w:rPr>
                    <w:t>总磷</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4.69</w:t>
                  </w:r>
                </w:p>
              </w:tc>
              <w:tc>
                <w:tcPr>
                  <w:tcW w:w="1763"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5" w:hRule="atLeast"/>
              </w:trPr>
              <w:tc>
                <w:tcPr>
                  <w:tcW w:w="1063" w:type="dxa"/>
                  <w:vMerge w:val="continue"/>
                  <w:tcBorders>
                    <w:tl2br w:val="nil"/>
                    <w:tr2bl w:val="nil"/>
                  </w:tcBorders>
                </w:tcPr>
                <w:p>
                  <w:pPr>
                    <w:spacing w:line="360" w:lineRule="auto"/>
                  </w:pPr>
                </w:p>
                <w:p>
                  <w:pPr>
                    <w:pStyle w:val="2"/>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7.13</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1063" w:type="dxa"/>
                  <w:vMerge w:val="continue"/>
                  <w:tcBorders>
                    <w:tl2br w:val="nil"/>
                    <w:tr2bl w:val="nil"/>
                  </w:tcBorders>
                </w:tcPr>
                <w:p>
                  <w:pPr>
                    <w:pStyle w:val="2"/>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7.25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063" w:type="dxa"/>
                  <w:vMerge w:val="continue"/>
                  <w:tcBorders>
                    <w:tl2br w:val="nil"/>
                    <w:tr2bl w:val="nil"/>
                  </w:tcBorders>
                </w:tcPr>
                <w:p>
                  <w:pPr>
                    <w:pStyle w:val="2"/>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5.20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 w:hRule="atLeast"/>
              </w:trPr>
              <w:tc>
                <w:tcPr>
                  <w:tcW w:w="1063" w:type="dxa"/>
                  <w:vMerge w:val="continue"/>
                  <w:tcBorders>
                    <w:tl2br w:val="nil"/>
                    <w:tr2bl w:val="nil"/>
                  </w:tcBorders>
                </w:tcPr>
                <w:p>
                  <w:pPr>
                    <w:pStyle w:val="2"/>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4.94</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063" w:type="dxa"/>
                  <w:vMerge w:val="continue"/>
                  <w:tcBorders>
                    <w:tl2br w:val="nil"/>
                    <w:tr2bl w:val="nil"/>
                  </w:tcBorders>
                </w:tcPr>
                <w:p>
                  <w:pPr>
                    <w:pStyle w:val="2"/>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7.39</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7.20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lang w:val="en-US" w:eastAsia="zh-CN"/>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5.60</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restart"/>
                  <w:tcBorders>
                    <w:tl2br w:val="nil"/>
                    <w:tr2bl w:val="nil"/>
                  </w:tcBorders>
                  <w:vAlign w:val="center"/>
                </w:tcPr>
                <w:p>
                  <w:pPr>
                    <w:pStyle w:val="242"/>
                    <w:rPr>
                      <w:rFonts w:hint="eastAsia" w:ascii="宋体" w:hAnsi="宋体" w:eastAsia="宋体" w:cs="宋体"/>
                    </w:rPr>
                  </w:pPr>
                  <w:r>
                    <w:rPr>
                      <w:rFonts w:hint="eastAsia" w:ascii="宋体" w:hAnsi="宋体" w:eastAsia="宋体" w:cs="宋体"/>
                    </w:rPr>
                    <w:t>化学需氧量</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495</w:t>
                  </w:r>
                </w:p>
              </w:tc>
              <w:tc>
                <w:tcPr>
                  <w:tcW w:w="1763"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487</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485</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483</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487</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481</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6"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481</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rPr>
                      <w:rFonts w:hint="eastAsia" w:ascii="宋体" w:hAnsi="宋体" w:eastAsia="宋体" w:cs="宋体"/>
                    </w:rPr>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483</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restart"/>
                  <w:tcBorders>
                    <w:tl2br w:val="nil"/>
                    <w:tr2bl w:val="nil"/>
                  </w:tcBorders>
                  <w:vAlign w:val="center"/>
                </w:tcPr>
                <w:p>
                  <w:pPr>
                    <w:pStyle w:val="242"/>
                    <w:rPr>
                      <w:rFonts w:hint="eastAsia" w:ascii="宋体" w:hAnsi="宋体" w:eastAsia="宋体" w:cs="宋体"/>
                    </w:rPr>
                  </w:pPr>
                  <w:r>
                    <w:rPr>
                      <w:rFonts w:hint="eastAsia" w:ascii="宋体" w:hAnsi="宋体" w:eastAsia="宋体" w:cs="宋体"/>
                    </w:rPr>
                    <w:t>五日生化需氧量</w:t>
                  </w: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248</w:t>
                  </w:r>
                </w:p>
              </w:tc>
              <w:tc>
                <w:tcPr>
                  <w:tcW w:w="1763"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0"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198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198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198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236</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211</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198</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1063" w:type="dxa"/>
                  <w:vMerge w:val="continue"/>
                  <w:tcBorders>
                    <w:tl2br w:val="nil"/>
                    <w:tr2bl w:val="nil"/>
                  </w:tcBorders>
                </w:tcPr>
                <w:p>
                  <w:pPr>
                    <w:spacing w:line="360" w:lineRule="auto"/>
                  </w:pPr>
                </w:p>
              </w:tc>
              <w:tc>
                <w:tcPr>
                  <w:tcW w:w="1773" w:type="dxa"/>
                  <w:vMerge w:val="continue"/>
                  <w:tcBorders>
                    <w:tl2br w:val="nil"/>
                    <w:tr2bl w:val="nil"/>
                  </w:tcBorders>
                  <w:vAlign w:val="center"/>
                </w:tcPr>
                <w:p>
                  <w:pPr>
                    <w:spacing w:line="240" w:lineRule="atLeast"/>
                    <w:jc w:val="center"/>
                  </w:pPr>
                </w:p>
              </w:tc>
              <w:tc>
                <w:tcPr>
                  <w:tcW w:w="1064" w:type="dxa"/>
                  <w:vMerge w:val="continue"/>
                  <w:tcBorders>
                    <w:tl2br w:val="nil"/>
                    <w:tr2bl w:val="nil"/>
                  </w:tcBorders>
                  <w:vAlign w:val="center"/>
                </w:tcPr>
                <w:p>
                  <w:pPr>
                    <w:jc w:val="center"/>
                  </w:pPr>
                </w:p>
              </w:tc>
              <w:tc>
                <w:tcPr>
                  <w:tcW w:w="1759" w:type="dxa"/>
                  <w:vMerge w:val="continue"/>
                  <w:tcBorders>
                    <w:tl2br w:val="nil"/>
                    <w:tr2bl w:val="nil"/>
                  </w:tcBorders>
                  <w:vAlign w:val="center"/>
                </w:tcPr>
                <w:p>
                  <w:pPr>
                    <w:pStyle w:val="242"/>
                  </w:pPr>
                </w:p>
              </w:tc>
              <w:tc>
                <w:tcPr>
                  <w:tcW w:w="1100" w:type="dxa"/>
                  <w:tcBorders>
                    <w:tl2br w:val="nil"/>
                    <w:tr2bl w:val="nil"/>
                  </w:tcBorders>
                  <w:vAlign w:val="center"/>
                </w:tcPr>
                <w:p>
                  <w:pPr>
                    <w:spacing w:line="240" w:lineRule="atLeast"/>
                    <w:jc w:val="center"/>
                    <w:rPr>
                      <w:rFonts w:hint="default"/>
                      <w:lang w:val="en-US" w:eastAsia="zh-CN"/>
                    </w:rPr>
                  </w:pPr>
                  <w:r>
                    <w:rPr>
                      <w:rFonts w:hint="eastAsia"/>
                      <w:lang w:val="en-US" w:eastAsia="zh-CN"/>
                    </w:rPr>
                    <w:t>174</w:t>
                  </w:r>
                </w:p>
              </w:tc>
              <w:tc>
                <w:tcPr>
                  <w:tcW w:w="1763"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8522" w:type="dxa"/>
                  <w:gridSpan w:val="6"/>
                  <w:tcBorders>
                    <w:tl2br w:val="nil"/>
                    <w:tr2bl w:val="nil"/>
                  </w:tcBorders>
                </w:tcPr>
                <w:p>
                  <w:pPr>
                    <w:ind w:right="-86" w:rightChars="-36"/>
                    <w:jc w:val="left"/>
                    <w:rPr>
                      <w:rFonts w:hint="default"/>
                      <w:lang w:val="en-US" w:eastAsia="zh-CN"/>
                    </w:rPr>
                  </w:pPr>
                  <w:r>
                    <w:rPr>
                      <w:rFonts w:hint="eastAsia"/>
                      <w:lang w:val="en-US" w:eastAsia="zh-CN"/>
                    </w:rPr>
                    <w:t>注：</w:t>
                  </w:r>
                  <w:r>
                    <w:rPr>
                      <w:rFonts w:hint="eastAsia"/>
                      <w:lang w:eastAsia="zh-CN"/>
                    </w:rPr>
                    <w:t>《污水综合排放标准》</w:t>
                  </w:r>
                  <w:r>
                    <w:t>（GB8978-1996）中的三级标准；</w:t>
                  </w:r>
                  <w:r>
                    <w:rPr>
                      <w:rFonts w:hint="eastAsia"/>
                      <w:lang w:val="en-US" w:eastAsia="zh-CN"/>
                    </w:rPr>
                    <w:t>TP、TN、</w:t>
                  </w:r>
                  <w:r>
                    <w:t>氨氮排放浓度参照执行《污水排入城镇下水道水质标准》（CJ343-2010）中进入城市污水处理厂的标准</w:t>
                  </w:r>
                  <w:r>
                    <w:rPr>
                      <w:rFonts w:hint="eastAsia"/>
                      <w:lang w:eastAsia="zh-CN"/>
                    </w:rPr>
                    <w:t>。</w:t>
                  </w:r>
                </w:p>
              </w:tc>
            </w:tr>
          </w:tbl>
          <w:p>
            <w:pPr>
              <w:keepNext w:val="0"/>
              <w:keepLines w:val="0"/>
              <w:pageBreakBefore w:val="0"/>
              <w:widowControl w:val="0"/>
              <w:kinsoku/>
              <w:wordWrap/>
              <w:overflowPunct/>
              <w:topLinePunct w:val="0"/>
              <w:autoSpaceDE/>
              <w:autoSpaceDN/>
              <w:bidi w:val="0"/>
              <w:adjustRightInd/>
              <w:snapToGrid/>
              <w:spacing w:line="240" w:lineRule="auto"/>
              <w:ind w:right="482"/>
              <w:jc w:val="both"/>
              <w:textAlignment w:val="auto"/>
            </w:pPr>
            <w:r>
              <w:t xml:space="preserve"> </w:t>
            </w:r>
            <w:r>
              <w:rPr>
                <w:rFonts w:hint="eastAsia"/>
                <w:lang w:val="en-US" w:eastAsia="zh-CN"/>
              </w:rPr>
              <w:t xml:space="preserve">  </w:t>
            </w:r>
            <w:r>
              <w:t>由表7-1分析可知，项目废水中化学需氧量、氨氮、pH值、石油类、悬浮物污染物排放浓度均满足《污水综合排放标准》（GB8978-1996）三级标准要求</w:t>
            </w:r>
            <w:r>
              <w:rPr>
                <w:rFonts w:hint="eastAsia"/>
                <w:lang w:eastAsia="zh-CN"/>
              </w:rPr>
              <w:t>。</w:t>
            </w:r>
          </w:p>
          <w:p>
            <w:pPr>
              <w:ind w:firstLine="480" w:firstLineChars="200"/>
            </w:pPr>
            <w:r>
              <w:t>二、厂界环境噪声检测结果</w:t>
            </w:r>
          </w:p>
          <w:p>
            <w:pPr>
              <w:keepNext w:val="0"/>
              <w:keepLines w:val="0"/>
              <w:pageBreakBefore w:val="0"/>
              <w:widowControl w:val="0"/>
              <w:kinsoku/>
              <w:wordWrap/>
              <w:overflowPunct/>
              <w:topLinePunct w:val="0"/>
              <w:autoSpaceDE/>
              <w:autoSpaceDN/>
              <w:bidi w:val="0"/>
              <w:adjustRightInd/>
              <w:snapToGrid/>
              <w:spacing w:line="240" w:lineRule="auto"/>
              <w:ind w:right="482" w:firstLine="480" w:firstLineChars="200"/>
              <w:jc w:val="center"/>
              <w:textAlignment w:val="auto"/>
            </w:pPr>
            <w:r>
              <w:t xml:space="preserve">     表7-2  厂界环境噪声检测结果一览表   单位： dB（A）</w:t>
            </w:r>
          </w:p>
          <w:tbl>
            <w:tblPr>
              <w:tblStyle w:val="44"/>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5"/>
              <w:gridCol w:w="1164"/>
              <w:gridCol w:w="1175"/>
              <w:gridCol w:w="1175"/>
              <w:gridCol w:w="1151"/>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05" w:type="dxa"/>
                  <w:vMerge w:val="restart"/>
                  <w:tcBorders>
                    <w:tl2br w:val="nil"/>
                    <w:tr2bl w:val="nil"/>
                  </w:tcBorders>
                  <w:vAlign w:val="center"/>
                </w:tcPr>
                <w:p>
                  <w:pPr>
                    <w:spacing w:line="240" w:lineRule="auto"/>
                    <w:jc w:val="center"/>
                    <w:rPr>
                      <w:rFonts w:hint="default"/>
                    </w:rPr>
                  </w:pPr>
                  <w:r>
                    <w:rPr>
                      <w:rFonts w:hint="default"/>
                    </w:rPr>
                    <w:t>检测点位</w:t>
                  </w:r>
                </w:p>
              </w:tc>
              <w:tc>
                <w:tcPr>
                  <w:tcW w:w="1164" w:type="dxa"/>
                  <w:vMerge w:val="restart"/>
                  <w:tcBorders>
                    <w:tl2br w:val="nil"/>
                    <w:tr2bl w:val="nil"/>
                  </w:tcBorders>
                  <w:vAlign w:val="center"/>
                </w:tcPr>
                <w:p>
                  <w:pPr>
                    <w:spacing w:line="240" w:lineRule="auto"/>
                    <w:jc w:val="center"/>
                    <w:rPr>
                      <w:rFonts w:hint="default"/>
                      <w:lang w:val="en-US" w:eastAsia="zh-CN"/>
                    </w:rPr>
                  </w:pPr>
                  <w:r>
                    <w:rPr>
                      <w:rFonts w:hint="default"/>
                    </w:rPr>
                    <w:t>检测日期</w:t>
                  </w:r>
                </w:p>
              </w:tc>
              <w:tc>
                <w:tcPr>
                  <w:tcW w:w="2350" w:type="dxa"/>
                  <w:gridSpan w:val="2"/>
                  <w:tcBorders>
                    <w:tl2br w:val="nil"/>
                    <w:tr2bl w:val="nil"/>
                  </w:tcBorders>
                </w:tcPr>
                <w:p>
                  <w:pPr>
                    <w:spacing w:line="240" w:lineRule="auto"/>
                    <w:rPr>
                      <w:rFonts w:hint="default"/>
                    </w:rPr>
                  </w:pPr>
                  <w:r>
                    <w:rPr>
                      <w:rFonts w:hint="default"/>
                      <w:lang w:val="en-US" w:eastAsia="zh-CN"/>
                    </w:rPr>
                    <w:t>检测结果</w:t>
                  </w:r>
                  <w:r>
                    <w:rPr>
                      <w:rFonts w:hint="eastAsia"/>
                      <w:lang w:val="en-US" w:eastAsia="zh-CN"/>
                    </w:rPr>
                    <w:t>Leq [dB（A）]</w:t>
                  </w:r>
                </w:p>
              </w:tc>
              <w:tc>
                <w:tcPr>
                  <w:tcW w:w="2303" w:type="dxa"/>
                  <w:gridSpan w:val="2"/>
                  <w:tcBorders>
                    <w:tl2br w:val="nil"/>
                    <w:tr2bl w:val="nil"/>
                  </w:tcBorders>
                </w:tcPr>
                <w:p>
                  <w:pPr>
                    <w:spacing w:line="240" w:lineRule="auto"/>
                    <w:jc w:val="center"/>
                    <w:rPr>
                      <w:rFonts w:hint="default"/>
                      <w:lang w:val="en-US" w:eastAsia="zh-CN"/>
                    </w:rPr>
                  </w:pPr>
                  <w:r>
                    <w:rPr>
                      <w:rFonts w:hint="eastAsia"/>
                      <w:lang w:val="en-US" w:eastAsia="zh-CN"/>
                    </w:rPr>
                    <w:t>标准限值Leq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705" w:type="dxa"/>
                  <w:vMerge w:val="continue"/>
                  <w:tcBorders>
                    <w:tl2br w:val="nil"/>
                    <w:tr2bl w:val="nil"/>
                  </w:tcBorders>
                </w:tcPr>
                <w:p>
                  <w:pPr>
                    <w:spacing w:line="240" w:lineRule="auto"/>
                    <w:rPr>
                      <w:rFonts w:hint="default"/>
                    </w:rPr>
                  </w:pPr>
                </w:p>
              </w:tc>
              <w:tc>
                <w:tcPr>
                  <w:tcW w:w="1164" w:type="dxa"/>
                  <w:vMerge w:val="continue"/>
                  <w:tcBorders>
                    <w:tl2br w:val="nil"/>
                    <w:tr2bl w:val="nil"/>
                  </w:tcBorders>
                </w:tcPr>
                <w:p>
                  <w:pPr>
                    <w:spacing w:line="240" w:lineRule="auto"/>
                    <w:rPr>
                      <w:rFonts w:hint="default"/>
                      <w:lang w:val="en-US" w:eastAsia="zh-CN"/>
                    </w:rPr>
                  </w:pPr>
                </w:p>
              </w:tc>
              <w:tc>
                <w:tcPr>
                  <w:tcW w:w="1175" w:type="dxa"/>
                  <w:tcBorders>
                    <w:tl2br w:val="nil"/>
                    <w:tr2bl w:val="nil"/>
                  </w:tcBorders>
                  <w:vAlign w:val="center"/>
                </w:tcPr>
                <w:p>
                  <w:pPr>
                    <w:spacing w:line="240" w:lineRule="auto"/>
                    <w:jc w:val="center"/>
                    <w:rPr>
                      <w:rFonts w:hint="default"/>
                    </w:rPr>
                  </w:pPr>
                  <w:r>
                    <w:rPr>
                      <w:rFonts w:hint="default"/>
                    </w:rPr>
                    <w:t>昼间</w:t>
                  </w:r>
                </w:p>
              </w:tc>
              <w:tc>
                <w:tcPr>
                  <w:tcW w:w="1175" w:type="dxa"/>
                  <w:tcBorders>
                    <w:tl2br w:val="nil"/>
                    <w:tr2bl w:val="nil"/>
                  </w:tcBorders>
                  <w:vAlign w:val="center"/>
                </w:tcPr>
                <w:p>
                  <w:pPr>
                    <w:spacing w:line="240" w:lineRule="auto"/>
                    <w:jc w:val="center"/>
                    <w:rPr>
                      <w:rFonts w:hint="default"/>
                    </w:rPr>
                  </w:pPr>
                  <w:r>
                    <w:rPr>
                      <w:rFonts w:hint="default"/>
                    </w:rPr>
                    <w:t>夜间</w:t>
                  </w:r>
                </w:p>
              </w:tc>
              <w:tc>
                <w:tcPr>
                  <w:tcW w:w="1151" w:type="dxa"/>
                  <w:tcBorders>
                    <w:tl2br w:val="nil"/>
                    <w:tr2bl w:val="nil"/>
                  </w:tcBorders>
                  <w:vAlign w:val="center"/>
                </w:tcPr>
                <w:p>
                  <w:pPr>
                    <w:spacing w:line="240" w:lineRule="auto"/>
                    <w:jc w:val="center"/>
                    <w:rPr>
                      <w:rFonts w:hint="default"/>
                    </w:rPr>
                  </w:pPr>
                  <w:r>
                    <w:rPr>
                      <w:rFonts w:hint="default"/>
                    </w:rPr>
                    <w:t>昼间</w:t>
                  </w:r>
                </w:p>
              </w:tc>
              <w:tc>
                <w:tcPr>
                  <w:tcW w:w="1152" w:type="dxa"/>
                  <w:tcBorders>
                    <w:tl2br w:val="nil"/>
                    <w:tr2bl w:val="nil"/>
                  </w:tcBorders>
                  <w:vAlign w:val="center"/>
                </w:tcPr>
                <w:p>
                  <w:pPr>
                    <w:spacing w:line="240" w:lineRule="auto"/>
                    <w:jc w:val="center"/>
                    <w:rPr>
                      <w:rFonts w:hint="default"/>
                    </w:rPr>
                  </w:pPr>
                  <w:r>
                    <w:rPr>
                      <w:rFonts w:hint="default"/>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2705" w:type="dxa"/>
                  <w:vMerge w:val="restart"/>
                  <w:tcBorders>
                    <w:tl2br w:val="nil"/>
                    <w:tr2bl w:val="nil"/>
                  </w:tcBorders>
                  <w:vAlign w:val="center"/>
                </w:tcPr>
                <w:p>
                  <w:pPr>
                    <w:spacing w:line="240" w:lineRule="auto"/>
                    <w:ind w:right="-86" w:rightChars="-36"/>
                    <w:jc w:val="center"/>
                    <w:rPr>
                      <w:rFonts w:hint="default"/>
                    </w:rPr>
                  </w:pPr>
                  <w:r>
                    <w:t>N1</w:t>
                  </w:r>
                  <w:r>
                    <w:rPr>
                      <w:rFonts w:hint="eastAsia"/>
                    </w:rPr>
                    <w:t>（厂区东侧边</w:t>
                  </w:r>
                  <w:r>
                    <w:t>界外</w:t>
                  </w:r>
                  <w:r>
                    <w:rPr>
                      <w:rFonts w:hint="eastAsia"/>
                    </w:rPr>
                    <w:t>1m处）</w:t>
                  </w:r>
                </w:p>
              </w:tc>
              <w:tc>
                <w:tcPr>
                  <w:tcW w:w="1164" w:type="dxa"/>
                  <w:tcBorders>
                    <w:tl2br w:val="nil"/>
                    <w:tr2bl w:val="nil"/>
                  </w:tcBorders>
                  <w:vAlign w:val="center"/>
                </w:tcPr>
                <w:p>
                  <w:pPr>
                    <w:pStyle w:val="2"/>
                    <w:rPr>
                      <w:rFonts w:hint="default"/>
                      <w:lang w:val="en-US" w:eastAsia="zh-CN"/>
                    </w:rPr>
                  </w:pPr>
                  <w:r>
                    <w:rPr>
                      <w:rFonts w:hint="eastAsia"/>
                      <w:lang w:val="en-US" w:eastAsia="zh-CN"/>
                    </w:rPr>
                    <w:t>2021.10.20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52</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41</w:t>
                  </w:r>
                </w:p>
              </w:tc>
              <w:tc>
                <w:tcPr>
                  <w:tcW w:w="1151"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55</w:t>
                  </w:r>
                </w:p>
              </w:tc>
              <w:tc>
                <w:tcPr>
                  <w:tcW w:w="1152" w:type="dxa"/>
                  <w:vMerge w:val="restart"/>
                  <w:tcBorders>
                    <w:tl2br w:val="nil"/>
                    <w:tr2bl w:val="nil"/>
                  </w:tcBorders>
                  <w:vAlign w:val="center"/>
                </w:tcPr>
                <w:p>
                  <w:pPr>
                    <w:spacing w:line="240" w:lineRule="atLeast"/>
                    <w:jc w:val="center"/>
                    <w:rPr>
                      <w:rFonts w:hint="default"/>
                      <w:lang w:val="en-US" w:eastAsia="zh-CN"/>
                    </w:rPr>
                  </w:pPr>
                  <w:r>
                    <w:rPr>
                      <w:rFonts w:hint="eastAsia"/>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2705" w:type="dxa"/>
                  <w:vMerge w:val="continue"/>
                  <w:tcBorders>
                    <w:tl2br w:val="nil"/>
                    <w:tr2bl w:val="nil"/>
                  </w:tcBorders>
                  <w:vAlign w:val="center"/>
                </w:tcPr>
                <w:p>
                  <w:pPr>
                    <w:spacing w:line="240" w:lineRule="auto"/>
                    <w:ind w:right="-86" w:rightChars="-36"/>
                    <w:jc w:val="center"/>
                  </w:pPr>
                </w:p>
              </w:tc>
              <w:tc>
                <w:tcPr>
                  <w:tcW w:w="1164" w:type="dxa"/>
                  <w:tcBorders>
                    <w:tl2br w:val="nil"/>
                    <w:tr2bl w:val="nil"/>
                  </w:tcBorders>
                  <w:vAlign w:val="center"/>
                </w:tcPr>
                <w:p>
                  <w:pPr>
                    <w:pStyle w:val="2"/>
                    <w:rPr>
                      <w:rFonts w:hint="default"/>
                      <w:lang w:val="en-US" w:eastAsia="zh-CN"/>
                    </w:rPr>
                  </w:pPr>
                  <w:r>
                    <w:rPr>
                      <w:rFonts w:hint="eastAsia"/>
                      <w:lang w:val="en-US" w:eastAsia="zh-CN"/>
                    </w:rPr>
                    <w:t>2021.10.21</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48</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39</w:t>
                  </w:r>
                </w:p>
              </w:tc>
              <w:tc>
                <w:tcPr>
                  <w:tcW w:w="1151" w:type="dxa"/>
                  <w:vMerge w:val="continue"/>
                  <w:tcBorders>
                    <w:tl2br w:val="nil"/>
                    <w:tr2bl w:val="nil"/>
                  </w:tcBorders>
                  <w:vAlign w:val="center"/>
                </w:tcPr>
                <w:p>
                  <w:pPr>
                    <w:spacing w:line="240" w:lineRule="atLeast"/>
                    <w:jc w:val="center"/>
                    <w:rPr>
                      <w:rFonts w:hint="eastAsia"/>
                      <w:lang w:val="en-US" w:eastAsia="zh-CN"/>
                    </w:rPr>
                  </w:pPr>
                </w:p>
              </w:tc>
              <w:tc>
                <w:tcPr>
                  <w:tcW w:w="1152" w:type="dxa"/>
                  <w:vMerge w:val="continue"/>
                  <w:tcBorders>
                    <w:tl2br w:val="nil"/>
                    <w:tr2bl w:val="nil"/>
                  </w:tcBorders>
                  <w:vAlign w:val="center"/>
                </w:tcPr>
                <w:p>
                  <w:pPr>
                    <w:spacing w:line="240" w:lineRule="atLeast"/>
                    <w:jc w:val="cente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705" w:type="dxa"/>
                  <w:vMerge w:val="restart"/>
                  <w:tcBorders>
                    <w:tl2br w:val="nil"/>
                    <w:tr2bl w:val="nil"/>
                  </w:tcBorders>
                  <w:vAlign w:val="center"/>
                </w:tcPr>
                <w:p>
                  <w:pPr>
                    <w:spacing w:line="240" w:lineRule="auto"/>
                    <w:ind w:right="-86" w:rightChars="-36"/>
                    <w:jc w:val="center"/>
                    <w:rPr>
                      <w:rFonts w:hint="default"/>
                    </w:rPr>
                  </w:pPr>
                  <w:r>
                    <w:rPr>
                      <w:rFonts w:hint="eastAsia"/>
                    </w:rPr>
                    <w:t>N2（厂区南侧边</w:t>
                  </w:r>
                  <w:r>
                    <w:t>界外</w:t>
                  </w:r>
                  <w:r>
                    <w:rPr>
                      <w:rFonts w:hint="eastAsia"/>
                    </w:rPr>
                    <w:t>1m处）</w:t>
                  </w:r>
                </w:p>
              </w:tc>
              <w:tc>
                <w:tcPr>
                  <w:tcW w:w="1164" w:type="dxa"/>
                  <w:tcBorders>
                    <w:tl2br w:val="nil"/>
                    <w:tr2bl w:val="nil"/>
                  </w:tcBorders>
                  <w:vAlign w:val="center"/>
                </w:tcPr>
                <w:p>
                  <w:pPr>
                    <w:pStyle w:val="2"/>
                    <w:rPr>
                      <w:rFonts w:hint="eastAsia"/>
                      <w:lang w:val="en-US" w:eastAsia="zh-CN"/>
                    </w:rPr>
                  </w:pPr>
                  <w:r>
                    <w:rPr>
                      <w:rFonts w:hint="eastAsia"/>
                      <w:lang w:val="en-US" w:eastAsia="zh-CN"/>
                    </w:rPr>
                    <w:t>2021.10.20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50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43</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 w:hRule="atLeast"/>
                <w:jc w:val="center"/>
              </w:trPr>
              <w:tc>
                <w:tcPr>
                  <w:tcW w:w="2705" w:type="dxa"/>
                  <w:vMerge w:val="continue"/>
                  <w:tcBorders>
                    <w:tl2br w:val="nil"/>
                    <w:tr2bl w:val="nil"/>
                  </w:tcBorders>
                  <w:vAlign w:val="center"/>
                </w:tcPr>
                <w:p>
                  <w:pPr>
                    <w:spacing w:line="240" w:lineRule="auto"/>
                    <w:ind w:right="-86" w:rightChars="-36"/>
                    <w:jc w:val="center"/>
                    <w:rPr>
                      <w:rFonts w:hint="eastAsia"/>
                    </w:rPr>
                  </w:pPr>
                </w:p>
              </w:tc>
              <w:tc>
                <w:tcPr>
                  <w:tcW w:w="1164" w:type="dxa"/>
                  <w:tcBorders>
                    <w:tl2br w:val="nil"/>
                    <w:tr2bl w:val="nil"/>
                  </w:tcBorders>
                  <w:vAlign w:val="center"/>
                </w:tcPr>
                <w:p>
                  <w:pPr>
                    <w:pStyle w:val="2"/>
                    <w:rPr>
                      <w:rFonts w:hint="eastAsia"/>
                      <w:lang w:val="en-US" w:eastAsia="zh-CN"/>
                    </w:rPr>
                  </w:pPr>
                  <w:r>
                    <w:rPr>
                      <w:rFonts w:hint="eastAsia"/>
                      <w:lang w:val="en-US" w:eastAsia="zh-CN"/>
                    </w:rPr>
                    <w:t>2021.10.21</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53</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43</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2705" w:type="dxa"/>
                  <w:vMerge w:val="restart"/>
                  <w:tcBorders>
                    <w:tl2br w:val="nil"/>
                    <w:tr2bl w:val="nil"/>
                  </w:tcBorders>
                  <w:vAlign w:val="center"/>
                </w:tcPr>
                <w:p>
                  <w:pPr>
                    <w:spacing w:line="240" w:lineRule="auto"/>
                    <w:ind w:right="-86" w:rightChars="-36"/>
                    <w:jc w:val="center"/>
                    <w:rPr>
                      <w:rFonts w:hint="default"/>
                    </w:rPr>
                  </w:pPr>
                  <w:r>
                    <w:rPr>
                      <w:rFonts w:hint="eastAsia"/>
                    </w:rPr>
                    <w:t>N</w:t>
                  </w:r>
                  <w:r>
                    <w:t>3</w:t>
                  </w:r>
                  <w:r>
                    <w:rPr>
                      <w:rFonts w:hint="eastAsia"/>
                    </w:rPr>
                    <w:t>（厂区西侧边</w:t>
                  </w:r>
                  <w:r>
                    <w:t>界外</w:t>
                  </w:r>
                  <w:r>
                    <w:rPr>
                      <w:rFonts w:hint="eastAsia"/>
                    </w:rPr>
                    <w:t>1m处）</w:t>
                  </w:r>
                </w:p>
              </w:tc>
              <w:tc>
                <w:tcPr>
                  <w:tcW w:w="1164" w:type="dxa"/>
                  <w:tcBorders>
                    <w:tl2br w:val="nil"/>
                    <w:tr2bl w:val="nil"/>
                  </w:tcBorders>
                  <w:vAlign w:val="center"/>
                </w:tcPr>
                <w:p>
                  <w:pPr>
                    <w:pStyle w:val="2"/>
                    <w:rPr>
                      <w:rFonts w:hint="eastAsia"/>
                      <w:lang w:val="en-US" w:eastAsia="zh-CN"/>
                    </w:rPr>
                  </w:pPr>
                  <w:r>
                    <w:rPr>
                      <w:rFonts w:hint="eastAsia"/>
                      <w:lang w:val="en-US" w:eastAsia="zh-CN"/>
                    </w:rPr>
                    <w:t>2021.10.20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51</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42</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2705" w:type="dxa"/>
                  <w:vMerge w:val="continue"/>
                  <w:tcBorders>
                    <w:tl2br w:val="nil"/>
                    <w:tr2bl w:val="nil"/>
                  </w:tcBorders>
                  <w:vAlign w:val="center"/>
                </w:tcPr>
                <w:p>
                  <w:pPr>
                    <w:spacing w:line="240" w:lineRule="auto"/>
                    <w:ind w:right="-86" w:rightChars="-36"/>
                    <w:jc w:val="center"/>
                    <w:rPr>
                      <w:rFonts w:hint="eastAsia"/>
                    </w:rPr>
                  </w:pPr>
                </w:p>
              </w:tc>
              <w:tc>
                <w:tcPr>
                  <w:tcW w:w="1164" w:type="dxa"/>
                  <w:tcBorders>
                    <w:tl2br w:val="nil"/>
                    <w:tr2bl w:val="nil"/>
                  </w:tcBorders>
                  <w:vAlign w:val="center"/>
                </w:tcPr>
                <w:p>
                  <w:pPr>
                    <w:pStyle w:val="2"/>
                    <w:rPr>
                      <w:rFonts w:hint="eastAsia"/>
                      <w:lang w:val="en-US" w:eastAsia="zh-CN"/>
                    </w:rPr>
                  </w:pPr>
                  <w:r>
                    <w:rPr>
                      <w:rFonts w:hint="eastAsia"/>
                      <w:lang w:val="en-US" w:eastAsia="zh-CN"/>
                    </w:rPr>
                    <w:t>2021.10.21</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51</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42</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2705" w:type="dxa"/>
                  <w:vMerge w:val="restart"/>
                  <w:tcBorders>
                    <w:tl2br w:val="nil"/>
                    <w:tr2bl w:val="nil"/>
                  </w:tcBorders>
                  <w:vAlign w:val="center"/>
                </w:tcPr>
                <w:p>
                  <w:pPr>
                    <w:spacing w:line="240" w:lineRule="auto"/>
                    <w:ind w:right="-86" w:rightChars="-36"/>
                    <w:jc w:val="both"/>
                    <w:rPr>
                      <w:rFonts w:hint="eastAsia"/>
                      <w:lang w:val="en-US" w:eastAsia="zh-CN"/>
                    </w:rPr>
                  </w:pPr>
                  <w:r>
                    <w:rPr>
                      <w:rFonts w:hint="eastAsia"/>
                    </w:rPr>
                    <w:t>N4（厂区北侧边</w:t>
                  </w:r>
                  <w:r>
                    <w:t>界外</w:t>
                  </w:r>
                  <w:r>
                    <w:rPr>
                      <w:rFonts w:hint="eastAsia"/>
                    </w:rPr>
                    <w:t>1m处）</w:t>
                  </w:r>
                </w:p>
              </w:tc>
              <w:tc>
                <w:tcPr>
                  <w:tcW w:w="1164" w:type="dxa"/>
                  <w:tcBorders>
                    <w:tl2br w:val="nil"/>
                    <w:tr2bl w:val="nil"/>
                  </w:tcBorders>
                  <w:vAlign w:val="center"/>
                </w:tcPr>
                <w:p>
                  <w:pPr>
                    <w:pStyle w:val="2"/>
                    <w:rPr>
                      <w:rFonts w:hint="eastAsia"/>
                      <w:lang w:val="en-US" w:eastAsia="zh-CN"/>
                    </w:rPr>
                  </w:pPr>
                  <w:r>
                    <w:rPr>
                      <w:rFonts w:hint="eastAsia"/>
                      <w:lang w:val="en-US" w:eastAsia="zh-CN"/>
                    </w:rPr>
                    <w:t>2021.10.20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48</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40</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2705" w:type="dxa"/>
                  <w:vMerge w:val="continue"/>
                  <w:tcBorders>
                    <w:tl2br w:val="nil"/>
                    <w:tr2bl w:val="nil"/>
                  </w:tcBorders>
                  <w:vAlign w:val="center"/>
                </w:tcPr>
                <w:p>
                  <w:pPr>
                    <w:spacing w:line="240" w:lineRule="auto"/>
                    <w:ind w:right="-86" w:rightChars="-36"/>
                    <w:jc w:val="both"/>
                    <w:rPr>
                      <w:rFonts w:hint="eastAsia"/>
                    </w:rPr>
                  </w:pPr>
                </w:p>
              </w:tc>
              <w:tc>
                <w:tcPr>
                  <w:tcW w:w="1164" w:type="dxa"/>
                  <w:tcBorders>
                    <w:tl2br w:val="nil"/>
                    <w:tr2bl w:val="nil"/>
                  </w:tcBorders>
                  <w:vAlign w:val="center"/>
                </w:tcPr>
                <w:p>
                  <w:pPr>
                    <w:pStyle w:val="2"/>
                    <w:rPr>
                      <w:rFonts w:hint="eastAsia"/>
                      <w:lang w:val="en-US" w:eastAsia="zh-CN"/>
                    </w:rPr>
                  </w:pPr>
                  <w:r>
                    <w:rPr>
                      <w:rFonts w:hint="eastAsia"/>
                      <w:lang w:val="en-US" w:eastAsia="zh-CN"/>
                    </w:rPr>
                    <w:t>2021.10.21</w:t>
                  </w:r>
                </w:p>
              </w:tc>
              <w:tc>
                <w:tcPr>
                  <w:tcW w:w="1175" w:type="dxa"/>
                  <w:tcBorders>
                    <w:tl2br w:val="nil"/>
                    <w:tr2bl w:val="nil"/>
                  </w:tcBorders>
                  <w:vAlign w:val="center"/>
                </w:tcPr>
                <w:p>
                  <w:pPr>
                    <w:spacing w:line="240" w:lineRule="atLeast"/>
                    <w:jc w:val="center"/>
                    <w:rPr>
                      <w:rFonts w:hint="eastAsia"/>
                      <w:lang w:val="en-US" w:eastAsia="zh-CN"/>
                    </w:rPr>
                  </w:pPr>
                  <w:r>
                    <w:rPr>
                      <w:rFonts w:hint="eastAsia"/>
                      <w:lang w:val="en-US" w:eastAsia="zh-CN"/>
                    </w:rPr>
                    <w:t>50</w:t>
                  </w:r>
                </w:p>
              </w:tc>
              <w:tc>
                <w:tcPr>
                  <w:tcW w:w="1175" w:type="dxa"/>
                  <w:tcBorders>
                    <w:tl2br w:val="nil"/>
                    <w:tr2bl w:val="nil"/>
                  </w:tcBorders>
                  <w:vAlign w:val="center"/>
                </w:tcPr>
                <w:p>
                  <w:pPr>
                    <w:spacing w:line="240" w:lineRule="atLeast"/>
                    <w:jc w:val="center"/>
                    <w:rPr>
                      <w:rFonts w:hint="default"/>
                      <w:lang w:val="en-US" w:eastAsia="zh-CN"/>
                    </w:rPr>
                  </w:pPr>
                  <w:r>
                    <w:rPr>
                      <w:rFonts w:hint="eastAsia"/>
                      <w:lang w:val="en-US" w:eastAsia="zh-CN"/>
                    </w:rPr>
                    <w:t>41</w:t>
                  </w:r>
                </w:p>
              </w:tc>
              <w:tc>
                <w:tcPr>
                  <w:tcW w:w="1151" w:type="dxa"/>
                  <w:vMerge w:val="continue"/>
                  <w:tcBorders>
                    <w:tl2br w:val="nil"/>
                    <w:tr2bl w:val="nil"/>
                  </w:tcBorders>
                  <w:vAlign w:val="center"/>
                </w:tcPr>
                <w:p>
                  <w:pPr>
                    <w:spacing w:line="240" w:lineRule="atLeast"/>
                    <w:jc w:val="center"/>
                    <w:rPr>
                      <w:rFonts w:hint="default"/>
                      <w:lang w:val="en-US" w:eastAsia="zh-CN"/>
                    </w:rPr>
                  </w:pPr>
                </w:p>
              </w:tc>
              <w:tc>
                <w:tcPr>
                  <w:tcW w:w="1152" w:type="dxa"/>
                  <w:vMerge w:val="continue"/>
                  <w:tcBorders>
                    <w:tl2br w:val="nil"/>
                    <w:tr2bl w:val="nil"/>
                  </w:tcBorders>
                  <w:vAlign w:val="center"/>
                </w:tcPr>
                <w:p>
                  <w:pPr>
                    <w:spacing w:line="240" w:lineRule="atLeast"/>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8522" w:type="dxa"/>
                  <w:gridSpan w:val="6"/>
                  <w:tcBorders>
                    <w:tl2br w:val="nil"/>
                    <w:tr2bl w:val="nil"/>
                  </w:tcBorders>
                  <w:vAlign w:val="center"/>
                </w:tcPr>
                <w:p>
                  <w:pPr>
                    <w:spacing w:line="240" w:lineRule="atLeast"/>
                    <w:jc w:val="both"/>
                    <w:rPr>
                      <w:rFonts w:hint="default"/>
                      <w:lang w:val="en-US" w:eastAsia="zh-CN"/>
                    </w:rPr>
                  </w:pPr>
                  <w:r>
                    <w:rPr>
                      <w:rFonts w:hint="eastAsia"/>
                      <w:lang w:val="en-US" w:eastAsia="zh-CN"/>
                    </w:rPr>
                    <w:t>注：标准限值参考</w:t>
                  </w:r>
                  <w:r>
                    <w:rPr>
                      <w:rFonts w:hint="eastAsia"/>
                    </w:rPr>
                    <w:t>《</w:t>
                  </w:r>
                  <w:r>
                    <w:rPr>
                      <w:rFonts w:hint="eastAsia"/>
                      <w:lang w:val="en-US" w:eastAsia="zh-CN"/>
                    </w:rPr>
                    <w:t>工业企业厂界环境噪声排放标准</w:t>
                  </w:r>
                  <w:r>
                    <w:rPr>
                      <w:rFonts w:hint="eastAsia"/>
                    </w:rPr>
                    <w:t>》（GB</w:t>
                  </w:r>
                  <w:r>
                    <w:rPr>
                      <w:rFonts w:hint="eastAsia"/>
                      <w:lang w:val="en-US" w:eastAsia="zh-CN"/>
                    </w:rPr>
                    <w:t>12348-2008</w:t>
                  </w:r>
                  <w:r>
                    <w:rPr>
                      <w:rFonts w:hint="eastAsia"/>
                    </w:rPr>
                    <w:t>）</w:t>
                  </w:r>
                  <w:r>
                    <w:rPr>
                      <w:rFonts w:hint="eastAsia"/>
                      <w:lang w:val="en-US" w:eastAsia="zh-CN"/>
                    </w:rPr>
                    <w:t>1</w:t>
                  </w:r>
                  <w:r>
                    <w:rPr>
                      <w:rFonts w:hint="eastAsia"/>
                    </w:rPr>
                    <w:t>类</w:t>
                  </w:r>
                  <w:r>
                    <w:rPr>
                      <w:rFonts w:hint="eastAsia"/>
                      <w:lang w:val="en-US" w:eastAsia="zh-CN"/>
                    </w:rPr>
                    <w:t>限值</w:t>
                  </w:r>
                </w:p>
              </w:tc>
            </w:tr>
          </w:tbl>
          <w:p>
            <w:pPr>
              <w:adjustRightInd w:val="0"/>
              <w:ind w:firstLine="480" w:firstLineChars="200"/>
            </w:pPr>
            <w:r>
              <w:t xml:space="preserve">  由表7-2可知：验收监测期间，项目（南、西、东、北侧外1m处）4个监测点位中测得昼间噪声值为4</w:t>
            </w:r>
            <w:r>
              <w:rPr>
                <w:rFonts w:hint="eastAsia"/>
                <w:lang w:val="en-US" w:eastAsia="zh-CN"/>
              </w:rPr>
              <w:t>8</w:t>
            </w:r>
            <w:r>
              <w:t xml:space="preserve">- </w:t>
            </w:r>
            <w:r>
              <w:rPr>
                <w:rFonts w:hint="eastAsia"/>
                <w:lang w:val="en-US" w:eastAsia="zh-CN"/>
              </w:rPr>
              <w:t>53</w:t>
            </w:r>
            <w:r>
              <w:t xml:space="preserve"> dB（A），夜间噪声值为</w:t>
            </w:r>
            <w:r>
              <w:rPr>
                <w:rFonts w:hint="eastAsia"/>
                <w:lang w:val="en-US" w:eastAsia="zh-CN"/>
              </w:rPr>
              <w:t>39</w:t>
            </w:r>
            <w:r>
              <w:t>-</w:t>
            </w:r>
            <w:r>
              <w:rPr>
                <w:rFonts w:hint="eastAsia"/>
                <w:lang w:val="en-US" w:eastAsia="zh-CN"/>
              </w:rPr>
              <w:t>43</w:t>
            </w:r>
            <w:r>
              <w:t>dB（A），符合《工厂企业厂界环境噪声排放标准》（GB12348-2008）中1类标准。</w:t>
            </w:r>
          </w:p>
          <w:p>
            <w:pPr>
              <w:textAlignment w:val="top"/>
            </w:pPr>
          </w:p>
          <w:p>
            <w:pPr>
              <w:pStyle w:val="2"/>
            </w:pPr>
          </w:p>
          <w:p>
            <w:pPr>
              <w:pStyle w:val="2"/>
            </w:pPr>
          </w:p>
          <w:p>
            <w:pPr>
              <w:pStyle w:val="2"/>
            </w:pPr>
          </w:p>
          <w:p>
            <w:pPr>
              <w:pStyle w:val="2"/>
              <w:ind w:left="0" w:leftChars="0" w:firstLine="0" w:firstLineChars="0"/>
            </w:pPr>
          </w:p>
          <w:p>
            <w:pPr>
              <w:pStyle w:val="2"/>
            </w:pPr>
          </w:p>
          <w:p>
            <w:pPr>
              <w:textAlignment w:val="top"/>
            </w:pPr>
          </w:p>
          <w:p>
            <w:pPr>
              <w:pStyle w:val="2"/>
            </w:pPr>
          </w:p>
        </w:tc>
      </w:tr>
    </w:tbl>
    <w:p>
      <w:pPr>
        <w:spacing w:line="240" w:lineRule="auto"/>
        <w:jc w:val="center"/>
        <w:outlineLvl w:val="0"/>
        <w:rPr>
          <w:rFonts w:hAnsi="宋体"/>
          <w:b/>
          <w:sz w:val="28"/>
          <w:szCs w:val="28"/>
        </w:rPr>
      </w:pPr>
      <w:bookmarkStart w:id="10" w:name="_Toc22318"/>
    </w:p>
    <w:p>
      <w:pPr>
        <w:spacing w:line="240" w:lineRule="auto"/>
        <w:jc w:val="center"/>
        <w:outlineLvl w:val="0"/>
        <w:rPr>
          <w:rFonts w:hAnsi="宋体"/>
          <w:b/>
          <w:sz w:val="28"/>
          <w:szCs w:val="28"/>
        </w:rPr>
      </w:pPr>
      <w:r>
        <w:rPr>
          <w:rFonts w:hAnsi="宋体"/>
          <w:b/>
          <w:sz w:val="28"/>
          <w:szCs w:val="28"/>
        </w:rPr>
        <w:t>表八   验收结论</w:t>
      </w:r>
      <w:bookmarkEnd w:id="10"/>
    </w:p>
    <w:tbl>
      <w:tblPr>
        <w:tblStyle w:val="43"/>
        <w:tblW w:w="9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6" w:type="dxa"/>
            <w:vAlign w:val="center"/>
          </w:tcPr>
          <w:p>
            <w:pPr>
              <w:ind w:firstLine="482" w:firstLineChars="200"/>
              <w:textAlignment w:val="top"/>
              <w:rPr>
                <w:b/>
              </w:rPr>
            </w:pPr>
            <w:r>
              <w:rPr>
                <w:b/>
              </w:rPr>
              <w:t xml:space="preserve">1 </w:t>
            </w:r>
            <w:r>
              <w:rPr>
                <w:rFonts w:hAnsi="宋体"/>
                <w:b/>
              </w:rPr>
              <w:t>验收监测结论</w:t>
            </w:r>
          </w:p>
          <w:p>
            <w:pPr>
              <w:ind w:firstLine="482" w:firstLineChars="200"/>
              <w:textAlignment w:val="top"/>
              <w:rPr>
                <w:b/>
              </w:rPr>
            </w:pPr>
            <w:r>
              <w:rPr>
                <w:b/>
              </w:rPr>
              <w:t xml:space="preserve">1.1 </w:t>
            </w:r>
            <w:r>
              <w:rPr>
                <w:rFonts w:hAnsi="宋体"/>
                <w:b/>
              </w:rPr>
              <w:t>项目建设内容变化情况结论</w:t>
            </w:r>
          </w:p>
          <w:p>
            <w:pPr>
              <w:ind w:firstLine="480" w:firstLineChars="200"/>
              <w:textAlignment w:val="top"/>
            </w:pPr>
            <w:r>
              <w:rPr>
                <w:rFonts w:hAnsi="宋体"/>
              </w:rPr>
              <w:t>本项目实际建设工程内容与环评报告表总体上看</w:t>
            </w:r>
            <w:r>
              <w:rPr>
                <w:rFonts w:hint="eastAsia" w:hAnsi="宋体"/>
                <w:lang w:val="en-US" w:eastAsia="zh-CN"/>
              </w:rPr>
              <w:t>仅在基础设施方面发生少许变动</w:t>
            </w:r>
            <w:r>
              <w:rPr>
                <w:rFonts w:hAnsi="宋体"/>
              </w:rPr>
              <w:t>，项目建设未发生重大变动。</w:t>
            </w:r>
          </w:p>
          <w:p>
            <w:pPr>
              <w:ind w:firstLine="482" w:firstLineChars="200"/>
              <w:textAlignment w:val="top"/>
              <w:rPr>
                <w:b/>
              </w:rPr>
            </w:pPr>
            <w:r>
              <w:rPr>
                <w:b/>
              </w:rPr>
              <w:t xml:space="preserve">1.2 </w:t>
            </w:r>
            <w:r>
              <w:rPr>
                <w:rFonts w:hAnsi="宋体"/>
                <w:b/>
              </w:rPr>
              <w:t>环境保护措施执行情况结论</w:t>
            </w:r>
          </w:p>
          <w:p>
            <w:pPr>
              <w:ind w:firstLine="480" w:firstLineChars="200"/>
              <w:textAlignment w:val="top"/>
            </w:pPr>
            <w:r>
              <w:rPr>
                <w:rFonts w:hAnsi="宋体"/>
              </w:rPr>
              <w:t>项目已基本落实环境影响报告表及审批文件中要求的环境保护措施，通过对项目厂界噪声、废水的现场检测结果可知，项目排放的污染物浓度均满足相应的排放标准，故认为项目环保措施的执行效果较好。</w:t>
            </w:r>
          </w:p>
          <w:p>
            <w:pPr>
              <w:ind w:firstLine="482" w:firstLineChars="200"/>
              <w:textAlignment w:val="top"/>
              <w:rPr>
                <w:b/>
              </w:rPr>
            </w:pPr>
            <w:r>
              <w:rPr>
                <w:b/>
              </w:rPr>
              <w:t xml:space="preserve">1.3 </w:t>
            </w:r>
            <w:r>
              <w:rPr>
                <w:rFonts w:hAnsi="宋体"/>
                <w:b/>
              </w:rPr>
              <w:t>污染物排放监测结果</w:t>
            </w:r>
          </w:p>
          <w:p>
            <w:pPr>
              <w:ind w:firstLine="482" w:firstLineChars="200"/>
              <w:textAlignment w:val="top"/>
              <w:rPr>
                <w:b/>
              </w:rPr>
            </w:pPr>
            <w:r>
              <w:rPr>
                <w:b/>
              </w:rPr>
              <w:t xml:space="preserve">1.3.1 </w:t>
            </w:r>
            <w:r>
              <w:rPr>
                <w:rFonts w:hAnsi="宋体"/>
                <w:b/>
              </w:rPr>
              <w:t>废水</w:t>
            </w:r>
          </w:p>
          <w:p>
            <w:pPr>
              <w:pStyle w:val="17"/>
              <w:ind w:firstLine="420"/>
              <w:rPr>
                <w:color w:val="000000" w:themeColor="text1"/>
                <w:sz w:val="24"/>
              </w:rPr>
            </w:pPr>
            <w:r>
              <w:rPr>
                <w:rFonts w:hAnsi="宋体"/>
                <w:color w:val="000000" w:themeColor="text1"/>
                <w:sz w:val="24"/>
              </w:rPr>
              <w:t>监测结果表明，项目生活污水经处理后排污口各监测因子均满足</w:t>
            </w:r>
            <w:r>
              <w:rPr>
                <w:rFonts w:hAnsi="宋体"/>
                <w:snapToGrid w:val="0"/>
                <w:color w:val="000000" w:themeColor="text1"/>
                <w:kern w:val="0"/>
                <w:sz w:val="24"/>
              </w:rPr>
              <w:t>《污水综合排放标准》（</w:t>
            </w:r>
            <w:r>
              <w:rPr>
                <w:snapToGrid w:val="0"/>
                <w:color w:val="000000" w:themeColor="text1"/>
                <w:kern w:val="0"/>
                <w:sz w:val="24"/>
              </w:rPr>
              <w:t>GB8978-1996</w:t>
            </w:r>
            <w:r>
              <w:rPr>
                <w:rFonts w:hAnsi="宋体"/>
                <w:snapToGrid w:val="0"/>
                <w:color w:val="000000" w:themeColor="text1"/>
                <w:kern w:val="0"/>
                <w:sz w:val="24"/>
              </w:rPr>
              <w:t>）三级标准要求</w:t>
            </w:r>
            <w:r>
              <w:rPr>
                <w:rFonts w:hAnsi="宋体"/>
                <w:color w:val="000000" w:themeColor="text1"/>
                <w:sz w:val="24"/>
              </w:rPr>
              <w:t>。</w:t>
            </w:r>
          </w:p>
          <w:p>
            <w:pPr>
              <w:ind w:firstLine="482" w:firstLineChars="200"/>
              <w:textAlignment w:val="top"/>
              <w:rPr>
                <w:b/>
              </w:rPr>
            </w:pPr>
            <w:r>
              <w:rPr>
                <w:b/>
              </w:rPr>
              <w:t xml:space="preserve">1.3.2 </w:t>
            </w:r>
            <w:r>
              <w:rPr>
                <w:rFonts w:hAnsi="宋体"/>
                <w:b/>
              </w:rPr>
              <w:t>噪声</w:t>
            </w:r>
          </w:p>
          <w:p>
            <w:pPr>
              <w:ind w:firstLine="480" w:firstLineChars="200"/>
              <w:textAlignment w:val="top"/>
              <w:rPr>
                <w:color w:val="000000" w:themeColor="text1"/>
              </w:rPr>
            </w:pPr>
            <w:r>
              <w:rPr>
                <w:rFonts w:hAnsi="宋体"/>
                <w:color w:val="000000" w:themeColor="text1"/>
              </w:rPr>
              <w:t>监测结果表明，项目（南、西、东、北侧外</w:t>
            </w:r>
            <w:r>
              <w:rPr>
                <w:color w:val="000000" w:themeColor="text1"/>
              </w:rPr>
              <w:t>1m</w:t>
            </w:r>
            <w:r>
              <w:rPr>
                <w:rFonts w:hAnsi="宋体"/>
                <w:color w:val="000000" w:themeColor="text1"/>
              </w:rPr>
              <w:t>处）</w:t>
            </w:r>
            <w:r>
              <w:rPr>
                <w:color w:val="000000" w:themeColor="text1"/>
              </w:rPr>
              <w:t>4</w:t>
            </w:r>
            <w:r>
              <w:rPr>
                <w:rFonts w:hAnsi="宋体"/>
                <w:color w:val="000000" w:themeColor="text1"/>
              </w:rPr>
              <w:t>个监测点位中</w:t>
            </w:r>
            <w:r>
              <w:rPr>
                <w:color w:val="000000" w:themeColor="text1"/>
              </w:rPr>
              <w:t>N1-N4</w:t>
            </w:r>
            <w:r>
              <w:rPr>
                <w:rFonts w:hAnsi="宋体"/>
                <w:color w:val="000000" w:themeColor="text1"/>
              </w:rPr>
              <w:t>监测点位昼间噪声值</w:t>
            </w:r>
            <w:r>
              <w:rPr>
                <w:rFonts w:hint="eastAsia"/>
                <w:color w:val="000000" w:themeColor="text1"/>
                <w:lang w:val="en-US" w:eastAsia="zh-CN"/>
              </w:rPr>
              <w:t>48</w:t>
            </w:r>
            <w:r>
              <w:rPr>
                <w:color w:val="000000" w:themeColor="text1"/>
              </w:rPr>
              <w:t xml:space="preserve">- </w:t>
            </w:r>
            <w:r>
              <w:rPr>
                <w:rFonts w:hint="eastAsia"/>
                <w:color w:val="000000" w:themeColor="text1"/>
                <w:lang w:val="en-US" w:eastAsia="zh-CN"/>
              </w:rPr>
              <w:t>53</w:t>
            </w:r>
            <w:r>
              <w:rPr>
                <w:color w:val="000000" w:themeColor="text1"/>
              </w:rPr>
              <w:t xml:space="preserve"> dB(A)</w:t>
            </w:r>
            <w:r>
              <w:rPr>
                <w:rFonts w:hAnsi="宋体"/>
                <w:color w:val="000000" w:themeColor="text1"/>
              </w:rPr>
              <w:t>、夜间噪声值</w:t>
            </w:r>
            <w:r>
              <w:rPr>
                <w:rFonts w:hint="eastAsia"/>
                <w:color w:val="000000" w:themeColor="text1"/>
                <w:lang w:val="en-US" w:eastAsia="zh-CN"/>
              </w:rPr>
              <w:t>39</w:t>
            </w:r>
            <w:r>
              <w:rPr>
                <w:color w:val="000000" w:themeColor="text1"/>
              </w:rPr>
              <w:t>-</w:t>
            </w:r>
            <w:r>
              <w:rPr>
                <w:rFonts w:hint="eastAsia"/>
                <w:color w:val="000000" w:themeColor="text1"/>
                <w:lang w:val="en-US" w:eastAsia="zh-CN"/>
              </w:rPr>
              <w:t>43</w:t>
            </w:r>
            <w:r>
              <w:rPr>
                <w:color w:val="000000" w:themeColor="text1"/>
              </w:rPr>
              <w:t>dB(A)</w:t>
            </w:r>
            <w:r>
              <w:rPr>
                <w:rFonts w:hAnsi="宋体"/>
                <w:color w:val="000000" w:themeColor="text1"/>
              </w:rPr>
              <w:t>满足</w:t>
            </w:r>
            <w:r>
              <w:rPr>
                <w:rFonts w:hAnsi="宋体"/>
                <w:color w:val="000000" w:themeColor="text1"/>
                <w:szCs w:val="21"/>
              </w:rPr>
              <w:t>《工厂企业厂界环境噪声排放标准》（</w:t>
            </w:r>
            <w:r>
              <w:rPr>
                <w:color w:val="000000" w:themeColor="text1"/>
                <w:szCs w:val="21"/>
              </w:rPr>
              <w:t>GB22337-2008</w:t>
            </w:r>
            <w:r>
              <w:rPr>
                <w:rFonts w:hAnsi="宋体"/>
                <w:color w:val="000000" w:themeColor="text1"/>
                <w:szCs w:val="21"/>
              </w:rPr>
              <w:t>）</w:t>
            </w:r>
            <w:r>
              <w:rPr>
                <w:rFonts w:hAnsi="宋体"/>
                <w:color w:val="000000" w:themeColor="text1"/>
                <w:kern w:val="0"/>
              </w:rPr>
              <w:t>中</w:t>
            </w:r>
            <w:r>
              <w:rPr>
                <w:color w:val="000000" w:themeColor="text1"/>
                <w:kern w:val="0"/>
              </w:rPr>
              <w:t>1</w:t>
            </w:r>
            <w:r>
              <w:rPr>
                <w:rFonts w:hAnsi="宋体"/>
                <w:color w:val="000000" w:themeColor="text1"/>
              </w:rPr>
              <w:t>类标准限值要求。</w:t>
            </w:r>
          </w:p>
          <w:p>
            <w:pPr>
              <w:ind w:firstLine="482" w:firstLineChars="200"/>
              <w:textAlignment w:val="top"/>
              <w:rPr>
                <w:b/>
              </w:rPr>
            </w:pPr>
            <w:r>
              <w:rPr>
                <w:b/>
              </w:rPr>
              <w:t xml:space="preserve">2 </w:t>
            </w:r>
            <w:r>
              <w:rPr>
                <w:rFonts w:hAnsi="宋体"/>
                <w:b/>
              </w:rPr>
              <w:t>工程建设对环境的影响</w:t>
            </w:r>
          </w:p>
          <w:p>
            <w:pPr>
              <w:ind w:firstLine="482" w:firstLineChars="200"/>
              <w:textAlignment w:val="top"/>
              <w:rPr>
                <w:b/>
              </w:rPr>
            </w:pPr>
            <w:r>
              <w:rPr>
                <w:b/>
              </w:rPr>
              <w:t xml:space="preserve">2..1 </w:t>
            </w:r>
            <w:r>
              <w:rPr>
                <w:rFonts w:hAnsi="宋体"/>
                <w:b/>
              </w:rPr>
              <w:t>大气环境</w:t>
            </w:r>
          </w:p>
          <w:p>
            <w:r>
              <w:t xml:space="preserve">    </w:t>
            </w:r>
            <w:r>
              <w:rPr>
                <w:rFonts w:hAnsi="宋体"/>
              </w:rPr>
              <w:t>营运期，项目无固定污染源，对区域大气环境影响小。</w:t>
            </w:r>
          </w:p>
          <w:p>
            <w:pPr>
              <w:ind w:firstLine="482" w:firstLineChars="200"/>
              <w:textAlignment w:val="top"/>
              <w:rPr>
                <w:b/>
              </w:rPr>
            </w:pPr>
            <w:r>
              <w:rPr>
                <w:b/>
              </w:rPr>
              <w:t xml:space="preserve">2.2 </w:t>
            </w:r>
            <w:r>
              <w:rPr>
                <w:rFonts w:hAnsi="宋体"/>
                <w:b/>
              </w:rPr>
              <w:t>声环境</w:t>
            </w:r>
          </w:p>
          <w:p>
            <w:pPr>
              <w:ind w:firstLine="480" w:firstLineChars="200"/>
            </w:pPr>
            <w:r>
              <w:rPr>
                <w:rFonts w:hAnsi="宋体"/>
                <w:color w:val="000000"/>
              </w:rPr>
              <w:t>营运期，项目噪声源主要是</w:t>
            </w:r>
            <w:r>
              <w:rPr>
                <w:rFonts w:hAnsi="宋体"/>
              </w:rPr>
              <w:t>学生</w:t>
            </w:r>
            <w:r>
              <w:rPr>
                <w:rFonts w:hAnsi="宋体"/>
                <w:color w:val="000000"/>
                <w:spacing w:val="4"/>
              </w:rPr>
              <w:t>活动及空调</w:t>
            </w:r>
            <w:r>
              <w:rPr>
                <w:rFonts w:hint="eastAsia" w:hAnsi="宋体"/>
                <w:color w:val="000000"/>
                <w:spacing w:val="4"/>
                <w:lang w:eastAsia="zh-CN"/>
              </w:rPr>
              <w:t>、电梯、水泵</w:t>
            </w:r>
            <w:r>
              <w:rPr>
                <w:rFonts w:hAnsi="宋体"/>
                <w:color w:val="000000"/>
                <w:spacing w:val="4"/>
              </w:rPr>
              <w:t>运行</w:t>
            </w:r>
            <w:r>
              <w:rPr>
                <w:rFonts w:hAnsi="宋体"/>
                <w:kern w:val="0"/>
                <w:szCs w:val="20"/>
              </w:rPr>
              <w:t>噪声，</w:t>
            </w:r>
            <w:r>
              <w:rPr>
                <w:rFonts w:hAnsi="宋体"/>
                <w:kern w:val="0"/>
                <w:szCs w:val="44"/>
              </w:rPr>
              <w:t>通过采取选用</w:t>
            </w:r>
            <w:r>
              <w:rPr>
                <w:rFonts w:hAnsi="宋体"/>
                <w:color w:val="000000"/>
              </w:rPr>
              <w:t>低噪声机械，隔声减振</w:t>
            </w:r>
            <w:r>
              <w:rPr>
                <w:rFonts w:hint="eastAsia" w:hAnsi="宋体"/>
                <w:color w:val="000000"/>
                <w:lang w:eastAsia="zh-CN"/>
              </w:rPr>
              <w:t>，</w:t>
            </w:r>
            <w:r>
              <w:rPr>
                <w:rFonts w:hint="eastAsia" w:hAnsi="宋体"/>
                <w:color w:val="000000"/>
                <w:lang w:val="en-US" w:eastAsia="zh-CN"/>
              </w:rPr>
              <w:t>高噪声设备置于地下等</w:t>
            </w:r>
            <w:r>
              <w:rPr>
                <w:rFonts w:hAnsi="宋体"/>
                <w:color w:val="000000"/>
              </w:rPr>
              <w:t>措施处理，</w:t>
            </w:r>
            <w:r>
              <w:rPr>
                <w:rFonts w:hAnsi="宋体"/>
              </w:rPr>
              <w:t>同时将学生</w:t>
            </w:r>
            <w:r>
              <w:rPr>
                <w:rFonts w:hAnsi="宋体"/>
                <w:color w:val="000000"/>
                <w:spacing w:val="4"/>
              </w:rPr>
              <w:t>活动安排在室内进行后</w:t>
            </w:r>
            <w:r>
              <w:rPr>
                <w:rFonts w:hAnsi="宋体"/>
                <w:spacing w:val="4"/>
              </w:rPr>
              <w:t>，项目运营期对周边声环境影响小。</w:t>
            </w:r>
          </w:p>
          <w:p>
            <w:pPr>
              <w:ind w:firstLine="482" w:firstLineChars="200"/>
              <w:textAlignment w:val="top"/>
              <w:rPr>
                <w:b/>
              </w:rPr>
            </w:pPr>
            <w:r>
              <w:rPr>
                <w:b/>
              </w:rPr>
              <w:t xml:space="preserve">2. 3 </w:t>
            </w:r>
            <w:r>
              <w:rPr>
                <w:rFonts w:hAnsi="宋体"/>
                <w:b/>
              </w:rPr>
              <w:t>水环境</w:t>
            </w:r>
          </w:p>
          <w:p>
            <w:r>
              <w:t xml:space="preserve">   </w:t>
            </w:r>
            <w:r>
              <w:rPr>
                <w:rFonts w:hAnsi="宋体"/>
                <w:bCs/>
              </w:rPr>
              <w:t>营运期，项目产生的</w:t>
            </w:r>
            <w:r>
              <w:rPr>
                <w:rFonts w:hAnsi="宋体"/>
              </w:rPr>
              <w:t>废水经化粪池处理后排入城市污水管网，送至杨家溪污水处理厂处理，对区域水环境影响小。</w:t>
            </w:r>
          </w:p>
          <w:p>
            <w:pPr>
              <w:ind w:firstLine="482" w:firstLineChars="200"/>
              <w:textAlignment w:val="top"/>
              <w:rPr>
                <w:b/>
              </w:rPr>
            </w:pPr>
            <w:r>
              <w:rPr>
                <w:b/>
              </w:rPr>
              <w:t xml:space="preserve">2. 4 </w:t>
            </w:r>
            <w:r>
              <w:rPr>
                <w:rFonts w:hAnsi="宋体"/>
                <w:b/>
              </w:rPr>
              <w:t>固体废物</w:t>
            </w:r>
          </w:p>
          <w:p>
            <w:pPr>
              <w:ind w:firstLine="480" w:firstLineChars="200"/>
              <w:outlineLvl w:val="0"/>
              <w:rPr>
                <w:color w:val="000000"/>
              </w:rPr>
            </w:pPr>
            <w:bookmarkStart w:id="11" w:name="_Toc31720"/>
            <w:r>
              <w:rPr>
                <w:rFonts w:hAnsi="宋体"/>
                <w:color w:val="000000"/>
              </w:rPr>
              <w:t>营运期，项目固废主要为</w:t>
            </w:r>
            <w:r>
              <w:rPr>
                <w:rFonts w:hAnsi="宋体"/>
              </w:rPr>
              <w:t>学生的日常生活垃圾。在宿舍一楼楼梯间设置垃圾收集桶，通过垃圾桶收集分类后，可回收垃圾给予回收利用，不可回收垃圾送附近垃圾中转站，统一由环卫部门送城市垃圾填埋场处理，</w:t>
            </w:r>
            <w:r>
              <w:rPr>
                <w:rFonts w:hAnsi="宋体"/>
                <w:color w:val="000000"/>
              </w:rPr>
              <w:t>院区</w:t>
            </w:r>
            <w:r>
              <w:rPr>
                <w:rFonts w:hAnsi="宋体"/>
              </w:rPr>
              <w:t>生活垃圾均得到了妥善处置，不存在乱堆、乱倒现象，不会产生二次污染，</w:t>
            </w:r>
            <w:r>
              <w:rPr>
                <w:rFonts w:hAnsi="宋体"/>
                <w:spacing w:val="4"/>
              </w:rPr>
              <w:t>对环境产生影响小。</w:t>
            </w:r>
            <w:bookmarkEnd w:id="11"/>
          </w:p>
          <w:p>
            <w:pPr>
              <w:ind w:firstLine="482" w:firstLineChars="200"/>
              <w:textAlignment w:val="top"/>
              <w:rPr>
                <w:b/>
              </w:rPr>
            </w:pPr>
            <w:r>
              <w:rPr>
                <w:b/>
              </w:rPr>
              <w:t xml:space="preserve">3 </w:t>
            </w:r>
            <w:r>
              <w:rPr>
                <w:rFonts w:hAnsi="宋体"/>
                <w:b/>
              </w:rPr>
              <w:t>验收总结论</w:t>
            </w:r>
          </w:p>
          <w:p>
            <w:pPr>
              <w:ind w:firstLine="480" w:firstLineChars="200"/>
              <w:textAlignment w:val="top"/>
            </w:pPr>
            <w:r>
              <w:rPr>
                <w:rFonts w:hAnsi="宋体"/>
              </w:rPr>
              <w:t>吉首大学张家界学院东北侧地块</w:t>
            </w:r>
            <w:r>
              <w:rPr>
                <w:rFonts w:hint="eastAsia"/>
              </w:rPr>
              <w:t>二期学生公寓B栋</w:t>
            </w:r>
            <w:r>
              <w:rPr>
                <w:rFonts w:hAnsi="宋体"/>
              </w:rPr>
              <w:t>在实际建设规模无重大变更情况，基本落实了环评报告和批复的各项环保措施要求，项目产生的废水、噪声、废气均能实现达标排放，固体废弃物得到了妥善处置，为此，项目建设产生的影响与环境影响报告表相关结论基本一致，采取的污染防治措施可满足项目竣工环境保护验收的要求。</w:t>
            </w:r>
          </w:p>
          <w:p>
            <w:pPr>
              <w:ind w:firstLine="482" w:firstLineChars="200"/>
              <w:textAlignment w:val="top"/>
              <w:rPr>
                <w:b/>
              </w:rPr>
            </w:pPr>
            <w:r>
              <w:rPr>
                <w:b/>
              </w:rPr>
              <w:t xml:space="preserve">4  </w:t>
            </w:r>
            <w:r>
              <w:rPr>
                <w:rFonts w:hAnsi="宋体"/>
                <w:b/>
              </w:rPr>
              <w:t>建议</w:t>
            </w:r>
          </w:p>
          <w:p>
            <w:pPr>
              <w:tabs>
                <w:tab w:val="left" w:pos="2540"/>
              </w:tabs>
              <w:outlineLvl w:val="0"/>
              <w:rPr>
                <w:bCs/>
              </w:rPr>
            </w:pPr>
            <w:r>
              <w:rPr>
                <w:kern w:val="0"/>
                <w:szCs w:val="20"/>
              </w:rPr>
              <w:t xml:space="preserve">    </w:t>
            </w:r>
            <w:bookmarkStart w:id="12" w:name="_Toc24970"/>
            <w:r>
              <w:rPr>
                <w:kern w:val="0"/>
                <w:szCs w:val="20"/>
              </w:rPr>
              <w:t>4.1</w:t>
            </w:r>
            <w:r>
              <w:rPr>
                <w:rFonts w:hAnsi="宋体"/>
                <w:bCs/>
              </w:rPr>
              <w:t>加强环境管理与监督工作，保证环保设施正常运行。</w:t>
            </w:r>
            <w:bookmarkEnd w:id="12"/>
          </w:p>
          <w:p>
            <w:pPr>
              <w:tabs>
                <w:tab w:val="center" w:pos="4340"/>
              </w:tabs>
              <w:ind w:firstLine="480" w:firstLineChars="200"/>
              <w:textAlignment w:val="top"/>
              <w:rPr>
                <w:bCs/>
              </w:rPr>
            </w:pPr>
            <w:r>
              <w:rPr>
                <w:kern w:val="0"/>
                <w:szCs w:val="20"/>
              </w:rPr>
              <w:t>4.2</w:t>
            </w:r>
            <w:r>
              <w:rPr>
                <w:rFonts w:hAnsi="宋体"/>
                <w:bCs/>
              </w:rPr>
              <w:t>加强对固废的分类收集及管理，统一清运，做到日产日清。</w:t>
            </w:r>
          </w:p>
          <w:p>
            <w:pPr>
              <w:tabs>
                <w:tab w:val="center" w:pos="4340"/>
              </w:tabs>
              <w:ind w:firstLine="480" w:firstLineChars="200"/>
              <w:textAlignment w:val="top"/>
              <w:rPr>
                <w:kern w:val="0"/>
                <w:szCs w:val="20"/>
              </w:rPr>
            </w:pPr>
            <w:r>
              <w:rPr>
                <w:kern w:val="0"/>
                <w:szCs w:val="20"/>
              </w:rPr>
              <w:t>4.3</w:t>
            </w:r>
            <w:r>
              <w:rPr>
                <w:rFonts w:hAnsi="宋体"/>
                <w:kern w:val="0"/>
                <w:szCs w:val="20"/>
              </w:rPr>
              <w:t>宣传环保知识，增强学生环保意识。</w:t>
            </w:r>
          </w:p>
          <w:p>
            <w:pPr>
              <w:tabs>
                <w:tab w:val="center" w:pos="4340"/>
              </w:tabs>
              <w:ind w:firstLine="480" w:firstLineChars="200"/>
              <w:textAlignment w:val="top"/>
              <w:rPr>
                <w:kern w:val="0"/>
                <w:szCs w:val="20"/>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tabs>
                <w:tab w:val="center" w:pos="4340"/>
              </w:tabs>
              <w:ind w:firstLine="480" w:firstLineChars="200"/>
              <w:textAlignment w:val="top"/>
              <w:rPr>
                <w:kern w:val="0"/>
                <w:szCs w:val="20"/>
              </w:rPr>
            </w:pPr>
          </w:p>
          <w:p>
            <w:pPr>
              <w:pStyle w:val="2"/>
            </w:pPr>
          </w:p>
          <w:p>
            <w:pPr>
              <w:pStyle w:val="2"/>
            </w:pPr>
          </w:p>
          <w:p>
            <w:pPr>
              <w:pStyle w:val="2"/>
            </w:pPr>
          </w:p>
          <w:p>
            <w:pPr>
              <w:pStyle w:val="2"/>
            </w:pPr>
          </w:p>
          <w:p>
            <w:pPr>
              <w:tabs>
                <w:tab w:val="center" w:pos="4340"/>
              </w:tabs>
              <w:textAlignment w:val="top"/>
              <w:rPr>
                <w:kern w:val="0"/>
                <w:szCs w:val="20"/>
              </w:rPr>
            </w:pPr>
          </w:p>
        </w:tc>
      </w:tr>
    </w:tbl>
    <w:p>
      <w:pPr>
        <w:pStyle w:val="2"/>
        <w:ind w:left="0" w:leftChars="0" w:firstLine="0" w:firstLineChars="0"/>
        <w:rPr>
          <w:rFonts w:hint="eastAsia"/>
          <w:lang w:eastAsia="zh-CN"/>
        </w:rPr>
      </w:pPr>
    </w:p>
    <w:p>
      <w:pPr>
        <w:shd w:val="clear" w:color="auto" w:fill="FFFFFF"/>
        <w:jc w:val="center"/>
        <w:rPr>
          <w:rFonts w:hint="eastAsia" w:ascii="Times New Roman" w:hAnsi="Times New Roman" w:eastAsia="宋体" w:cs="宋体"/>
          <w:b w:val="0"/>
          <w:bCs/>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after="200" w:line="240" w:lineRule="auto"/>
        <w:jc w:val="center"/>
        <w:textAlignment w:val="auto"/>
        <w:rPr>
          <w:rFonts w:hint="eastAsia" w:ascii="宋体" w:hAnsi="宋体" w:eastAsia="宋体" w:cs="Times New Roman"/>
          <w:b/>
          <w:sz w:val="32"/>
          <w:szCs w:val="32"/>
          <w:lang w:val="en-US" w:eastAsia="zh-CN"/>
        </w:rPr>
      </w:pPr>
      <w:r>
        <w:rPr>
          <w:rFonts w:hint="eastAsia" w:hAnsi="宋体"/>
          <w:b/>
          <w:kern w:val="0"/>
          <w:sz w:val="32"/>
          <w:szCs w:val="32"/>
        </w:rPr>
        <w:t>吉首大学张家界学院东北侧地块二期学生公寓B栋</w:t>
      </w:r>
    </w:p>
    <w:p>
      <w:pPr>
        <w:shd w:val="clear" w:color="auto" w:fill="FFFFFF"/>
        <w:jc w:val="center"/>
        <w:rPr>
          <w:rFonts w:ascii="宋体" w:hAnsi="宋体"/>
          <w:b/>
          <w:sz w:val="32"/>
          <w:szCs w:val="32"/>
        </w:rPr>
      </w:pPr>
      <w:r>
        <w:rPr>
          <w:rFonts w:ascii="宋体" w:hAnsi="宋体" w:eastAsia="宋体" w:cs="Times New Roman"/>
          <w:b/>
          <w:sz w:val="32"/>
          <w:szCs w:val="32"/>
        </w:rPr>
        <w:t>竣</w:t>
      </w:r>
      <w:r>
        <w:rPr>
          <w:rFonts w:ascii="宋体" w:hAnsi="宋体"/>
          <w:b/>
          <w:sz w:val="32"/>
          <w:szCs w:val="32"/>
        </w:rPr>
        <w:t>工环境保护</w:t>
      </w:r>
      <w:r>
        <w:rPr>
          <w:rFonts w:hint="eastAsia" w:ascii="宋体" w:hAnsi="宋体"/>
          <w:b/>
          <w:sz w:val="32"/>
          <w:szCs w:val="32"/>
        </w:rPr>
        <w:t>自主</w:t>
      </w:r>
      <w:r>
        <w:rPr>
          <w:rFonts w:ascii="宋体" w:hAnsi="宋体"/>
          <w:b/>
          <w:sz w:val="32"/>
          <w:szCs w:val="32"/>
        </w:rPr>
        <w:t>验收意见</w:t>
      </w:r>
    </w:p>
    <w:p>
      <w:pPr>
        <w:pStyle w:val="2"/>
      </w:pPr>
    </w:p>
    <w:p>
      <w:pPr>
        <w:spacing w:line="480" w:lineRule="auto"/>
        <w:ind w:firstLine="480" w:firstLineChars="200"/>
        <w:jc w:val="left"/>
        <w:rPr>
          <w:rFonts w:hint="eastAsia" w:ascii="Times New Roman" w:hAnsi="宋体" w:eastAsia="宋体" w:cs="Times New Roman"/>
          <w:color w:val="000000"/>
          <w:sz w:val="24"/>
          <w:szCs w:val="22"/>
          <w:lang w:val="en-US" w:eastAsia="zh-CN"/>
        </w:rPr>
      </w:pPr>
      <w:r>
        <w:rPr>
          <w:rFonts w:hint="eastAsia" w:ascii="Times New Roman" w:hAnsi="宋体" w:eastAsia="宋体" w:cs="Times New Roman"/>
          <w:color w:val="000000"/>
          <w:sz w:val="24"/>
          <w:szCs w:val="22"/>
          <w:lang w:val="en-US" w:eastAsia="zh-CN"/>
        </w:rPr>
        <w:t>2021年</w:t>
      </w:r>
      <w:r>
        <w:rPr>
          <w:rFonts w:hint="eastAsia" w:hAnsi="宋体" w:cs="Times New Roman"/>
          <w:color w:val="000000"/>
          <w:sz w:val="24"/>
          <w:szCs w:val="22"/>
          <w:lang w:val="en-US" w:eastAsia="zh-CN"/>
        </w:rPr>
        <w:t>11</w:t>
      </w:r>
      <w:r>
        <w:rPr>
          <w:rFonts w:hint="eastAsia" w:ascii="Times New Roman" w:hAnsi="宋体" w:eastAsia="宋体" w:cs="Times New Roman"/>
          <w:color w:val="000000"/>
          <w:sz w:val="24"/>
          <w:szCs w:val="22"/>
          <w:lang w:val="en-US" w:eastAsia="zh-CN"/>
        </w:rPr>
        <w:t>月，</w:t>
      </w:r>
      <w:r>
        <w:rPr>
          <w:rFonts w:hint="eastAsia" w:hAnsi="宋体" w:cs="Times New Roman"/>
          <w:color w:val="000000"/>
          <w:sz w:val="24"/>
          <w:szCs w:val="22"/>
          <w:lang w:val="en-US" w:eastAsia="zh-CN"/>
        </w:rPr>
        <w:t>吉首大学张家界学院</w:t>
      </w:r>
      <w:r>
        <w:rPr>
          <w:rFonts w:hint="eastAsia" w:ascii="Times New Roman" w:hAnsi="宋体" w:eastAsia="宋体" w:cs="Times New Roman"/>
          <w:color w:val="000000"/>
          <w:sz w:val="24"/>
          <w:szCs w:val="22"/>
          <w:lang w:val="en-US" w:eastAsia="zh-CN"/>
        </w:rPr>
        <w:t>根据委托</w:t>
      </w:r>
      <w:r>
        <w:rPr>
          <w:rFonts w:hint="eastAsia" w:hAnsi="宋体" w:cs="Times New Roman"/>
          <w:color w:val="000000"/>
          <w:sz w:val="24"/>
          <w:szCs w:val="22"/>
          <w:lang w:val="en-US" w:eastAsia="zh-CN"/>
        </w:rPr>
        <w:t>湖南蓝科检测评价有限公司</w:t>
      </w:r>
      <w:r>
        <w:rPr>
          <w:rFonts w:hint="eastAsia" w:ascii="Times New Roman" w:hAnsi="宋体" w:eastAsia="宋体" w:cs="Times New Roman"/>
          <w:color w:val="000000"/>
          <w:sz w:val="24"/>
          <w:szCs w:val="22"/>
          <w:lang w:val="en-US" w:eastAsia="zh-CN"/>
        </w:rPr>
        <w:t>编制的《吉首大学张家界学院东北侧地块二期学生公寓B栋竣工环境保护验收监测报告表》，并对照《建设项目竣工环境保护验收暂行办法》，严格依照国家有关法律法规、建设项目竣工环境保护验收技术规范、项目环境影响评价报告表和审批部门审批决定等要求对本项目进行验收，提出意见如下：</w:t>
      </w:r>
    </w:p>
    <w:p>
      <w:pPr>
        <w:shd w:val="clear" w:color="auto" w:fill="FFFFFF"/>
        <w:spacing w:line="360" w:lineRule="auto"/>
        <w:ind w:firstLine="482" w:firstLineChars="200"/>
        <w:rPr>
          <w:rFonts w:ascii="宋体" w:hAnsi="宋体"/>
          <w:b/>
          <w:sz w:val="24"/>
          <w:szCs w:val="24"/>
        </w:rPr>
      </w:pPr>
      <w:r>
        <w:rPr>
          <w:rFonts w:ascii="宋体" w:hAnsi="宋体"/>
          <w:b/>
          <w:sz w:val="24"/>
          <w:szCs w:val="24"/>
        </w:rPr>
        <w:t>一、工程基本情况</w:t>
      </w:r>
    </w:p>
    <w:p>
      <w:pPr>
        <w:shd w:val="clear" w:color="auto" w:fill="FFFFFF"/>
        <w:spacing w:line="360" w:lineRule="auto"/>
        <w:ind w:firstLine="480" w:firstLineChars="200"/>
        <w:rPr>
          <w:rFonts w:ascii="宋体" w:hAnsi="宋体"/>
          <w:b/>
          <w:sz w:val="24"/>
          <w:szCs w:val="24"/>
        </w:rPr>
      </w:pPr>
      <w:r>
        <w:rPr>
          <w:rFonts w:hint="eastAsia" w:ascii="宋体" w:hAnsi="宋体"/>
          <w:sz w:val="24"/>
          <w:szCs w:val="24"/>
        </w:rPr>
        <w:t>（一）</w:t>
      </w:r>
      <w:r>
        <w:rPr>
          <w:rFonts w:ascii="宋体" w:hAnsi="宋体"/>
          <w:sz w:val="24"/>
          <w:szCs w:val="24"/>
        </w:rPr>
        <w:t>建设地点、规模、主要建设内容</w:t>
      </w:r>
    </w:p>
    <w:p>
      <w:pPr>
        <w:spacing w:line="360" w:lineRule="auto"/>
        <w:ind w:firstLine="480"/>
        <w:rPr>
          <w:rFonts w:hint="eastAsia" w:eastAsia="宋体"/>
          <w:lang w:val="en-US" w:eastAsia="zh-CN"/>
        </w:rPr>
      </w:pPr>
      <w:r>
        <w:rPr>
          <w:rFonts w:hint="eastAsia" w:ascii="Times New Roman" w:hAnsi="宋体" w:eastAsia="宋体" w:cs="Times New Roman"/>
          <w:color w:val="000000"/>
          <w:sz w:val="24"/>
          <w:szCs w:val="22"/>
          <w:lang w:val="en-US" w:eastAsia="zh-CN"/>
        </w:rPr>
        <w:t>吉首大学张家界学院东北侧地块二期学生公寓B栋位于</w:t>
      </w:r>
      <w:r>
        <w:rPr>
          <w:rFonts w:hAnsi="宋体"/>
          <w:color w:val="000000" w:themeColor="text1"/>
          <w:sz w:val="24"/>
          <w:szCs w:val="24"/>
        </w:rPr>
        <w:t>张家界市</w:t>
      </w:r>
      <w:r>
        <w:rPr>
          <w:rFonts w:hint="eastAsia" w:hAnsi="宋体"/>
          <w:color w:val="000000" w:themeColor="text1"/>
          <w:sz w:val="24"/>
          <w:szCs w:val="24"/>
          <w:lang w:val="en-US" w:eastAsia="zh-CN"/>
        </w:rPr>
        <w:t>永定区武陵山大道西侧吉首大学张家界学院内</w:t>
      </w:r>
      <w:r>
        <w:rPr>
          <w:rFonts w:hint="eastAsia" w:ascii="Times New Roman" w:hAnsi="宋体" w:eastAsia="宋体" w:cs="Times New Roman"/>
          <w:color w:val="000000"/>
          <w:sz w:val="24"/>
          <w:szCs w:val="22"/>
          <w:lang w:val="en-US" w:eastAsia="zh-CN"/>
        </w:rPr>
        <w:t>。项目性质属于</w:t>
      </w:r>
      <w:r>
        <w:rPr>
          <w:rFonts w:hint="eastAsia" w:hAnsi="宋体" w:cs="Times New Roman"/>
          <w:color w:val="000000"/>
          <w:sz w:val="24"/>
          <w:szCs w:val="22"/>
          <w:lang w:val="en-US" w:eastAsia="zh-CN"/>
        </w:rPr>
        <w:t>新</w:t>
      </w:r>
      <w:r>
        <w:rPr>
          <w:rFonts w:hint="eastAsia" w:ascii="Times New Roman" w:hAnsi="宋体" w:eastAsia="宋体" w:cs="Times New Roman"/>
          <w:color w:val="000000"/>
          <w:sz w:val="24"/>
          <w:szCs w:val="22"/>
          <w:lang w:val="en-US" w:eastAsia="zh-CN"/>
        </w:rPr>
        <w:t>建。项目</w:t>
      </w:r>
      <w:r>
        <w:rPr>
          <w:rFonts w:hint="eastAsia" w:hAnsi="宋体" w:cs="Times New Roman"/>
          <w:color w:val="000000"/>
          <w:sz w:val="24"/>
          <w:szCs w:val="22"/>
          <w:lang w:val="en-US" w:eastAsia="zh-CN"/>
        </w:rPr>
        <w:t>新</w:t>
      </w:r>
      <w:r>
        <w:rPr>
          <w:rFonts w:hint="eastAsia" w:ascii="Times New Roman" w:hAnsi="宋体" w:eastAsia="宋体" w:cs="Times New Roman"/>
          <w:color w:val="000000"/>
          <w:sz w:val="24"/>
          <w:szCs w:val="22"/>
          <w:lang w:val="en-US" w:eastAsia="zh-CN"/>
        </w:rPr>
        <w:t>建建设主要内容为</w:t>
      </w:r>
      <w:r>
        <w:t>1</w:t>
      </w:r>
      <w:r>
        <w:rPr>
          <w:rFonts w:hAnsi="宋体"/>
        </w:rPr>
        <w:t>栋</w:t>
      </w:r>
      <w:r>
        <w:rPr>
          <w:rFonts w:hint="eastAsia" w:hAnsi="宋体"/>
          <w:lang w:val="en-US" w:eastAsia="zh-CN"/>
        </w:rPr>
        <w:t>18</w:t>
      </w:r>
      <w:r>
        <w:rPr>
          <w:rFonts w:hAnsi="宋体"/>
        </w:rPr>
        <w:t>层的混凝土框架结构宿舍楼及相关配套设施</w:t>
      </w:r>
      <w:r>
        <w:rPr>
          <w:rFonts w:hint="eastAsia" w:hAnsi="宋体"/>
          <w:lang w:eastAsia="zh-CN"/>
        </w:rPr>
        <w:t>。</w:t>
      </w:r>
    </w:p>
    <w:p>
      <w:pPr>
        <w:spacing w:line="360" w:lineRule="auto"/>
        <w:ind w:firstLine="480" w:firstLineChars="200"/>
        <w:textAlignment w:val="top"/>
        <w:rPr>
          <w:rFonts w:hint="eastAsia" w:ascii="宋体" w:hAnsi="宋体" w:eastAsia="宋体" w:cs="Times New Roman"/>
          <w:sz w:val="24"/>
          <w:szCs w:val="24"/>
        </w:rPr>
      </w:pPr>
      <w:r>
        <w:rPr>
          <w:rFonts w:hint="eastAsia" w:ascii="宋体" w:hAnsi="宋体" w:eastAsia="宋体" w:cs="Times New Roman"/>
          <w:sz w:val="24"/>
          <w:szCs w:val="24"/>
        </w:rPr>
        <w:t>（二）建设过程及环保审批情况</w:t>
      </w:r>
    </w:p>
    <w:p>
      <w:pPr>
        <w:spacing w:line="360" w:lineRule="auto"/>
        <w:ind w:firstLine="480" w:firstLineChars="200"/>
        <w:textAlignment w:val="top"/>
        <w:rPr>
          <w:rFonts w:hAnsi="宋体"/>
          <w:color w:val="000000"/>
        </w:rPr>
      </w:pPr>
      <w:r>
        <w:rPr>
          <w:rFonts w:hAnsi="宋体"/>
        </w:rPr>
        <w:t>项目在</w:t>
      </w:r>
      <w:r>
        <w:t>2002</w:t>
      </w:r>
      <w:r>
        <w:rPr>
          <w:rFonts w:hAnsi="宋体"/>
        </w:rPr>
        <w:t>年</w:t>
      </w:r>
      <w:r>
        <w:t>4</w:t>
      </w:r>
      <w:r>
        <w:rPr>
          <w:rFonts w:hAnsi="宋体"/>
        </w:rPr>
        <w:t>月委托张家界市环境保护科研所</w:t>
      </w:r>
      <w:r>
        <w:rPr>
          <w:rFonts w:hAnsi="宋体"/>
          <w:color w:val="000000"/>
        </w:rPr>
        <w:t>制完成了《</w:t>
      </w:r>
      <w:r>
        <w:rPr>
          <w:rFonts w:hAnsi="宋体"/>
        </w:rPr>
        <w:t>吉首大学张家界学院扩建工程</w:t>
      </w:r>
      <w:r>
        <w:rPr>
          <w:rFonts w:hAnsi="宋体"/>
          <w:color w:val="000000"/>
        </w:rPr>
        <w:t>建设项目环境影响报告表》，</w:t>
      </w:r>
      <w:r>
        <w:rPr>
          <w:color w:val="000000"/>
        </w:rPr>
        <w:t>2002</w:t>
      </w:r>
      <w:r>
        <w:rPr>
          <w:rFonts w:hAnsi="宋体"/>
          <w:color w:val="000000"/>
        </w:rPr>
        <w:t>年</w:t>
      </w:r>
      <w:r>
        <w:rPr>
          <w:color w:val="000000"/>
        </w:rPr>
        <w:t>5</w:t>
      </w:r>
      <w:r>
        <w:rPr>
          <w:rFonts w:hAnsi="宋体"/>
          <w:color w:val="000000"/>
        </w:rPr>
        <w:t>月</w:t>
      </w:r>
      <w:r>
        <w:rPr>
          <w:color w:val="000000"/>
        </w:rPr>
        <w:t>25</w:t>
      </w:r>
      <w:r>
        <w:rPr>
          <w:rFonts w:hAnsi="宋体"/>
          <w:color w:val="000000"/>
        </w:rPr>
        <w:t>日张家界市环境保护局以张环</w:t>
      </w:r>
      <w:r>
        <w:rPr>
          <w:color w:val="000000"/>
        </w:rPr>
        <w:t xml:space="preserve"> [2002]5</w:t>
      </w:r>
      <w:r>
        <w:rPr>
          <w:rFonts w:hAnsi="宋体"/>
          <w:color w:val="000000"/>
        </w:rPr>
        <w:t>号文予以审批；</w:t>
      </w:r>
      <w:r>
        <w:rPr>
          <w:color w:val="000000"/>
        </w:rPr>
        <w:t>2013</w:t>
      </w:r>
      <w:r>
        <w:rPr>
          <w:rFonts w:hAnsi="宋体"/>
          <w:color w:val="000000"/>
        </w:rPr>
        <w:t>年</w:t>
      </w:r>
      <w:r>
        <w:rPr>
          <w:color w:val="000000"/>
        </w:rPr>
        <w:t>9</w:t>
      </w:r>
      <w:r>
        <w:rPr>
          <w:rFonts w:hAnsi="宋体"/>
          <w:color w:val="000000"/>
        </w:rPr>
        <w:t>月</w:t>
      </w:r>
      <w:r>
        <w:rPr>
          <w:color w:val="000000"/>
        </w:rPr>
        <w:t>14</w:t>
      </w:r>
      <w:r>
        <w:rPr>
          <w:rFonts w:hAnsi="宋体"/>
          <w:color w:val="000000"/>
        </w:rPr>
        <w:t>日张家界市环境保护局对《</w:t>
      </w:r>
      <w:r>
        <w:rPr>
          <w:rFonts w:hAnsi="宋体"/>
        </w:rPr>
        <w:t>吉首大学张家界学院扩建工程</w:t>
      </w:r>
      <w:r>
        <w:rPr>
          <w:rFonts w:hAnsi="宋体"/>
          <w:color w:val="000000"/>
        </w:rPr>
        <w:t>竣工环保验收意见》以张环验</w:t>
      </w:r>
      <w:r>
        <w:rPr>
          <w:color w:val="000000"/>
        </w:rPr>
        <w:t xml:space="preserve"> [2013]11</w:t>
      </w:r>
      <w:r>
        <w:rPr>
          <w:rFonts w:hAnsi="宋体"/>
          <w:color w:val="000000"/>
        </w:rPr>
        <w:t>号文予以验收</w:t>
      </w:r>
      <w:r>
        <w:rPr>
          <w:rFonts w:hint="eastAsia" w:hAnsi="宋体"/>
          <w:color w:val="000000"/>
          <w:lang w:eastAsia="zh-CN"/>
        </w:rPr>
        <w:t>，</w:t>
      </w:r>
      <w:r>
        <w:rPr>
          <w:rFonts w:hint="eastAsia" w:hAnsi="宋体"/>
          <w:color w:val="000000"/>
          <w:lang w:val="en-US" w:eastAsia="zh-CN"/>
        </w:rPr>
        <w:t>此工程总用地648亩，总建筑面积160320</w:t>
      </w:r>
      <w:r>
        <w:t xml:space="preserve"> m</w:t>
      </w:r>
      <w:r>
        <w:rPr>
          <w:vertAlign w:val="superscript"/>
        </w:rPr>
        <w:t>2</w:t>
      </w:r>
      <w:r>
        <w:rPr>
          <w:rFonts w:hint="eastAsia"/>
          <w:vertAlign w:val="baseline"/>
          <w:lang w:val="en-US" w:eastAsia="zh-CN"/>
        </w:rPr>
        <w:t>其中：教学楼及辅助用房70590</w:t>
      </w:r>
      <w:r>
        <w:t xml:space="preserve"> m</w:t>
      </w:r>
      <w:r>
        <w:rPr>
          <w:vertAlign w:val="superscript"/>
        </w:rPr>
        <w:t>2</w:t>
      </w:r>
      <w:r>
        <w:rPr>
          <w:rFonts w:hint="eastAsia"/>
          <w:vertAlign w:val="baseline"/>
          <w:lang w:eastAsia="zh-CN"/>
        </w:rPr>
        <w:t>（</w:t>
      </w:r>
      <w:r>
        <w:rPr>
          <w:rFonts w:hint="eastAsia"/>
          <w:vertAlign w:val="baseline"/>
          <w:lang w:val="en-US" w:eastAsia="zh-CN"/>
        </w:rPr>
        <w:t>图书馆、艺术楼、教学楼），后勤服务生活用房89730</w:t>
      </w:r>
      <w:r>
        <w:t xml:space="preserve"> m</w:t>
      </w:r>
      <w:r>
        <w:rPr>
          <w:vertAlign w:val="superscript"/>
        </w:rPr>
        <w:t>2</w:t>
      </w:r>
      <w:r>
        <w:rPr>
          <w:rFonts w:hint="eastAsia"/>
          <w:vertAlign w:val="baseline"/>
          <w:lang w:eastAsia="zh-CN"/>
        </w:rPr>
        <w:t>（</w:t>
      </w:r>
      <w:r>
        <w:rPr>
          <w:rFonts w:hint="eastAsia"/>
          <w:vertAlign w:val="baseline"/>
          <w:lang w:val="en-US" w:eastAsia="zh-CN"/>
        </w:rPr>
        <w:t>学生公寓、学生食堂、教学楼），本次项目总投资61000万元，环保投资1500万元</w:t>
      </w:r>
      <w:r>
        <w:rPr>
          <w:rFonts w:hAnsi="宋体"/>
          <w:color w:val="000000"/>
        </w:rPr>
        <w:t>；</w:t>
      </w:r>
      <w:r>
        <w:rPr>
          <w:color w:val="000000"/>
        </w:rPr>
        <w:t>2017</w:t>
      </w:r>
      <w:r>
        <w:rPr>
          <w:rFonts w:hAnsi="宋体"/>
          <w:color w:val="000000"/>
        </w:rPr>
        <w:t>年</w:t>
      </w:r>
      <w:r>
        <w:rPr>
          <w:color w:val="000000"/>
        </w:rPr>
        <w:t>4</w:t>
      </w:r>
      <w:r>
        <w:rPr>
          <w:rFonts w:hAnsi="宋体"/>
          <w:color w:val="000000"/>
        </w:rPr>
        <w:t>月</w:t>
      </w:r>
      <w:r>
        <w:rPr>
          <w:color w:val="000000"/>
        </w:rPr>
        <w:t>10</w:t>
      </w:r>
      <w:r>
        <w:rPr>
          <w:rFonts w:hAnsi="宋体"/>
          <w:color w:val="000000"/>
        </w:rPr>
        <w:t>日张家界市环境保护局对《</w:t>
      </w:r>
      <w:r>
        <w:rPr>
          <w:rFonts w:hAnsi="宋体"/>
        </w:rPr>
        <w:t>吉首大学张家界学院公租房</w:t>
      </w:r>
      <w:r>
        <w:t>A</w:t>
      </w:r>
      <w:r>
        <w:rPr>
          <w:rFonts w:hAnsi="宋体"/>
        </w:rPr>
        <w:t>、</w:t>
      </w:r>
      <w:r>
        <w:t>B</w:t>
      </w:r>
      <w:r>
        <w:rPr>
          <w:rFonts w:hAnsi="宋体"/>
        </w:rPr>
        <w:t>栋</w:t>
      </w:r>
      <w:r>
        <w:rPr>
          <w:rFonts w:hAnsi="宋体"/>
          <w:color w:val="000000"/>
        </w:rPr>
        <w:t>竣工环保验收意见》以张环验</w:t>
      </w:r>
      <w:r>
        <w:rPr>
          <w:color w:val="000000"/>
        </w:rPr>
        <w:t xml:space="preserve"> [2017]6</w:t>
      </w:r>
      <w:r>
        <w:rPr>
          <w:rFonts w:hAnsi="宋体"/>
          <w:color w:val="000000"/>
        </w:rPr>
        <w:t>号文予以验收</w:t>
      </w:r>
      <w:r>
        <w:rPr>
          <w:rFonts w:hint="eastAsia" w:hAnsi="宋体"/>
          <w:color w:val="000000"/>
          <w:lang w:val="en-US" w:eastAsia="zh-CN"/>
        </w:rPr>
        <w:t>，此工程占地面积960</w:t>
      </w:r>
      <w:r>
        <w:t xml:space="preserve"> m</w:t>
      </w:r>
      <w:r>
        <w:rPr>
          <w:vertAlign w:val="superscript"/>
        </w:rPr>
        <w:t>2</w:t>
      </w:r>
      <w:r>
        <w:rPr>
          <w:rFonts w:hint="eastAsia"/>
          <w:vertAlign w:val="baseline"/>
          <w:lang w:eastAsia="zh-CN"/>
        </w:rPr>
        <w:t>，</w:t>
      </w:r>
      <w:r>
        <w:rPr>
          <w:rFonts w:hint="eastAsia"/>
          <w:vertAlign w:val="baseline"/>
          <w:lang w:val="en-US" w:eastAsia="zh-CN"/>
        </w:rPr>
        <w:t>总建筑面积12130</w:t>
      </w:r>
      <w:r>
        <w:t xml:space="preserve"> m</w:t>
      </w:r>
      <w:r>
        <w:rPr>
          <w:vertAlign w:val="superscript"/>
        </w:rPr>
        <w:t>2</w:t>
      </w:r>
      <w:r>
        <w:rPr>
          <w:rFonts w:hint="eastAsia"/>
          <w:vertAlign w:val="baseline"/>
          <w:lang w:val="en-US" w:eastAsia="zh-CN"/>
        </w:rPr>
        <w:t>主要建设内容为2栋11层建筑及配套设施，工程于2014年7月开工，2015年7月竣工</w:t>
      </w:r>
      <w:r>
        <w:rPr>
          <w:rFonts w:hint="eastAsia" w:hAnsi="宋体"/>
          <w:color w:val="000000"/>
          <w:lang w:val="en-US" w:eastAsia="zh-CN"/>
        </w:rPr>
        <w:t>；2020年11月24日张家界市生态环境局对</w:t>
      </w:r>
      <w:r>
        <w:rPr>
          <w:rFonts w:hAnsi="宋体"/>
        </w:rPr>
        <w:t>东北侧地块</w:t>
      </w:r>
      <w:r>
        <w:t>A</w:t>
      </w:r>
      <w:r>
        <w:rPr>
          <w:rFonts w:hAnsi="宋体"/>
        </w:rPr>
        <w:t>栋宿舍楼</w:t>
      </w:r>
      <w:r>
        <w:rPr>
          <w:rFonts w:hint="eastAsia" w:hAnsi="宋体"/>
          <w:color w:val="000000"/>
          <w:lang w:val="en-US" w:eastAsia="zh-CN"/>
        </w:rPr>
        <w:t>以备案号：4308002020020予以备案，此工程</w:t>
      </w:r>
      <w:r>
        <w:rPr>
          <w:rFonts w:hAnsi="宋体"/>
        </w:rPr>
        <w:t>占地面积</w:t>
      </w:r>
      <w:r>
        <w:t>1382.2m</w:t>
      </w:r>
      <w:r>
        <w:rPr>
          <w:vertAlign w:val="superscript"/>
        </w:rPr>
        <w:t>2</w:t>
      </w:r>
      <w:r>
        <w:rPr>
          <w:rFonts w:hAnsi="宋体"/>
        </w:rPr>
        <w:t>，总建筑面积为</w:t>
      </w:r>
      <w:r>
        <w:t>8341.2m</w:t>
      </w:r>
      <w:r>
        <w:rPr>
          <w:vertAlign w:val="superscript"/>
        </w:rPr>
        <w:t>2</w:t>
      </w:r>
      <w:r>
        <w:rPr>
          <w:rFonts w:hAnsi="宋体"/>
        </w:rPr>
        <w:t>，主要建设内容包括：</w:t>
      </w:r>
      <w:r>
        <w:t>1</w:t>
      </w:r>
      <w:r>
        <w:rPr>
          <w:rFonts w:hAnsi="宋体"/>
        </w:rPr>
        <w:t>栋六层的混凝土框架结构宿舍楼及相关配套设施</w:t>
      </w:r>
      <w:r>
        <w:rPr>
          <w:rFonts w:hint="eastAsia" w:hAnsi="宋体"/>
          <w:lang w:eastAsia="zh-CN"/>
        </w:rPr>
        <w:t>，</w:t>
      </w:r>
      <w:r>
        <w:rPr>
          <w:rFonts w:hAnsi="宋体"/>
        </w:rPr>
        <w:t>总投资</w:t>
      </w:r>
      <w:r>
        <w:t>2103</w:t>
      </w:r>
      <w:r>
        <w:rPr>
          <w:rFonts w:hAnsi="宋体"/>
        </w:rPr>
        <w:t>万元，环保投资</w:t>
      </w:r>
      <w:r>
        <w:t>200</w:t>
      </w:r>
      <w:r>
        <w:rPr>
          <w:rFonts w:hAnsi="宋体"/>
        </w:rPr>
        <w:t>万元</w:t>
      </w:r>
      <w:r>
        <w:rPr>
          <w:rFonts w:hAnsi="宋体"/>
          <w:color w:val="000000"/>
        </w:rPr>
        <w:t>。</w:t>
      </w:r>
    </w:p>
    <w:p>
      <w:pPr>
        <w:spacing w:line="360" w:lineRule="auto"/>
        <w:ind w:firstLine="480" w:firstLineChars="200"/>
        <w:textAlignment w:val="top"/>
        <w:rPr>
          <w:rFonts w:ascii="宋体" w:hAnsi="宋体"/>
          <w:sz w:val="24"/>
          <w:szCs w:val="24"/>
        </w:rPr>
      </w:pPr>
      <w:r>
        <w:rPr>
          <w:rFonts w:hint="eastAsia" w:ascii="宋体" w:hAnsi="宋体"/>
          <w:sz w:val="24"/>
          <w:szCs w:val="24"/>
        </w:rPr>
        <w:t>（三）投资情况</w:t>
      </w:r>
    </w:p>
    <w:p>
      <w:pPr>
        <w:spacing w:line="360" w:lineRule="auto"/>
        <w:ind w:firstLine="482" w:firstLineChars="200"/>
        <w:textAlignment w:val="top"/>
        <w:rPr>
          <w:rFonts w:hint="eastAsia" w:ascii="宋体" w:hAnsi="宋体"/>
          <w:sz w:val="24"/>
          <w:szCs w:val="24"/>
        </w:rPr>
      </w:pPr>
      <w:r>
        <w:rPr>
          <w:rFonts w:ascii="Times New Roman" w:hAnsi="Times New Roman" w:eastAsia="宋体"/>
          <w:b/>
          <w:color w:val="000000"/>
          <w:szCs w:val="21"/>
        </w:rPr>
        <w:t xml:space="preserve"> </w:t>
      </w:r>
      <w:r>
        <w:rPr>
          <w:rFonts w:ascii="宋体" w:hAnsi="宋体"/>
          <w:sz w:val="24"/>
          <w:szCs w:val="24"/>
        </w:rPr>
        <w:t>项目实际总投资</w:t>
      </w:r>
      <w:r>
        <w:rPr>
          <w:rFonts w:hint="eastAsia" w:cs="Times New Roman"/>
          <w:color w:val="000000"/>
          <w:sz w:val="21"/>
          <w:szCs w:val="21"/>
          <w:lang w:val="en-US" w:eastAsia="zh-CN"/>
        </w:rPr>
        <w:t>5271</w:t>
      </w:r>
      <w:r>
        <w:rPr>
          <w:rFonts w:hint="default" w:ascii="Times New Roman" w:hAnsi="Times New Roman" w:eastAsia="宋体" w:cs="Times New Roman"/>
          <w:color w:val="000000"/>
          <w:sz w:val="21"/>
          <w:szCs w:val="21"/>
        </w:rPr>
        <w:t>万元</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rPr>
        <w:t>环保投资</w:t>
      </w:r>
      <w:r>
        <w:rPr>
          <w:rFonts w:hint="eastAsia" w:cs="Times New Roman"/>
          <w:color w:val="000000"/>
          <w:sz w:val="21"/>
          <w:szCs w:val="21"/>
          <w:lang w:val="en-US" w:eastAsia="zh-CN"/>
        </w:rPr>
        <w:t>180</w:t>
      </w:r>
      <w:r>
        <w:rPr>
          <w:rFonts w:hint="default" w:ascii="Times New Roman" w:hAnsi="Times New Roman" w:eastAsia="宋体" w:cs="Times New Roman"/>
          <w:color w:val="000000"/>
          <w:sz w:val="21"/>
          <w:szCs w:val="21"/>
        </w:rPr>
        <w:t>万元</w:t>
      </w:r>
      <w:r>
        <w:rPr>
          <w:rFonts w:hint="default" w:ascii="Times New Roman" w:hAnsi="Times New Roman" w:eastAsia="宋体" w:cs="Times New Roman"/>
          <w:color w:val="000000"/>
          <w:sz w:val="21"/>
          <w:szCs w:val="21"/>
          <w:lang w:eastAsia="zh-CN"/>
        </w:rPr>
        <w:t>。</w:t>
      </w:r>
      <w:r>
        <w:rPr>
          <w:rFonts w:ascii="宋体" w:hAnsi="宋体"/>
          <w:sz w:val="24"/>
          <w:szCs w:val="24"/>
        </w:rPr>
        <w:t>占总投资的</w:t>
      </w:r>
      <w:r>
        <w:rPr>
          <w:rFonts w:hint="eastAsia" w:ascii="宋体" w:hAnsi="宋体"/>
          <w:sz w:val="24"/>
          <w:szCs w:val="24"/>
          <w:lang w:val="en-US" w:eastAsia="zh-CN"/>
        </w:rPr>
        <w:t>3.4</w:t>
      </w:r>
      <w:r>
        <w:rPr>
          <w:rFonts w:ascii="宋体" w:hAnsi="宋体"/>
          <w:sz w:val="24"/>
          <w:szCs w:val="24"/>
        </w:rPr>
        <w:t>%</w:t>
      </w:r>
      <w:r>
        <w:rPr>
          <w:rFonts w:hint="eastAsia" w:ascii="宋体" w:hAnsi="宋体"/>
          <w:sz w:val="24"/>
          <w:szCs w:val="24"/>
        </w:rPr>
        <w:t>。</w:t>
      </w:r>
    </w:p>
    <w:p>
      <w:pPr>
        <w:spacing w:line="360" w:lineRule="auto"/>
        <w:ind w:firstLine="480" w:firstLineChars="200"/>
        <w:textAlignment w:val="top"/>
        <w:rPr>
          <w:rFonts w:ascii="宋体" w:hAnsi="宋体"/>
          <w:sz w:val="24"/>
          <w:szCs w:val="24"/>
        </w:rPr>
      </w:pPr>
      <w:r>
        <w:rPr>
          <w:rFonts w:hint="eastAsia" w:ascii="宋体" w:hAnsi="宋体"/>
          <w:sz w:val="24"/>
          <w:szCs w:val="24"/>
        </w:rPr>
        <w:t>（四）</w:t>
      </w:r>
      <w:r>
        <w:rPr>
          <w:rFonts w:ascii="宋体" w:hAnsi="宋体"/>
          <w:sz w:val="24"/>
          <w:szCs w:val="24"/>
        </w:rPr>
        <w:t>验收范围</w:t>
      </w:r>
    </w:p>
    <w:p>
      <w:pPr>
        <w:spacing w:line="360" w:lineRule="auto"/>
        <w:ind w:firstLine="480" w:firstLineChars="200"/>
        <w:textAlignment w:val="top"/>
        <w:rPr>
          <w:rFonts w:hint="eastAsia" w:ascii="宋体" w:hAnsi="宋体"/>
          <w:sz w:val="24"/>
          <w:szCs w:val="24"/>
        </w:rPr>
      </w:pPr>
      <w:r>
        <w:rPr>
          <w:rFonts w:hint="eastAsia" w:ascii="宋体" w:hAnsi="宋体"/>
          <w:sz w:val="24"/>
          <w:szCs w:val="24"/>
        </w:rPr>
        <w:t>验收范围为</w:t>
      </w:r>
      <w:r>
        <w:rPr>
          <w:rFonts w:hint="eastAsia" w:ascii="宋体" w:hAnsi="宋体"/>
          <w:sz w:val="24"/>
          <w:szCs w:val="24"/>
          <w:lang w:eastAsia="zh-CN"/>
        </w:rPr>
        <w:t>：学生公寓B栋（</w:t>
      </w:r>
      <w:r>
        <w:rPr>
          <w:rFonts w:hint="eastAsia" w:hAnsi="宋体"/>
          <w:lang w:val="en-US" w:eastAsia="zh-CN"/>
        </w:rPr>
        <w:t>18</w:t>
      </w:r>
      <w:r>
        <w:rPr>
          <w:rFonts w:hAnsi="宋体"/>
        </w:rPr>
        <w:t>层</w:t>
      </w:r>
      <w:r>
        <w:rPr>
          <w:rFonts w:hint="eastAsia" w:hAnsi="宋体"/>
          <w:lang w:eastAsia="zh-CN"/>
        </w:rPr>
        <w:t>）</w:t>
      </w:r>
      <w:r>
        <w:rPr>
          <w:rFonts w:hAnsi="宋体"/>
        </w:rPr>
        <w:t>混凝土框架结构宿舍楼及相关配套设施</w:t>
      </w:r>
      <w:r>
        <w:rPr>
          <w:rFonts w:hint="eastAsia" w:hAnsi="宋体"/>
          <w:color w:val="auto"/>
          <w:sz w:val="24"/>
          <w:szCs w:val="24"/>
          <w:u w:val="none"/>
          <w:vertAlign w:val="baseline"/>
          <w:lang w:val="en-US" w:eastAsia="zh-CN"/>
        </w:rPr>
        <w:t>。</w:t>
      </w:r>
    </w:p>
    <w:p>
      <w:pPr>
        <w:shd w:val="clear" w:color="auto" w:fill="FFFFFF"/>
        <w:spacing w:line="360" w:lineRule="auto"/>
        <w:ind w:firstLine="482" w:firstLineChars="200"/>
        <w:rPr>
          <w:rFonts w:ascii="宋体" w:hAnsi="宋体"/>
          <w:b/>
          <w:sz w:val="24"/>
          <w:szCs w:val="24"/>
        </w:rPr>
      </w:pPr>
      <w:r>
        <w:rPr>
          <w:rFonts w:ascii="宋体" w:hAnsi="宋体"/>
          <w:b/>
          <w:sz w:val="24"/>
          <w:szCs w:val="24"/>
        </w:rPr>
        <w:t>二、工程变动情况</w:t>
      </w:r>
    </w:p>
    <w:p>
      <w:pPr>
        <w:spacing w:line="360" w:lineRule="auto"/>
        <w:ind w:firstLine="480" w:firstLineChars="200"/>
        <w:textAlignment w:val="top"/>
        <w:rPr>
          <w:rFonts w:ascii="宋体" w:hAnsi="宋体"/>
          <w:sz w:val="24"/>
          <w:szCs w:val="24"/>
        </w:rPr>
      </w:pPr>
      <w:r>
        <w:rPr>
          <w:rFonts w:ascii="宋体" w:hAnsi="宋体"/>
          <w:sz w:val="24"/>
          <w:szCs w:val="24"/>
        </w:rPr>
        <w:t>经现场核查并对照项目环评、批复文件、</w:t>
      </w:r>
      <w:r>
        <w:rPr>
          <w:rFonts w:hint="eastAsia" w:ascii="宋体" w:hAnsi="宋体"/>
          <w:sz w:val="24"/>
          <w:szCs w:val="24"/>
          <w:lang w:eastAsia="zh-CN"/>
        </w:rPr>
        <w:t>经反复核实，最终确认</w:t>
      </w:r>
      <w:r>
        <w:rPr>
          <w:rFonts w:ascii="宋体" w:hAnsi="宋体"/>
          <w:sz w:val="24"/>
          <w:szCs w:val="24"/>
        </w:rPr>
        <w:t>本次验收范围内建设内容未发生重大变动情况。</w:t>
      </w:r>
    </w:p>
    <w:p>
      <w:pPr>
        <w:shd w:val="clear" w:color="auto" w:fill="FFFFFF"/>
        <w:spacing w:line="360" w:lineRule="auto"/>
        <w:ind w:firstLine="482" w:firstLineChars="200"/>
        <w:rPr>
          <w:rFonts w:ascii="宋体" w:hAnsi="宋体"/>
          <w:b/>
          <w:sz w:val="24"/>
          <w:szCs w:val="24"/>
        </w:rPr>
      </w:pPr>
      <w:r>
        <w:rPr>
          <w:rFonts w:ascii="宋体" w:hAnsi="宋体"/>
          <w:b/>
          <w:sz w:val="24"/>
          <w:szCs w:val="24"/>
        </w:rPr>
        <w:t>三、环境保护</w:t>
      </w:r>
      <w:r>
        <w:rPr>
          <w:rFonts w:hint="eastAsia" w:ascii="宋体" w:hAnsi="宋体"/>
          <w:b/>
          <w:sz w:val="24"/>
          <w:szCs w:val="24"/>
          <w:lang w:eastAsia="zh-CN"/>
        </w:rPr>
        <w:t>措施</w:t>
      </w:r>
      <w:r>
        <w:rPr>
          <w:rFonts w:hint="eastAsia" w:ascii="宋体" w:hAnsi="宋体"/>
          <w:b/>
          <w:sz w:val="24"/>
          <w:szCs w:val="24"/>
          <w:lang w:val="en-US" w:eastAsia="zh-CN"/>
        </w:rPr>
        <w:t>/</w:t>
      </w:r>
      <w:r>
        <w:rPr>
          <w:rFonts w:ascii="宋体" w:hAnsi="宋体"/>
          <w:b/>
          <w:sz w:val="24"/>
          <w:szCs w:val="24"/>
        </w:rPr>
        <w:t>设施</w:t>
      </w:r>
      <w:r>
        <w:rPr>
          <w:rFonts w:hint="eastAsia" w:ascii="宋体" w:hAnsi="宋体"/>
          <w:b/>
          <w:sz w:val="24"/>
          <w:szCs w:val="24"/>
          <w:lang w:eastAsia="zh-CN"/>
        </w:rPr>
        <w:t>落实</w:t>
      </w:r>
      <w:r>
        <w:rPr>
          <w:rFonts w:ascii="宋体" w:hAnsi="宋体"/>
          <w:b/>
          <w:sz w:val="24"/>
          <w:szCs w:val="24"/>
        </w:rPr>
        <w:t>情况</w:t>
      </w:r>
    </w:p>
    <w:p>
      <w:pPr>
        <w:spacing w:line="360" w:lineRule="auto"/>
        <w:ind w:firstLine="562" w:firstLineChars="200"/>
        <w:textAlignment w:val="top"/>
        <w:rPr>
          <w:rFonts w:hint="eastAsia" w:ascii="宋体" w:hAnsi="宋体" w:eastAsia="宋体"/>
          <w:sz w:val="24"/>
          <w:szCs w:val="24"/>
          <w:lang w:eastAsia="zh-CN"/>
        </w:rPr>
      </w:pPr>
      <w:r>
        <w:rPr>
          <w:rFonts w:hint="eastAsia" w:ascii="宋体" w:hAnsi="宋体"/>
          <w:b/>
          <w:bCs/>
          <w:sz w:val="28"/>
          <w:szCs w:val="28"/>
        </w:rPr>
        <w:t>（一</w:t>
      </w:r>
      <w:r>
        <w:rPr>
          <w:rFonts w:hint="eastAsia" w:ascii="宋体" w:hAnsi="宋体" w:eastAsia="宋体" w:cs="Times New Roman"/>
          <w:b/>
          <w:bCs/>
          <w:sz w:val="28"/>
          <w:szCs w:val="28"/>
        </w:rPr>
        <w:t>）</w:t>
      </w:r>
      <w:r>
        <w:rPr>
          <w:rFonts w:hint="eastAsia" w:ascii="宋体" w:hAnsi="宋体" w:eastAsia="宋体"/>
          <w:sz w:val="24"/>
          <w:szCs w:val="24"/>
          <w:lang w:eastAsia="zh-CN"/>
        </w:rPr>
        <w:t>生态保护</w:t>
      </w:r>
    </w:p>
    <w:p>
      <w:pPr>
        <w:shd w:val="clear" w:color="auto" w:fill="FFFFFF"/>
        <w:spacing w:line="360" w:lineRule="auto"/>
        <w:ind w:firstLine="480" w:firstLineChars="200"/>
        <w:rPr>
          <w:rFonts w:hint="eastAsia" w:ascii="宋体" w:hAnsi="宋体"/>
          <w:b w:val="0"/>
          <w:bCs/>
          <w:sz w:val="24"/>
          <w:szCs w:val="24"/>
          <w:lang w:val="en-US" w:eastAsia="zh-CN"/>
        </w:rPr>
      </w:pPr>
      <w:r>
        <w:rPr>
          <w:rFonts w:hint="eastAsia" w:ascii="宋体" w:hAnsi="宋体"/>
          <w:b w:val="0"/>
          <w:bCs/>
          <w:sz w:val="24"/>
          <w:szCs w:val="24"/>
          <w:lang w:val="en-US" w:eastAsia="zh-CN"/>
        </w:rPr>
        <w:t>绿化设施目前处于建设期间</w:t>
      </w:r>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（二）</w:t>
      </w:r>
      <w:r>
        <w:rPr>
          <w:rFonts w:ascii="宋体" w:hAnsi="宋体"/>
          <w:b/>
          <w:sz w:val="24"/>
          <w:szCs w:val="24"/>
        </w:rPr>
        <w:t>废水</w:t>
      </w:r>
    </w:p>
    <w:p>
      <w:pPr>
        <w:spacing w:line="360" w:lineRule="auto"/>
        <w:ind w:firstLine="480" w:firstLineChars="200"/>
        <w:rPr>
          <w:rFonts w:hAnsi="宋体"/>
          <w:sz w:val="24"/>
          <w:szCs w:val="24"/>
        </w:rPr>
      </w:pPr>
      <w:r>
        <w:rPr>
          <w:rFonts w:hAnsi="宋体"/>
          <w:bCs/>
        </w:rPr>
        <w:t>项目产生的</w:t>
      </w:r>
      <w:r>
        <w:rPr>
          <w:rFonts w:hAnsi="宋体"/>
        </w:rPr>
        <w:t>废水经化粪池</w:t>
      </w:r>
      <w:r>
        <w:rPr>
          <w:rFonts w:hint="eastAsia" w:hAnsi="宋体"/>
          <w:lang w:eastAsia="zh-CN"/>
        </w:rPr>
        <w:t>（</w:t>
      </w:r>
      <w:r>
        <w:rPr>
          <w:rFonts w:hint="eastAsia" w:hAnsi="宋体"/>
          <w:lang w:val="en-US" w:eastAsia="zh-CN"/>
        </w:rPr>
        <w:t>共120m</w:t>
      </w:r>
      <w:r>
        <w:rPr>
          <w:rFonts w:hint="eastAsia" w:hAnsi="宋体"/>
          <w:vertAlign w:val="superscript"/>
          <w:lang w:val="en-US" w:eastAsia="zh-CN"/>
        </w:rPr>
        <w:t>3</w:t>
      </w:r>
      <w:r>
        <w:rPr>
          <w:rFonts w:hint="eastAsia" w:hAnsi="宋体"/>
          <w:vertAlign w:val="baseline"/>
          <w:lang w:val="en-US" w:eastAsia="zh-CN"/>
        </w:rPr>
        <w:t>)</w:t>
      </w:r>
      <w:r>
        <w:rPr>
          <w:rFonts w:hAnsi="宋体"/>
        </w:rPr>
        <w:t>处理后排入城市污水管网，送至杨家溪污水处理厂处理，对区域水环境影响小</w:t>
      </w:r>
      <w:r>
        <w:rPr>
          <w:rFonts w:hint="eastAsia" w:ascii="Times New Roman" w:hAnsi="宋体" w:eastAsia="宋体" w:cs="Times New Roman"/>
          <w:sz w:val="24"/>
          <w:szCs w:val="24"/>
          <w:lang w:val="en-US" w:eastAsia="zh-CN"/>
        </w:rPr>
        <w:t>。</w:t>
      </w:r>
    </w:p>
    <w:p>
      <w:pPr>
        <w:numPr>
          <w:ilvl w:val="0"/>
          <w:numId w:val="5"/>
        </w:numPr>
        <w:shd w:val="clear" w:color="auto" w:fill="FFFFFF"/>
        <w:spacing w:line="360" w:lineRule="auto"/>
        <w:ind w:firstLine="482" w:firstLineChars="200"/>
        <w:rPr>
          <w:rFonts w:ascii="宋体" w:hAnsi="宋体"/>
          <w:b/>
          <w:sz w:val="24"/>
          <w:szCs w:val="24"/>
        </w:rPr>
      </w:pPr>
      <w:r>
        <w:rPr>
          <w:rFonts w:hint="eastAsia" w:ascii="宋体" w:hAnsi="宋体"/>
          <w:b/>
          <w:sz w:val="24"/>
          <w:szCs w:val="24"/>
          <w:lang w:eastAsia="zh-CN"/>
        </w:rPr>
        <w:t>废气</w:t>
      </w:r>
    </w:p>
    <w:p>
      <w:pPr>
        <w:spacing w:line="360" w:lineRule="auto"/>
        <w:ind w:firstLine="480" w:firstLineChars="200"/>
        <w:rPr>
          <w:rFonts w:hint="eastAsia" w:ascii="Times New Roman" w:hAnsi="宋体" w:eastAsia="宋体" w:cs="Times New Roman"/>
          <w:sz w:val="24"/>
          <w:szCs w:val="24"/>
          <w:lang w:val="en-US" w:eastAsia="zh-CN"/>
        </w:rPr>
      </w:pPr>
      <w:r>
        <w:t xml:space="preserve">  </w:t>
      </w:r>
      <w:r>
        <w:rPr>
          <w:rFonts w:hAnsi="宋体"/>
        </w:rPr>
        <w:t>营运期，项目无固定污染源，对区域大气环境影响小。</w:t>
      </w:r>
    </w:p>
    <w:p>
      <w:pPr>
        <w:shd w:val="clear" w:color="auto" w:fill="FFFFFF"/>
        <w:spacing w:line="360" w:lineRule="auto"/>
        <w:ind w:firstLine="482" w:firstLineChars="200"/>
      </w:pPr>
      <w:r>
        <w:rPr>
          <w:rFonts w:hint="eastAsia" w:ascii="宋体" w:hAnsi="宋体"/>
          <w:b/>
          <w:sz w:val="24"/>
          <w:szCs w:val="24"/>
        </w:rPr>
        <w:t>（</w:t>
      </w:r>
      <w:r>
        <w:rPr>
          <w:rFonts w:hint="eastAsia" w:ascii="宋体" w:hAnsi="宋体"/>
          <w:b/>
          <w:sz w:val="24"/>
          <w:szCs w:val="24"/>
          <w:lang w:eastAsia="zh-CN"/>
        </w:rPr>
        <w:t>四</w:t>
      </w:r>
      <w:r>
        <w:rPr>
          <w:rFonts w:hint="eastAsia" w:ascii="宋体" w:hAnsi="宋体"/>
          <w:b/>
          <w:sz w:val="24"/>
          <w:szCs w:val="24"/>
        </w:rPr>
        <w:t>）</w:t>
      </w:r>
      <w:r>
        <w:rPr>
          <w:rFonts w:ascii="宋体" w:hAnsi="宋体"/>
          <w:b/>
          <w:sz w:val="24"/>
          <w:szCs w:val="24"/>
        </w:rPr>
        <w:t>噪声</w:t>
      </w:r>
    </w:p>
    <w:p>
      <w:pPr>
        <w:spacing w:line="360" w:lineRule="auto"/>
        <w:ind w:firstLine="480" w:firstLineChars="200"/>
        <w:textAlignment w:val="top"/>
        <w:rPr>
          <w:rFonts w:hAnsi="宋体"/>
          <w:spacing w:val="4"/>
        </w:rPr>
      </w:pPr>
      <w:r>
        <w:rPr>
          <w:rFonts w:hAnsi="宋体"/>
          <w:color w:val="000000"/>
        </w:rPr>
        <w:t>营运期，项目噪声源主要是</w:t>
      </w:r>
      <w:r>
        <w:rPr>
          <w:rFonts w:hAnsi="宋体"/>
        </w:rPr>
        <w:t>学生</w:t>
      </w:r>
      <w:r>
        <w:rPr>
          <w:rFonts w:hAnsi="宋体"/>
          <w:color w:val="000000"/>
          <w:spacing w:val="4"/>
        </w:rPr>
        <w:t>活动及空调</w:t>
      </w:r>
      <w:r>
        <w:rPr>
          <w:rFonts w:hint="eastAsia" w:hAnsi="宋体"/>
          <w:color w:val="000000"/>
          <w:spacing w:val="4"/>
          <w:lang w:eastAsia="zh-CN"/>
        </w:rPr>
        <w:t>、电梯、水泵</w:t>
      </w:r>
      <w:r>
        <w:rPr>
          <w:rFonts w:hAnsi="宋体"/>
          <w:color w:val="000000"/>
          <w:spacing w:val="4"/>
        </w:rPr>
        <w:t>运行</w:t>
      </w:r>
      <w:r>
        <w:rPr>
          <w:rFonts w:hAnsi="宋体"/>
          <w:kern w:val="0"/>
          <w:szCs w:val="20"/>
        </w:rPr>
        <w:t>噪声，</w:t>
      </w:r>
      <w:r>
        <w:rPr>
          <w:rFonts w:hAnsi="宋体"/>
          <w:kern w:val="0"/>
          <w:szCs w:val="44"/>
        </w:rPr>
        <w:t>通过采取选用</w:t>
      </w:r>
      <w:r>
        <w:rPr>
          <w:rFonts w:hAnsi="宋体"/>
          <w:color w:val="000000"/>
        </w:rPr>
        <w:t>低噪声机械，隔声减振</w:t>
      </w:r>
      <w:r>
        <w:rPr>
          <w:rFonts w:hint="eastAsia" w:hAnsi="宋体"/>
          <w:color w:val="000000"/>
          <w:lang w:eastAsia="zh-CN"/>
        </w:rPr>
        <w:t>，</w:t>
      </w:r>
      <w:r>
        <w:rPr>
          <w:rFonts w:hint="eastAsia" w:hAnsi="宋体"/>
          <w:color w:val="000000"/>
          <w:lang w:val="en-US" w:eastAsia="zh-CN"/>
        </w:rPr>
        <w:t>高噪声设备置于地下等</w:t>
      </w:r>
      <w:r>
        <w:rPr>
          <w:rFonts w:hAnsi="宋体"/>
          <w:color w:val="000000"/>
        </w:rPr>
        <w:t>措施处理，</w:t>
      </w:r>
      <w:r>
        <w:rPr>
          <w:rFonts w:hAnsi="宋体"/>
        </w:rPr>
        <w:t>同时将学生</w:t>
      </w:r>
      <w:r>
        <w:rPr>
          <w:rFonts w:hAnsi="宋体"/>
          <w:color w:val="000000"/>
          <w:spacing w:val="4"/>
        </w:rPr>
        <w:t>活动安排在室内进行后</w:t>
      </w:r>
      <w:r>
        <w:rPr>
          <w:rFonts w:hAnsi="宋体"/>
          <w:spacing w:val="4"/>
        </w:rPr>
        <w:t>，项目运营期对周边声环境影响小。</w:t>
      </w:r>
    </w:p>
    <w:p>
      <w:pPr>
        <w:numPr>
          <w:ilvl w:val="0"/>
          <w:numId w:val="0"/>
        </w:num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    </w:t>
      </w:r>
      <w:r>
        <w:rPr>
          <w:rFonts w:hint="eastAsia" w:ascii="宋体" w:hAnsi="宋体" w:eastAsia="宋体" w:cs="Times New Roman"/>
          <w:b/>
          <w:sz w:val="24"/>
          <w:szCs w:val="24"/>
          <w:lang w:eastAsia="zh-CN"/>
        </w:rPr>
        <w:t>（五）</w:t>
      </w:r>
      <w:r>
        <w:rPr>
          <w:rFonts w:ascii="宋体" w:hAnsi="宋体" w:eastAsia="宋体" w:cs="Times New Roman"/>
          <w:b/>
          <w:sz w:val="24"/>
          <w:szCs w:val="24"/>
        </w:rPr>
        <w:t>固体废弃物</w:t>
      </w:r>
    </w:p>
    <w:p>
      <w:pPr>
        <w:ind w:firstLine="480" w:firstLineChars="200"/>
        <w:outlineLvl w:val="0"/>
        <w:rPr>
          <w:rFonts w:hint="eastAsia" w:hAnsi="宋体"/>
          <w:sz w:val="24"/>
          <w:szCs w:val="24"/>
        </w:rPr>
      </w:pPr>
      <w:r>
        <w:rPr>
          <w:rFonts w:hint="eastAsia" w:hAnsi="宋体"/>
          <w:sz w:val="24"/>
          <w:szCs w:val="24"/>
        </w:rPr>
        <w:t xml:space="preserve"> </w:t>
      </w:r>
      <w:r>
        <w:rPr>
          <w:rFonts w:hAnsi="宋体"/>
          <w:color w:val="000000"/>
        </w:rPr>
        <w:t>营运期，项目固废主要为</w:t>
      </w:r>
      <w:r>
        <w:rPr>
          <w:rFonts w:hAnsi="宋体"/>
        </w:rPr>
        <w:t>学生的日常生活垃圾。在宿舍一楼楼梯间设置垃圾收集桶，通过垃圾桶收集分类后，可回收垃圾给予回收利用，不可回收垃圾送附近垃圾中转站，统一由环卫部门送城市垃圾填埋场处理，</w:t>
      </w:r>
      <w:r>
        <w:rPr>
          <w:rFonts w:hAnsi="宋体"/>
          <w:color w:val="000000"/>
        </w:rPr>
        <w:t>院区</w:t>
      </w:r>
      <w:r>
        <w:rPr>
          <w:rFonts w:hAnsi="宋体"/>
        </w:rPr>
        <w:t>生活垃圾均得到了妥善处置，不存在乱堆、乱倒现象，不会产生二次污染，</w:t>
      </w:r>
      <w:r>
        <w:rPr>
          <w:rFonts w:hAnsi="宋体"/>
          <w:spacing w:val="4"/>
        </w:rPr>
        <w:t>对环境产生影响小。</w:t>
      </w:r>
    </w:p>
    <w:p>
      <w:pPr>
        <w:shd w:val="clear" w:color="auto" w:fill="FFFFFF"/>
        <w:spacing w:line="360" w:lineRule="auto"/>
        <w:ind w:firstLine="482" w:firstLineChars="200"/>
        <w:rPr>
          <w:rFonts w:ascii="宋体" w:hAnsi="宋体"/>
          <w:b/>
          <w:sz w:val="24"/>
          <w:szCs w:val="24"/>
        </w:rPr>
      </w:pPr>
      <w:r>
        <w:rPr>
          <w:rFonts w:ascii="宋体" w:hAnsi="宋体"/>
          <w:b/>
          <w:sz w:val="24"/>
          <w:szCs w:val="24"/>
        </w:rPr>
        <w:t>四、环境保护设施调试效果</w:t>
      </w:r>
    </w:p>
    <w:p>
      <w:pPr>
        <w:spacing w:line="360" w:lineRule="auto"/>
        <w:ind w:firstLine="562" w:firstLineChars="200"/>
        <w:textAlignment w:val="top"/>
        <w:rPr>
          <w:rFonts w:hint="eastAsia" w:ascii="宋体" w:hAnsi="宋体" w:eastAsia="宋体"/>
          <w:sz w:val="24"/>
          <w:szCs w:val="24"/>
          <w:lang w:eastAsia="zh-CN"/>
        </w:rPr>
      </w:pPr>
      <w:r>
        <w:rPr>
          <w:rFonts w:hint="eastAsia" w:ascii="宋体" w:hAnsi="宋体"/>
          <w:b/>
          <w:bCs/>
          <w:sz w:val="28"/>
          <w:szCs w:val="28"/>
        </w:rPr>
        <w:t>（一</w:t>
      </w:r>
      <w:r>
        <w:rPr>
          <w:rFonts w:hint="eastAsia" w:ascii="宋体" w:hAnsi="宋体" w:eastAsia="宋体" w:cs="Times New Roman"/>
          <w:b/>
          <w:bCs/>
          <w:sz w:val="28"/>
          <w:szCs w:val="28"/>
        </w:rPr>
        <w:t>）</w:t>
      </w:r>
      <w:r>
        <w:rPr>
          <w:rFonts w:hint="eastAsia" w:ascii="宋体" w:hAnsi="宋体" w:eastAsia="宋体"/>
          <w:sz w:val="24"/>
          <w:szCs w:val="24"/>
          <w:lang w:eastAsia="zh-CN"/>
        </w:rPr>
        <w:t>生态保护</w:t>
      </w:r>
    </w:p>
    <w:p>
      <w:pPr>
        <w:spacing w:line="360" w:lineRule="auto"/>
        <w:ind w:firstLine="480" w:firstLineChars="200"/>
        <w:rPr>
          <w:rFonts w:hint="eastAsia"/>
          <w:lang w:eastAsia="zh-CN"/>
        </w:rPr>
      </w:pPr>
      <w:r>
        <w:rPr>
          <w:rFonts w:hint="eastAsia"/>
          <w:color w:val="auto"/>
          <w:sz w:val="24"/>
          <w:szCs w:val="24"/>
          <w:lang w:val="en-US" w:eastAsia="zh-CN"/>
        </w:rPr>
        <w:t>项目周边绿化的建设有利于水土保持，部分雨水得以有效利用。</w:t>
      </w:r>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（二）</w:t>
      </w:r>
      <w:r>
        <w:rPr>
          <w:rFonts w:ascii="宋体" w:hAnsi="宋体"/>
          <w:b/>
          <w:sz w:val="24"/>
          <w:szCs w:val="24"/>
        </w:rPr>
        <w:t>废水</w:t>
      </w:r>
    </w:p>
    <w:p>
      <w:pPr>
        <w:spacing w:line="360" w:lineRule="auto"/>
        <w:ind w:firstLine="480" w:firstLineChars="200"/>
        <w:rPr>
          <w:rFonts w:hAnsi="宋体"/>
          <w:sz w:val="24"/>
          <w:szCs w:val="24"/>
        </w:rPr>
      </w:pPr>
      <w:r>
        <w:rPr>
          <w:rFonts w:hint="eastAsia" w:hAnsi="宋体"/>
          <w:color w:val="auto"/>
          <w:sz w:val="24"/>
          <w:szCs w:val="24"/>
          <w:lang w:val="en-US" w:eastAsia="zh-CN"/>
        </w:rPr>
        <w:t>废水经预处理后进入杨家溪污水处理厂，对环境影响较小</w:t>
      </w:r>
      <w:r>
        <w:rPr>
          <w:rFonts w:hint="eastAsia" w:ascii="Times New Roman" w:hAnsi="宋体" w:eastAsia="宋体" w:cs="Times New Roman"/>
          <w:sz w:val="24"/>
          <w:szCs w:val="24"/>
          <w:lang w:val="en-US" w:eastAsia="zh-CN"/>
        </w:rPr>
        <w:t>。</w:t>
      </w:r>
    </w:p>
    <w:p>
      <w:pPr>
        <w:numPr>
          <w:ilvl w:val="0"/>
          <w:numId w:val="0"/>
        </w:numPr>
        <w:shd w:val="clear" w:color="auto" w:fill="FFFFFF"/>
        <w:spacing w:line="360" w:lineRule="auto"/>
        <w:rPr>
          <w:rFonts w:ascii="宋体" w:hAnsi="宋体"/>
          <w:b/>
          <w:sz w:val="24"/>
          <w:szCs w:val="24"/>
        </w:rPr>
      </w:pPr>
      <w:r>
        <w:rPr>
          <w:rFonts w:hint="eastAsia" w:ascii="宋体" w:hAnsi="宋体"/>
          <w:b/>
          <w:sz w:val="24"/>
          <w:szCs w:val="24"/>
          <w:lang w:val="en-US" w:eastAsia="zh-CN"/>
        </w:rPr>
        <w:t xml:space="preserve">    </w:t>
      </w:r>
      <w:r>
        <w:rPr>
          <w:rFonts w:hint="eastAsia" w:ascii="宋体" w:hAnsi="宋体"/>
          <w:b/>
          <w:sz w:val="24"/>
          <w:szCs w:val="24"/>
        </w:rPr>
        <w:t>（</w:t>
      </w:r>
      <w:r>
        <w:rPr>
          <w:rFonts w:hint="eastAsia" w:ascii="宋体" w:hAnsi="宋体"/>
          <w:b/>
          <w:sz w:val="24"/>
          <w:szCs w:val="24"/>
          <w:lang w:eastAsia="zh-CN"/>
        </w:rPr>
        <w:t>三</w:t>
      </w:r>
      <w:r>
        <w:rPr>
          <w:rFonts w:hint="eastAsia" w:ascii="宋体" w:hAnsi="宋体"/>
          <w:b/>
          <w:sz w:val="24"/>
          <w:szCs w:val="24"/>
        </w:rPr>
        <w:t>）</w:t>
      </w:r>
      <w:r>
        <w:rPr>
          <w:rFonts w:hint="eastAsia" w:ascii="宋体" w:hAnsi="宋体"/>
          <w:b/>
          <w:sz w:val="24"/>
          <w:szCs w:val="24"/>
          <w:lang w:eastAsia="zh-CN"/>
        </w:rPr>
        <w:t>废气</w:t>
      </w:r>
    </w:p>
    <w:p>
      <w:pPr>
        <w:spacing w:line="360" w:lineRule="auto"/>
        <w:ind w:firstLine="480" w:firstLineChars="200"/>
        <w:rPr>
          <w:rFonts w:hint="eastAsia" w:ascii="Times New Roman" w:hAnsi="宋体" w:eastAsia="宋体" w:cs="Times New Roman"/>
          <w:sz w:val="24"/>
          <w:szCs w:val="24"/>
          <w:lang w:val="en-US" w:eastAsia="zh-CN"/>
        </w:rPr>
      </w:pPr>
      <w:r>
        <w:t xml:space="preserve">  </w:t>
      </w:r>
      <w:r>
        <w:rPr>
          <w:rFonts w:hAnsi="宋体"/>
        </w:rPr>
        <w:t>营运期，项目无固定污染源，对区域大气环境影响小。</w:t>
      </w:r>
    </w:p>
    <w:p>
      <w:pPr>
        <w:numPr>
          <w:ilvl w:val="0"/>
          <w:numId w:val="0"/>
        </w:numPr>
        <w:shd w:val="clear" w:color="auto" w:fill="FFFFFF"/>
        <w:spacing w:line="360" w:lineRule="auto"/>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    （四）噪声</w:t>
      </w:r>
    </w:p>
    <w:p>
      <w:pPr>
        <w:ind w:firstLine="480" w:firstLineChars="200"/>
        <w:textAlignment w:val="top"/>
        <w:rPr>
          <w:rFonts w:hint="eastAsia" w:ascii="Times New Roman" w:hAnsi="宋体" w:eastAsia="宋体" w:cs="Times New Roman"/>
          <w:sz w:val="24"/>
          <w:szCs w:val="24"/>
          <w:lang w:val="en-US" w:eastAsia="zh-CN"/>
        </w:rPr>
      </w:pPr>
      <w:r>
        <w:rPr>
          <w:rFonts w:hAnsi="宋体"/>
          <w:color w:val="000000" w:themeColor="text1"/>
        </w:rPr>
        <w:t>监测结果表明，项目（南、西、东、北侧外</w:t>
      </w:r>
      <w:r>
        <w:rPr>
          <w:color w:val="000000" w:themeColor="text1"/>
        </w:rPr>
        <w:t>1m</w:t>
      </w:r>
      <w:r>
        <w:rPr>
          <w:rFonts w:hAnsi="宋体"/>
          <w:color w:val="000000" w:themeColor="text1"/>
        </w:rPr>
        <w:t>处）</w:t>
      </w:r>
      <w:r>
        <w:rPr>
          <w:color w:val="000000" w:themeColor="text1"/>
        </w:rPr>
        <w:t>4</w:t>
      </w:r>
      <w:r>
        <w:rPr>
          <w:rFonts w:hAnsi="宋体"/>
          <w:color w:val="000000" w:themeColor="text1"/>
        </w:rPr>
        <w:t>个监测点位中</w:t>
      </w:r>
      <w:r>
        <w:rPr>
          <w:color w:val="000000" w:themeColor="text1"/>
        </w:rPr>
        <w:t>N1-N4</w:t>
      </w:r>
      <w:r>
        <w:rPr>
          <w:rFonts w:hAnsi="宋体"/>
          <w:color w:val="000000" w:themeColor="text1"/>
        </w:rPr>
        <w:t>监测点位昼间噪声值</w:t>
      </w:r>
      <w:r>
        <w:rPr>
          <w:rFonts w:hint="eastAsia"/>
          <w:color w:val="000000" w:themeColor="text1"/>
          <w:lang w:val="en-US" w:eastAsia="zh-CN"/>
        </w:rPr>
        <w:t>48</w:t>
      </w:r>
      <w:r>
        <w:rPr>
          <w:color w:val="000000" w:themeColor="text1"/>
        </w:rPr>
        <w:t xml:space="preserve">- </w:t>
      </w:r>
      <w:r>
        <w:rPr>
          <w:rFonts w:hint="eastAsia"/>
          <w:color w:val="000000" w:themeColor="text1"/>
          <w:lang w:val="en-US" w:eastAsia="zh-CN"/>
        </w:rPr>
        <w:t>53</w:t>
      </w:r>
      <w:r>
        <w:rPr>
          <w:color w:val="000000" w:themeColor="text1"/>
        </w:rPr>
        <w:t xml:space="preserve"> dB(A)</w:t>
      </w:r>
      <w:r>
        <w:rPr>
          <w:rFonts w:hAnsi="宋体"/>
          <w:color w:val="000000" w:themeColor="text1"/>
        </w:rPr>
        <w:t>、夜间噪声值</w:t>
      </w:r>
      <w:r>
        <w:rPr>
          <w:rFonts w:hint="eastAsia"/>
          <w:color w:val="000000" w:themeColor="text1"/>
          <w:lang w:val="en-US" w:eastAsia="zh-CN"/>
        </w:rPr>
        <w:t>39</w:t>
      </w:r>
      <w:r>
        <w:rPr>
          <w:color w:val="000000" w:themeColor="text1"/>
        </w:rPr>
        <w:t>-</w:t>
      </w:r>
      <w:r>
        <w:rPr>
          <w:rFonts w:hint="eastAsia"/>
          <w:color w:val="000000" w:themeColor="text1"/>
          <w:lang w:val="en-US" w:eastAsia="zh-CN"/>
        </w:rPr>
        <w:t>43</w:t>
      </w:r>
      <w:r>
        <w:rPr>
          <w:color w:val="000000" w:themeColor="text1"/>
        </w:rPr>
        <w:t>dB(A)</w:t>
      </w:r>
      <w:r>
        <w:rPr>
          <w:rFonts w:hAnsi="宋体"/>
          <w:color w:val="000000" w:themeColor="text1"/>
        </w:rPr>
        <w:t>满足</w:t>
      </w:r>
      <w:r>
        <w:rPr>
          <w:rFonts w:hAnsi="宋体"/>
          <w:color w:val="000000" w:themeColor="text1"/>
          <w:szCs w:val="21"/>
        </w:rPr>
        <w:t>《工厂企业厂界环境噪声排放标准》（</w:t>
      </w:r>
      <w:r>
        <w:rPr>
          <w:color w:val="000000" w:themeColor="text1"/>
          <w:szCs w:val="21"/>
        </w:rPr>
        <w:t>GB22337-2008</w:t>
      </w:r>
      <w:r>
        <w:rPr>
          <w:rFonts w:hAnsi="宋体"/>
          <w:color w:val="000000" w:themeColor="text1"/>
          <w:szCs w:val="21"/>
        </w:rPr>
        <w:t>）</w:t>
      </w:r>
      <w:r>
        <w:rPr>
          <w:rFonts w:hAnsi="宋体"/>
          <w:color w:val="000000" w:themeColor="text1"/>
          <w:kern w:val="0"/>
        </w:rPr>
        <w:t>中</w:t>
      </w:r>
      <w:r>
        <w:rPr>
          <w:color w:val="000000" w:themeColor="text1"/>
          <w:kern w:val="0"/>
        </w:rPr>
        <w:t>1</w:t>
      </w:r>
      <w:r>
        <w:rPr>
          <w:rFonts w:hAnsi="宋体"/>
          <w:color w:val="000000" w:themeColor="text1"/>
        </w:rPr>
        <w:t>类标准限值要求。</w:t>
      </w:r>
    </w:p>
    <w:p>
      <w:pPr>
        <w:numPr>
          <w:ilvl w:val="0"/>
          <w:numId w:val="0"/>
        </w:numPr>
        <w:shd w:val="clear" w:color="auto" w:fill="FFFFFF"/>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    </w:t>
      </w:r>
      <w:r>
        <w:rPr>
          <w:rFonts w:hint="eastAsia" w:ascii="宋体" w:hAnsi="宋体" w:eastAsia="宋体" w:cs="Times New Roman"/>
          <w:b/>
          <w:sz w:val="24"/>
          <w:szCs w:val="24"/>
          <w:lang w:eastAsia="zh-CN"/>
        </w:rPr>
        <w:t>（五）</w:t>
      </w:r>
      <w:r>
        <w:rPr>
          <w:rFonts w:ascii="宋体" w:hAnsi="宋体" w:eastAsia="宋体" w:cs="Times New Roman"/>
          <w:b/>
          <w:sz w:val="24"/>
          <w:szCs w:val="24"/>
        </w:rPr>
        <w:t>固体废弃物</w:t>
      </w:r>
    </w:p>
    <w:p>
      <w:pPr>
        <w:shd w:val="clear" w:color="auto" w:fill="FFFFFF"/>
        <w:spacing w:line="360" w:lineRule="auto"/>
        <w:ind w:firstLine="480" w:firstLineChars="200"/>
        <w:rPr>
          <w:rFonts w:hint="eastAsia" w:hAnsi="宋体"/>
          <w:color w:val="auto"/>
          <w:sz w:val="24"/>
          <w:szCs w:val="24"/>
          <w:lang w:val="en-US" w:eastAsia="zh-CN"/>
        </w:rPr>
      </w:pPr>
      <w:r>
        <w:rPr>
          <w:rFonts w:hint="eastAsia" w:hAnsi="宋体"/>
          <w:color w:val="auto"/>
          <w:sz w:val="24"/>
          <w:szCs w:val="24"/>
          <w:lang w:val="en-US" w:eastAsia="zh-CN"/>
        </w:rPr>
        <w:t>项目生活垃圾清运至垃圾中转站，对环境影响较小。</w:t>
      </w:r>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五、工程建设对环境的影响</w:t>
      </w:r>
    </w:p>
    <w:p>
      <w:pPr>
        <w:spacing w:line="360" w:lineRule="auto"/>
        <w:ind w:firstLine="465"/>
        <w:rPr>
          <w:rFonts w:hint="eastAsia" w:ascii="宋体" w:hAnsi="宋体"/>
          <w:color w:val="000000" w:themeColor="text1"/>
          <w:sz w:val="24"/>
          <w:szCs w:val="24"/>
        </w:rPr>
      </w:pPr>
      <w:r>
        <w:rPr>
          <w:rFonts w:hint="eastAsia" w:ascii="宋体" w:hAnsi="宋体"/>
          <w:color w:val="000000" w:themeColor="text1"/>
          <w:sz w:val="24"/>
          <w:szCs w:val="24"/>
        </w:rPr>
        <w:t>根据监测</w:t>
      </w:r>
      <w:r>
        <w:rPr>
          <w:rFonts w:hint="eastAsia" w:ascii="宋体" w:hAnsi="宋体"/>
          <w:color w:val="000000" w:themeColor="text1"/>
          <w:sz w:val="24"/>
          <w:szCs w:val="24"/>
          <w:lang w:eastAsia="zh-CN"/>
        </w:rPr>
        <w:t>和调查</w:t>
      </w:r>
      <w:r>
        <w:rPr>
          <w:rFonts w:hint="eastAsia" w:ascii="宋体" w:hAnsi="宋体"/>
          <w:color w:val="000000" w:themeColor="text1"/>
          <w:sz w:val="24"/>
          <w:szCs w:val="24"/>
        </w:rPr>
        <w:t>结果，</w:t>
      </w:r>
      <w:r>
        <w:rPr>
          <w:rFonts w:ascii="宋体" w:hAnsi="宋体"/>
          <w:color w:val="000000" w:themeColor="text1"/>
          <w:sz w:val="24"/>
          <w:szCs w:val="24"/>
        </w:rPr>
        <w:t>验收期间，</w:t>
      </w:r>
      <w:r>
        <w:rPr>
          <w:rFonts w:hint="eastAsia" w:ascii="宋体" w:hAnsi="宋体"/>
          <w:color w:val="000000" w:themeColor="text1"/>
          <w:sz w:val="24"/>
          <w:szCs w:val="24"/>
        </w:rPr>
        <w:t>废水、噪声等</w:t>
      </w:r>
      <w:r>
        <w:rPr>
          <w:rFonts w:ascii="宋体" w:hAnsi="宋体"/>
          <w:color w:val="000000" w:themeColor="text1"/>
          <w:sz w:val="24"/>
          <w:szCs w:val="24"/>
        </w:rPr>
        <w:t>污染物排放达到相关标准，</w:t>
      </w:r>
      <w:r>
        <w:rPr>
          <w:rFonts w:hint="eastAsia" w:ascii="宋体" w:hAnsi="宋体"/>
          <w:color w:val="000000" w:themeColor="text1"/>
          <w:sz w:val="24"/>
          <w:szCs w:val="24"/>
          <w:lang w:eastAsia="zh-CN"/>
        </w:rPr>
        <w:t>项目</w:t>
      </w:r>
      <w:r>
        <w:rPr>
          <w:rFonts w:ascii="宋体" w:hAnsi="宋体"/>
          <w:color w:val="000000" w:themeColor="text1"/>
          <w:sz w:val="24"/>
          <w:szCs w:val="24"/>
        </w:rPr>
        <w:t>运行正常、稳定，对周围环境影响</w:t>
      </w:r>
      <w:r>
        <w:rPr>
          <w:rFonts w:hint="eastAsia" w:ascii="宋体" w:hAnsi="宋体"/>
          <w:color w:val="000000" w:themeColor="text1"/>
          <w:sz w:val="24"/>
          <w:szCs w:val="24"/>
          <w:lang w:eastAsia="zh-CN"/>
        </w:rPr>
        <w:t>可控</w:t>
      </w:r>
      <w:r>
        <w:rPr>
          <w:rFonts w:ascii="宋体" w:hAnsi="宋体"/>
          <w:color w:val="000000" w:themeColor="text1"/>
          <w:sz w:val="24"/>
          <w:szCs w:val="24"/>
        </w:rPr>
        <w:t>。</w:t>
      </w:r>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六、验收结论</w:t>
      </w: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b/>
          <w:sz w:val="32"/>
          <w:szCs w:val="32"/>
          <w:lang w:val="en-US" w:eastAsia="zh-CN"/>
        </w:rPr>
      </w:pPr>
      <w:bookmarkStart w:id="13" w:name="_Toc3551"/>
      <w:r>
        <w:rPr>
          <w:rFonts w:hint="eastAsia" w:ascii="宋体" w:hAnsi="宋体" w:eastAsia="宋体" w:cs="Times New Roman"/>
          <w:sz w:val="24"/>
          <w:szCs w:val="24"/>
        </w:rPr>
        <w:t>验收技术组经现场实地核查，查阅相关资料，结合</w:t>
      </w:r>
      <w:r>
        <w:rPr>
          <w:rFonts w:hint="eastAsia" w:ascii="Times New Roman" w:hAnsi="宋体" w:eastAsia="宋体" w:cs="Times New Roman"/>
          <w:color w:val="000000"/>
          <w:sz w:val="24"/>
          <w:szCs w:val="22"/>
          <w:lang w:val="en-US" w:eastAsia="zh-CN"/>
        </w:rPr>
        <w:t>《建设项目竣工环境保护验收调查表》</w:t>
      </w:r>
      <w:r>
        <w:rPr>
          <w:rFonts w:hint="eastAsia" w:ascii="宋体" w:hAnsi="宋体" w:eastAsia="宋体" w:cs="Times New Roman"/>
          <w:sz w:val="24"/>
          <w:szCs w:val="24"/>
          <w:lang w:eastAsia="zh-CN"/>
        </w:rPr>
        <w:t>，</w:t>
      </w:r>
      <w:r>
        <w:rPr>
          <w:rFonts w:hint="eastAsia" w:ascii="宋体" w:hAnsi="宋体" w:eastAsia="宋体" w:cs="Times New Roman"/>
          <w:sz w:val="24"/>
          <w:szCs w:val="24"/>
        </w:rPr>
        <w:t>验收组一致认为</w:t>
      </w:r>
      <w:r>
        <w:rPr>
          <w:rFonts w:hint="eastAsia" w:ascii="宋体" w:hAnsi="宋体" w:eastAsia="宋体" w:cs="Times New Roman"/>
          <w:sz w:val="24"/>
          <w:szCs w:val="24"/>
          <w:lang w:eastAsia="zh-CN"/>
        </w:rPr>
        <w:t>，</w:t>
      </w:r>
      <w:r>
        <w:rPr>
          <w:rFonts w:hint="eastAsia" w:ascii="宋体" w:hAnsi="宋体" w:eastAsia="宋体" w:cs="宋体"/>
          <w:b w:val="0"/>
          <w:bCs/>
          <w:kern w:val="0"/>
          <w:sz w:val="24"/>
          <w:szCs w:val="24"/>
        </w:rPr>
        <w:t>吉首大学张家界学院东北侧地块二期学生公寓B栋</w:t>
      </w:r>
    </w:p>
    <w:p>
      <w:pPr>
        <w:spacing w:line="360" w:lineRule="auto"/>
        <w:ind w:firstLine="480" w:firstLineChars="200"/>
        <w:outlineLvl w:val="0"/>
        <w:rPr>
          <w:rFonts w:ascii="宋体" w:hAnsi="宋体"/>
          <w:sz w:val="24"/>
          <w:szCs w:val="24"/>
        </w:rPr>
      </w:pPr>
      <w:r>
        <w:rPr>
          <w:rFonts w:hint="eastAsia" w:ascii="宋体" w:hAnsi="宋体" w:eastAsia="宋体" w:cs="Times New Roman"/>
          <w:sz w:val="24"/>
          <w:szCs w:val="24"/>
        </w:rPr>
        <w:t>落实</w:t>
      </w:r>
      <w:r>
        <w:rPr>
          <w:rFonts w:hint="eastAsia" w:ascii="宋体" w:hAnsi="宋体" w:eastAsia="宋体" w:cs="Times New Roman"/>
          <w:sz w:val="24"/>
          <w:szCs w:val="24"/>
          <w:lang w:eastAsia="zh-CN"/>
        </w:rPr>
        <w:t>了</w:t>
      </w:r>
      <w:r>
        <w:rPr>
          <w:rFonts w:hint="eastAsia" w:ascii="宋体" w:hAnsi="宋体" w:eastAsia="宋体" w:cs="Times New Roman"/>
          <w:sz w:val="24"/>
          <w:szCs w:val="24"/>
        </w:rPr>
        <w:t>环评及环保审批意见</w:t>
      </w:r>
      <w:r>
        <w:rPr>
          <w:rFonts w:hint="eastAsia" w:ascii="宋体" w:hAnsi="宋体" w:eastAsia="宋体" w:cs="Times New Roman"/>
          <w:sz w:val="24"/>
          <w:szCs w:val="24"/>
          <w:lang w:eastAsia="zh-CN"/>
        </w:rPr>
        <w:t>规定的部分</w:t>
      </w:r>
      <w:r>
        <w:rPr>
          <w:rFonts w:hint="eastAsia" w:ascii="宋体" w:hAnsi="宋体" w:eastAsia="宋体" w:cs="Times New Roman"/>
          <w:sz w:val="24"/>
          <w:szCs w:val="24"/>
        </w:rPr>
        <w:t>环保措施</w:t>
      </w:r>
      <w:r>
        <w:rPr>
          <w:rFonts w:hint="eastAsia" w:ascii="宋体" w:hAnsi="宋体"/>
          <w:sz w:val="24"/>
          <w:szCs w:val="24"/>
        </w:rPr>
        <w:t>，</w:t>
      </w:r>
      <w:r>
        <w:rPr>
          <w:rFonts w:hint="eastAsia" w:ascii="宋体" w:hAnsi="宋体"/>
          <w:sz w:val="24"/>
          <w:szCs w:val="24"/>
          <w:lang w:eastAsia="zh-CN"/>
        </w:rPr>
        <w:t>生态环境得到保护，</w:t>
      </w:r>
      <w:r>
        <w:rPr>
          <w:rFonts w:hint="eastAsia" w:ascii="宋体" w:hAnsi="宋体"/>
          <w:sz w:val="24"/>
          <w:szCs w:val="24"/>
        </w:rPr>
        <w:t>污染物</w:t>
      </w:r>
      <w:r>
        <w:rPr>
          <w:rFonts w:hint="eastAsia" w:ascii="宋体" w:hAnsi="宋体"/>
          <w:sz w:val="24"/>
          <w:szCs w:val="24"/>
          <w:lang w:eastAsia="zh-CN"/>
        </w:rPr>
        <w:t>能</w:t>
      </w:r>
      <w:r>
        <w:rPr>
          <w:rFonts w:hint="eastAsia" w:ascii="宋体" w:hAnsi="宋体"/>
          <w:sz w:val="24"/>
          <w:szCs w:val="24"/>
        </w:rPr>
        <w:t>实现达标排放，</w:t>
      </w:r>
      <w:bookmarkStart w:id="14" w:name="_Toc22934"/>
      <w:r>
        <w:rPr>
          <w:rFonts w:hAnsi="宋体"/>
          <w:bCs/>
          <w:sz w:val="24"/>
          <w:szCs w:val="24"/>
        </w:rPr>
        <w:t>生产中</w:t>
      </w:r>
      <w:r>
        <w:rPr>
          <w:rFonts w:hint="eastAsia" w:hAnsi="宋体"/>
          <w:bCs/>
          <w:sz w:val="24"/>
          <w:szCs w:val="24"/>
          <w:lang w:val="en-US" w:eastAsia="zh-CN"/>
        </w:rPr>
        <w:t>废水、</w:t>
      </w:r>
      <w:r>
        <w:rPr>
          <w:rFonts w:hAnsi="宋体"/>
          <w:bCs/>
          <w:sz w:val="24"/>
          <w:szCs w:val="24"/>
        </w:rPr>
        <w:t>废气、噪声、固废能得到有效控制。</w:t>
      </w:r>
      <w:bookmarkEnd w:id="14"/>
      <w:r>
        <w:rPr>
          <w:rFonts w:hint="eastAsia" w:ascii="宋体" w:hAnsi="宋体"/>
          <w:sz w:val="24"/>
          <w:szCs w:val="24"/>
        </w:rPr>
        <w:t>项目建设</w:t>
      </w:r>
      <w:r>
        <w:rPr>
          <w:rFonts w:hint="eastAsia" w:ascii="宋体" w:hAnsi="宋体"/>
          <w:sz w:val="24"/>
          <w:szCs w:val="24"/>
          <w:lang w:eastAsia="zh-CN"/>
        </w:rPr>
        <w:t>大致</w:t>
      </w:r>
      <w:r>
        <w:rPr>
          <w:rFonts w:hint="eastAsia" w:ascii="宋体" w:hAnsi="宋体"/>
          <w:sz w:val="24"/>
          <w:szCs w:val="24"/>
        </w:rPr>
        <w:t>符合竣工环境保护验收条件，验收技术组同意项目</w:t>
      </w:r>
      <w:r>
        <w:rPr>
          <w:rFonts w:hint="eastAsia" w:ascii="宋体" w:hAnsi="宋体"/>
          <w:sz w:val="24"/>
          <w:szCs w:val="24"/>
          <w:lang w:eastAsia="zh-CN"/>
        </w:rPr>
        <w:t>完成正在实施的环保措施后，可以</w:t>
      </w:r>
      <w:r>
        <w:rPr>
          <w:rFonts w:hint="eastAsia" w:ascii="宋体" w:hAnsi="宋体"/>
          <w:sz w:val="24"/>
          <w:szCs w:val="24"/>
        </w:rPr>
        <w:t>通过企业自主环保验收，</w:t>
      </w:r>
      <w:r>
        <w:rPr>
          <w:rFonts w:hint="eastAsia" w:ascii="宋体" w:hAnsi="宋体"/>
          <w:sz w:val="24"/>
          <w:szCs w:val="24"/>
          <w:lang w:eastAsia="zh-CN"/>
        </w:rPr>
        <w:t>并</w:t>
      </w:r>
      <w:r>
        <w:rPr>
          <w:rFonts w:hint="eastAsia" w:ascii="宋体" w:hAnsi="宋体"/>
          <w:sz w:val="24"/>
          <w:szCs w:val="24"/>
        </w:rPr>
        <w:t>上报生态环境部门验收备案</w:t>
      </w:r>
      <w:r>
        <w:rPr>
          <w:rFonts w:hint="eastAsia" w:ascii="宋体" w:hAnsi="宋体"/>
          <w:sz w:val="24"/>
          <w:szCs w:val="24"/>
          <w:lang w:eastAsia="zh-CN"/>
        </w:rPr>
        <w:t>。</w:t>
      </w:r>
      <w:bookmarkEnd w:id="13"/>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七</w:t>
      </w:r>
      <w:r>
        <w:rPr>
          <w:rFonts w:ascii="宋体" w:hAnsi="宋体"/>
          <w:b/>
          <w:sz w:val="24"/>
          <w:szCs w:val="24"/>
        </w:rPr>
        <w:t>、后续要求</w:t>
      </w:r>
    </w:p>
    <w:p>
      <w:pPr>
        <w:keepNext w:val="0"/>
        <w:keepLines w:val="0"/>
        <w:pageBreakBefore w:val="0"/>
        <w:widowControl w:val="0"/>
        <w:tabs>
          <w:tab w:val="left" w:pos="2540"/>
        </w:tabs>
        <w:kinsoku/>
        <w:wordWrap/>
        <w:overflowPunct/>
        <w:topLinePunct w:val="0"/>
        <w:autoSpaceDE/>
        <w:autoSpaceDN/>
        <w:bidi w:val="0"/>
        <w:adjustRightInd/>
        <w:snapToGrid/>
        <w:ind w:firstLine="480" w:firstLineChars="200"/>
        <w:outlineLvl w:val="0"/>
        <w:rPr>
          <w:bCs/>
        </w:rPr>
      </w:pPr>
      <w:r>
        <w:rPr>
          <w:rFonts w:hint="eastAsia" w:hAnsi="宋体"/>
          <w:bCs/>
          <w:lang w:val="en-US" w:eastAsia="zh-CN"/>
        </w:rPr>
        <w:t>1、</w:t>
      </w:r>
      <w:r>
        <w:rPr>
          <w:rFonts w:hAnsi="宋体"/>
          <w:bCs/>
        </w:rPr>
        <w:t>加强环境管理与监督工作，保证环保设施正常运行。</w:t>
      </w:r>
    </w:p>
    <w:p>
      <w:pPr>
        <w:keepNext w:val="0"/>
        <w:keepLines w:val="0"/>
        <w:pageBreakBefore w:val="0"/>
        <w:widowControl w:val="0"/>
        <w:tabs>
          <w:tab w:val="center" w:pos="4340"/>
        </w:tabs>
        <w:kinsoku/>
        <w:wordWrap/>
        <w:overflowPunct/>
        <w:topLinePunct w:val="0"/>
        <w:autoSpaceDE/>
        <w:autoSpaceDN/>
        <w:bidi w:val="0"/>
        <w:adjustRightInd/>
        <w:snapToGrid/>
        <w:ind w:firstLine="480" w:firstLineChars="200"/>
        <w:textAlignment w:val="top"/>
        <w:rPr>
          <w:bCs/>
        </w:rPr>
      </w:pPr>
      <w:r>
        <w:rPr>
          <w:rFonts w:hint="eastAsia" w:hAnsi="宋体"/>
          <w:bCs/>
          <w:lang w:val="en-US" w:eastAsia="zh-CN"/>
        </w:rPr>
        <w:t>2、</w:t>
      </w:r>
      <w:r>
        <w:rPr>
          <w:rFonts w:hAnsi="宋体"/>
          <w:bCs/>
        </w:rPr>
        <w:t>加强对固废的分类收集及管理，统一清运，做到日产日清。</w:t>
      </w:r>
    </w:p>
    <w:p>
      <w:pPr>
        <w:keepNext w:val="0"/>
        <w:keepLines w:val="0"/>
        <w:pageBreakBefore w:val="0"/>
        <w:widowControl w:val="0"/>
        <w:tabs>
          <w:tab w:val="center" w:pos="4340"/>
        </w:tabs>
        <w:kinsoku/>
        <w:wordWrap/>
        <w:overflowPunct/>
        <w:topLinePunct w:val="0"/>
        <w:autoSpaceDE/>
        <w:autoSpaceDN/>
        <w:bidi w:val="0"/>
        <w:adjustRightInd/>
        <w:snapToGrid/>
        <w:ind w:firstLine="480" w:firstLineChars="200"/>
        <w:textAlignment w:val="top"/>
        <w:rPr>
          <w:kern w:val="0"/>
          <w:szCs w:val="20"/>
        </w:rPr>
      </w:pPr>
      <w:r>
        <w:rPr>
          <w:rFonts w:hint="eastAsia" w:hAnsi="宋体"/>
          <w:kern w:val="0"/>
          <w:szCs w:val="20"/>
          <w:lang w:val="en-US" w:eastAsia="zh-CN"/>
        </w:rPr>
        <w:t>3、</w:t>
      </w:r>
      <w:r>
        <w:rPr>
          <w:rFonts w:hAnsi="宋体"/>
          <w:kern w:val="0"/>
          <w:szCs w:val="20"/>
        </w:rPr>
        <w:t>宣传环保知识，增强学生环保意识。</w:t>
      </w:r>
    </w:p>
    <w:p>
      <w:pPr>
        <w:shd w:val="clear" w:color="auto" w:fill="FFFFFF"/>
        <w:spacing w:line="360" w:lineRule="auto"/>
        <w:ind w:firstLine="482" w:firstLineChars="200"/>
        <w:rPr>
          <w:rFonts w:ascii="宋体" w:hAnsi="宋体"/>
          <w:b/>
          <w:sz w:val="24"/>
          <w:szCs w:val="24"/>
        </w:rPr>
      </w:pPr>
      <w:r>
        <w:rPr>
          <w:rFonts w:hint="eastAsia" w:ascii="宋体" w:hAnsi="宋体"/>
          <w:b/>
          <w:sz w:val="24"/>
          <w:szCs w:val="24"/>
        </w:rPr>
        <w:t>八、验收人员信息</w:t>
      </w:r>
    </w:p>
    <w:p>
      <w:pPr>
        <w:spacing w:line="360" w:lineRule="auto"/>
        <w:ind w:firstLine="480" w:firstLineChars="200"/>
        <w:textAlignment w:val="top"/>
        <w:rPr>
          <w:rFonts w:ascii="宋体" w:hAnsi="宋体"/>
          <w:sz w:val="24"/>
          <w:szCs w:val="24"/>
        </w:rPr>
      </w:pPr>
      <w:r>
        <w:rPr>
          <w:rFonts w:hint="eastAsia" w:ascii="宋体" w:hAnsi="宋体"/>
          <w:sz w:val="24"/>
          <w:szCs w:val="24"/>
        </w:rPr>
        <w:t>验收人员具体信息及签名见附件</w:t>
      </w:r>
    </w:p>
    <w:p>
      <w:pPr>
        <w:spacing w:line="360" w:lineRule="auto"/>
        <w:ind w:firstLine="3600" w:firstLineChars="1500"/>
        <w:jc w:val="center"/>
        <w:textAlignment w:val="top"/>
        <w:rPr>
          <w:rFonts w:hint="eastAsia" w:hAnsi="宋体" w:cs="Times New Roman"/>
          <w:color w:val="000000"/>
          <w:sz w:val="24"/>
          <w:szCs w:val="22"/>
          <w:lang w:val="en-US" w:eastAsia="zh-CN"/>
        </w:rPr>
      </w:pPr>
      <w:r>
        <w:rPr>
          <w:rFonts w:hint="eastAsia" w:hAnsi="宋体" w:cs="Times New Roman"/>
          <w:color w:val="000000"/>
          <w:sz w:val="24"/>
          <w:szCs w:val="22"/>
          <w:lang w:val="en-US" w:eastAsia="zh-CN"/>
        </w:rPr>
        <w:t xml:space="preserve">       吉首大学张家界学院</w:t>
      </w:r>
    </w:p>
    <w:p>
      <w:pPr>
        <w:spacing w:line="360" w:lineRule="auto"/>
        <w:ind w:firstLine="3600" w:firstLineChars="1500"/>
        <w:jc w:val="right"/>
        <w:textAlignment w:val="top"/>
        <w:rPr>
          <w:rFonts w:hint="eastAsia" w:ascii="宋体" w:hAnsi="宋体"/>
          <w:color w:val="000000" w:themeColor="text1"/>
          <w:sz w:val="24"/>
          <w:szCs w:val="24"/>
        </w:rPr>
        <w:sectPr>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宋体" w:hAnsi="宋体"/>
          <w:sz w:val="24"/>
          <w:szCs w:val="24"/>
        </w:rPr>
        <w:t>验收时间</w:t>
      </w:r>
      <w:r>
        <w:rPr>
          <w:rFonts w:hint="default" w:ascii="Times New Roman" w:hAnsi="Times New Roman" w:cs="Times New Roman"/>
          <w:sz w:val="24"/>
          <w:szCs w:val="24"/>
        </w:rPr>
        <w:t>：</w:t>
      </w:r>
      <w:r>
        <w:rPr>
          <w:rFonts w:hint="default" w:ascii="Times New Roman" w:hAnsi="Times New Roman" w:cs="Times New Roman"/>
          <w:color w:val="000000" w:themeColor="text1"/>
          <w:sz w:val="24"/>
          <w:szCs w:val="24"/>
        </w:rPr>
        <w:t>202</w:t>
      </w:r>
      <w:r>
        <w:rPr>
          <w:rFonts w:hint="eastAsia" w:ascii="宋体" w:hAnsi="宋体"/>
          <w:color w:val="000000" w:themeColor="text1"/>
          <w:sz w:val="24"/>
          <w:szCs w:val="24"/>
        </w:rPr>
        <w:t>1年</w:t>
      </w:r>
      <w:r>
        <w:rPr>
          <w:rFonts w:hint="default" w:ascii="Times New Roman" w:hAnsi="Times New Roman" w:cs="Times New Roman"/>
          <w:color w:val="000000" w:themeColor="text1"/>
          <w:sz w:val="24"/>
          <w:szCs w:val="24"/>
          <w:lang w:val="en-US" w:eastAsia="zh-CN"/>
        </w:rPr>
        <w:t>11</w:t>
      </w:r>
      <w:r>
        <w:rPr>
          <w:rFonts w:hint="eastAsia" w:ascii="宋体" w:hAnsi="宋体"/>
          <w:color w:val="000000" w:themeColor="text1"/>
          <w:sz w:val="24"/>
          <w:szCs w:val="24"/>
        </w:rPr>
        <w:t>月</w:t>
      </w:r>
      <w:r>
        <w:rPr>
          <w:rFonts w:hint="default" w:ascii="Times New Roman" w:hAnsi="Times New Roman" w:cs="Times New Roman"/>
          <w:color w:val="000000" w:themeColor="text1"/>
          <w:sz w:val="24"/>
          <w:szCs w:val="24"/>
          <w:lang w:val="en-US" w:eastAsia="zh-CN"/>
        </w:rPr>
        <w:t>5</w:t>
      </w:r>
      <w:r>
        <w:rPr>
          <w:rFonts w:hint="eastAsia" w:ascii="宋体" w:hAnsi="宋体"/>
          <w:color w:val="000000" w:themeColor="text1"/>
          <w:sz w:val="24"/>
          <w:szCs w:val="24"/>
        </w:rPr>
        <w:t>日</w:t>
      </w:r>
    </w:p>
    <w:p>
      <w:pPr>
        <w:jc w:val="center"/>
        <w:outlineLvl w:val="0"/>
        <w:rPr>
          <w:rFonts w:ascii="Times New Roman" w:hAnsi="Times New Roman" w:eastAsia="宋体"/>
          <w:b/>
          <w:bCs/>
          <w:sz w:val="36"/>
          <w:szCs w:val="36"/>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line="220" w:lineRule="atLeast"/>
        <w:jc w:val="center"/>
        <w:rPr>
          <w:rFonts w:hint="eastAsia" w:ascii="Times New Roman" w:hAnsi="Times New Roman" w:eastAsia="宋体"/>
          <w:b/>
          <w:bCs w:val="0"/>
          <w:sz w:val="32"/>
          <w:szCs w:val="32"/>
        </w:rPr>
        <w:sectPr>
          <w:footerReference r:id="rId11" w:type="default"/>
          <w:pgSz w:w="11906" w:h="16838"/>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26" w:charSpace="0"/>
        </w:sectPr>
      </w:pPr>
      <w:r>
        <w:drawing>
          <wp:inline distT="0" distB="0" distL="114300" distR="114300">
            <wp:extent cx="4376420" cy="6569710"/>
            <wp:effectExtent l="0" t="0" r="2540" b="508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a:stretch>
                      <a:fillRect/>
                    </a:stretch>
                  </pic:blipFill>
                  <pic:spPr>
                    <a:xfrm rot="5400000">
                      <a:off x="0" y="0"/>
                      <a:ext cx="4376420" cy="6569710"/>
                    </a:xfrm>
                    <a:prstGeom prst="rect">
                      <a:avLst/>
                    </a:prstGeom>
                    <a:noFill/>
                    <a:ln>
                      <a:noFill/>
                    </a:ln>
                  </pic:spPr>
                </pic:pic>
              </a:graphicData>
            </a:graphic>
          </wp:inline>
        </w:drawing>
      </w:r>
    </w:p>
    <w:p>
      <w:pPr>
        <w:spacing w:line="220" w:lineRule="atLeast"/>
        <w:jc w:val="center"/>
        <w:rPr>
          <w:rFonts w:hint="eastAsia" w:ascii="Times New Roman" w:hAnsi="Times New Roman" w:eastAsia="宋体"/>
          <w:b/>
          <w:bCs w:val="0"/>
          <w:sz w:val="32"/>
          <w:szCs w:val="32"/>
        </w:rPr>
      </w:pPr>
      <w:r>
        <w:rPr>
          <w:rFonts w:hint="eastAsia" w:ascii="Times New Roman" w:hAnsi="Times New Roman" w:eastAsia="宋体"/>
          <w:b/>
          <w:bCs w:val="0"/>
          <w:sz w:val="32"/>
          <w:szCs w:val="32"/>
        </w:rPr>
        <w:t>吉首大学张家界学院东北侧地块二期学生公寓B栋</w:t>
      </w:r>
    </w:p>
    <w:p>
      <w:pPr>
        <w:spacing w:line="220" w:lineRule="atLeast"/>
        <w:jc w:val="center"/>
        <w:rPr>
          <w:rFonts w:ascii="Times New Roman" w:hAnsi="Times New Roman" w:eastAsia="宋体"/>
          <w:b/>
          <w:bCs w:val="0"/>
          <w:sz w:val="32"/>
          <w:szCs w:val="32"/>
        </w:rPr>
      </w:pPr>
      <w:r>
        <w:rPr>
          <w:rFonts w:ascii="Times New Roman" w:hAnsi="Times New Roman" w:eastAsia="宋体"/>
          <w:b/>
          <w:bCs w:val="0"/>
          <w:sz w:val="32"/>
          <w:szCs w:val="32"/>
        </w:rPr>
        <w:t>其他需要说明的事项</w:t>
      </w:r>
    </w:p>
    <w:p>
      <w:pPr>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根据《建设项目竣工环境保护验收暂行办法》规定要求，</w:t>
      </w:r>
      <w:r>
        <w:rPr>
          <w:rFonts w:hint="eastAsia" w:ascii="Times New Roman" w:hAnsi="Times New Roman" w:eastAsia="宋体"/>
          <w:sz w:val="24"/>
          <w:szCs w:val="24"/>
        </w:rPr>
        <w:t>现</w:t>
      </w:r>
      <w:r>
        <w:rPr>
          <w:rFonts w:ascii="Times New Roman" w:hAnsi="Times New Roman" w:eastAsia="宋体"/>
          <w:sz w:val="24"/>
          <w:szCs w:val="24"/>
        </w:rPr>
        <w:t>将</w:t>
      </w:r>
      <w:r>
        <w:rPr>
          <w:rFonts w:hint="eastAsia"/>
          <w:sz w:val="24"/>
          <w:szCs w:val="24"/>
          <w:lang w:val="en-US" w:eastAsia="zh-CN"/>
        </w:rPr>
        <w:t>吉首大学张家界学院</w:t>
      </w:r>
      <w:r>
        <w:rPr>
          <w:rFonts w:hint="eastAsia" w:ascii="Times New Roman" w:hAnsi="Times New Roman" w:eastAsia="宋体"/>
          <w:sz w:val="24"/>
          <w:szCs w:val="24"/>
        </w:rPr>
        <w:t>建设的吉首大学张家界学院东北侧地块二期学生公寓B栋</w:t>
      </w:r>
      <w:r>
        <w:rPr>
          <w:rFonts w:ascii="Times New Roman" w:hAnsi="Times New Roman" w:eastAsia="宋体"/>
          <w:sz w:val="24"/>
          <w:szCs w:val="24"/>
        </w:rPr>
        <w:t>的环境保护设施设计、施工和验收过程简况，环境影响报告表及其审批部门审批决定中提出的除环境保护设施外的其他环境保护措施的落实情况，以及整改工作情况等，需要说明的具体内容和要求列举如下：</w:t>
      </w:r>
    </w:p>
    <w:p>
      <w:pPr>
        <w:spacing w:line="360" w:lineRule="auto"/>
        <w:rPr>
          <w:rFonts w:ascii="Times New Roman" w:hAnsi="Times New Roman" w:eastAsia="宋体"/>
          <w:b/>
          <w:bCs/>
          <w:sz w:val="24"/>
          <w:szCs w:val="24"/>
        </w:rPr>
      </w:pPr>
      <w:r>
        <w:rPr>
          <w:rFonts w:ascii="Times New Roman" w:hAnsi="Times New Roman" w:eastAsia="宋体"/>
          <w:b/>
          <w:bCs/>
          <w:sz w:val="24"/>
          <w:szCs w:val="24"/>
        </w:rPr>
        <w:t>1环境保护设施设计、施工和验收过程简况</w:t>
      </w:r>
    </w:p>
    <w:p>
      <w:pPr>
        <w:spacing w:line="360" w:lineRule="auto"/>
        <w:rPr>
          <w:rFonts w:ascii="Times New Roman" w:hAnsi="Times New Roman" w:eastAsia="宋体"/>
          <w:b/>
          <w:bCs/>
          <w:sz w:val="24"/>
          <w:szCs w:val="24"/>
        </w:rPr>
      </w:pPr>
      <w:r>
        <w:rPr>
          <w:rFonts w:ascii="Times New Roman" w:hAnsi="Times New Roman" w:eastAsia="宋体"/>
          <w:b/>
          <w:bCs/>
          <w:sz w:val="24"/>
          <w:szCs w:val="24"/>
        </w:rPr>
        <w:t>1.1设计简况</w:t>
      </w:r>
    </w:p>
    <w:p>
      <w:pPr>
        <w:spacing w:line="360" w:lineRule="auto"/>
        <w:ind w:firstLine="480" w:firstLineChars="200"/>
        <w:rPr>
          <w:rFonts w:ascii="Times New Roman" w:hAnsi="Times New Roman" w:eastAsia="宋体"/>
          <w:sz w:val="24"/>
          <w:szCs w:val="24"/>
        </w:rPr>
      </w:pPr>
      <w:r>
        <w:rPr>
          <w:rFonts w:hint="eastAsia"/>
          <w:sz w:val="24"/>
          <w:szCs w:val="24"/>
          <w:lang w:val="en-US" w:eastAsia="zh-CN"/>
        </w:rPr>
        <w:t>吉首大学张家界学院</w:t>
      </w:r>
      <w:r>
        <w:rPr>
          <w:rFonts w:hint="eastAsia" w:ascii="Times New Roman" w:hAnsi="Times New Roman" w:eastAsia="宋体"/>
          <w:sz w:val="24"/>
        </w:rPr>
        <w:t>建设的吉首大学张家界学院东北侧地块二期学生公寓B栋</w:t>
      </w:r>
      <w:r>
        <w:rPr>
          <w:rFonts w:ascii="Times New Roman" w:hAnsi="Times New Roman" w:eastAsia="宋体"/>
          <w:sz w:val="24"/>
          <w:szCs w:val="24"/>
        </w:rPr>
        <w:t>（以下简称本项目）很好地落实了环评中要求的污染防治设施，符合“三同时”相关管理规定。</w:t>
      </w:r>
    </w:p>
    <w:p>
      <w:pPr>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本项目的环境保护设施均按相关法律法规、标准要求纳入项目的初步设计，同时项目所涉及的设施符合环境保护设计规范要求，并在建设改造过程中对防止污染和生态破坏的措施以及环境保护措施投资概算等内容进行了落实，项目设计阶段，符合国家现行法律法规、行业标准要求。</w:t>
      </w:r>
    </w:p>
    <w:p>
      <w:pPr>
        <w:spacing w:line="360" w:lineRule="auto"/>
        <w:rPr>
          <w:rFonts w:ascii="Times New Roman" w:hAnsi="Times New Roman" w:eastAsia="宋体"/>
          <w:b/>
          <w:bCs/>
          <w:sz w:val="24"/>
          <w:szCs w:val="24"/>
        </w:rPr>
      </w:pPr>
      <w:r>
        <w:rPr>
          <w:rFonts w:ascii="Times New Roman" w:hAnsi="Times New Roman" w:eastAsia="宋体"/>
          <w:b/>
          <w:bCs/>
          <w:sz w:val="24"/>
          <w:szCs w:val="24"/>
        </w:rPr>
        <w:t>1.2施工简况</w:t>
      </w:r>
    </w:p>
    <w:p>
      <w:pPr>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本项目于</w:t>
      </w:r>
      <w:r>
        <w:rPr>
          <w:rFonts w:ascii="Times New Roman" w:hAnsi="Times New Roman" w:eastAsia="宋体"/>
          <w:color w:val="000000" w:themeColor="text1"/>
          <w:sz w:val="24"/>
          <w:szCs w:val="24"/>
        </w:rPr>
        <w:t>20</w:t>
      </w:r>
      <w:r>
        <w:rPr>
          <w:rFonts w:hint="eastAsia"/>
          <w:color w:val="000000" w:themeColor="text1"/>
          <w:sz w:val="24"/>
          <w:szCs w:val="24"/>
          <w:lang w:val="en-US" w:eastAsia="zh-CN"/>
        </w:rPr>
        <w:t>21</w:t>
      </w:r>
      <w:r>
        <w:rPr>
          <w:rFonts w:ascii="Times New Roman" w:hAnsi="Times New Roman" w:eastAsia="宋体"/>
          <w:color w:val="000000" w:themeColor="text1"/>
          <w:sz w:val="24"/>
          <w:szCs w:val="24"/>
        </w:rPr>
        <w:t>年</w:t>
      </w:r>
      <w:r>
        <w:rPr>
          <w:rFonts w:hint="eastAsia"/>
          <w:color w:val="000000" w:themeColor="text1"/>
          <w:sz w:val="24"/>
          <w:szCs w:val="24"/>
          <w:lang w:val="en-US" w:eastAsia="zh-CN"/>
        </w:rPr>
        <w:t>9</w:t>
      </w:r>
      <w:r>
        <w:rPr>
          <w:rFonts w:ascii="Times New Roman" w:hAnsi="Times New Roman" w:eastAsia="宋体"/>
          <w:sz w:val="24"/>
          <w:szCs w:val="24"/>
        </w:rPr>
        <w:t>月完成施工，</w:t>
      </w:r>
      <w:r>
        <w:rPr>
          <w:rFonts w:hint="eastAsia" w:ascii="Times New Roman" w:hAnsi="Times New Roman" w:eastAsia="宋体"/>
          <w:sz w:val="24"/>
          <w:szCs w:val="24"/>
        </w:rPr>
        <w:t>其</w:t>
      </w:r>
      <w:r>
        <w:rPr>
          <w:rFonts w:ascii="Times New Roman" w:hAnsi="Times New Roman" w:eastAsia="宋体"/>
          <w:sz w:val="24"/>
          <w:szCs w:val="24"/>
        </w:rPr>
        <w:t>配套建设的环境保护污染防治设施均已同步建成。</w:t>
      </w:r>
    </w:p>
    <w:p>
      <w:pPr>
        <w:spacing w:line="360" w:lineRule="auto"/>
        <w:rPr>
          <w:rFonts w:ascii="Times New Roman" w:hAnsi="Times New Roman" w:eastAsia="宋体"/>
          <w:b/>
          <w:bCs/>
          <w:sz w:val="24"/>
          <w:szCs w:val="24"/>
        </w:rPr>
      </w:pPr>
      <w:r>
        <w:rPr>
          <w:rFonts w:ascii="Times New Roman" w:hAnsi="Times New Roman" w:eastAsia="宋体"/>
          <w:b/>
          <w:bCs/>
          <w:sz w:val="24"/>
          <w:szCs w:val="24"/>
        </w:rPr>
        <w:t>1.3验收过程简况</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Times New Roman" w:hAnsi="Times New Roman" w:eastAsia="宋体"/>
          <w:snapToGrid w:val="0"/>
          <w:color w:val="000000" w:themeColor="text1"/>
          <w:sz w:val="24"/>
        </w:rPr>
      </w:pPr>
      <w:r>
        <w:rPr>
          <w:rFonts w:ascii="Times New Roman" w:hAnsi="Times New Roman" w:eastAsia="宋体"/>
          <w:sz w:val="24"/>
          <w:szCs w:val="24"/>
        </w:rPr>
        <w:t>本项目于</w:t>
      </w:r>
      <w:r>
        <w:rPr>
          <w:rFonts w:ascii="Times New Roman" w:hAnsi="Times New Roman" w:eastAsia="宋体"/>
          <w:color w:val="000000" w:themeColor="text1"/>
          <w:sz w:val="24"/>
          <w:szCs w:val="24"/>
        </w:rPr>
        <w:t>项目于20</w:t>
      </w:r>
      <w:r>
        <w:rPr>
          <w:rFonts w:hint="eastAsia"/>
          <w:color w:val="000000" w:themeColor="text1"/>
          <w:sz w:val="24"/>
          <w:szCs w:val="24"/>
          <w:lang w:val="en-US" w:eastAsia="zh-CN"/>
        </w:rPr>
        <w:t>20</w:t>
      </w:r>
      <w:r>
        <w:rPr>
          <w:rFonts w:ascii="Times New Roman" w:hAnsi="Times New Roman" w:eastAsia="宋体"/>
          <w:color w:val="000000" w:themeColor="text1"/>
          <w:sz w:val="24"/>
          <w:szCs w:val="24"/>
        </w:rPr>
        <w:t>年</w:t>
      </w:r>
      <w:r>
        <w:rPr>
          <w:rFonts w:hint="eastAsia"/>
          <w:color w:val="000000" w:themeColor="text1"/>
          <w:sz w:val="24"/>
          <w:szCs w:val="24"/>
          <w:lang w:val="en-US" w:eastAsia="zh-CN"/>
        </w:rPr>
        <w:t>10</w:t>
      </w:r>
      <w:r>
        <w:rPr>
          <w:rFonts w:ascii="Times New Roman" w:hAnsi="Times New Roman" w:eastAsia="宋体"/>
          <w:color w:val="000000" w:themeColor="text1"/>
          <w:sz w:val="24"/>
          <w:szCs w:val="24"/>
        </w:rPr>
        <w:t>月动工，20</w:t>
      </w:r>
      <w:r>
        <w:rPr>
          <w:rFonts w:hint="eastAsia"/>
          <w:color w:val="000000" w:themeColor="text1"/>
          <w:sz w:val="24"/>
          <w:szCs w:val="24"/>
          <w:lang w:val="en-US" w:eastAsia="zh-CN"/>
        </w:rPr>
        <w:t>21</w:t>
      </w:r>
      <w:r>
        <w:rPr>
          <w:rFonts w:ascii="Times New Roman" w:hAnsi="Times New Roman" w:eastAsia="宋体"/>
          <w:color w:val="000000" w:themeColor="text1"/>
          <w:sz w:val="24"/>
          <w:szCs w:val="24"/>
        </w:rPr>
        <w:t>年</w:t>
      </w:r>
      <w:r>
        <w:rPr>
          <w:rFonts w:hint="eastAsia"/>
          <w:color w:val="000000" w:themeColor="text1"/>
          <w:sz w:val="24"/>
          <w:szCs w:val="24"/>
          <w:lang w:val="en-US" w:eastAsia="zh-CN"/>
        </w:rPr>
        <w:t>9</w:t>
      </w:r>
      <w:r>
        <w:rPr>
          <w:rFonts w:ascii="Times New Roman" w:hAnsi="Times New Roman" w:eastAsia="宋体"/>
          <w:color w:val="000000" w:themeColor="text1"/>
          <w:sz w:val="24"/>
          <w:szCs w:val="24"/>
        </w:rPr>
        <w:t>月竣工。</w:t>
      </w:r>
      <w:r>
        <w:rPr>
          <w:rFonts w:ascii="Times New Roman" w:hAnsi="Times New Roman" w:eastAsia="宋体"/>
          <w:snapToGrid w:val="0"/>
          <w:color w:val="000000" w:themeColor="text1"/>
          <w:sz w:val="24"/>
        </w:rPr>
        <w:t>自主验收工作在202</w:t>
      </w:r>
      <w:r>
        <w:rPr>
          <w:rFonts w:hint="eastAsia" w:ascii="Times New Roman" w:hAnsi="Times New Roman" w:eastAsia="宋体"/>
          <w:snapToGrid w:val="0"/>
          <w:color w:val="000000" w:themeColor="text1"/>
          <w:sz w:val="24"/>
        </w:rPr>
        <w:t>1</w:t>
      </w:r>
      <w:r>
        <w:rPr>
          <w:rFonts w:ascii="Times New Roman" w:hAnsi="Times New Roman" w:eastAsia="宋体"/>
          <w:snapToGrid w:val="0"/>
          <w:color w:val="000000" w:themeColor="text1"/>
          <w:sz w:val="24"/>
        </w:rPr>
        <w:t>年</w:t>
      </w:r>
      <w:r>
        <w:rPr>
          <w:rFonts w:hint="eastAsia"/>
          <w:snapToGrid w:val="0"/>
          <w:color w:val="000000" w:themeColor="text1"/>
          <w:sz w:val="24"/>
          <w:lang w:val="en-US" w:eastAsia="zh-CN"/>
        </w:rPr>
        <w:t>10</w:t>
      </w:r>
      <w:r>
        <w:rPr>
          <w:rFonts w:ascii="Times New Roman" w:hAnsi="Times New Roman" w:eastAsia="宋体"/>
          <w:snapToGrid w:val="0"/>
          <w:color w:val="000000" w:themeColor="text1"/>
          <w:sz w:val="24"/>
        </w:rPr>
        <w:t>月开始启动</w:t>
      </w:r>
      <w:r>
        <w:rPr>
          <w:rFonts w:hint="eastAsia" w:ascii="Times New Roman" w:hAnsi="Times New Roman" w:eastAsia="宋体"/>
          <w:snapToGrid w:val="0"/>
          <w:color w:val="000000" w:themeColor="text1"/>
          <w:sz w:val="24"/>
        </w:rPr>
        <w:t>，</w:t>
      </w:r>
      <w:r>
        <w:rPr>
          <w:rFonts w:hint="eastAsia" w:ascii="Times New Roman" w:hAnsi="Times New Roman" w:eastAsia="宋体"/>
          <w:color w:val="000000" w:themeColor="text1"/>
          <w:sz w:val="24"/>
          <w:szCs w:val="24"/>
        </w:rPr>
        <w:t>并</w:t>
      </w:r>
      <w:r>
        <w:rPr>
          <w:rFonts w:ascii="Times New Roman" w:hAnsi="Times New Roman" w:eastAsia="宋体"/>
          <w:color w:val="000000" w:themeColor="text1"/>
          <w:sz w:val="24"/>
          <w:szCs w:val="24"/>
        </w:rPr>
        <w:t>委托湖南蓝科检测评价有限公司</w:t>
      </w:r>
      <w:r>
        <w:rPr>
          <w:rFonts w:ascii="Times New Roman" w:hAnsi="Times New Roman" w:eastAsia="宋体"/>
          <w:snapToGrid w:val="0"/>
          <w:color w:val="000000" w:themeColor="text1"/>
          <w:sz w:val="24"/>
        </w:rPr>
        <w:t>进行验收监测。</w:t>
      </w:r>
    </w:p>
    <w:p>
      <w:pPr>
        <w:keepNext w:val="0"/>
        <w:keepLines w:val="0"/>
        <w:pageBreakBefore w:val="0"/>
        <w:widowControl w:val="0"/>
        <w:kinsoku/>
        <w:wordWrap/>
        <w:overflowPunct/>
        <w:topLinePunct w:val="0"/>
        <w:autoSpaceDE/>
        <w:autoSpaceDN/>
        <w:bidi w:val="0"/>
        <w:adjustRightInd/>
        <w:snapToGrid w:val="0"/>
        <w:spacing w:before="0" w:after="0" w:line="360" w:lineRule="auto"/>
        <w:ind w:left="0" w:right="0" w:firstLine="480" w:firstLineChars="200"/>
        <w:jc w:val="both"/>
        <w:textAlignment w:val="auto"/>
        <w:outlineLvl w:val="9"/>
        <w:rPr>
          <w:rFonts w:hint="eastAsia" w:ascii="Times New Roman" w:hAnsi="Times New Roman" w:eastAsia="宋体" w:cs="Times New Roman"/>
          <w:bCs/>
          <w:color w:val="auto"/>
          <w:kern w:val="2"/>
          <w:sz w:val="24"/>
          <w:szCs w:val="24"/>
          <w:lang w:eastAsia="zh-CN"/>
        </w:rPr>
      </w:pPr>
      <w:r>
        <w:rPr>
          <w:rFonts w:hint="eastAsia" w:ascii="Times New Roman" w:hAnsi="Times New Roman" w:eastAsia="宋体"/>
          <w:color w:val="000000" w:themeColor="text1"/>
          <w:sz w:val="24"/>
          <w:szCs w:val="24"/>
        </w:rPr>
        <w:t>2021年</w:t>
      </w:r>
      <w:r>
        <w:rPr>
          <w:rFonts w:hint="eastAsia"/>
          <w:color w:val="000000" w:themeColor="text1"/>
          <w:sz w:val="24"/>
          <w:szCs w:val="24"/>
          <w:lang w:val="en-US" w:eastAsia="zh-CN"/>
        </w:rPr>
        <w:t>11</w:t>
      </w:r>
      <w:r>
        <w:rPr>
          <w:rFonts w:hint="eastAsia" w:ascii="Times New Roman" w:hAnsi="Times New Roman" w:eastAsia="宋体"/>
          <w:color w:val="000000" w:themeColor="text1"/>
          <w:sz w:val="24"/>
          <w:szCs w:val="24"/>
        </w:rPr>
        <w:t>月</w:t>
      </w:r>
      <w:r>
        <w:rPr>
          <w:rFonts w:hint="eastAsia"/>
          <w:color w:val="000000" w:themeColor="text1"/>
          <w:sz w:val="24"/>
          <w:szCs w:val="24"/>
          <w:lang w:val="en-US" w:eastAsia="zh-CN"/>
        </w:rPr>
        <w:t>5</w:t>
      </w:r>
      <w:r>
        <w:rPr>
          <w:rFonts w:hint="eastAsia" w:ascii="Times New Roman" w:hAnsi="Times New Roman" w:eastAsia="宋体"/>
          <w:color w:val="000000" w:themeColor="text1"/>
          <w:sz w:val="24"/>
          <w:szCs w:val="24"/>
        </w:rPr>
        <w:t>日</w:t>
      </w:r>
      <w:r>
        <w:rPr>
          <w:rFonts w:ascii="Times New Roman" w:hAnsi="Times New Roman" w:eastAsia="宋体"/>
          <w:color w:val="000000" w:themeColor="text1"/>
          <w:sz w:val="24"/>
          <w:szCs w:val="24"/>
        </w:rPr>
        <w:t>邀请三位专家</w:t>
      </w:r>
      <w:r>
        <w:rPr>
          <w:rFonts w:hint="eastAsia" w:ascii="Times New Roman" w:hAnsi="Times New Roman" w:eastAsia="宋体"/>
          <w:color w:val="000000" w:themeColor="text1"/>
          <w:sz w:val="24"/>
          <w:szCs w:val="24"/>
        </w:rPr>
        <w:t>经</w:t>
      </w:r>
      <w:r>
        <w:rPr>
          <w:rFonts w:ascii="Times New Roman" w:hAnsi="Times New Roman" w:eastAsia="宋体"/>
          <w:color w:val="000000" w:themeColor="text1"/>
          <w:sz w:val="24"/>
          <w:szCs w:val="24"/>
        </w:rPr>
        <w:t>现场勘查</w:t>
      </w:r>
      <w:r>
        <w:rPr>
          <w:rFonts w:hint="eastAsia"/>
          <w:color w:val="000000" w:themeColor="text1"/>
          <w:sz w:val="24"/>
          <w:szCs w:val="24"/>
          <w:lang w:eastAsia="zh-CN"/>
        </w:rPr>
        <w:t>，</w:t>
      </w:r>
      <w:r>
        <w:rPr>
          <w:rFonts w:hint="eastAsia" w:ascii="Times New Roman" w:hAnsi="Times New Roman" w:eastAsia="宋体" w:cs="Times New Roman"/>
          <w:bCs/>
          <w:color w:val="auto"/>
          <w:kern w:val="2"/>
          <w:sz w:val="24"/>
          <w:szCs w:val="24"/>
          <w:lang w:eastAsia="zh-CN"/>
        </w:rPr>
        <w:t>技术审核组通过实地核实检查，听取建设单位介绍项目建设情况和解读项目环境保护验收监测报告，对照项目环评要求及环保审批意见，经充分讨论，形成如下审查意见：</w:t>
      </w:r>
    </w:p>
    <w:p>
      <w:pPr>
        <w:spacing w:line="360" w:lineRule="auto"/>
        <w:ind w:firstLine="480" w:firstLineChars="200"/>
        <w:outlineLvl w:val="0"/>
        <w:rPr>
          <w:rFonts w:hint="eastAsia" w:ascii="宋体" w:hAnsi="宋体"/>
          <w:sz w:val="24"/>
          <w:szCs w:val="24"/>
          <w:lang w:eastAsia="zh-CN"/>
        </w:rPr>
      </w:pPr>
      <w:bookmarkStart w:id="15" w:name="_Toc12061"/>
      <w:r>
        <w:rPr>
          <w:rFonts w:hint="eastAsia" w:ascii="宋体" w:hAnsi="宋体" w:eastAsia="宋体" w:cs="Times New Roman"/>
          <w:sz w:val="24"/>
          <w:szCs w:val="24"/>
        </w:rPr>
        <w:t>验收技术组经现场实地核查，查阅相关资料，结合</w:t>
      </w:r>
      <w:r>
        <w:rPr>
          <w:rFonts w:hint="eastAsia" w:ascii="Times New Roman" w:hAnsi="宋体" w:eastAsia="宋体" w:cs="Times New Roman"/>
          <w:color w:val="000000"/>
          <w:sz w:val="24"/>
          <w:szCs w:val="22"/>
          <w:lang w:val="en-US" w:eastAsia="zh-CN"/>
        </w:rPr>
        <w:t>《建设项目竣工环境保护验收调查表》</w:t>
      </w:r>
      <w:r>
        <w:rPr>
          <w:rFonts w:hint="eastAsia" w:ascii="宋体" w:hAnsi="宋体" w:eastAsia="宋体" w:cs="Times New Roman"/>
          <w:sz w:val="24"/>
          <w:szCs w:val="24"/>
          <w:lang w:eastAsia="zh-CN"/>
        </w:rPr>
        <w:t>，</w:t>
      </w:r>
      <w:r>
        <w:rPr>
          <w:rFonts w:hint="eastAsia" w:ascii="宋体" w:hAnsi="宋体" w:eastAsia="宋体" w:cs="Times New Roman"/>
          <w:sz w:val="24"/>
          <w:szCs w:val="24"/>
        </w:rPr>
        <w:t>验收组一致认为</w:t>
      </w:r>
      <w:r>
        <w:rPr>
          <w:rFonts w:hint="eastAsia" w:ascii="宋体" w:hAnsi="宋体" w:eastAsia="宋体" w:cs="Times New Roman"/>
          <w:sz w:val="24"/>
          <w:szCs w:val="24"/>
          <w:lang w:eastAsia="zh-CN"/>
        </w:rPr>
        <w:t>，吉首大学张家界学院东北侧地块二期学生公寓B栋</w:t>
      </w:r>
      <w:r>
        <w:rPr>
          <w:rFonts w:hint="eastAsia" w:ascii="宋体" w:hAnsi="宋体" w:eastAsia="宋体" w:cs="Times New Roman"/>
          <w:sz w:val="24"/>
          <w:szCs w:val="24"/>
        </w:rPr>
        <w:t>落实</w:t>
      </w:r>
      <w:r>
        <w:rPr>
          <w:rFonts w:hint="eastAsia" w:ascii="宋体" w:hAnsi="宋体" w:eastAsia="宋体" w:cs="Times New Roman"/>
          <w:sz w:val="24"/>
          <w:szCs w:val="24"/>
          <w:lang w:eastAsia="zh-CN"/>
        </w:rPr>
        <w:t>了</w:t>
      </w:r>
      <w:r>
        <w:rPr>
          <w:rFonts w:hint="eastAsia" w:ascii="宋体" w:hAnsi="宋体" w:eastAsia="宋体" w:cs="Times New Roman"/>
          <w:sz w:val="24"/>
          <w:szCs w:val="24"/>
        </w:rPr>
        <w:t>环评及环保审批意见</w:t>
      </w:r>
      <w:r>
        <w:rPr>
          <w:rFonts w:hint="eastAsia" w:ascii="宋体" w:hAnsi="宋体" w:eastAsia="宋体" w:cs="Times New Roman"/>
          <w:sz w:val="24"/>
          <w:szCs w:val="24"/>
          <w:lang w:eastAsia="zh-CN"/>
        </w:rPr>
        <w:t>规定的部分</w:t>
      </w:r>
      <w:r>
        <w:rPr>
          <w:rFonts w:hint="eastAsia" w:ascii="宋体" w:hAnsi="宋体" w:eastAsia="宋体" w:cs="Times New Roman"/>
          <w:sz w:val="24"/>
          <w:szCs w:val="24"/>
        </w:rPr>
        <w:t>环保措施</w:t>
      </w:r>
      <w:r>
        <w:rPr>
          <w:rFonts w:hint="eastAsia" w:ascii="宋体" w:hAnsi="宋体"/>
          <w:sz w:val="24"/>
          <w:szCs w:val="24"/>
        </w:rPr>
        <w:t>，</w:t>
      </w:r>
      <w:r>
        <w:rPr>
          <w:rFonts w:hint="eastAsia" w:ascii="宋体" w:hAnsi="宋体"/>
          <w:sz w:val="24"/>
          <w:szCs w:val="24"/>
          <w:lang w:eastAsia="zh-CN"/>
        </w:rPr>
        <w:t>生态环境得到保护，</w:t>
      </w:r>
      <w:r>
        <w:rPr>
          <w:rFonts w:hint="eastAsia" w:ascii="宋体" w:hAnsi="宋体"/>
          <w:sz w:val="24"/>
          <w:szCs w:val="24"/>
        </w:rPr>
        <w:t>污染物</w:t>
      </w:r>
      <w:r>
        <w:rPr>
          <w:rFonts w:hint="eastAsia" w:ascii="宋体" w:hAnsi="宋体"/>
          <w:sz w:val="24"/>
          <w:szCs w:val="24"/>
          <w:lang w:eastAsia="zh-CN"/>
        </w:rPr>
        <w:t>能</w:t>
      </w:r>
      <w:r>
        <w:rPr>
          <w:rFonts w:hint="eastAsia" w:ascii="宋体" w:hAnsi="宋体"/>
          <w:sz w:val="24"/>
          <w:szCs w:val="24"/>
        </w:rPr>
        <w:t>实现达标排放，</w:t>
      </w:r>
      <w:r>
        <w:rPr>
          <w:rFonts w:hint="eastAsia" w:hAnsi="宋体"/>
          <w:bCs/>
          <w:sz w:val="24"/>
          <w:szCs w:val="24"/>
          <w:lang w:val="en-US" w:eastAsia="zh-CN"/>
        </w:rPr>
        <w:t>运营</w:t>
      </w:r>
      <w:r>
        <w:rPr>
          <w:rFonts w:hAnsi="宋体"/>
          <w:bCs/>
          <w:sz w:val="24"/>
          <w:szCs w:val="24"/>
        </w:rPr>
        <w:t>中</w:t>
      </w:r>
      <w:r>
        <w:rPr>
          <w:rFonts w:hint="eastAsia" w:hAnsi="宋体"/>
          <w:bCs/>
          <w:sz w:val="24"/>
          <w:szCs w:val="24"/>
          <w:lang w:val="en-US" w:eastAsia="zh-CN"/>
        </w:rPr>
        <w:t>废水、</w:t>
      </w:r>
      <w:r>
        <w:rPr>
          <w:rFonts w:hAnsi="宋体"/>
          <w:bCs/>
          <w:sz w:val="24"/>
          <w:szCs w:val="24"/>
        </w:rPr>
        <w:t>废气、噪声、固废能得到有效控制。</w:t>
      </w:r>
      <w:r>
        <w:rPr>
          <w:rFonts w:hint="eastAsia" w:ascii="宋体" w:hAnsi="宋体"/>
          <w:sz w:val="24"/>
          <w:szCs w:val="24"/>
        </w:rPr>
        <w:t>项目建设</w:t>
      </w:r>
      <w:r>
        <w:rPr>
          <w:rFonts w:hint="eastAsia" w:ascii="宋体" w:hAnsi="宋体"/>
          <w:sz w:val="24"/>
          <w:szCs w:val="24"/>
          <w:lang w:eastAsia="zh-CN"/>
        </w:rPr>
        <w:t>大致</w:t>
      </w:r>
      <w:r>
        <w:rPr>
          <w:rFonts w:hint="eastAsia" w:ascii="宋体" w:hAnsi="宋体"/>
          <w:sz w:val="24"/>
          <w:szCs w:val="24"/>
        </w:rPr>
        <w:t>符合竣工环境保护验收条件，验收技术组同意项目</w:t>
      </w:r>
      <w:r>
        <w:rPr>
          <w:rFonts w:hint="eastAsia" w:ascii="宋体" w:hAnsi="宋体"/>
          <w:sz w:val="24"/>
          <w:szCs w:val="24"/>
          <w:lang w:eastAsia="zh-CN"/>
        </w:rPr>
        <w:t>完成正在实施的环保措施后，可以</w:t>
      </w:r>
      <w:r>
        <w:rPr>
          <w:rFonts w:hint="eastAsia" w:ascii="宋体" w:hAnsi="宋体"/>
          <w:sz w:val="24"/>
          <w:szCs w:val="24"/>
        </w:rPr>
        <w:t>通过企业自主环保验收，</w:t>
      </w:r>
      <w:r>
        <w:rPr>
          <w:rFonts w:hint="eastAsia" w:ascii="宋体" w:hAnsi="宋体"/>
          <w:sz w:val="24"/>
          <w:szCs w:val="24"/>
          <w:lang w:eastAsia="zh-CN"/>
        </w:rPr>
        <w:t>并</w:t>
      </w:r>
      <w:r>
        <w:rPr>
          <w:rFonts w:hint="eastAsia" w:ascii="宋体" w:hAnsi="宋体"/>
          <w:sz w:val="24"/>
          <w:szCs w:val="24"/>
        </w:rPr>
        <w:t>上报生态环境部门验收备案</w:t>
      </w:r>
      <w:r>
        <w:rPr>
          <w:rFonts w:hint="eastAsia" w:ascii="宋体" w:hAnsi="宋体"/>
          <w:sz w:val="24"/>
          <w:szCs w:val="24"/>
          <w:lang w:eastAsia="zh-CN"/>
        </w:rPr>
        <w:t>。</w:t>
      </w:r>
      <w:bookmarkEnd w:id="15"/>
    </w:p>
    <w:p>
      <w:pPr>
        <w:pStyle w:val="2"/>
      </w:pPr>
      <w:r>
        <w:rPr>
          <w:rFonts w:hint="eastAsia" w:ascii="宋体" w:hAnsi="宋体"/>
          <w:sz w:val="24"/>
          <w:szCs w:val="24"/>
          <w:lang w:eastAsia="zh-CN"/>
        </w:rPr>
        <w:t>后续要求：</w:t>
      </w:r>
    </w:p>
    <w:p>
      <w:pPr>
        <w:keepNext w:val="0"/>
        <w:keepLines w:val="0"/>
        <w:pageBreakBefore w:val="0"/>
        <w:widowControl w:val="0"/>
        <w:tabs>
          <w:tab w:val="left" w:pos="2540"/>
        </w:tabs>
        <w:kinsoku/>
        <w:wordWrap/>
        <w:overflowPunct/>
        <w:topLinePunct w:val="0"/>
        <w:autoSpaceDE/>
        <w:autoSpaceDN/>
        <w:bidi w:val="0"/>
        <w:adjustRightInd/>
        <w:snapToGrid/>
        <w:ind w:firstLine="480" w:firstLineChars="200"/>
        <w:outlineLvl w:val="0"/>
        <w:rPr>
          <w:bCs/>
        </w:rPr>
      </w:pPr>
      <w:r>
        <w:rPr>
          <w:rFonts w:hint="eastAsia" w:hAnsi="宋体"/>
          <w:bCs/>
          <w:lang w:val="en-US" w:eastAsia="zh-CN"/>
        </w:rPr>
        <w:t>1、</w:t>
      </w:r>
      <w:r>
        <w:rPr>
          <w:rFonts w:hAnsi="宋体"/>
          <w:bCs/>
        </w:rPr>
        <w:t>加强环境管理与监督工作，保证环保设施正常运行。</w:t>
      </w:r>
    </w:p>
    <w:p>
      <w:pPr>
        <w:keepNext w:val="0"/>
        <w:keepLines w:val="0"/>
        <w:pageBreakBefore w:val="0"/>
        <w:widowControl w:val="0"/>
        <w:tabs>
          <w:tab w:val="center" w:pos="4340"/>
        </w:tabs>
        <w:kinsoku/>
        <w:wordWrap/>
        <w:overflowPunct/>
        <w:topLinePunct w:val="0"/>
        <w:autoSpaceDE/>
        <w:autoSpaceDN/>
        <w:bidi w:val="0"/>
        <w:adjustRightInd/>
        <w:snapToGrid/>
        <w:ind w:firstLine="480" w:firstLineChars="200"/>
        <w:textAlignment w:val="top"/>
        <w:rPr>
          <w:bCs/>
        </w:rPr>
      </w:pPr>
      <w:r>
        <w:rPr>
          <w:rFonts w:hint="eastAsia" w:hAnsi="宋体"/>
          <w:bCs/>
          <w:lang w:val="en-US" w:eastAsia="zh-CN"/>
        </w:rPr>
        <w:t>2、</w:t>
      </w:r>
      <w:r>
        <w:rPr>
          <w:rFonts w:hAnsi="宋体"/>
          <w:bCs/>
        </w:rPr>
        <w:t>加强对固废的分类收集及管理，统一清运，做到日产日清。</w:t>
      </w:r>
    </w:p>
    <w:p>
      <w:pPr>
        <w:keepNext w:val="0"/>
        <w:keepLines w:val="0"/>
        <w:pageBreakBefore w:val="0"/>
        <w:widowControl w:val="0"/>
        <w:tabs>
          <w:tab w:val="center" w:pos="4340"/>
        </w:tabs>
        <w:kinsoku/>
        <w:wordWrap/>
        <w:overflowPunct/>
        <w:topLinePunct w:val="0"/>
        <w:autoSpaceDE/>
        <w:autoSpaceDN/>
        <w:bidi w:val="0"/>
        <w:adjustRightInd/>
        <w:snapToGrid/>
        <w:ind w:firstLine="480" w:firstLineChars="200"/>
        <w:textAlignment w:val="top"/>
        <w:rPr>
          <w:kern w:val="0"/>
          <w:szCs w:val="20"/>
        </w:rPr>
      </w:pPr>
      <w:r>
        <w:rPr>
          <w:rFonts w:hint="eastAsia" w:hAnsi="宋体"/>
          <w:kern w:val="0"/>
          <w:szCs w:val="20"/>
          <w:lang w:val="en-US" w:eastAsia="zh-CN"/>
        </w:rPr>
        <w:t>3、</w:t>
      </w:r>
      <w:r>
        <w:rPr>
          <w:rFonts w:hAnsi="宋体"/>
          <w:kern w:val="0"/>
          <w:szCs w:val="20"/>
        </w:rPr>
        <w:t>宣传环保知识，增强学生环保意识。</w:t>
      </w:r>
    </w:p>
    <w:p>
      <w:pPr>
        <w:spacing w:line="360" w:lineRule="auto"/>
        <w:rPr>
          <w:rFonts w:ascii="Times New Roman" w:hAnsi="Times New Roman" w:eastAsia="宋体"/>
          <w:b/>
          <w:bCs/>
          <w:sz w:val="24"/>
          <w:szCs w:val="24"/>
        </w:rPr>
      </w:pPr>
      <w:r>
        <w:rPr>
          <w:rFonts w:ascii="Times New Roman" w:hAnsi="Times New Roman" w:eastAsia="宋体"/>
          <w:b/>
          <w:bCs/>
          <w:sz w:val="24"/>
          <w:szCs w:val="24"/>
        </w:rPr>
        <w:t>1.4公众反馈意见及处理情况</w:t>
      </w:r>
    </w:p>
    <w:p>
      <w:pPr>
        <w:spacing w:line="360" w:lineRule="auto"/>
        <w:rPr>
          <w:rFonts w:hint="eastAsia"/>
          <w:color w:val="000000" w:themeColor="text1"/>
          <w:sz w:val="24"/>
          <w:lang w:val="en-US" w:eastAsia="zh-CN"/>
        </w:rPr>
      </w:pPr>
      <w:r>
        <w:rPr>
          <w:rFonts w:hint="eastAsia"/>
          <w:color w:val="000000" w:themeColor="text1"/>
          <w:sz w:val="24"/>
          <w:lang w:val="en-US" w:eastAsia="zh-CN"/>
        </w:rPr>
        <w:t>无</w:t>
      </w:r>
    </w:p>
    <w:p>
      <w:pPr>
        <w:spacing w:line="360" w:lineRule="auto"/>
        <w:rPr>
          <w:rFonts w:ascii="Times New Roman" w:hAnsi="Times New Roman" w:eastAsia="宋体"/>
          <w:b/>
          <w:bCs/>
          <w:sz w:val="24"/>
          <w:szCs w:val="24"/>
        </w:rPr>
      </w:pPr>
      <w:r>
        <w:rPr>
          <w:rFonts w:ascii="Times New Roman" w:hAnsi="Times New Roman" w:eastAsia="宋体"/>
          <w:b/>
          <w:bCs/>
          <w:sz w:val="24"/>
          <w:szCs w:val="24"/>
        </w:rPr>
        <w:t>2其他环境保护措施的落实情况</w:t>
      </w:r>
    </w:p>
    <w:p>
      <w:pPr>
        <w:spacing w:line="360" w:lineRule="auto"/>
        <w:rPr>
          <w:rFonts w:ascii="Times New Roman" w:hAnsi="Times New Roman" w:eastAsia="宋体"/>
          <w:b/>
          <w:bCs/>
          <w:sz w:val="24"/>
          <w:szCs w:val="24"/>
        </w:rPr>
      </w:pPr>
      <w:r>
        <w:rPr>
          <w:rFonts w:ascii="Times New Roman" w:hAnsi="Times New Roman" w:eastAsia="宋体"/>
          <w:b/>
          <w:bCs/>
          <w:sz w:val="24"/>
          <w:szCs w:val="24"/>
        </w:rPr>
        <w:t>2.1制度措施落实情况</w:t>
      </w:r>
    </w:p>
    <w:p>
      <w:pPr>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本项目建立了环境管理制度，安排专职环保管理人员负责环保设施的运转维护，规范生产操作流程，确保各项环保设施设备稳定运行。</w:t>
      </w:r>
    </w:p>
    <w:p>
      <w:pPr>
        <w:spacing w:line="360" w:lineRule="auto"/>
        <w:rPr>
          <w:rFonts w:ascii="Times New Roman" w:hAnsi="Times New Roman" w:eastAsia="宋体"/>
          <w:b/>
          <w:bCs/>
          <w:sz w:val="24"/>
          <w:szCs w:val="24"/>
        </w:rPr>
      </w:pPr>
      <w:r>
        <w:rPr>
          <w:rFonts w:ascii="Times New Roman" w:hAnsi="Times New Roman" w:eastAsia="宋体"/>
          <w:b/>
          <w:bCs/>
          <w:sz w:val="24"/>
          <w:szCs w:val="24"/>
        </w:rPr>
        <w:t>2.2配套措施落实情况</w:t>
      </w:r>
    </w:p>
    <w:p>
      <w:pPr>
        <w:pStyle w:val="251"/>
        <w:spacing w:beforeAutospacing="0" w:afterAutospacing="0" w:line="360" w:lineRule="auto"/>
        <w:ind w:firstLine="480"/>
        <w:rPr>
          <w:rFonts w:ascii="Times New Roman" w:hAnsi="Times New Roman" w:eastAsia="宋体" w:cs="Times New Roman"/>
          <w:color w:val="000000" w:themeColor="text1"/>
        </w:rPr>
      </w:pPr>
      <w:r>
        <w:rPr>
          <w:rFonts w:ascii="Times New Roman" w:hAnsi="Times New Roman" w:eastAsia="宋体" w:cs="Times New Roman"/>
          <w:color w:val="000000" w:themeColor="text1"/>
        </w:rPr>
        <w:t>（1）区域削减及淘汰落后产能</w:t>
      </w:r>
    </w:p>
    <w:p>
      <w:pPr>
        <w:pStyle w:val="251"/>
        <w:spacing w:beforeAutospacing="0" w:afterAutospacing="0" w:line="360" w:lineRule="auto"/>
        <w:ind w:firstLine="480"/>
        <w:rPr>
          <w:rFonts w:ascii="Times New Roman" w:hAnsi="Times New Roman" w:eastAsia="宋体" w:cs="Times New Roman"/>
          <w:color w:val="000000" w:themeColor="text1"/>
        </w:rPr>
      </w:pPr>
      <w:r>
        <w:rPr>
          <w:rFonts w:ascii="Times New Roman" w:hAnsi="Times New Roman" w:eastAsia="宋体" w:cs="Times New Roman"/>
          <w:color w:val="000000" w:themeColor="text1"/>
        </w:rPr>
        <w:t>无。</w:t>
      </w:r>
    </w:p>
    <w:p>
      <w:pPr>
        <w:pStyle w:val="251"/>
        <w:spacing w:beforeAutospacing="0" w:afterAutospacing="0" w:line="360" w:lineRule="auto"/>
        <w:ind w:firstLine="480"/>
        <w:rPr>
          <w:rFonts w:ascii="Times New Roman" w:hAnsi="Times New Roman" w:eastAsia="宋体" w:cs="Times New Roman"/>
          <w:color w:val="000000" w:themeColor="text1"/>
        </w:rPr>
      </w:pPr>
      <w:r>
        <w:rPr>
          <w:rFonts w:ascii="Times New Roman" w:hAnsi="Times New Roman" w:eastAsia="宋体" w:cs="Times New Roman"/>
          <w:color w:val="000000" w:themeColor="text1"/>
        </w:rPr>
        <w:t>（2）防护距离控制及居民搬迁</w:t>
      </w:r>
    </w:p>
    <w:p>
      <w:pPr>
        <w:pStyle w:val="251"/>
        <w:spacing w:beforeAutospacing="0" w:afterAutospacing="0" w:line="360" w:lineRule="auto"/>
        <w:ind w:firstLine="480"/>
        <w:rPr>
          <w:rFonts w:ascii="Times New Roman" w:hAnsi="Times New Roman" w:eastAsia="宋体" w:cs="Times New Roman"/>
          <w:color w:val="000000" w:themeColor="text1"/>
        </w:rPr>
      </w:pPr>
      <w:r>
        <w:rPr>
          <w:rFonts w:ascii="Times New Roman" w:hAnsi="Times New Roman" w:eastAsia="宋体" w:cs="Times New Roman"/>
          <w:color w:val="000000" w:themeColor="text1"/>
        </w:rPr>
        <w:t>无。</w:t>
      </w:r>
    </w:p>
    <w:p>
      <w:pPr>
        <w:spacing w:line="360" w:lineRule="auto"/>
        <w:rPr>
          <w:rFonts w:ascii="Times New Roman" w:hAnsi="Times New Roman" w:eastAsia="宋体"/>
          <w:b/>
          <w:bCs/>
          <w:sz w:val="24"/>
          <w:szCs w:val="24"/>
        </w:rPr>
      </w:pPr>
      <w:r>
        <w:rPr>
          <w:rFonts w:ascii="Times New Roman" w:hAnsi="Times New Roman" w:eastAsia="宋体"/>
          <w:b/>
          <w:bCs/>
          <w:sz w:val="24"/>
          <w:szCs w:val="24"/>
        </w:rPr>
        <w:t>2.3其他措施落实情况</w:t>
      </w:r>
    </w:p>
    <w:p>
      <w:pPr>
        <w:pStyle w:val="251"/>
        <w:spacing w:beforeAutospacing="0" w:afterAutospacing="0" w:line="360" w:lineRule="auto"/>
        <w:ind w:firstLine="480"/>
        <w:rPr>
          <w:rFonts w:ascii="Times New Roman" w:hAnsi="Times New Roman" w:eastAsia="宋体" w:cs="Times New Roman"/>
        </w:rPr>
      </w:pPr>
      <w:r>
        <w:rPr>
          <w:rFonts w:ascii="Times New Roman" w:hAnsi="Times New Roman" w:eastAsia="宋体" w:cs="Times New Roman"/>
        </w:rPr>
        <w:t>无。</w:t>
      </w:r>
    </w:p>
    <w:p>
      <w:pPr>
        <w:spacing w:line="360" w:lineRule="auto"/>
        <w:rPr>
          <w:rFonts w:ascii="Times New Roman" w:hAnsi="Times New Roman" w:eastAsia="宋体"/>
          <w:b/>
          <w:bCs/>
          <w:sz w:val="24"/>
          <w:szCs w:val="24"/>
        </w:rPr>
      </w:pPr>
      <w:r>
        <w:rPr>
          <w:rFonts w:ascii="Times New Roman" w:hAnsi="Times New Roman" w:eastAsia="宋体"/>
          <w:b/>
          <w:bCs/>
          <w:sz w:val="24"/>
          <w:szCs w:val="24"/>
        </w:rPr>
        <w:t>3整改工作情况</w:t>
      </w:r>
    </w:p>
    <w:p>
      <w:pPr>
        <w:pStyle w:val="42"/>
        <w:spacing w:after="0" w:line="240" w:lineRule="auto"/>
        <w:ind w:left="0" w:leftChars="0" w:firstLine="480" w:firstLineChars="200"/>
        <w:rPr>
          <w:rFonts w:hint="default"/>
          <w:lang w:val="en-US"/>
        </w:rPr>
      </w:pPr>
      <w:r>
        <w:rPr>
          <w:rFonts w:hint="eastAsia"/>
          <w:sz w:val="24"/>
          <w:szCs w:val="24"/>
          <w:lang w:val="en-US" w:eastAsia="zh-CN"/>
        </w:rPr>
        <w:t>无。</w:t>
      </w:r>
    </w:p>
    <w:sectPr>
      <w:pgSz w:w="11906" w:h="16838"/>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Impact">
    <w:panose1 w:val="020B0806030902050204"/>
    <w:charset w:val="00"/>
    <w:family w:val="swiss"/>
    <w:pitch w:val="default"/>
    <w:sig w:usb0="00000287" w:usb1="00000000" w:usb2="00000000" w:usb3="00000000" w:csb0="2000009F" w:csb1="DFD70000"/>
  </w:font>
  <w:font w:name="新宋体-18030">
    <w:altName w:val="宋体"/>
    <w:panose1 w:val="00000000000000000000"/>
    <w:charset w:val="00"/>
    <w:family w:val="auto"/>
    <w:pitch w:val="default"/>
    <w:sig w:usb0="00000000" w:usb1="00000000" w:usb2="00000000" w:usb3="00000000" w:csb0="00040001" w:csb1="00000000"/>
  </w:font>
  <w:font w:name="ISOCTEUR">
    <w:altName w:val="Segoe Print"/>
    <w:panose1 w:val="00000000000000000000"/>
    <w:charset w:val="00"/>
    <w:family w:val="moder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w:pict>
        <v:shape id="_x0000_s4100"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sz w:val="18"/>
      </w:rPr>
      <w:pict>
        <v:shape id="_x0000_s4102" o:spid="_x0000_s410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eastAsia="宋体"/>
        <w:lang w:val="en-US" w:eastAsia="zh-C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eastAsia="宋体"/>
        <w:lang w:val="en-US"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hint="eastAsia" w:eastAsia="宋体"/>
        <w:lang w:val="en-US" w:eastAsia="zh-CN"/>
      </w:rPr>
    </w:pPr>
    <w:r>
      <w:rPr>
        <w:sz w:val="18"/>
      </w:rPr>
      <w:pict>
        <v:shape id="文本框 3" o:spid="_x0000_s4104"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IV</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rFonts w:ascii="宋体"/>
        <w:sz w:val="28"/>
        <w:szCs w:val="28"/>
      </w:rPr>
    </w:pPr>
    <w:r>
      <w:rPr>
        <w:sz w:val="28"/>
      </w:rPr>
      <w:pict>
        <v:shape id="_x0000_s4099" o:spid="_x0000_s409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27"/>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573864"/>
    <w:multiLevelType w:val="multilevel"/>
    <w:tmpl w:val="0F573864"/>
    <w:lvl w:ilvl="0" w:tentative="0">
      <w:start w:val="1"/>
      <w:numFmt w:val="decimal"/>
      <w:lvlText w:val="%1"/>
      <w:lvlJc w:val="left"/>
      <w:pPr>
        <w:ind w:left="425" w:hanging="425"/>
      </w:pPr>
      <w:rPr>
        <w:rFonts w:hint="eastAsia"/>
      </w:rPr>
    </w:lvl>
    <w:lvl w:ilvl="1" w:tentative="0">
      <w:start w:val="1"/>
      <w:numFmt w:val="decimal"/>
      <w:pStyle w:val="91"/>
      <w:lvlText w:val="%1.%2"/>
      <w:lvlJc w:val="left"/>
      <w:pPr>
        <w:ind w:left="425" w:hanging="425"/>
      </w:pPr>
      <w:rPr>
        <w:rFonts w:hint="eastAsia"/>
      </w:rPr>
    </w:lvl>
    <w:lvl w:ilvl="2" w:tentative="0">
      <w:start w:val="1"/>
      <w:numFmt w:val="decimal"/>
      <w:pStyle w:val="93"/>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46798D8D"/>
    <w:multiLevelType w:val="singleLevel"/>
    <w:tmpl w:val="46798D8D"/>
    <w:lvl w:ilvl="0" w:tentative="0">
      <w:start w:val="3"/>
      <w:numFmt w:val="chineseCounting"/>
      <w:suff w:val="nothing"/>
      <w:lvlText w:val="（%1）"/>
      <w:lvlJc w:val="left"/>
      <w:rPr>
        <w:rFonts w:hint="eastAsia"/>
      </w:rPr>
    </w:lvl>
  </w:abstractNum>
  <w:abstractNum w:abstractNumId="2">
    <w:nsid w:val="685B2F40"/>
    <w:multiLevelType w:val="multilevel"/>
    <w:tmpl w:val="685B2F40"/>
    <w:lvl w:ilvl="0" w:tentative="0">
      <w:start w:val="1"/>
      <w:numFmt w:val="decimal"/>
      <w:pStyle w:val="83"/>
      <w:lvlText w:val="%1、"/>
      <w:lvlJc w:val="left"/>
      <w:pPr>
        <w:ind w:left="0" w:firstLine="0"/>
      </w:pPr>
      <w:rPr>
        <w:rFonts w:hint="eastAsia"/>
      </w:rPr>
    </w:lvl>
    <w:lvl w:ilvl="1" w:tentative="0">
      <w:start w:val="1"/>
      <w:numFmt w:val="decimal"/>
      <w:pStyle w:val="85"/>
      <w:lvlText w:val="%1.%2"/>
      <w:lvlJc w:val="left"/>
      <w:pPr>
        <w:ind w:left="850" w:hanging="425"/>
      </w:pPr>
      <w:rPr>
        <w:rFonts w:hint="eastAsia"/>
      </w:rPr>
    </w:lvl>
    <w:lvl w:ilvl="2" w:tentative="0">
      <w:start w:val="1"/>
      <w:numFmt w:val="decimal"/>
      <w:pStyle w:val="87"/>
      <w:lvlText w:val="%1.%2.%3"/>
      <w:lvlJc w:val="left"/>
      <w:pPr>
        <w:ind w:left="425" w:hanging="198"/>
      </w:pPr>
      <w:rPr>
        <w:rFonts w:hint="eastAsia"/>
      </w:rPr>
    </w:lvl>
    <w:lvl w:ilvl="3" w:tentative="0">
      <w:start w:val="1"/>
      <w:numFmt w:val="decimal"/>
      <w:pStyle w:val="89"/>
      <w:lvlText w:val="%1.%2.%3.%4"/>
      <w:lvlJc w:val="left"/>
      <w:pPr>
        <w:tabs>
          <w:tab w:val="left" w:pos="454"/>
        </w:tabs>
        <w:ind w:left="425" w:firstLine="29"/>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79B03896"/>
    <w:multiLevelType w:val="multilevel"/>
    <w:tmpl w:val="79B03896"/>
    <w:lvl w:ilvl="0" w:tentative="0">
      <w:start w:val="1"/>
      <w:numFmt w:val="japaneseCounting"/>
      <w:lvlText w:val="%1、"/>
      <w:lvlJc w:val="left"/>
      <w:pPr>
        <w:ind w:left="992" w:hanging="51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7EB2441F"/>
    <w:multiLevelType w:val="multilevel"/>
    <w:tmpl w:val="7EB2441F"/>
    <w:lvl w:ilvl="0" w:tentative="0">
      <w:start w:val="1"/>
      <w:numFmt w:val="decimal"/>
      <w:lvlText w:val="%1"/>
      <w:lvlJc w:val="left"/>
      <w:pPr>
        <w:ind w:left="227" w:hanging="227"/>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tentative="0">
      <w:start w:val="1"/>
      <w:numFmt w:val="decimal"/>
      <w:lvlText w:val="%1.%2"/>
      <w:lvlJc w:val="left"/>
      <w:pPr>
        <w:ind w:left="142" w:firstLine="0"/>
      </w:pPr>
      <w:rPr>
        <w:rFonts w:hint="default" w:ascii="Times New Roman" w:hAnsi="Times New Roman" w:eastAsia="宋体"/>
        <w:b/>
        <w:i w:val="0"/>
        <w:color w:val="000000"/>
        <w:sz w:val="28"/>
      </w:rPr>
    </w:lvl>
    <w:lvl w:ilvl="2" w:tentative="0">
      <w:start w:val="1"/>
      <w:numFmt w:val="decimal"/>
      <w:lvlText w:val="%1.%2.%3"/>
      <w:lvlJc w:val="left"/>
      <w:pPr>
        <w:ind w:left="425" w:hanging="425"/>
      </w:pPr>
      <w:rPr>
        <w:rFonts w:hint="default" w:ascii="Times New Roman" w:hAnsi="Times New Roman" w:eastAsia="宋体"/>
        <w:b/>
        <w:i w:val="0"/>
        <w:color w:val="000000"/>
        <w:sz w:val="24"/>
      </w:rPr>
    </w:lvl>
    <w:lvl w:ilvl="3" w:tentative="0">
      <w:start w:val="1"/>
      <w:numFmt w:val="decimal"/>
      <w:pStyle w:val="92"/>
      <w:lvlText w:val="%1.%2.%3.%4"/>
      <w:lvlJc w:val="left"/>
      <w:pPr>
        <w:ind w:left="425" w:firstLine="0"/>
      </w:pPr>
      <w:rPr>
        <w:rFonts w:hint="default" w:ascii="Times New Roman" w:hAnsi="Times New Roman" w:eastAsia="宋体"/>
        <w:b/>
        <w:i w:val="0"/>
        <w:sz w:val="24"/>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41871"/>
    <w:rsid w:val="000364D3"/>
    <w:rsid w:val="000445C0"/>
    <w:rsid w:val="000467D7"/>
    <w:rsid w:val="000C2015"/>
    <w:rsid w:val="000D298B"/>
    <w:rsid w:val="000D7C51"/>
    <w:rsid w:val="001145A5"/>
    <w:rsid w:val="00116AB1"/>
    <w:rsid w:val="001566DF"/>
    <w:rsid w:val="00176048"/>
    <w:rsid w:val="00181E49"/>
    <w:rsid w:val="0019226D"/>
    <w:rsid w:val="001A3576"/>
    <w:rsid w:val="001B0439"/>
    <w:rsid w:val="001C585E"/>
    <w:rsid w:val="0023146E"/>
    <w:rsid w:val="002536A5"/>
    <w:rsid w:val="00273F58"/>
    <w:rsid w:val="002B1B5C"/>
    <w:rsid w:val="002C142A"/>
    <w:rsid w:val="002D56F5"/>
    <w:rsid w:val="002D625F"/>
    <w:rsid w:val="00334F8A"/>
    <w:rsid w:val="00357529"/>
    <w:rsid w:val="00371A13"/>
    <w:rsid w:val="0039057B"/>
    <w:rsid w:val="003A0395"/>
    <w:rsid w:val="003D24EF"/>
    <w:rsid w:val="003E599F"/>
    <w:rsid w:val="00405706"/>
    <w:rsid w:val="0040732E"/>
    <w:rsid w:val="00417B46"/>
    <w:rsid w:val="00426852"/>
    <w:rsid w:val="0043646F"/>
    <w:rsid w:val="00440407"/>
    <w:rsid w:val="00446E2A"/>
    <w:rsid w:val="00461404"/>
    <w:rsid w:val="0049489B"/>
    <w:rsid w:val="00497326"/>
    <w:rsid w:val="004B6DD6"/>
    <w:rsid w:val="004C135B"/>
    <w:rsid w:val="004D34AE"/>
    <w:rsid w:val="004E2300"/>
    <w:rsid w:val="005040D3"/>
    <w:rsid w:val="00521C02"/>
    <w:rsid w:val="005572DE"/>
    <w:rsid w:val="00561F95"/>
    <w:rsid w:val="005939A0"/>
    <w:rsid w:val="005A3055"/>
    <w:rsid w:val="005A7170"/>
    <w:rsid w:val="005D0F91"/>
    <w:rsid w:val="005E12E3"/>
    <w:rsid w:val="005E2CF8"/>
    <w:rsid w:val="005E76B3"/>
    <w:rsid w:val="0060200F"/>
    <w:rsid w:val="006131FC"/>
    <w:rsid w:val="006273BC"/>
    <w:rsid w:val="00627DF0"/>
    <w:rsid w:val="006322C7"/>
    <w:rsid w:val="00634FA2"/>
    <w:rsid w:val="00686DF3"/>
    <w:rsid w:val="00696FDD"/>
    <w:rsid w:val="006B12D1"/>
    <w:rsid w:val="00716C1D"/>
    <w:rsid w:val="00731EF3"/>
    <w:rsid w:val="00741871"/>
    <w:rsid w:val="0074638B"/>
    <w:rsid w:val="0075479F"/>
    <w:rsid w:val="007B2B2D"/>
    <w:rsid w:val="007D0BCE"/>
    <w:rsid w:val="00806C65"/>
    <w:rsid w:val="00830350"/>
    <w:rsid w:val="00836C86"/>
    <w:rsid w:val="00855941"/>
    <w:rsid w:val="008D13B3"/>
    <w:rsid w:val="008E50A1"/>
    <w:rsid w:val="008F3C45"/>
    <w:rsid w:val="00930FFE"/>
    <w:rsid w:val="00940A75"/>
    <w:rsid w:val="0095014E"/>
    <w:rsid w:val="009A16F6"/>
    <w:rsid w:val="009D4A1B"/>
    <w:rsid w:val="009F5D53"/>
    <w:rsid w:val="00A3253B"/>
    <w:rsid w:val="00A37C8F"/>
    <w:rsid w:val="00A37E70"/>
    <w:rsid w:val="00A4670C"/>
    <w:rsid w:val="00A53210"/>
    <w:rsid w:val="00A5470D"/>
    <w:rsid w:val="00A609FF"/>
    <w:rsid w:val="00A73802"/>
    <w:rsid w:val="00A91AB2"/>
    <w:rsid w:val="00AF1477"/>
    <w:rsid w:val="00B10E6A"/>
    <w:rsid w:val="00B3131E"/>
    <w:rsid w:val="00B45789"/>
    <w:rsid w:val="00B6417A"/>
    <w:rsid w:val="00B64953"/>
    <w:rsid w:val="00B81E50"/>
    <w:rsid w:val="00B8714A"/>
    <w:rsid w:val="00B91E75"/>
    <w:rsid w:val="00BD5786"/>
    <w:rsid w:val="00BE50A0"/>
    <w:rsid w:val="00C11797"/>
    <w:rsid w:val="00C3360C"/>
    <w:rsid w:val="00C64A71"/>
    <w:rsid w:val="00C81D29"/>
    <w:rsid w:val="00CE05AC"/>
    <w:rsid w:val="00CE500B"/>
    <w:rsid w:val="00CF483F"/>
    <w:rsid w:val="00D31BF1"/>
    <w:rsid w:val="00D7584E"/>
    <w:rsid w:val="00D808D0"/>
    <w:rsid w:val="00D8685D"/>
    <w:rsid w:val="00DA7E9B"/>
    <w:rsid w:val="00DB6B34"/>
    <w:rsid w:val="00DB7C0C"/>
    <w:rsid w:val="00DD1BAA"/>
    <w:rsid w:val="00DE408A"/>
    <w:rsid w:val="00E05263"/>
    <w:rsid w:val="00E51C21"/>
    <w:rsid w:val="00E5445F"/>
    <w:rsid w:val="00E66938"/>
    <w:rsid w:val="00E81DCC"/>
    <w:rsid w:val="00F30840"/>
    <w:rsid w:val="00F44869"/>
    <w:rsid w:val="00F627E6"/>
    <w:rsid w:val="00FA2036"/>
    <w:rsid w:val="00FA24A3"/>
    <w:rsid w:val="01B740BA"/>
    <w:rsid w:val="1D225200"/>
    <w:rsid w:val="231D1AE7"/>
    <w:rsid w:val="243C27A7"/>
    <w:rsid w:val="28CD282E"/>
    <w:rsid w:val="2FFE1B44"/>
    <w:rsid w:val="3038013A"/>
    <w:rsid w:val="353A1527"/>
    <w:rsid w:val="37A12A2B"/>
    <w:rsid w:val="3931415A"/>
    <w:rsid w:val="3E2B412B"/>
    <w:rsid w:val="422C2955"/>
    <w:rsid w:val="45CE6082"/>
    <w:rsid w:val="4AA1775B"/>
    <w:rsid w:val="4D7A2C81"/>
    <w:rsid w:val="591247DF"/>
    <w:rsid w:val="5E416544"/>
    <w:rsid w:val="5E67098A"/>
    <w:rsid w:val="5E8612CF"/>
    <w:rsid w:val="5E92743E"/>
    <w:rsid w:val="5FD14EC9"/>
    <w:rsid w:val="63C22C3B"/>
    <w:rsid w:val="645D0252"/>
    <w:rsid w:val="64E96EE6"/>
    <w:rsid w:val="680E12F0"/>
    <w:rsid w:val="7C151D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60"/>
    <w:qFormat/>
    <w:uiPriority w:val="99"/>
    <w:pPr>
      <w:keepNext/>
      <w:keepLines/>
      <w:spacing w:before="340" w:after="330" w:line="578" w:lineRule="auto"/>
      <w:outlineLvl w:val="0"/>
    </w:pPr>
    <w:rPr>
      <w:b/>
      <w:bCs/>
      <w:kern w:val="44"/>
      <w:sz w:val="44"/>
      <w:szCs w:val="44"/>
    </w:rPr>
  </w:style>
  <w:style w:type="paragraph" w:styleId="5">
    <w:name w:val="heading 2"/>
    <w:basedOn w:val="1"/>
    <w:next w:val="1"/>
    <w:link w:val="61"/>
    <w:qFormat/>
    <w:uiPriority w:val="0"/>
    <w:pPr>
      <w:keepNext/>
      <w:framePr w:hSpace="180" w:wrap="around" w:vAnchor="page" w:hAnchor="margin" w:y="2065"/>
      <w:spacing w:line="500" w:lineRule="exact"/>
      <w:jc w:val="center"/>
      <w:outlineLvl w:val="1"/>
    </w:pPr>
    <w:rPr>
      <w:rFonts w:ascii="宋体" w:hAnsi="宋体"/>
      <w:spacing w:val="16"/>
      <w:kern w:val="0"/>
      <w:sz w:val="28"/>
      <w:szCs w:val="31"/>
    </w:rPr>
  </w:style>
  <w:style w:type="paragraph" w:styleId="6">
    <w:name w:val="heading 3"/>
    <w:basedOn w:val="1"/>
    <w:next w:val="1"/>
    <w:link w:val="62"/>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63"/>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64"/>
    <w:unhideWhenUsed/>
    <w:qFormat/>
    <w:uiPriority w:val="0"/>
    <w:pPr>
      <w:keepNext/>
      <w:keepLines/>
      <w:spacing w:before="280" w:after="290" w:line="376" w:lineRule="auto"/>
      <w:outlineLvl w:val="4"/>
    </w:pPr>
    <w:rPr>
      <w:b/>
      <w:bCs/>
      <w:sz w:val="28"/>
      <w:szCs w:val="28"/>
    </w:rPr>
  </w:style>
  <w:style w:type="paragraph" w:styleId="9">
    <w:name w:val="heading 6"/>
    <w:basedOn w:val="1"/>
    <w:next w:val="1"/>
    <w:link w:val="65"/>
    <w:qFormat/>
    <w:uiPriority w:val="0"/>
    <w:pPr>
      <w:keepNext/>
      <w:keepLines/>
      <w:tabs>
        <w:tab w:val="left" w:pos="0"/>
      </w:tabs>
      <w:autoSpaceDE w:val="0"/>
      <w:autoSpaceDN w:val="0"/>
      <w:adjustRightInd w:val="0"/>
      <w:spacing w:before="120" w:after="64" w:line="319" w:lineRule="auto"/>
      <w:textAlignment w:val="baseline"/>
      <w:outlineLvl w:val="5"/>
    </w:pPr>
    <w:rPr>
      <w:rFonts w:ascii="Arial" w:hAnsi="Arial" w:eastAsia="楷体_GB2312"/>
      <w:b/>
      <w:kern w:val="24"/>
      <w:szCs w:val="20"/>
    </w:rPr>
  </w:style>
  <w:style w:type="paragraph" w:styleId="10">
    <w:name w:val="heading 7"/>
    <w:basedOn w:val="1"/>
    <w:next w:val="1"/>
    <w:link w:val="66"/>
    <w:qFormat/>
    <w:uiPriority w:val="0"/>
    <w:pPr>
      <w:keepNext/>
      <w:keepLines/>
      <w:tabs>
        <w:tab w:val="left" w:pos="0"/>
      </w:tabs>
      <w:autoSpaceDE w:val="0"/>
      <w:autoSpaceDN w:val="0"/>
      <w:adjustRightInd w:val="0"/>
      <w:spacing w:before="240" w:after="64" w:line="320" w:lineRule="auto"/>
      <w:textAlignment w:val="baseline"/>
      <w:outlineLvl w:val="6"/>
    </w:pPr>
    <w:rPr>
      <w:rFonts w:ascii="宋体" w:hAnsi="Impact" w:eastAsia="楷体_GB2312"/>
      <w:b/>
      <w:kern w:val="24"/>
      <w:szCs w:val="20"/>
    </w:rPr>
  </w:style>
  <w:style w:type="paragraph" w:styleId="11">
    <w:name w:val="heading 8"/>
    <w:basedOn w:val="1"/>
    <w:next w:val="1"/>
    <w:link w:val="67"/>
    <w:qFormat/>
    <w:uiPriority w:val="0"/>
    <w:pPr>
      <w:keepNext/>
      <w:keepLines/>
      <w:tabs>
        <w:tab w:val="left" w:pos="0"/>
      </w:tabs>
      <w:autoSpaceDE w:val="0"/>
      <w:autoSpaceDN w:val="0"/>
      <w:adjustRightInd w:val="0"/>
      <w:spacing w:before="240" w:after="64" w:line="320" w:lineRule="auto"/>
      <w:textAlignment w:val="baseline"/>
      <w:outlineLvl w:val="7"/>
    </w:pPr>
    <w:rPr>
      <w:rFonts w:ascii="Arial" w:hAnsi="Arial" w:eastAsia="黑体"/>
      <w:kern w:val="24"/>
      <w:szCs w:val="20"/>
    </w:rPr>
  </w:style>
  <w:style w:type="paragraph" w:styleId="12">
    <w:name w:val="heading 9"/>
    <w:basedOn w:val="1"/>
    <w:next w:val="1"/>
    <w:link w:val="68"/>
    <w:qFormat/>
    <w:uiPriority w:val="0"/>
    <w:pPr>
      <w:keepNext/>
      <w:keepLines/>
      <w:tabs>
        <w:tab w:val="left" w:pos="0"/>
      </w:tabs>
      <w:autoSpaceDE w:val="0"/>
      <w:autoSpaceDN w:val="0"/>
      <w:adjustRightInd w:val="0"/>
      <w:spacing w:before="240" w:after="64" w:line="320" w:lineRule="auto"/>
      <w:textAlignment w:val="baseline"/>
      <w:outlineLvl w:val="8"/>
    </w:pPr>
    <w:rPr>
      <w:rFonts w:ascii="Arial" w:hAnsi="Arial" w:eastAsia="黑体"/>
      <w:kern w:val="24"/>
      <w:sz w:val="21"/>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51"/>
    <w:qFormat/>
    <w:uiPriority w:val="99"/>
    <w:pPr>
      <w:ind w:left="122"/>
    </w:pPr>
  </w:style>
  <w:style w:type="paragraph" w:customStyle="1" w:styleId="3">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kern w:val="0"/>
    </w:rPr>
  </w:style>
  <w:style w:type="paragraph" w:styleId="13">
    <w:name w:val="toc 7"/>
    <w:basedOn w:val="1"/>
    <w:next w:val="1"/>
    <w:unhideWhenUsed/>
    <w:qFormat/>
    <w:uiPriority w:val="39"/>
    <w:pPr>
      <w:spacing w:line="240" w:lineRule="auto"/>
      <w:ind w:left="2520" w:leftChars="1200"/>
    </w:pPr>
    <w:rPr>
      <w:rFonts w:asciiTheme="minorHAnsi" w:hAnsiTheme="minorHAnsi" w:eastAsiaTheme="minorEastAsia" w:cstheme="minorBidi"/>
      <w:sz w:val="21"/>
      <w:szCs w:val="22"/>
    </w:rPr>
  </w:style>
  <w:style w:type="paragraph" w:styleId="14">
    <w:name w:val="Normal Indent"/>
    <w:basedOn w:val="1"/>
    <w:link w:val="82"/>
    <w:qFormat/>
    <w:uiPriority w:val="0"/>
    <w:pPr>
      <w:ind w:firstLine="482"/>
    </w:pPr>
    <w:rPr>
      <w:rFonts w:asciiTheme="minorHAnsi" w:hAnsiTheme="minorHAnsi" w:cstheme="minorBidi"/>
      <w:szCs w:val="22"/>
    </w:rPr>
  </w:style>
  <w:style w:type="paragraph" w:styleId="15">
    <w:name w:val="caption"/>
    <w:basedOn w:val="1"/>
    <w:next w:val="1"/>
    <w:unhideWhenUsed/>
    <w:qFormat/>
    <w:uiPriority w:val="35"/>
    <w:rPr>
      <w:rFonts w:eastAsia="黑体" w:asciiTheme="majorHAnsi" w:hAnsiTheme="majorHAnsi" w:cstheme="majorBidi"/>
      <w:sz w:val="20"/>
      <w:szCs w:val="20"/>
    </w:rPr>
  </w:style>
  <w:style w:type="paragraph" w:styleId="16">
    <w:name w:val="Document Map"/>
    <w:basedOn w:val="1"/>
    <w:link w:val="69"/>
    <w:unhideWhenUsed/>
    <w:qFormat/>
    <w:uiPriority w:val="99"/>
    <w:pPr>
      <w:spacing w:line="240" w:lineRule="auto"/>
    </w:pPr>
    <w:rPr>
      <w:rFonts w:ascii="宋体"/>
      <w:sz w:val="18"/>
      <w:szCs w:val="18"/>
      <w:lang w:val="zh-CN"/>
    </w:rPr>
  </w:style>
  <w:style w:type="paragraph" w:styleId="17">
    <w:name w:val="annotation text"/>
    <w:basedOn w:val="1"/>
    <w:link w:val="57"/>
    <w:qFormat/>
    <w:uiPriority w:val="99"/>
    <w:rPr>
      <w:sz w:val="20"/>
    </w:rPr>
  </w:style>
  <w:style w:type="paragraph" w:styleId="18">
    <w:name w:val="Body Text Indent"/>
    <w:basedOn w:val="1"/>
    <w:link w:val="70"/>
    <w:unhideWhenUsed/>
    <w:qFormat/>
    <w:uiPriority w:val="0"/>
    <w:pPr>
      <w:spacing w:after="120"/>
      <w:ind w:left="420" w:leftChars="200"/>
    </w:pPr>
  </w:style>
  <w:style w:type="paragraph" w:styleId="19">
    <w:name w:val="Block Text"/>
    <w:basedOn w:val="1"/>
    <w:qFormat/>
    <w:uiPriority w:val="0"/>
    <w:pPr>
      <w:spacing w:line="240" w:lineRule="auto"/>
      <w:ind w:left="359" w:leftChars="171" w:right="571" w:rightChars="272" w:firstLine="199" w:firstLineChars="71"/>
    </w:pPr>
    <w:rPr>
      <w:rFonts w:ascii="楷体_GB2312" w:eastAsia="楷体_GB2312"/>
      <w:sz w:val="28"/>
      <w:szCs w:val="20"/>
    </w:rPr>
  </w:style>
  <w:style w:type="paragraph" w:styleId="20">
    <w:name w:val="toc 5"/>
    <w:basedOn w:val="1"/>
    <w:next w:val="1"/>
    <w:unhideWhenUsed/>
    <w:qFormat/>
    <w:uiPriority w:val="39"/>
    <w:pPr>
      <w:spacing w:line="240" w:lineRule="auto"/>
      <w:ind w:left="1680" w:leftChars="800"/>
    </w:pPr>
    <w:rPr>
      <w:rFonts w:asciiTheme="minorHAnsi" w:hAnsiTheme="minorHAnsi" w:eastAsiaTheme="minorEastAsia" w:cstheme="minorBidi"/>
      <w:sz w:val="21"/>
      <w:szCs w:val="22"/>
    </w:rPr>
  </w:style>
  <w:style w:type="paragraph" w:styleId="21">
    <w:name w:val="toc 3"/>
    <w:basedOn w:val="1"/>
    <w:next w:val="1"/>
    <w:unhideWhenUsed/>
    <w:qFormat/>
    <w:uiPriority w:val="39"/>
    <w:pPr>
      <w:spacing w:line="240" w:lineRule="auto"/>
      <w:ind w:left="840" w:leftChars="400"/>
    </w:pPr>
    <w:rPr>
      <w:rFonts w:asciiTheme="minorHAnsi" w:hAnsiTheme="minorHAnsi" w:eastAsiaTheme="minorEastAsia" w:cstheme="minorBidi"/>
      <w:sz w:val="21"/>
      <w:szCs w:val="22"/>
    </w:rPr>
  </w:style>
  <w:style w:type="paragraph" w:styleId="22">
    <w:name w:val="Plain Text"/>
    <w:basedOn w:val="1"/>
    <w:link w:val="71"/>
    <w:qFormat/>
    <w:uiPriority w:val="0"/>
    <w:pPr>
      <w:spacing w:line="240" w:lineRule="auto"/>
    </w:pPr>
    <w:rPr>
      <w:rFonts w:ascii="宋体" w:hAnsi="Courier New" w:cs="Courier New" w:eastAsiaTheme="minorEastAsia"/>
      <w:sz w:val="21"/>
      <w:szCs w:val="21"/>
    </w:rPr>
  </w:style>
  <w:style w:type="paragraph" w:styleId="23">
    <w:name w:val="toc 8"/>
    <w:basedOn w:val="1"/>
    <w:next w:val="1"/>
    <w:unhideWhenUsed/>
    <w:qFormat/>
    <w:uiPriority w:val="39"/>
    <w:pPr>
      <w:spacing w:line="240" w:lineRule="auto"/>
      <w:ind w:left="2940" w:leftChars="1400"/>
    </w:pPr>
    <w:rPr>
      <w:rFonts w:asciiTheme="minorHAnsi" w:hAnsiTheme="minorHAnsi" w:eastAsiaTheme="minorEastAsia" w:cstheme="minorBidi"/>
      <w:sz w:val="21"/>
      <w:szCs w:val="22"/>
    </w:rPr>
  </w:style>
  <w:style w:type="paragraph" w:styleId="24">
    <w:name w:val="Date"/>
    <w:basedOn w:val="1"/>
    <w:next w:val="1"/>
    <w:link w:val="72"/>
    <w:qFormat/>
    <w:uiPriority w:val="0"/>
    <w:rPr>
      <w:szCs w:val="20"/>
    </w:rPr>
  </w:style>
  <w:style w:type="paragraph" w:styleId="25">
    <w:name w:val="Body Text Indent 2"/>
    <w:basedOn w:val="1"/>
    <w:link w:val="73"/>
    <w:qFormat/>
    <w:uiPriority w:val="0"/>
    <w:pPr>
      <w:framePr w:hSpace="180" w:wrap="around" w:vAnchor="text" w:hAnchor="margin" w:y="157"/>
      <w:ind w:firstLine="636" w:firstLineChars="227"/>
    </w:pPr>
    <w:rPr>
      <w:sz w:val="28"/>
    </w:rPr>
  </w:style>
  <w:style w:type="paragraph" w:styleId="26">
    <w:name w:val="Balloon Text"/>
    <w:basedOn w:val="1"/>
    <w:link w:val="74"/>
    <w:unhideWhenUsed/>
    <w:qFormat/>
    <w:uiPriority w:val="99"/>
    <w:pPr>
      <w:spacing w:line="240" w:lineRule="auto"/>
    </w:pPr>
    <w:rPr>
      <w:sz w:val="18"/>
      <w:szCs w:val="18"/>
    </w:rPr>
  </w:style>
  <w:style w:type="paragraph" w:styleId="27">
    <w:name w:val="footer"/>
    <w:basedOn w:val="1"/>
    <w:link w:val="75"/>
    <w:unhideWhenUsed/>
    <w:qFormat/>
    <w:uiPriority w:val="99"/>
    <w:pPr>
      <w:tabs>
        <w:tab w:val="center" w:pos="4153"/>
        <w:tab w:val="right" w:pos="8306"/>
      </w:tabs>
      <w:snapToGrid w:val="0"/>
      <w:jc w:val="left"/>
    </w:pPr>
    <w:rPr>
      <w:sz w:val="18"/>
      <w:szCs w:val="18"/>
    </w:rPr>
  </w:style>
  <w:style w:type="paragraph" w:styleId="28">
    <w:name w:val="header"/>
    <w:basedOn w:val="1"/>
    <w:link w:val="76"/>
    <w:unhideWhenUsed/>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line="240" w:lineRule="auto"/>
      <w:ind w:left="1260" w:leftChars="600"/>
    </w:pPr>
    <w:rPr>
      <w:rFonts w:asciiTheme="minorHAnsi" w:hAnsiTheme="minorHAnsi" w:eastAsiaTheme="minorEastAsia" w:cstheme="minorBidi"/>
      <w:sz w:val="21"/>
      <w:szCs w:val="22"/>
    </w:rPr>
  </w:style>
  <w:style w:type="paragraph" w:styleId="31">
    <w:name w:val="List"/>
    <w:basedOn w:val="1"/>
    <w:unhideWhenUsed/>
    <w:qFormat/>
    <w:uiPriority w:val="99"/>
    <w:pPr>
      <w:spacing w:line="240" w:lineRule="auto"/>
      <w:ind w:left="200" w:hanging="200" w:hangingChars="200"/>
      <w:contextualSpacing/>
    </w:pPr>
    <w:rPr>
      <w:rFonts w:ascii="ISOCTEUR" w:hAnsi="ISOCTEUR" w:cs="ISOCTEUR"/>
      <w:sz w:val="21"/>
    </w:rPr>
  </w:style>
  <w:style w:type="paragraph" w:styleId="32">
    <w:name w:val="toc 6"/>
    <w:basedOn w:val="1"/>
    <w:next w:val="1"/>
    <w:unhideWhenUsed/>
    <w:qFormat/>
    <w:uiPriority w:val="39"/>
    <w:pPr>
      <w:spacing w:line="240" w:lineRule="auto"/>
      <w:ind w:left="2100" w:leftChars="1000"/>
    </w:pPr>
    <w:rPr>
      <w:rFonts w:asciiTheme="minorHAnsi" w:hAnsiTheme="minorHAnsi" w:eastAsiaTheme="minorEastAsia" w:cstheme="minorBidi"/>
      <w:sz w:val="21"/>
      <w:szCs w:val="22"/>
    </w:rPr>
  </w:style>
  <w:style w:type="paragraph" w:styleId="33">
    <w:name w:val="Body Text Indent 3"/>
    <w:basedOn w:val="1"/>
    <w:link w:val="77"/>
    <w:qFormat/>
    <w:uiPriority w:val="0"/>
    <w:pPr>
      <w:ind w:firstLine="358" w:firstLineChars="128"/>
    </w:pPr>
    <w:rPr>
      <w:sz w:val="28"/>
    </w:rPr>
  </w:style>
  <w:style w:type="paragraph" w:styleId="34">
    <w:name w:val="table of figures"/>
    <w:basedOn w:val="1"/>
    <w:next w:val="1"/>
    <w:qFormat/>
    <w:uiPriority w:val="0"/>
    <w:pPr>
      <w:spacing w:line="240" w:lineRule="auto"/>
      <w:ind w:left="200" w:leftChars="200" w:hanging="200" w:hangingChars="200"/>
    </w:pPr>
    <w:rPr>
      <w:sz w:val="21"/>
    </w:rPr>
  </w:style>
  <w:style w:type="paragraph" w:styleId="35">
    <w:name w:val="toc 2"/>
    <w:basedOn w:val="1"/>
    <w:next w:val="1"/>
    <w:unhideWhenUsed/>
    <w:qFormat/>
    <w:uiPriority w:val="39"/>
    <w:pPr>
      <w:spacing w:line="240" w:lineRule="auto"/>
      <w:ind w:left="420" w:leftChars="200"/>
    </w:pPr>
    <w:rPr>
      <w:rFonts w:asciiTheme="minorHAnsi" w:hAnsiTheme="minorHAnsi" w:eastAsiaTheme="minorEastAsia" w:cstheme="minorBidi"/>
      <w:sz w:val="21"/>
      <w:szCs w:val="22"/>
    </w:rPr>
  </w:style>
  <w:style w:type="paragraph" w:styleId="36">
    <w:name w:val="toc 9"/>
    <w:basedOn w:val="1"/>
    <w:next w:val="1"/>
    <w:unhideWhenUsed/>
    <w:qFormat/>
    <w:uiPriority w:val="39"/>
    <w:pPr>
      <w:spacing w:line="240" w:lineRule="auto"/>
      <w:ind w:left="3360" w:leftChars="1600"/>
    </w:pPr>
    <w:rPr>
      <w:rFonts w:asciiTheme="minorHAnsi" w:hAnsiTheme="minorHAnsi" w:eastAsiaTheme="minorEastAsia" w:cstheme="minorBidi"/>
      <w:sz w:val="21"/>
      <w:szCs w:val="22"/>
    </w:rPr>
  </w:style>
  <w:style w:type="paragraph" w:styleId="37">
    <w:name w:val="Body Text 2"/>
    <w:basedOn w:val="1"/>
    <w:link w:val="78"/>
    <w:qFormat/>
    <w:uiPriority w:val="0"/>
    <w:pPr>
      <w:spacing w:after="120" w:line="480" w:lineRule="auto"/>
    </w:pPr>
    <w:rPr>
      <w:sz w:val="21"/>
    </w:rPr>
  </w:style>
  <w:style w:type="paragraph" w:styleId="38">
    <w:name w:val="HTML Preformatted"/>
    <w:basedOn w:val="1"/>
    <w:link w:val="79"/>
    <w:unhideWhenUsed/>
    <w:qFormat/>
    <w:uiPriority w:val="0"/>
    <w:pPr>
      <w:spacing w:line="240" w:lineRule="auto"/>
    </w:pPr>
    <w:rPr>
      <w:rFonts w:ascii="Courier New" w:hAnsi="Courier New"/>
      <w:sz w:val="20"/>
      <w:szCs w:val="20"/>
      <w:lang w:val="zh-CN"/>
    </w:rPr>
  </w:style>
  <w:style w:type="paragraph" w:styleId="39">
    <w:name w:val="Normal (Web)"/>
    <w:basedOn w:val="1"/>
    <w:qFormat/>
    <w:uiPriority w:val="99"/>
    <w:pPr>
      <w:widowControl/>
      <w:spacing w:before="100" w:beforeAutospacing="1" w:after="100" w:afterAutospacing="1" w:line="240" w:lineRule="auto"/>
      <w:jc w:val="left"/>
    </w:pPr>
    <w:rPr>
      <w:rFonts w:ascii="宋体" w:hAnsi="宋体" w:cs="宋体"/>
      <w:kern w:val="0"/>
    </w:rPr>
  </w:style>
  <w:style w:type="paragraph" w:styleId="40">
    <w:name w:val="annotation subject"/>
    <w:basedOn w:val="17"/>
    <w:next w:val="17"/>
    <w:link w:val="80"/>
    <w:unhideWhenUsed/>
    <w:qFormat/>
    <w:uiPriority w:val="99"/>
    <w:rPr>
      <w:b/>
      <w:bCs/>
      <w:sz w:val="24"/>
    </w:rPr>
  </w:style>
  <w:style w:type="paragraph" w:styleId="41">
    <w:name w:val="Body Text First Indent"/>
    <w:basedOn w:val="2"/>
    <w:link w:val="81"/>
    <w:qFormat/>
    <w:uiPriority w:val="99"/>
    <w:pPr>
      <w:spacing w:after="120" w:line="240" w:lineRule="auto"/>
      <w:ind w:left="0" w:firstLine="420" w:firstLineChars="100"/>
    </w:pPr>
    <w:rPr>
      <w:rFonts w:ascii="Arial" w:hAnsi="Arial" w:eastAsia="华文仿宋" w:cs="Arial"/>
      <w:sz w:val="21"/>
      <w:szCs w:val="20"/>
    </w:rPr>
  </w:style>
  <w:style w:type="paragraph" w:styleId="42">
    <w:name w:val="Body Text First Indent 2"/>
    <w:basedOn w:val="18"/>
    <w:qFormat/>
    <w:uiPriority w:val="99"/>
    <w:pPr>
      <w:ind w:firstLine="420" w:firstLineChars="200"/>
    </w:pPr>
    <w:rPr>
      <w:sz w:val="28"/>
      <w:szCs w:val="24"/>
    </w:rPr>
  </w:style>
  <w:style w:type="table" w:styleId="44">
    <w:name w:val="Table Grid"/>
    <w:basedOn w:val="43"/>
    <w:qFormat/>
    <w:uiPriority w:val="0"/>
    <w:pPr>
      <w:spacing w:line="240" w:lineRule="auto"/>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basedOn w:val="45"/>
    <w:qFormat/>
    <w:uiPriority w:val="0"/>
  </w:style>
  <w:style w:type="character" w:styleId="48">
    <w:name w:val="Emphasis"/>
    <w:qFormat/>
    <w:uiPriority w:val="0"/>
    <w:rPr>
      <w:color w:val="CC0000"/>
    </w:rPr>
  </w:style>
  <w:style w:type="character" w:styleId="49">
    <w:name w:val="Hyperlink"/>
    <w:basedOn w:val="45"/>
    <w:unhideWhenUsed/>
    <w:qFormat/>
    <w:uiPriority w:val="99"/>
    <w:rPr>
      <w:color w:val="0000FF" w:themeColor="hyperlink"/>
      <w:u w:val="single"/>
    </w:rPr>
  </w:style>
  <w:style w:type="character" w:styleId="50">
    <w:name w:val="annotation reference"/>
    <w:basedOn w:val="45"/>
    <w:qFormat/>
    <w:uiPriority w:val="99"/>
    <w:rPr>
      <w:rFonts w:hint="default" w:ascii="Times New Roman" w:hAnsi="Times New Roman" w:cs="Times New Roman"/>
      <w:sz w:val="21"/>
      <w:szCs w:val="21"/>
    </w:rPr>
  </w:style>
  <w:style w:type="character" w:customStyle="1" w:styleId="51">
    <w:name w:val="正文文本 Char"/>
    <w:basedOn w:val="45"/>
    <w:link w:val="2"/>
    <w:qFormat/>
    <w:uiPriority w:val="99"/>
    <w:rPr>
      <w:rFonts w:ascii="Times New Roman" w:hAnsi="Times New Roman" w:cs="Times New Roman"/>
      <w:kern w:val="0"/>
      <w:sz w:val="24"/>
      <w:szCs w:val="24"/>
    </w:rPr>
  </w:style>
  <w:style w:type="paragraph" w:styleId="52">
    <w:name w:val="List Paragraph"/>
    <w:basedOn w:val="1"/>
    <w:qFormat/>
    <w:uiPriority w:val="99"/>
    <w:pPr>
      <w:ind w:firstLine="420" w:firstLineChars="200"/>
    </w:pPr>
    <w:rPr>
      <w:sz w:val="21"/>
    </w:rPr>
  </w:style>
  <w:style w:type="paragraph" w:customStyle="1" w:styleId="53">
    <w:name w:val="标题 11"/>
    <w:basedOn w:val="1"/>
    <w:qFormat/>
    <w:uiPriority w:val="1"/>
    <w:pPr>
      <w:outlineLvl w:val="0"/>
    </w:pPr>
    <w:rPr>
      <w:rFonts w:ascii="宋体" w:cs="宋体"/>
      <w:sz w:val="32"/>
      <w:szCs w:val="32"/>
    </w:rPr>
  </w:style>
  <w:style w:type="paragraph" w:customStyle="1" w:styleId="54">
    <w:name w:val="标题 21"/>
    <w:basedOn w:val="1"/>
    <w:qFormat/>
    <w:uiPriority w:val="1"/>
    <w:pPr>
      <w:ind w:left="2069"/>
      <w:outlineLvl w:val="1"/>
    </w:pPr>
    <w:rPr>
      <w:rFonts w:ascii="宋体" w:cs="宋体"/>
      <w:sz w:val="30"/>
      <w:szCs w:val="30"/>
    </w:rPr>
  </w:style>
  <w:style w:type="paragraph" w:customStyle="1" w:styleId="55">
    <w:name w:val="标题 31"/>
    <w:basedOn w:val="1"/>
    <w:qFormat/>
    <w:uiPriority w:val="1"/>
    <w:pPr>
      <w:ind w:left="122"/>
      <w:outlineLvl w:val="2"/>
    </w:pPr>
    <w:rPr>
      <w:rFonts w:ascii="宋体" w:cs="宋体"/>
      <w:sz w:val="28"/>
      <w:szCs w:val="28"/>
    </w:rPr>
  </w:style>
  <w:style w:type="paragraph" w:customStyle="1" w:styleId="56">
    <w:name w:val="Table Paragraph"/>
    <w:basedOn w:val="1"/>
    <w:qFormat/>
    <w:uiPriority w:val="6"/>
  </w:style>
  <w:style w:type="character" w:customStyle="1" w:styleId="57">
    <w:name w:val="批注文字 Char"/>
    <w:basedOn w:val="45"/>
    <w:link w:val="17"/>
    <w:qFormat/>
    <w:uiPriority w:val="99"/>
    <w:rPr>
      <w:rFonts w:eastAsia="宋体"/>
      <w:szCs w:val="24"/>
      <w:lang w:bidi="ar-SA"/>
    </w:rPr>
  </w:style>
  <w:style w:type="paragraph" w:customStyle="1" w:styleId="58">
    <w:name w:val="标题 211"/>
    <w:basedOn w:val="1"/>
    <w:qFormat/>
    <w:uiPriority w:val="1"/>
    <w:pPr>
      <w:ind w:left="2069"/>
      <w:outlineLvl w:val="1"/>
    </w:pPr>
    <w:rPr>
      <w:rFonts w:ascii="宋体" w:cs="宋体"/>
      <w:sz w:val="30"/>
      <w:szCs w:val="30"/>
    </w:rPr>
  </w:style>
  <w:style w:type="paragraph" w:customStyle="1" w:styleId="59">
    <w:name w:val="标题 311"/>
    <w:basedOn w:val="1"/>
    <w:qFormat/>
    <w:uiPriority w:val="1"/>
    <w:pPr>
      <w:ind w:left="122"/>
      <w:outlineLvl w:val="2"/>
    </w:pPr>
    <w:rPr>
      <w:rFonts w:ascii="宋体" w:cs="宋体"/>
      <w:sz w:val="28"/>
      <w:szCs w:val="28"/>
    </w:rPr>
  </w:style>
  <w:style w:type="character" w:customStyle="1" w:styleId="60">
    <w:name w:val="标题 1 Char"/>
    <w:basedOn w:val="45"/>
    <w:link w:val="4"/>
    <w:qFormat/>
    <w:uiPriority w:val="99"/>
    <w:rPr>
      <w:b/>
      <w:bCs/>
      <w:kern w:val="44"/>
      <w:sz w:val="44"/>
      <w:szCs w:val="44"/>
    </w:rPr>
  </w:style>
  <w:style w:type="character" w:customStyle="1" w:styleId="61">
    <w:name w:val="标题 2 Char"/>
    <w:basedOn w:val="45"/>
    <w:link w:val="5"/>
    <w:qFormat/>
    <w:uiPriority w:val="0"/>
    <w:rPr>
      <w:rFonts w:ascii="宋体" w:hAnsi="宋体"/>
      <w:spacing w:val="16"/>
      <w:sz w:val="28"/>
      <w:szCs w:val="31"/>
    </w:rPr>
  </w:style>
  <w:style w:type="character" w:customStyle="1" w:styleId="62">
    <w:name w:val="标题 3 Char"/>
    <w:basedOn w:val="45"/>
    <w:link w:val="6"/>
    <w:qFormat/>
    <w:uiPriority w:val="0"/>
    <w:rPr>
      <w:b/>
      <w:bCs/>
      <w:kern w:val="2"/>
      <w:sz w:val="32"/>
      <w:szCs w:val="32"/>
    </w:rPr>
  </w:style>
  <w:style w:type="character" w:customStyle="1" w:styleId="63">
    <w:name w:val="标题 4 Char"/>
    <w:basedOn w:val="45"/>
    <w:link w:val="7"/>
    <w:qFormat/>
    <w:uiPriority w:val="0"/>
    <w:rPr>
      <w:rFonts w:asciiTheme="majorHAnsi" w:hAnsiTheme="majorHAnsi" w:eastAsiaTheme="majorEastAsia" w:cstheme="majorBidi"/>
      <w:b/>
      <w:bCs/>
      <w:kern w:val="2"/>
      <w:sz w:val="28"/>
      <w:szCs w:val="28"/>
    </w:rPr>
  </w:style>
  <w:style w:type="character" w:customStyle="1" w:styleId="64">
    <w:name w:val="标题 5 Char"/>
    <w:basedOn w:val="45"/>
    <w:link w:val="8"/>
    <w:qFormat/>
    <w:uiPriority w:val="0"/>
    <w:rPr>
      <w:b/>
      <w:bCs/>
      <w:kern w:val="2"/>
      <w:sz w:val="28"/>
      <w:szCs w:val="28"/>
    </w:rPr>
  </w:style>
  <w:style w:type="character" w:customStyle="1" w:styleId="65">
    <w:name w:val="标题 6 Char"/>
    <w:basedOn w:val="45"/>
    <w:link w:val="9"/>
    <w:qFormat/>
    <w:uiPriority w:val="0"/>
    <w:rPr>
      <w:rFonts w:ascii="Arial" w:hAnsi="Arial" w:eastAsia="楷体_GB2312"/>
      <w:b/>
      <w:kern w:val="24"/>
      <w:sz w:val="24"/>
    </w:rPr>
  </w:style>
  <w:style w:type="character" w:customStyle="1" w:styleId="66">
    <w:name w:val="标题 7 Char"/>
    <w:basedOn w:val="45"/>
    <w:link w:val="10"/>
    <w:qFormat/>
    <w:uiPriority w:val="0"/>
    <w:rPr>
      <w:rFonts w:ascii="宋体" w:hAnsi="Impact" w:eastAsia="楷体_GB2312"/>
      <w:b/>
      <w:kern w:val="24"/>
      <w:sz w:val="24"/>
    </w:rPr>
  </w:style>
  <w:style w:type="character" w:customStyle="1" w:styleId="67">
    <w:name w:val="标题 8 Char"/>
    <w:basedOn w:val="45"/>
    <w:link w:val="11"/>
    <w:qFormat/>
    <w:uiPriority w:val="0"/>
    <w:rPr>
      <w:rFonts w:ascii="Arial" w:hAnsi="Arial" w:eastAsia="黑体"/>
      <w:kern w:val="24"/>
      <w:sz w:val="24"/>
    </w:rPr>
  </w:style>
  <w:style w:type="character" w:customStyle="1" w:styleId="68">
    <w:name w:val="标题 9 Char"/>
    <w:basedOn w:val="45"/>
    <w:link w:val="12"/>
    <w:qFormat/>
    <w:uiPriority w:val="0"/>
    <w:rPr>
      <w:rFonts w:ascii="Arial" w:hAnsi="Arial" w:eastAsia="黑体"/>
      <w:kern w:val="24"/>
      <w:sz w:val="21"/>
    </w:rPr>
  </w:style>
  <w:style w:type="character" w:customStyle="1" w:styleId="69">
    <w:name w:val="文档结构图 Char"/>
    <w:basedOn w:val="45"/>
    <w:link w:val="16"/>
    <w:qFormat/>
    <w:uiPriority w:val="99"/>
    <w:rPr>
      <w:rFonts w:ascii="宋体"/>
      <w:kern w:val="2"/>
      <w:sz w:val="18"/>
      <w:szCs w:val="18"/>
      <w:lang w:val="zh-CN"/>
    </w:rPr>
  </w:style>
  <w:style w:type="character" w:customStyle="1" w:styleId="70">
    <w:name w:val="正文文本缩进 Char"/>
    <w:basedOn w:val="45"/>
    <w:link w:val="18"/>
    <w:qFormat/>
    <w:uiPriority w:val="0"/>
    <w:rPr>
      <w:kern w:val="2"/>
      <w:sz w:val="24"/>
      <w:szCs w:val="24"/>
    </w:rPr>
  </w:style>
  <w:style w:type="character" w:customStyle="1" w:styleId="71">
    <w:name w:val="纯文本 Char"/>
    <w:basedOn w:val="45"/>
    <w:link w:val="22"/>
    <w:qFormat/>
    <w:uiPriority w:val="0"/>
    <w:rPr>
      <w:rFonts w:ascii="宋体" w:hAnsi="Courier New" w:cs="Courier New" w:eastAsiaTheme="minorEastAsia"/>
      <w:kern w:val="2"/>
      <w:sz w:val="21"/>
      <w:szCs w:val="21"/>
    </w:rPr>
  </w:style>
  <w:style w:type="character" w:customStyle="1" w:styleId="72">
    <w:name w:val="日期 Char"/>
    <w:basedOn w:val="45"/>
    <w:link w:val="24"/>
    <w:qFormat/>
    <w:uiPriority w:val="0"/>
    <w:rPr>
      <w:kern w:val="2"/>
      <w:sz w:val="24"/>
    </w:rPr>
  </w:style>
  <w:style w:type="character" w:customStyle="1" w:styleId="73">
    <w:name w:val="正文文本缩进 2 Char"/>
    <w:basedOn w:val="45"/>
    <w:link w:val="25"/>
    <w:qFormat/>
    <w:uiPriority w:val="0"/>
    <w:rPr>
      <w:kern w:val="2"/>
      <w:sz w:val="28"/>
      <w:szCs w:val="24"/>
    </w:rPr>
  </w:style>
  <w:style w:type="character" w:customStyle="1" w:styleId="74">
    <w:name w:val="批注框文本 Char"/>
    <w:basedOn w:val="45"/>
    <w:link w:val="26"/>
    <w:qFormat/>
    <w:uiPriority w:val="99"/>
    <w:rPr>
      <w:kern w:val="2"/>
      <w:sz w:val="18"/>
      <w:szCs w:val="18"/>
    </w:rPr>
  </w:style>
  <w:style w:type="character" w:customStyle="1" w:styleId="75">
    <w:name w:val="页脚 Char"/>
    <w:basedOn w:val="45"/>
    <w:link w:val="27"/>
    <w:qFormat/>
    <w:uiPriority w:val="99"/>
    <w:rPr>
      <w:kern w:val="2"/>
      <w:sz w:val="18"/>
      <w:szCs w:val="18"/>
    </w:rPr>
  </w:style>
  <w:style w:type="character" w:customStyle="1" w:styleId="76">
    <w:name w:val="页眉 Char"/>
    <w:basedOn w:val="45"/>
    <w:link w:val="28"/>
    <w:qFormat/>
    <w:uiPriority w:val="99"/>
    <w:rPr>
      <w:kern w:val="2"/>
      <w:sz w:val="18"/>
      <w:szCs w:val="18"/>
    </w:rPr>
  </w:style>
  <w:style w:type="character" w:customStyle="1" w:styleId="77">
    <w:name w:val="正文文本缩进 3 Char"/>
    <w:basedOn w:val="45"/>
    <w:link w:val="33"/>
    <w:qFormat/>
    <w:uiPriority w:val="0"/>
    <w:rPr>
      <w:kern w:val="2"/>
      <w:sz w:val="28"/>
      <w:szCs w:val="24"/>
    </w:rPr>
  </w:style>
  <w:style w:type="character" w:customStyle="1" w:styleId="78">
    <w:name w:val="正文文本 2 Char"/>
    <w:basedOn w:val="45"/>
    <w:link w:val="37"/>
    <w:qFormat/>
    <w:uiPriority w:val="0"/>
    <w:rPr>
      <w:kern w:val="2"/>
      <w:sz w:val="21"/>
      <w:szCs w:val="24"/>
    </w:rPr>
  </w:style>
  <w:style w:type="character" w:customStyle="1" w:styleId="79">
    <w:name w:val="HTML 预设格式 Char"/>
    <w:basedOn w:val="45"/>
    <w:link w:val="38"/>
    <w:qFormat/>
    <w:uiPriority w:val="0"/>
    <w:rPr>
      <w:rFonts w:ascii="Courier New" w:hAnsi="Courier New"/>
      <w:kern w:val="2"/>
      <w:lang w:val="zh-CN"/>
    </w:rPr>
  </w:style>
  <w:style w:type="character" w:customStyle="1" w:styleId="80">
    <w:name w:val="批注主题 Char"/>
    <w:basedOn w:val="57"/>
    <w:link w:val="40"/>
    <w:qFormat/>
    <w:uiPriority w:val="99"/>
    <w:rPr>
      <w:rFonts w:eastAsia="宋体"/>
      <w:b/>
      <w:bCs/>
      <w:kern w:val="2"/>
      <w:sz w:val="24"/>
      <w:szCs w:val="24"/>
      <w:lang w:bidi="ar-SA"/>
    </w:rPr>
  </w:style>
  <w:style w:type="character" w:customStyle="1" w:styleId="81">
    <w:name w:val="正文首行缩进 Char"/>
    <w:basedOn w:val="51"/>
    <w:link w:val="41"/>
    <w:qFormat/>
    <w:uiPriority w:val="99"/>
    <w:rPr>
      <w:rFonts w:ascii="Arial" w:hAnsi="Arial" w:eastAsia="华文仿宋" w:cs="Arial"/>
      <w:kern w:val="2"/>
      <w:sz w:val="21"/>
      <w:szCs w:val="24"/>
    </w:rPr>
  </w:style>
  <w:style w:type="character" w:customStyle="1" w:styleId="82">
    <w:name w:val="正文缩进 Char"/>
    <w:link w:val="14"/>
    <w:qFormat/>
    <w:uiPriority w:val="0"/>
    <w:rPr>
      <w:rFonts w:asciiTheme="minorHAnsi" w:hAnsiTheme="minorHAnsi" w:cstheme="minorBidi"/>
      <w:kern w:val="2"/>
      <w:sz w:val="24"/>
      <w:szCs w:val="22"/>
    </w:rPr>
  </w:style>
  <w:style w:type="paragraph" w:customStyle="1" w:styleId="83">
    <w:name w:val="1"/>
    <w:basedOn w:val="1"/>
    <w:link w:val="84"/>
    <w:qFormat/>
    <w:uiPriority w:val="0"/>
    <w:pPr>
      <w:numPr>
        <w:ilvl w:val="0"/>
        <w:numId w:val="1"/>
      </w:numPr>
      <w:jc w:val="left"/>
      <w:outlineLvl w:val="0"/>
    </w:pPr>
    <w:rPr>
      <w:b/>
    </w:rPr>
  </w:style>
  <w:style w:type="character" w:customStyle="1" w:styleId="84">
    <w:name w:val="1 Char"/>
    <w:basedOn w:val="45"/>
    <w:link w:val="83"/>
    <w:qFormat/>
    <w:uiPriority w:val="0"/>
    <w:rPr>
      <w:b/>
      <w:kern w:val="2"/>
      <w:sz w:val="24"/>
      <w:szCs w:val="24"/>
    </w:rPr>
  </w:style>
  <w:style w:type="paragraph" w:customStyle="1" w:styleId="85">
    <w:name w:val="2"/>
    <w:basedOn w:val="83"/>
    <w:link w:val="86"/>
    <w:qFormat/>
    <w:uiPriority w:val="0"/>
    <w:pPr>
      <w:numPr>
        <w:ilvl w:val="1"/>
      </w:numPr>
      <w:ind w:left="425"/>
    </w:pPr>
  </w:style>
  <w:style w:type="character" w:customStyle="1" w:styleId="86">
    <w:name w:val="2 Char"/>
    <w:basedOn w:val="84"/>
    <w:link w:val="85"/>
    <w:qFormat/>
    <w:uiPriority w:val="0"/>
    <w:rPr>
      <w:kern w:val="2"/>
      <w:sz w:val="24"/>
      <w:szCs w:val="24"/>
    </w:rPr>
  </w:style>
  <w:style w:type="paragraph" w:customStyle="1" w:styleId="87">
    <w:name w:val="3"/>
    <w:basedOn w:val="83"/>
    <w:link w:val="88"/>
    <w:qFormat/>
    <w:uiPriority w:val="0"/>
    <w:pPr>
      <w:numPr>
        <w:ilvl w:val="2"/>
      </w:numPr>
    </w:pPr>
  </w:style>
  <w:style w:type="character" w:customStyle="1" w:styleId="88">
    <w:name w:val="3 Char"/>
    <w:basedOn w:val="84"/>
    <w:link w:val="87"/>
    <w:qFormat/>
    <w:uiPriority w:val="0"/>
    <w:rPr>
      <w:kern w:val="2"/>
      <w:sz w:val="24"/>
      <w:szCs w:val="24"/>
    </w:rPr>
  </w:style>
  <w:style w:type="paragraph" w:customStyle="1" w:styleId="89">
    <w:name w:val="4"/>
    <w:basedOn w:val="87"/>
    <w:link w:val="90"/>
    <w:qFormat/>
    <w:uiPriority w:val="0"/>
    <w:pPr>
      <w:numPr>
        <w:ilvl w:val="3"/>
      </w:numPr>
    </w:pPr>
  </w:style>
  <w:style w:type="character" w:customStyle="1" w:styleId="90">
    <w:name w:val="4 Char"/>
    <w:basedOn w:val="88"/>
    <w:link w:val="89"/>
    <w:qFormat/>
    <w:uiPriority w:val="0"/>
    <w:rPr>
      <w:kern w:val="2"/>
      <w:sz w:val="24"/>
      <w:szCs w:val="24"/>
    </w:rPr>
  </w:style>
  <w:style w:type="paragraph" w:customStyle="1" w:styleId="91">
    <w:name w:val="周2"/>
    <w:qFormat/>
    <w:uiPriority w:val="0"/>
    <w:pPr>
      <w:numPr>
        <w:ilvl w:val="1"/>
        <w:numId w:val="2"/>
      </w:numPr>
      <w:spacing w:line="360" w:lineRule="auto"/>
    </w:pPr>
    <w:rPr>
      <w:rFonts w:ascii="Times New Roman" w:hAnsi="Times New Roman" w:eastAsia="宋体" w:cs="Times New Roman"/>
      <w:b/>
      <w:kern w:val="2"/>
      <w:sz w:val="24"/>
      <w:szCs w:val="28"/>
      <w:lang w:val="en-US" w:eastAsia="zh-CN" w:bidi="ar-SA"/>
    </w:rPr>
  </w:style>
  <w:style w:type="paragraph" w:customStyle="1" w:styleId="92">
    <w:name w:val="周4"/>
    <w:basedOn w:val="93"/>
    <w:qFormat/>
    <w:uiPriority w:val="0"/>
    <w:pPr>
      <w:numPr>
        <w:ilvl w:val="3"/>
        <w:numId w:val="3"/>
      </w:numPr>
    </w:pPr>
  </w:style>
  <w:style w:type="paragraph" w:customStyle="1" w:styleId="93">
    <w:name w:val="周3"/>
    <w:basedOn w:val="91"/>
    <w:link w:val="94"/>
    <w:qFormat/>
    <w:uiPriority w:val="0"/>
    <w:pPr>
      <w:numPr>
        <w:ilvl w:val="2"/>
      </w:numPr>
      <w:ind w:left="851" w:hanging="851"/>
    </w:pPr>
  </w:style>
  <w:style w:type="character" w:customStyle="1" w:styleId="94">
    <w:name w:val="周3 Char"/>
    <w:link w:val="93"/>
    <w:qFormat/>
    <w:uiPriority w:val="0"/>
    <w:rPr>
      <w:b/>
      <w:kern w:val="2"/>
      <w:sz w:val="24"/>
      <w:szCs w:val="28"/>
    </w:rPr>
  </w:style>
  <w:style w:type="character" w:customStyle="1" w:styleId="95">
    <w:name w:val="表内格式 Char"/>
    <w:link w:val="96"/>
    <w:qFormat/>
    <w:uiPriority w:val="0"/>
    <w:rPr>
      <w:sz w:val="18"/>
    </w:rPr>
  </w:style>
  <w:style w:type="paragraph" w:customStyle="1" w:styleId="96">
    <w:name w:val="表内格式"/>
    <w:basedOn w:val="1"/>
    <w:link w:val="95"/>
    <w:qFormat/>
    <w:uiPriority w:val="0"/>
    <w:pPr>
      <w:spacing w:line="240" w:lineRule="auto"/>
      <w:jc w:val="center"/>
    </w:pPr>
    <w:rPr>
      <w:kern w:val="0"/>
      <w:sz w:val="18"/>
      <w:szCs w:val="20"/>
    </w:rPr>
  </w:style>
  <w:style w:type="paragraph" w:customStyle="1" w:styleId="97">
    <w:name w:val="样式 题注 + 宋体 小四 居中"/>
    <w:basedOn w:val="15"/>
    <w:qFormat/>
    <w:uiPriority w:val="0"/>
    <w:pPr>
      <w:spacing w:line="240" w:lineRule="auto"/>
      <w:jc w:val="center"/>
    </w:pPr>
    <w:rPr>
      <w:rFonts w:ascii="宋体" w:hAnsi="宋体" w:eastAsia="宋体" w:cs="宋体"/>
      <w:sz w:val="24"/>
    </w:rPr>
  </w:style>
  <w:style w:type="character" w:customStyle="1" w:styleId="98">
    <w:name w:val="环评表格正文 Char"/>
    <w:link w:val="99"/>
    <w:qFormat/>
    <w:uiPriority w:val="0"/>
    <w:rPr>
      <w:sz w:val="18"/>
      <w:szCs w:val="21"/>
    </w:rPr>
  </w:style>
  <w:style w:type="paragraph" w:customStyle="1" w:styleId="99">
    <w:name w:val="环评表格正文"/>
    <w:basedOn w:val="1"/>
    <w:link w:val="98"/>
    <w:qFormat/>
    <w:uiPriority w:val="0"/>
    <w:pPr>
      <w:spacing w:line="240" w:lineRule="auto"/>
      <w:jc w:val="center"/>
    </w:pPr>
    <w:rPr>
      <w:kern w:val="0"/>
      <w:sz w:val="18"/>
      <w:szCs w:val="21"/>
    </w:rPr>
  </w:style>
  <w:style w:type="paragraph" w:customStyle="1" w:styleId="100">
    <w:name w:val="样式 样式 (符号) 宋体 小四 行距: 1.5 倍行距 + (符号) Times New Roman 上标"/>
    <w:basedOn w:val="1"/>
    <w:qFormat/>
    <w:uiPriority w:val="0"/>
    <w:pPr>
      <w:spacing w:line="480" w:lineRule="exact"/>
      <w:ind w:firstLine="200" w:firstLineChars="200"/>
    </w:pPr>
    <w:rPr>
      <w:szCs w:val="20"/>
    </w:rPr>
  </w:style>
  <w:style w:type="paragraph" w:customStyle="1" w:styleId="101">
    <w:name w:val="正文文字"/>
    <w:basedOn w:val="1"/>
    <w:link w:val="102"/>
    <w:qFormat/>
    <w:uiPriority w:val="0"/>
    <w:pPr>
      <w:ind w:firstLine="200" w:firstLineChars="200"/>
    </w:pPr>
    <w:rPr>
      <w:rFonts w:ascii="Arial" w:hAnsi="Arial" w:eastAsia="华文仿宋" w:cs="Arial"/>
      <w:szCs w:val="20"/>
    </w:rPr>
  </w:style>
  <w:style w:type="character" w:customStyle="1" w:styleId="102">
    <w:name w:val="正文文字 Char"/>
    <w:basedOn w:val="45"/>
    <w:link w:val="101"/>
    <w:qFormat/>
    <w:uiPriority w:val="0"/>
    <w:rPr>
      <w:rFonts w:ascii="Arial" w:hAnsi="Arial" w:eastAsia="华文仿宋" w:cs="Arial"/>
      <w:kern w:val="2"/>
      <w:sz w:val="24"/>
    </w:rPr>
  </w:style>
  <w:style w:type="paragraph" w:customStyle="1" w:styleId="103">
    <w:name w:val="表字居中"/>
    <w:basedOn w:val="1"/>
    <w:link w:val="104"/>
    <w:qFormat/>
    <w:uiPriority w:val="0"/>
    <w:pPr>
      <w:spacing w:line="240" w:lineRule="auto"/>
      <w:jc w:val="center"/>
    </w:pPr>
    <w:rPr>
      <w:rFonts w:ascii="Arial" w:hAnsi="Arial" w:eastAsia="华文仿宋" w:cs="Arial"/>
      <w:sz w:val="21"/>
    </w:rPr>
  </w:style>
  <w:style w:type="character" w:customStyle="1" w:styleId="104">
    <w:name w:val="表字居中 Char Char"/>
    <w:basedOn w:val="45"/>
    <w:link w:val="103"/>
    <w:qFormat/>
    <w:uiPriority w:val="0"/>
    <w:rPr>
      <w:rFonts w:ascii="Arial" w:hAnsi="Arial" w:eastAsia="华文仿宋" w:cs="Arial"/>
      <w:kern w:val="2"/>
      <w:sz w:val="21"/>
      <w:szCs w:val="24"/>
    </w:rPr>
  </w:style>
  <w:style w:type="paragraph" w:customStyle="1" w:styleId="105">
    <w:name w:val="样式 表题注"/>
    <w:basedOn w:val="1"/>
    <w:qFormat/>
    <w:uiPriority w:val="0"/>
    <w:pPr>
      <w:spacing w:beforeLines="50" w:afterLines="20" w:line="240" w:lineRule="auto"/>
      <w:jc w:val="center"/>
    </w:pPr>
    <w:rPr>
      <w:rFonts w:ascii="Arial" w:hAnsi="Arial" w:eastAsia="楷体" w:cs="华文仿宋"/>
      <w:sz w:val="21"/>
      <w:szCs w:val="20"/>
    </w:rPr>
  </w:style>
  <w:style w:type="paragraph" w:customStyle="1" w:styleId="106">
    <w:name w:val="spook报告正文"/>
    <w:basedOn w:val="1"/>
    <w:qFormat/>
    <w:uiPriority w:val="0"/>
    <w:pPr>
      <w:adjustRightInd w:val="0"/>
      <w:snapToGrid w:val="0"/>
      <w:ind w:firstLine="510"/>
    </w:pPr>
    <w:rPr>
      <w:szCs w:val="20"/>
    </w:rPr>
  </w:style>
  <w:style w:type="paragraph" w:customStyle="1" w:styleId="107">
    <w:name w:val="表文"/>
    <w:basedOn w:val="1"/>
    <w:link w:val="108"/>
    <w:qFormat/>
    <w:uiPriority w:val="0"/>
    <w:pPr>
      <w:tabs>
        <w:tab w:val="left" w:pos="1021"/>
      </w:tabs>
      <w:adjustRightInd w:val="0"/>
      <w:snapToGrid w:val="0"/>
      <w:spacing w:line="240" w:lineRule="auto"/>
      <w:jc w:val="left"/>
    </w:pPr>
    <w:rPr>
      <w:rFonts w:ascii="宋体" w:hAnsi="宋体"/>
      <w:color w:val="000000"/>
      <w:spacing w:val="-2"/>
      <w:kern w:val="0"/>
      <w:sz w:val="18"/>
      <w:szCs w:val="18"/>
    </w:rPr>
  </w:style>
  <w:style w:type="character" w:customStyle="1" w:styleId="108">
    <w:name w:val="表文 Char Char"/>
    <w:basedOn w:val="45"/>
    <w:link w:val="107"/>
    <w:qFormat/>
    <w:uiPriority w:val="0"/>
    <w:rPr>
      <w:rFonts w:ascii="宋体" w:hAnsi="宋体"/>
      <w:color w:val="000000"/>
      <w:spacing w:val="-2"/>
      <w:sz w:val="18"/>
      <w:szCs w:val="18"/>
    </w:rPr>
  </w:style>
  <w:style w:type="paragraph" w:customStyle="1" w:styleId="109">
    <w:name w:val="报告书正文 Char Char Char"/>
    <w:basedOn w:val="1"/>
    <w:link w:val="110"/>
    <w:qFormat/>
    <w:uiPriority w:val="0"/>
    <w:pPr>
      <w:spacing w:line="300" w:lineRule="auto"/>
      <w:ind w:firstLine="480" w:firstLineChars="200"/>
    </w:pPr>
    <w:rPr>
      <w:rFonts w:ascii="华文仿宋" w:hAnsi="华文仿宋" w:eastAsia="华文仿宋" w:cs="Arial"/>
    </w:rPr>
  </w:style>
  <w:style w:type="character" w:customStyle="1" w:styleId="110">
    <w:name w:val="报告书正文 Char Char Char Char"/>
    <w:link w:val="109"/>
    <w:qFormat/>
    <w:uiPriority w:val="0"/>
    <w:rPr>
      <w:rFonts w:ascii="华文仿宋" w:hAnsi="华文仿宋" w:eastAsia="华文仿宋" w:cs="Arial"/>
      <w:kern w:val="2"/>
      <w:sz w:val="24"/>
      <w:szCs w:val="24"/>
    </w:rPr>
  </w:style>
  <w:style w:type="paragraph" w:customStyle="1" w:styleId="111">
    <w:name w:val="报告书正文"/>
    <w:basedOn w:val="1"/>
    <w:link w:val="112"/>
    <w:qFormat/>
    <w:uiPriority w:val="0"/>
    <w:pPr>
      <w:spacing w:line="300" w:lineRule="auto"/>
      <w:ind w:firstLine="200" w:firstLineChars="200"/>
    </w:pPr>
    <w:rPr>
      <w:rFonts w:ascii="Arial" w:hAnsi="Arial" w:eastAsia="华文仿宋" w:cs="Arial"/>
      <w:szCs w:val="20"/>
    </w:rPr>
  </w:style>
  <w:style w:type="character" w:customStyle="1" w:styleId="112">
    <w:name w:val="报告书正文 Char"/>
    <w:link w:val="111"/>
    <w:qFormat/>
    <w:uiPriority w:val="0"/>
    <w:rPr>
      <w:rFonts w:ascii="Arial" w:hAnsi="Arial" w:eastAsia="华文仿宋" w:cs="Arial"/>
      <w:kern w:val="2"/>
      <w:sz w:val="24"/>
    </w:rPr>
  </w:style>
  <w:style w:type="paragraph" w:customStyle="1" w:styleId="113">
    <w:name w:val="样式 表头 + (中文) 黑体"/>
    <w:basedOn w:val="1"/>
    <w:qFormat/>
    <w:uiPriority w:val="0"/>
    <w:pPr>
      <w:adjustRightInd w:val="0"/>
      <w:snapToGrid w:val="0"/>
      <w:spacing w:line="240" w:lineRule="auto"/>
      <w:jc w:val="center"/>
    </w:pPr>
    <w:rPr>
      <w:rFonts w:eastAsia="黑体"/>
      <w:bCs/>
      <w:spacing w:val="6"/>
      <w:position w:val="10"/>
    </w:rPr>
  </w:style>
  <w:style w:type="paragraph" w:customStyle="1" w:styleId="114">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 w:val="32"/>
      <w:szCs w:val="32"/>
    </w:rPr>
  </w:style>
  <w:style w:type="paragraph" w:customStyle="1" w:styleId="115">
    <w:name w:val="Char Char"/>
    <w:basedOn w:val="1"/>
    <w:qFormat/>
    <w:uiPriority w:val="0"/>
    <w:pPr>
      <w:ind w:firstLine="200" w:firstLineChars="200"/>
    </w:pPr>
    <w:rPr>
      <w:sz w:val="21"/>
    </w:rPr>
  </w:style>
  <w:style w:type="character" w:customStyle="1" w:styleId="116">
    <w:name w:val="表格居中 Char"/>
    <w:link w:val="117"/>
    <w:qFormat/>
    <w:uiPriority w:val="0"/>
    <w:rPr>
      <w:sz w:val="24"/>
    </w:rPr>
  </w:style>
  <w:style w:type="paragraph" w:customStyle="1" w:styleId="117">
    <w:name w:val="表格居中"/>
    <w:basedOn w:val="1"/>
    <w:link w:val="116"/>
    <w:qFormat/>
    <w:uiPriority w:val="0"/>
    <w:pPr>
      <w:spacing w:line="240" w:lineRule="auto"/>
      <w:jc w:val="center"/>
    </w:pPr>
    <w:rPr>
      <w:kern w:val="0"/>
      <w:szCs w:val="20"/>
    </w:rPr>
  </w:style>
  <w:style w:type="character" w:customStyle="1" w:styleId="118">
    <w:name w:val="正文文本 Char1"/>
    <w:qFormat/>
    <w:uiPriority w:val="0"/>
    <w:rPr>
      <w:b/>
      <w:bCs/>
      <w:kern w:val="2"/>
      <w:sz w:val="28"/>
      <w:szCs w:val="24"/>
    </w:rPr>
  </w:style>
  <w:style w:type="paragraph" w:customStyle="1" w:styleId="119">
    <w:name w:val="Char1"/>
    <w:basedOn w:val="1"/>
    <w:qFormat/>
    <w:uiPriority w:val="0"/>
    <w:pPr>
      <w:keepNext/>
      <w:keepLines/>
      <w:tabs>
        <w:tab w:val="left" w:pos="2160"/>
      </w:tabs>
      <w:adjustRightInd w:val="0"/>
      <w:snapToGrid w:val="0"/>
      <w:spacing w:before="120" w:after="120"/>
      <w:ind w:left="2160" w:hanging="420"/>
      <w:outlineLvl w:val="3"/>
    </w:pPr>
    <w:rPr>
      <w:rFonts w:ascii="Arial" w:hAnsi="Arial"/>
      <w:bCs/>
      <w:kern w:val="0"/>
      <w:sz w:val="28"/>
      <w:szCs w:val="21"/>
    </w:rPr>
  </w:style>
  <w:style w:type="paragraph" w:customStyle="1" w:styleId="120">
    <w:name w:val="正文01"/>
    <w:basedOn w:val="1"/>
    <w:qFormat/>
    <w:uiPriority w:val="0"/>
    <w:pPr>
      <w:adjustRightInd w:val="0"/>
      <w:ind w:firstLine="560" w:firstLineChars="200"/>
      <w:jc w:val="center"/>
      <w:textAlignment w:val="baseline"/>
    </w:pPr>
    <w:rPr>
      <w:bCs/>
      <w:color w:val="000000"/>
      <w:sz w:val="28"/>
      <w:szCs w:val="28"/>
    </w:rPr>
  </w:style>
  <w:style w:type="paragraph" w:customStyle="1" w:styleId="121">
    <w:name w:val="标题02"/>
    <w:basedOn w:val="5"/>
    <w:next w:val="120"/>
    <w:qFormat/>
    <w:uiPriority w:val="0"/>
    <w:pPr>
      <w:framePr w:hSpace="0" w:vAnchor="margin" w:hAnchor="text" w:yAlign="inline"/>
      <w:spacing w:line="360" w:lineRule="auto"/>
      <w:ind w:firstLine="551" w:firstLineChars="196"/>
      <w:jc w:val="both"/>
      <w:outlineLvl w:val="9"/>
    </w:pPr>
    <w:rPr>
      <w:b/>
      <w:spacing w:val="0"/>
      <w:kern w:val="2"/>
      <w:szCs w:val="20"/>
    </w:rPr>
  </w:style>
  <w:style w:type="paragraph" w:customStyle="1" w:styleId="122">
    <w:name w:val="Char Char Char Char Char Char Char"/>
    <w:basedOn w:val="1"/>
    <w:next w:val="5"/>
    <w:qFormat/>
    <w:uiPriority w:val="0"/>
    <w:pPr>
      <w:spacing w:line="240" w:lineRule="auto"/>
    </w:pPr>
    <w:rPr>
      <w:rFonts w:eastAsia="黑体"/>
    </w:rPr>
  </w:style>
  <w:style w:type="paragraph" w:customStyle="1" w:styleId="123">
    <w:name w:val="表格"/>
    <w:basedOn w:val="1"/>
    <w:link w:val="124"/>
    <w:qFormat/>
    <w:uiPriority w:val="0"/>
    <w:pPr>
      <w:spacing w:line="240" w:lineRule="atLeast"/>
      <w:jc w:val="center"/>
    </w:pPr>
    <w:rPr>
      <w:rFonts w:eastAsia="楷体_GB2312"/>
    </w:rPr>
  </w:style>
  <w:style w:type="character" w:customStyle="1" w:styleId="124">
    <w:name w:val="表格 Char"/>
    <w:link w:val="123"/>
    <w:qFormat/>
    <w:uiPriority w:val="0"/>
    <w:rPr>
      <w:rFonts w:eastAsia="楷体_GB2312"/>
      <w:kern w:val="2"/>
      <w:sz w:val="24"/>
      <w:szCs w:val="24"/>
    </w:rPr>
  </w:style>
  <w:style w:type="character" w:customStyle="1" w:styleId="125">
    <w:name w:val="spanl"/>
    <w:basedOn w:val="45"/>
    <w:qFormat/>
    <w:uiPriority w:val="0"/>
  </w:style>
  <w:style w:type="paragraph" w:customStyle="1" w:styleId="126">
    <w:name w:val="样式 首行缩进:  2 字符"/>
    <w:basedOn w:val="1"/>
    <w:qFormat/>
    <w:uiPriority w:val="0"/>
    <w:pPr>
      <w:ind w:firstLine="420" w:firstLineChars="200"/>
    </w:pPr>
    <w:rPr>
      <w:sz w:val="21"/>
      <w:szCs w:val="20"/>
    </w:rPr>
  </w:style>
  <w:style w:type="paragraph" w:customStyle="1" w:styleId="127">
    <w:name w:val="1文章"/>
    <w:basedOn w:val="1"/>
    <w:qFormat/>
    <w:uiPriority w:val="0"/>
    <w:pPr>
      <w:snapToGrid w:val="0"/>
      <w:ind w:firstLine="573"/>
    </w:pPr>
    <w:rPr>
      <w:rFonts w:eastAsia="仿宋_GB2312"/>
      <w:sz w:val="28"/>
      <w:szCs w:val="20"/>
    </w:rPr>
  </w:style>
  <w:style w:type="paragraph" w:customStyle="1" w:styleId="128">
    <w:name w:val="WPS Plain"/>
    <w:qFormat/>
    <w:uiPriority w:val="0"/>
    <w:pPr>
      <w:spacing w:line="240" w:lineRule="auto"/>
    </w:pPr>
    <w:rPr>
      <w:rFonts w:ascii="Times New Roman" w:hAnsi="Times New Roman" w:eastAsia="宋体" w:cs="Times New Roman"/>
      <w:sz w:val="24"/>
      <w:szCs w:val="24"/>
      <w:lang w:val="en-US" w:eastAsia="zh-CN" w:bidi="ar-SA"/>
    </w:rPr>
  </w:style>
  <w:style w:type="paragraph" w:customStyle="1" w:styleId="129">
    <w:name w:val="默认段落字体 Para Char"/>
    <w:basedOn w:val="1"/>
    <w:qFormat/>
    <w:uiPriority w:val="0"/>
    <w:pPr>
      <w:spacing w:line="240" w:lineRule="auto"/>
    </w:pPr>
  </w:style>
  <w:style w:type="paragraph" w:customStyle="1" w:styleId="130">
    <w:name w:val="标准"/>
    <w:basedOn w:val="1"/>
    <w:qFormat/>
    <w:uiPriority w:val="0"/>
    <w:pPr>
      <w:adjustRightInd w:val="0"/>
      <w:spacing w:line="312" w:lineRule="atLeast"/>
      <w:jc w:val="center"/>
      <w:textAlignment w:val="baseline"/>
    </w:pPr>
    <w:rPr>
      <w:kern w:val="0"/>
      <w:sz w:val="21"/>
      <w:szCs w:val="20"/>
    </w:rPr>
  </w:style>
  <w:style w:type="paragraph" w:customStyle="1" w:styleId="131">
    <w:name w:val="小四表文左齐"/>
    <w:basedOn w:val="1"/>
    <w:qFormat/>
    <w:uiPriority w:val="0"/>
    <w:pPr>
      <w:adjustRightInd w:val="0"/>
      <w:snapToGrid w:val="0"/>
      <w:spacing w:line="240" w:lineRule="auto"/>
      <w:jc w:val="center"/>
    </w:pPr>
    <w:rPr>
      <w:rFonts w:ascii="宋体" w:hAnsi="宋体"/>
      <w:sz w:val="21"/>
    </w:rPr>
  </w:style>
  <w:style w:type="paragraph" w:customStyle="1" w:styleId="132">
    <w:name w:val="Char Char Char Char1"/>
    <w:basedOn w:val="1"/>
    <w:qFormat/>
    <w:uiPriority w:val="0"/>
    <w:pPr>
      <w:spacing w:line="240" w:lineRule="auto"/>
    </w:pPr>
    <w:rPr>
      <w:sz w:val="21"/>
      <w:szCs w:val="20"/>
    </w:rPr>
  </w:style>
  <w:style w:type="paragraph" w:customStyle="1" w:styleId="133">
    <w:name w:val="表文字"/>
    <w:basedOn w:val="1"/>
    <w:link w:val="134"/>
    <w:qFormat/>
    <w:uiPriority w:val="0"/>
    <w:pPr>
      <w:overflowPunct w:val="0"/>
      <w:autoSpaceDE w:val="0"/>
      <w:autoSpaceDN w:val="0"/>
      <w:adjustRightInd w:val="0"/>
      <w:spacing w:line="240" w:lineRule="atLeast"/>
      <w:jc w:val="center"/>
      <w:textAlignment w:val="baseline"/>
    </w:pPr>
    <w:rPr>
      <w:kern w:val="0"/>
      <w:szCs w:val="20"/>
    </w:rPr>
  </w:style>
  <w:style w:type="character" w:customStyle="1" w:styleId="134">
    <w:name w:val="表文字 Char Char"/>
    <w:link w:val="133"/>
    <w:qFormat/>
    <w:uiPriority w:val="0"/>
    <w:rPr>
      <w:sz w:val="24"/>
    </w:rPr>
  </w:style>
  <w:style w:type="character" w:customStyle="1" w:styleId="135">
    <w:name w:val="kl_auto_internal_links_tag"/>
    <w:qFormat/>
    <w:uiPriority w:val="0"/>
  </w:style>
  <w:style w:type="paragraph" w:customStyle="1" w:styleId="136">
    <w:name w:val="二级标题"/>
    <w:basedOn w:val="1"/>
    <w:link w:val="137"/>
    <w:qFormat/>
    <w:uiPriority w:val="0"/>
    <w:pPr>
      <w:spacing w:line="500" w:lineRule="exact"/>
      <w:ind w:firstLine="413" w:firstLineChars="147"/>
    </w:pPr>
    <w:rPr>
      <w:sz w:val="28"/>
      <w:szCs w:val="28"/>
      <w:lang w:val="zh-CN"/>
    </w:rPr>
  </w:style>
  <w:style w:type="character" w:customStyle="1" w:styleId="137">
    <w:name w:val="二级标题 Char"/>
    <w:link w:val="136"/>
    <w:qFormat/>
    <w:uiPriority w:val="0"/>
    <w:rPr>
      <w:kern w:val="2"/>
      <w:sz w:val="28"/>
      <w:szCs w:val="28"/>
      <w:lang w:val="zh-CN"/>
    </w:rPr>
  </w:style>
  <w:style w:type="paragraph" w:customStyle="1" w:styleId="138">
    <w:name w:val="周1"/>
    <w:basedOn w:val="4"/>
    <w:qFormat/>
    <w:uiPriority w:val="0"/>
    <w:pPr>
      <w:spacing w:before="0" w:after="0" w:line="360" w:lineRule="auto"/>
    </w:pPr>
    <w:rPr>
      <w:sz w:val="28"/>
      <w:szCs w:val="28"/>
      <w:lang w:val="zh-CN"/>
    </w:rPr>
  </w:style>
  <w:style w:type="character" w:customStyle="1" w:styleId="139">
    <w:name w:val="表格 Char Char"/>
    <w:qFormat/>
    <w:uiPriority w:val="0"/>
    <w:rPr>
      <w:rFonts w:eastAsia="楷体_GB2312"/>
      <w:kern w:val="2"/>
      <w:sz w:val="24"/>
      <w:szCs w:val="24"/>
      <w:lang w:val="en-US" w:eastAsia="zh-CN" w:bidi="ar-SA"/>
    </w:rPr>
  </w:style>
  <w:style w:type="character" w:customStyle="1" w:styleId="140">
    <w:name w:val="正文样式 Char Char"/>
    <w:link w:val="141"/>
    <w:qFormat/>
    <w:uiPriority w:val="0"/>
    <w:rPr>
      <w:kern w:val="2"/>
      <w:sz w:val="24"/>
      <w:szCs w:val="28"/>
    </w:rPr>
  </w:style>
  <w:style w:type="paragraph" w:customStyle="1" w:styleId="141">
    <w:name w:val="正文样式"/>
    <w:basedOn w:val="1"/>
    <w:link w:val="140"/>
    <w:qFormat/>
    <w:uiPriority w:val="0"/>
    <w:pPr>
      <w:ind w:firstLine="200" w:firstLineChars="200"/>
      <w:jc w:val="left"/>
    </w:pPr>
    <w:rPr>
      <w:szCs w:val="28"/>
    </w:rPr>
  </w:style>
  <w:style w:type="character" w:customStyle="1" w:styleId="142">
    <w:name w:val="正文文本 Char Char"/>
    <w:qFormat/>
    <w:uiPriority w:val="0"/>
    <w:rPr>
      <w:rFonts w:ascii="宋体" w:eastAsia="宋体"/>
      <w:sz w:val="28"/>
      <w:lang w:val="en-US" w:eastAsia="zh-CN" w:bidi="ar-SA"/>
    </w:rPr>
  </w:style>
  <w:style w:type="character" w:customStyle="1" w:styleId="143">
    <w:name w:val="正文式样 Char Char"/>
    <w:link w:val="144"/>
    <w:qFormat/>
    <w:uiPriority w:val="0"/>
    <w:rPr>
      <w:bCs/>
      <w:kern w:val="2"/>
      <w:sz w:val="24"/>
      <w:szCs w:val="28"/>
      <w:lang w:val="zh-CN"/>
    </w:rPr>
  </w:style>
  <w:style w:type="paragraph" w:customStyle="1" w:styleId="144">
    <w:name w:val="正文式样"/>
    <w:basedOn w:val="1"/>
    <w:link w:val="143"/>
    <w:qFormat/>
    <w:uiPriority w:val="0"/>
    <w:pPr>
      <w:ind w:firstLine="200" w:firstLineChars="200"/>
      <w:jc w:val="left"/>
    </w:pPr>
    <w:rPr>
      <w:bCs/>
      <w:szCs w:val="28"/>
      <w:lang w:val="zh-CN"/>
    </w:rPr>
  </w:style>
  <w:style w:type="paragraph" w:customStyle="1" w:styleId="145">
    <w:name w:val="表格式样"/>
    <w:basedOn w:val="1"/>
    <w:qFormat/>
    <w:uiPriority w:val="0"/>
    <w:pPr>
      <w:widowControl/>
      <w:tabs>
        <w:tab w:val="left" w:pos="980"/>
      </w:tabs>
      <w:spacing w:line="240" w:lineRule="auto"/>
      <w:jc w:val="center"/>
    </w:pPr>
    <w:rPr>
      <w:w w:val="90"/>
      <w:kern w:val="0"/>
      <w:sz w:val="21"/>
      <w:szCs w:val="28"/>
    </w:rPr>
  </w:style>
  <w:style w:type="paragraph" w:customStyle="1" w:styleId="146">
    <w:name w:val="Char Char Char Char"/>
    <w:basedOn w:val="1"/>
    <w:qFormat/>
    <w:uiPriority w:val="0"/>
    <w:pPr>
      <w:spacing w:line="240" w:lineRule="auto"/>
    </w:pPr>
    <w:rPr>
      <w:rFonts w:ascii="Calibri" w:hAnsi="Calibri"/>
      <w:sz w:val="21"/>
      <w:szCs w:val="22"/>
    </w:rPr>
  </w:style>
  <w:style w:type="paragraph" w:customStyle="1" w:styleId="147">
    <w:name w:val="Char Char3 Char Char"/>
    <w:basedOn w:val="1"/>
    <w:next w:val="1"/>
    <w:qFormat/>
    <w:uiPriority w:val="0"/>
    <w:pPr>
      <w:ind w:firstLine="200" w:firstLineChars="200"/>
    </w:pPr>
    <w:rPr>
      <w:sz w:val="21"/>
      <w:szCs w:val="20"/>
    </w:rPr>
  </w:style>
  <w:style w:type="paragraph" w:customStyle="1" w:styleId="148">
    <w:name w:val="Char"/>
    <w:basedOn w:val="1"/>
    <w:qFormat/>
    <w:uiPriority w:val="0"/>
    <w:pPr>
      <w:ind w:firstLine="200" w:firstLineChars="200"/>
    </w:pPr>
    <w:rPr>
      <w:rFonts w:ascii="宋体" w:hAnsi="宋体" w:eastAsia="黑体" w:cs="宋体"/>
      <w:sz w:val="36"/>
    </w:rPr>
  </w:style>
  <w:style w:type="paragraph" w:customStyle="1" w:styleId="149">
    <w:name w:val="湘设表头"/>
    <w:basedOn w:val="1"/>
    <w:qFormat/>
    <w:uiPriority w:val="0"/>
    <w:pPr>
      <w:spacing w:line="240" w:lineRule="auto"/>
      <w:jc w:val="center"/>
    </w:pPr>
    <w:rPr>
      <w:rFonts w:eastAsia="黑体"/>
    </w:rPr>
  </w:style>
  <w:style w:type="paragraph" w:customStyle="1" w:styleId="150">
    <w:name w:val="纯文本1"/>
    <w:basedOn w:val="1"/>
    <w:qFormat/>
    <w:uiPriority w:val="0"/>
    <w:pPr>
      <w:spacing w:line="357" w:lineRule="atLeast"/>
      <w:textAlignment w:val="baseline"/>
    </w:pPr>
    <w:rPr>
      <w:rFonts w:ascii="宋体" w:hAnsi="Courier New" w:cs="Courier New"/>
      <w:color w:val="000000"/>
      <w:sz w:val="21"/>
      <w:szCs w:val="21"/>
      <w:u w:color="000000"/>
    </w:rPr>
  </w:style>
  <w:style w:type="paragraph" w:customStyle="1" w:styleId="151">
    <w:name w:val="p0"/>
    <w:basedOn w:val="1"/>
    <w:qFormat/>
    <w:uiPriority w:val="0"/>
    <w:pPr>
      <w:widowControl/>
      <w:spacing w:line="240" w:lineRule="auto"/>
    </w:pPr>
    <w:rPr>
      <w:kern w:val="0"/>
      <w:sz w:val="21"/>
      <w:szCs w:val="21"/>
    </w:rPr>
  </w:style>
  <w:style w:type="paragraph" w:customStyle="1" w:styleId="152">
    <w:name w:val="表头式样"/>
    <w:basedOn w:val="1"/>
    <w:qFormat/>
    <w:uiPriority w:val="0"/>
    <w:pPr>
      <w:tabs>
        <w:tab w:val="left" w:pos="980"/>
        <w:tab w:val="right" w:leader="dot" w:pos="8296"/>
        <w:tab w:val="right" w:leader="dot" w:pos="8664"/>
        <w:tab w:val="right" w:leader="middleDot" w:pos="9288"/>
      </w:tabs>
      <w:spacing w:beforeLines="50" w:line="240" w:lineRule="auto"/>
      <w:jc w:val="center"/>
    </w:pPr>
    <w:rPr>
      <w:rFonts w:hAnsi="宋体" w:eastAsia="黑体" w:cs="Calibri"/>
      <w:caps/>
      <w:szCs w:val="20"/>
    </w:rPr>
  </w:style>
  <w:style w:type="paragraph" w:customStyle="1" w:styleId="153">
    <w:name w:val="Char Char Char Char Char Char Char Char Char Char Char Char Char"/>
    <w:basedOn w:val="1"/>
    <w:qFormat/>
    <w:uiPriority w:val="0"/>
    <w:pPr>
      <w:spacing w:line="240" w:lineRule="auto"/>
    </w:pPr>
    <w:rPr>
      <w:sz w:val="21"/>
    </w:rPr>
  </w:style>
  <w:style w:type="paragraph" w:customStyle="1" w:styleId="154">
    <w:name w:val="TOC 标题2"/>
    <w:basedOn w:val="4"/>
    <w:next w:val="1"/>
    <w:qFormat/>
    <w:uiPriority w:val="39"/>
    <w:pPr>
      <w:widowControl/>
      <w:spacing w:before="480" w:after="0" w:line="276" w:lineRule="auto"/>
      <w:jc w:val="left"/>
      <w:outlineLvl w:val="9"/>
    </w:pPr>
    <w:rPr>
      <w:rFonts w:ascii="Cambria" w:hAnsi="Cambria"/>
      <w:color w:val="365F91"/>
      <w:kern w:val="0"/>
      <w:sz w:val="28"/>
      <w:szCs w:val="28"/>
      <w:lang w:val="zh-CN"/>
    </w:rPr>
  </w:style>
  <w:style w:type="paragraph" w:customStyle="1" w:styleId="155">
    <w:name w:val="Default"/>
    <w:qFormat/>
    <w:uiPriority w:val="99"/>
    <w:pPr>
      <w:widowControl w:val="0"/>
      <w:autoSpaceDE w:val="0"/>
      <w:autoSpaceDN w:val="0"/>
      <w:adjustRightInd w:val="0"/>
      <w:spacing w:line="240" w:lineRule="auto"/>
    </w:pPr>
    <w:rPr>
      <w:rFonts w:ascii="仿宋_GB2312" w:hAnsi="Times New Roman" w:eastAsia="仿宋_GB2312" w:cs="仿宋_GB2312"/>
      <w:color w:val="000000"/>
      <w:sz w:val="24"/>
      <w:szCs w:val="24"/>
      <w:lang w:val="en-US" w:eastAsia="zh-CN" w:bidi="ar-SA"/>
    </w:rPr>
  </w:style>
  <w:style w:type="paragraph" w:customStyle="1" w:styleId="156">
    <w:name w:val="Char2"/>
    <w:basedOn w:val="1"/>
    <w:qFormat/>
    <w:uiPriority w:val="0"/>
    <w:pPr>
      <w:adjustRightInd w:val="0"/>
      <w:spacing w:line="360" w:lineRule="atLeast"/>
      <w:ind w:firstLine="200" w:firstLineChars="200"/>
      <w:jc w:val="left"/>
      <w:textAlignment w:val="baseline"/>
    </w:pPr>
    <w:rPr>
      <w:szCs w:val="20"/>
    </w:rPr>
  </w:style>
  <w:style w:type="paragraph" w:customStyle="1" w:styleId="157">
    <w:name w:val="湘设表格"/>
    <w:basedOn w:val="6"/>
    <w:qFormat/>
    <w:uiPriority w:val="0"/>
    <w:pPr>
      <w:keepNext w:val="0"/>
      <w:keepLines w:val="0"/>
      <w:spacing w:before="0" w:after="0" w:line="240" w:lineRule="auto"/>
      <w:jc w:val="center"/>
      <w:outlineLvl w:val="9"/>
    </w:pPr>
    <w:rPr>
      <w:b w:val="0"/>
      <w:w w:val="90"/>
      <w:kern w:val="28"/>
      <w:sz w:val="21"/>
    </w:rPr>
  </w:style>
  <w:style w:type="paragraph" w:styleId="158">
    <w:name w:val="No Spacing"/>
    <w:link w:val="159"/>
    <w:qFormat/>
    <w:uiPriority w:val="0"/>
    <w:pPr>
      <w:widowControl w:val="0"/>
      <w:spacing w:line="240" w:lineRule="auto"/>
      <w:jc w:val="both"/>
    </w:pPr>
    <w:rPr>
      <w:rFonts w:ascii="Times New Roman" w:hAnsi="Times New Roman" w:eastAsia="宋体" w:cs="Times New Roman"/>
      <w:kern w:val="2"/>
      <w:sz w:val="21"/>
      <w:szCs w:val="24"/>
      <w:lang w:val="en-US" w:eastAsia="zh-CN" w:bidi="ar-SA"/>
    </w:rPr>
  </w:style>
  <w:style w:type="character" w:customStyle="1" w:styleId="159">
    <w:name w:val="无间隔 Char"/>
    <w:link w:val="158"/>
    <w:qFormat/>
    <w:uiPriority w:val="0"/>
    <w:rPr>
      <w:kern w:val="2"/>
      <w:sz w:val="21"/>
      <w:szCs w:val="24"/>
    </w:rPr>
  </w:style>
  <w:style w:type="paragraph" w:customStyle="1" w:styleId="160">
    <w:name w:val="默认段落字体 Para Char Char Char Char"/>
    <w:basedOn w:val="1"/>
    <w:qFormat/>
    <w:uiPriority w:val="0"/>
    <w:pPr>
      <w:spacing w:line="240" w:lineRule="auto"/>
    </w:pPr>
  </w:style>
  <w:style w:type="paragraph" w:customStyle="1" w:styleId="161">
    <w:name w:val="报告正文"/>
    <w:basedOn w:val="1"/>
    <w:link w:val="162"/>
    <w:qFormat/>
    <w:uiPriority w:val="0"/>
    <w:pPr>
      <w:snapToGrid w:val="0"/>
    </w:pPr>
    <w:rPr>
      <w:rFonts w:hAnsi="宋体"/>
      <w:kern w:val="144"/>
      <w:lang w:val="zh-CN"/>
    </w:rPr>
  </w:style>
  <w:style w:type="character" w:customStyle="1" w:styleId="162">
    <w:name w:val="报告正文 Char"/>
    <w:link w:val="161"/>
    <w:qFormat/>
    <w:uiPriority w:val="0"/>
    <w:rPr>
      <w:rFonts w:hAnsi="宋体"/>
      <w:kern w:val="144"/>
      <w:sz w:val="24"/>
      <w:szCs w:val="24"/>
      <w:lang w:val="zh-CN"/>
    </w:rPr>
  </w:style>
  <w:style w:type="character" w:customStyle="1" w:styleId="163">
    <w:name w:val="正文缩进 Char1"/>
    <w:qFormat/>
    <w:uiPriority w:val="0"/>
    <w:rPr>
      <w:kern w:val="2"/>
      <w:sz w:val="21"/>
      <w:szCs w:val="24"/>
    </w:rPr>
  </w:style>
  <w:style w:type="character" w:customStyle="1" w:styleId="164">
    <w:name w:val="正文小四 Char Char"/>
    <w:link w:val="165"/>
    <w:qFormat/>
    <w:uiPriority w:val="0"/>
    <w:rPr>
      <w:kern w:val="2"/>
      <w:sz w:val="24"/>
    </w:rPr>
  </w:style>
  <w:style w:type="paragraph" w:customStyle="1" w:styleId="165">
    <w:name w:val="正文小四"/>
    <w:link w:val="164"/>
    <w:qFormat/>
    <w:uiPriority w:val="0"/>
    <w:pPr>
      <w:spacing w:line="360" w:lineRule="auto"/>
      <w:ind w:firstLine="200" w:firstLineChars="200"/>
    </w:pPr>
    <w:rPr>
      <w:rFonts w:ascii="Times New Roman" w:hAnsi="Times New Roman" w:eastAsia="宋体" w:cs="Times New Roman"/>
      <w:kern w:val="2"/>
      <w:sz w:val="24"/>
      <w:lang w:val="en-US" w:eastAsia="zh-CN" w:bidi="ar-SA"/>
    </w:rPr>
  </w:style>
  <w:style w:type="character" w:customStyle="1" w:styleId="166">
    <w:name w:val="标准正文格式 Char Char"/>
    <w:link w:val="167"/>
    <w:qFormat/>
    <w:uiPriority w:val="0"/>
    <w:rPr>
      <w:kern w:val="2"/>
      <w:sz w:val="24"/>
    </w:rPr>
  </w:style>
  <w:style w:type="paragraph" w:customStyle="1" w:styleId="167">
    <w:name w:val="标准正文格式"/>
    <w:basedOn w:val="1"/>
    <w:link w:val="166"/>
    <w:qFormat/>
    <w:uiPriority w:val="0"/>
    <w:pPr>
      <w:tabs>
        <w:tab w:val="left" w:pos="2640"/>
      </w:tabs>
      <w:ind w:firstLine="480" w:firstLineChars="200"/>
      <w:jc w:val="left"/>
    </w:pPr>
    <w:rPr>
      <w:szCs w:val="20"/>
    </w:rPr>
  </w:style>
  <w:style w:type="character" w:customStyle="1" w:styleId="168">
    <w:name w:val="报告正文 Char Char"/>
    <w:qFormat/>
    <w:uiPriority w:val="0"/>
    <w:rPr>
      <w:rFonts w:eastAsia="宋体"/>
      <w:kern w:val="2"/>
      <w:sz w:val="28"/>
      <w:szCs w:val="24"/>
      <w:lang w:val="en-US" w:eastAsia="zh-CN" w:bidi="ar-SA"/>
    </w:rPr>
  </w:style>
  <w:style w:type="character" w:customStyle="1" w:styleId="169">
    <w:name w:val="t_tag"/>
    <w:basedOn w:val="45"/>
    <w:qFormat/>
    <w:uiPriority w:val="0"/>
  </w:style>
  <w:style w:type="paragraph" w:customStyle="1" w:styleId="170">
    <w:name w:val="段落"/>
    <w:basedOn w:val="1"/>
    <w:qFormat/>
    <w:uiPriority w:val="0"/>
    <w:pPr>
      <w:tabs>
        <w:tab w:val="left" w:pos="1021"/>
      </w:tabs>
      <w:ind w:firstLine="560" w:firstLineChars="200"/>
    </w:pPr>
    <w:rPr>
      <w:kern w:val="24"/>
      <w:sz w:val="28"/>
      <w:szCs w:val="20"/>
    </w:rPr>
  </w:style>
  <w:style w:type="paragraph" w:customStyle="1" w:styleId="171">
    <w:name w:val="小四表格"/>
    <w:basedOn w:val="172"/>
    <w:qFormat/>
    <w:uiPriority w:val="0"/>
    <w:rPr>
      <w:sz w:val="24"/>
    </w:rPr>
  </w:style>
  <w:style w:type="paragraph" w:customStyle="1" w:styleId="172">
    <w:name w:val="五号表格"/>
    <w:basedOn w:val="1"/>
    <w:qFormat/>
    <w:uiPriority w:val="0"/>
    <w:pPr>
      <w:spacing w:line="240" w:lineRule="auto"/>
      <w:jc w:val="center"/>
    </w:pPr>
    <w:rPr>
      <w:kern w:val="0"/>
      <w:sz w:val="21"/>
      <w:szCs w:val="20"/>
    </w:rPr>
  </w:style>
  <w:style w:type="paragraph" w:customStyle="1" w:styleId="173">
    <w:name w:val="表头"/>
    <w:basedOn w:val="41"/>
    <w:qFormat/>
    <w:uiPriority w:val="99"/>
    <w:pPr>
      <w:overflowPunct w:val="0"/>
      <w:autoSpaceDE w:val="0"/>
      <w:autoSpaceDN w:val="0"/>
      <w:adjustRightInd w:val="0"/>
      <w:spacing w:before="60" w:after="60" w:line="360" w:lineRule="auto"/>
      <w:ind w:firstLine="539" w:firstLineChars="0"/>
      <w:jc w:val="center"/>
      <w:textAlignment w:val="baseline"/>
    </w:pPr>
    <w:rPr>
      <w:rFonts w:ascii="Times New Roman" w:hAnsi="Times New Roman" w:eastAsia="黑体" w:cs="Times New Roman"/>
      <w:kern w:val="0"/>
      <w:sz w:val="28"/>
    </w:rPr>
  </w:style>
  <w:style w:type="paragraph" w:customStyle="1" w:styleId="174">
    <w:name w:val="样式 标题 3H3B Head标题 3 Char条标题1.1.1 + 黑色 段前: 0.5 行"/>
    <w:basedOn w:val="1"/>
    <w:qFormat/>
    <w:uiPriority w:val="0"/>
    <w:pPr>
      <w:tabs>
        <w:tab w:val="left" w:pos="720"/>
      </w:tabs>
      <w:snapToGrid w:val="0"/>
      <w:spacing w:before="120" w:line="336" w:lineRule="auto"/>
      <w:ind w:left="720" w:hanging="720"/>
      <w:jc w:val="left"/>
      <w:outlineLvl w:val="2"/>
    </w:pPr>
    <w:rPr>
      <w:rFonts w:hint="eastAsia"/>
      <w:b/>
      <w:color w:val="000000"/>
      <w:kern w:val="24"/>
      <w:szCs w:val="20"/>
    </w:rPr>
  </w:style>
  <w:style w:type="paragraph" w:customStyle="1" w:styleId="175">
    <w:name w:val="表名"/>
    <w:basedOn w:val="2"/>
    <w:qFormat/>
    <w:uiPriority w:val="0"/>
    <w:pPr>
      <w:spacing w:afterLines="25" w:line="300" w:lineRule="auto"/>
      <w:ind w:left="0" w:firstLine="200" w:firstLineChars="200"/>
      <w:jc w:val="center"/>
    </w:pPr>
    <w:rPr>
      <w:rFonts w:ascii="仿宋_GB2312" w:hAnsi="宋体" w:eastAsia="仿宋_GB2312"/>
      <w:b/>
      <w:shd w:val="clear" w:color="auto" w:fill="FFFFFF"/>
    </w:rPr>
  </w:style>
  <w:style w:type="paragraph" w:customStyle="1" w:styleId="176">
    <w:name w:val="样式1"/>
    <w:basedOn w:val="4"/>
    <w:qFormat/>
    <w:uiPriority w:val="0"/>
    <w:pPr>
      <w:spacing w:before="0" w:after="0" w:line="500" w:lineRule="exact"/>
    </w:pPr>
    <w:rPr>
      <w:rFonts w:ascii="宋体" w:hAnsi="宋体"/>
      <w:sz w:val="28"/>
      <w:szCs w:val="28"/>
    </w:rPr>
  </w:style>
  <w:style w:type="paragraph" w:customStyle="1" w:styleId="177">
    <w:name w:val="表 头"/>
    <w:basedOn w:val="1"/>
    <w:qFormat/>
    <w:uiPriority w:val="0"/>
    <w:pPr>
      <w:adjustRightInd w:val="0"/>
      <w:spacing w:before="120" w:after="120" w:line="360" w:lineRule="atLeast"/>
      <w:jc w:val="center"/>
    </w:pPr>
    <w:rPr>
      <w:rFonts w:ascii="Arial" w:hAnsi="宋体" w:eastAsia="黑体"/>
      <w:b/>
      <w:color w:val="000000"/>
      <w:kern w:val="0"/>
      <w:sz w:val="21"/>
      <w:szCs w:val="20"/>
    </w:rPr>
  </w:style>
  <w:style w:type="paragraph" w:customStyle="1" w:styleId="178">
    <w:name w:val="正文1"/>
    <w:basedOn w:val="1"/>
    <w:qFormat/>
    <w:uiPriority w:val="0"/>
    <w:pPr>
      <w:ind w:firstLine="200" w:firstLineChars="200"/>
    </w:pPr>
    <w:rPr>
      <w:spacing w:val="6"/>
    </w:rPr>
  </w:style>
  <w:style w:type="paragraph" w:customStyle="1" w:styleId="179">
    <w:name w:val="报告表正文"/>
    <w:basedOn w:val="1"/>
    <w:link w:val="180"/>
    <w:qFormat/>
    <w:uiPriority w:val="0"/>
    <w:pPr>
      <w:ind w:firstLine="200" w:firstLineChars="200"/>
    </w:pPr>
    <w:rPr>
      <w:rFonts w:eastAsia="楷体_GB2312"/>
    </w:rPr>
  </w:style>
  <w:style w:type="character" w:customStyle="1" w:styleId="180">
    <w:name w:val="报告表正文 Char"/>
    <w:link w:val="179"/>
    <w:qFormat/>
    <w:uiPriority w:val="0"/>
    <w:rPr>
      <w:rFonts w:eastAsia="楷体_GB2312"/>
      <w:kern w:val="2"/>
      <w:sz w:val="24"/>
      <w:szCs w:val="24"/>
    </w:rPr>
  </w:style>
  <w:style w:type="paragraph" w:customStyle="1" w:styleId="181">
    <w:name w:val="君邦正文"/>
    <w:link w:val="182"/>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character" w:customStyle="1" w:styleId="182">
    <w:name w:val="君邦正文 Char"/>
    <w:link w:val="181"/>
    <w:qFormat/>
    <w:uiPriority w:val="0"/>
    <w:rPr>
      <w:bCs/>
      <w:snapToGrid w:val="0"/>
      <w:sz w:val="24"/>
    </w:rPr>
  </w:style>
  <w:style w:type="paragraph" w:customStyle="1" w:styleId="183">
    <w:name w:val="表格2"/>
    <w:basedOn w:val="1"/>
    <w:next w:val="1"/>
    <w:qFormat/>
    <w:uiPriority w:val="0"/>
    <w:pPr>
      <w:topLinePunct/>
      <w:autoSpaceDE w:val="0"/>
      <w:autoSpaceDN w:val="0"/>
      <w:adjustRightInd w:val="0"/>
      <w:spacing w:line="240" w:lineRule="auto"/>
      <w:jc w:val="center"/>
      <w:textAlignment w:val="baseline"/>
    </w:pPr>
    <w:rPr>
      <w:rFonts w:ascii="宋体" w:hAnsi="Impact"/>
      <w:kern w:val="24"/>
      <w:position w:val="-28"/>
      <w:sz w:val="21"/>
      <w:szCs w:val="20"/>
    </w:rPr>
  </w:style>
  <w:style w:type="paragraph" w:customStyle="1" w:styleId="184">
    <w:name w:val="Char Char Char Char Char Char Char Char Char Char"/>
    <w:basedOn w:val="1"/>
    <w:qFormat/>
    <w:uiPriority w:val="0"/>
    <w:pPr>
      <w:ind w:firstLine="200" w:firstLineChars="200"/>
    </w:pPr>
    <w:rPr>
      <w:rFonts w:ascii="宋体" w:hAnsi="宋体" w:cs="宋体"/>
    </w:rPr>
  </w:style>
  <w:style w:type="paragraph" w:customStyle="1" w:styleId="185">
    <w:name w:val="_Style 27"/>
    <w:basedOn w:val="1"/>
    <w:next w:val="1"/>
    <w:qFormat/>
    <w:uiPriority w:val="0"/>
    <w:pPr>
      <w:ind w:firstLine="200" w:firstLineChars="200"/>
    </w:pPr>
    <w:rPr>
      <w:sz w:val="21"/>
      <w:szCs w:val="20"/>
    </w:rPr>
  </w:style>
  <w:style w:type="character" w:customStyle="1" w:styleId="186">
    <w:name w:val="apple-style-span"/>
    <w:basedOn w:val="45"/>
    <w:qFormat/>
    <w:uiPriority w:val="0"/>
  </w:style>
  <w:style w:type="paragraph" w:customStyle="1" w:styleId="187">
    <w:name w:val="表题"/>
    <w:basedOn w:val="1"/>
    <w:qFormat/>
    <w:uiPriority w:val="0"/>
    <w:pPr>
      <w:tabs>
        <w:tab w:val="right" w:pos="0"/>
      </w:tabs>
      <w:adjustRightInd w:val="0"/>
      <w:snapToGrid w:val="0"/>
      <w:spacing w:line="240" w:lineRule="auto"/>
      <w:jc w:val="center"/>
    </w:pPr>
    <w:rPr>
      <w:rFonts w:ascii="宋体" w:hAnsi="宋体"/>
      <w:b/>
      <w:spacing w:val="12"/>
    </w:rPr>
  </w:style>
  <w:style w:type="paragraph" w:customStyle="1" w:styleId="188">
    <w:name w:val="正文001"/>
    <w:basedOn w:val="1"/>
    <w:qFormat/>
    <w:uiPriority w:val="0"/>
    <w:pPr>
      <w:spacing w:before="60" w:line="420" w:lineRule="exact"/>
      <w:ind w:firstLine="482"/>
    </w:pPr>
    <w:rPr>
      <w:szCs w:val="20"/>
    </w:rPr>
  </w:style>
  <w:style w:type="character" w:customStyle="1" w:styleId="189">
    <w:name w:val="报告表正文 Char Char"/>
    <w:qFormat/>
    <w:uiPriority w:val="0"/>
    <w:rPr>
      <w:rFonts w:eastAsia="楷体_GB2312"/>
      <w:kern w:val="2"/>
      <w:sz w:val="24"/>
      <w:szCs w:val="24"/>
      <w:lang w:val="en-US" w:eastAsia="zh-CN" w:bidi="ar-SA"/>
    </w:rPr>
  </w:style>
  <w:style w:type="character" w:customStyle="1" w:styleId="190">
    <w:name w:val="纯文本 Char Char Char"/>
    <w:qFormat/>
    <w:uiPriority w:val="0"/>
    <w:rPr>
      <w:rFonts w:ascii="宋体" w:hAnsi="Courier New" w:eastAsia="宋体" w:cs="Courier New"/>
      <w:kern w:val="2"/>
      <w:sz w:val="21"/>
      <w:szCs w:val="21"/>
      <w:lang w:val="en-US" w:eastAsia="zh-CN" w:bidi="ar-SA"/>
    </w:rPr>
  </w:style>
  <w:style w:type="paragraph" w:customStyle="1" w:styleId="191">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92">
    <w:name w:val="_Style 5"/>
    <w:basedOn w:val="1"/>
    <w:next w:val="1"/>
    <w:qFormat/>
    <w:uiPriority w:val="0"/>
    <w:pPr>
      <w:ind w:firstLine="200" w:firstLineChars="200"/>
    </w:pPr>
  </w:style>
  <w:style w:type="paragraph" w:customStyle="1" w:styleId="193">
    <w:name w:val="Char Char1 Char Char Char Char Char Char Char Char Char Char Char Char Char Char Char Char Char Char Char Char1 Char"/>
    <w:basedOn w:val="1"/>
    <w:qFormat/>
    <w:uiPriority w:val="0"/>
    <w:pPr>
      <w:ind w:firstLine="200" w:firstLineChars="200"/>
    </w:pPr>
    <w:rPr>
      <w:rFonts w:ascii="宋体" w:hAnsi="宋体" w:cs="宋体"/>
    </w:rPr>
  </w:style>
  <w:style w:type="paragraph" w:customStyle="1" w:styleId="194">
    <w:name w:val="zhang正文"/>
    <w:basedOn w:val="18"/>
    <w:qFormat/>
    <w:uiPriority w:val="0"/>
    <w:pPr>
      <w:autoSpaceDE w:val="0"/>
      <w:autoSpaceDN w:val="0"/>
      <w:adjustRightInd w:val="0"/>
      <w:snapToGrid w:val="0"/>
      <w:spacing w:after="0" w:line="500" w:lineRule="exact"/>
      <w:ind w:left="0" w:leftChars="0" w:firstLine="539"/>
      <w:textAlignment w:val="baseline"/>
    </w:pPr>
    <w:rPr>
      <w:rFonts w:eastAsia="楷体_GB2312"/>
      <w:kern w:val="0"/>
      <w:sz w:val="28"/>
      <w:szCs w:val="20"/>
    </w:rPr>
  </w:style>
  <w:style w:type="paragraph" w:customStyle="1" w:styleId="195">
    <w:name w:val="表格1"/>
    <w:basedOn w:val="1"/>
    <w:next w:val="2"/>
    <w:qFormat/>
    <w:uiPriority w:val="0"/>
    <w:pPr>
      <w:adjustRightInd w:val="0"/>
      <w:snapToGrid w:val="0"/>
      <w:spacing w:beforeLines="25" w:afterLines="25"/>
      <w:ind w:left="-30" w:leftChars="-30" w:right="-30" w:rightChars="-30"/>
      <w:jc w:val="center"/>
    </w:pPr>
    <w:rPr>
      <w:rFonts w:ascii="宋体" w:hAnsi="宋体"/>
      <w:bCs/>
      <w:snapToGrid w:val="0"/>
      <w:color w:val="000000"/>
      <w:kern w:val="0"/>
      <w:szCs w:val="9"/>
    </w:rPr>
  </w:style>
  <w:style w:type="character" w:customStyle="1" w:styleId="196">
    <w:name w:val="Char Char7"/>
    <w:qFormat/>
    <w:uiPriority w:val="0"/>
    <w:rPr>
      <w:rFonts w:ascii="宋体" w:hAnsi="Courier New" w:eastAsia="宋体" w:cs="Courier New"/>
      <w:kern w:val="2"/>
      <w:sz w:val="21"/>
      <w:szCs w:val="21"/>
      <w:lang w:val="en-US" w:eastAsia="zh-CN" w:bidi="ar-SA"/>
    </w:rPr>
  </w:style>
  <w:style w:type="paragraph" w:customStyle="1" w:styleId="197">
    <w:name w:val="Char Char10"/>
    <w:basedOn w:val="1"/>
    <w:qFormat/>
    <w:uiPriority w:val="0"/>
    <w:pPr>
      <w:ind w:firstLine="200" w:firstLineChars="200"/>
    </w:pPr>
    <w:rPr>
      <w:sz w:val="21"/>
    </w:rPr>
  </w:style>
  <w:style w:type="paragraph" w:customStyle="1" w:styleId="198">
    <w:name w:val="reader-word-layer reader-word-s2-5"/>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199">
    <w:name w:val="reader-word-layer reader-word-s5-9"/>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200">
    <w:name w:val="[基本段落]"/>
    <w:basedOn w:val="1"/>
    <w:unhideWhenUsed/>
    <w:qFormat/>
    <w:uiPriority w:val="0"/>
    <w:pPr>
      <w:autoSpaceDE w:val="0"/>
      <w:autoSpaceDN w:val="0"/>
      <w:adjustRightInd w:val="0"/>
      <w:spacing w:line="288" w:lineRule="auto"/>
      <w:textAlignment w:val="center"/>
    </w:pPr>
    <w:rPr>
      <w:rFonts w:hint="eastAsia" w:ascii="宋体" w:hAnsi="宋体"/>
      <w:color w:val="000000"/>
      <w:kern w:val="0"/>
      <w:szCs w:val="20"/>
      <w:lang w:val="zh-CN"/>
    </w:rPr>
  </w:style>
  <w:style w:type="paragraph" w:customStyle="1" w:styleId="201">
    <w:name w:val="Char Char4 Char Char Char Char"/>
    <w:basedOn w:val="1"/>
    <w:qFormat/>
    <w:uiPriority w:val="0"/>
    <w:pPr>
      <w:ind w:firstLine="200" w:firstLineChars="200"/>
    </w:pPr>
    <w:rPr>
      <w:sz w:val="21"/>
    </w:rPr>
  </w:style>
  <w:style w:type="paragraph" w:customStyle="1" w:styleId="202">
    <w:name w:val="reader-word-layer"/>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203">
    <w:name w:val="样式 宋体 小四"/>
    <w:basedOn w:val="1"/>
    <w:qFormat/>
    <w:uiPriority w:val="0"/>
    <w:pPr>
      <w:ind w:firstLine="200" w:firstLineChars="200"/>
    </w:pPr>
    <w:rPr>
      <w:rFonts w:ascii="宋体" w:hAnsi="宋体"/>
      <w:spacing w:val="10"/>
    </w:rPr>
  </w:style>
  <w:style w:type="paragraph" w:customStyle="1" w:styleId="204">
    <w:name w:val="新白云正文"/>
    <w:basedOn w:val="1"/>
    <w:link w:val="205"/>
    <w:qFormat/>
    <w:uiPriority w:val="0"/>
    <w:pPr>
      <w:spacing w:line="288" w:lineRule="auto"/>
      <w:ind w:firstLine="480" w:firstLineChars="200"/>
    </w:pPr>
    <w:rPr>
      <w:szCs w:val="20"/>
    </w:rPr>
  </w:style>
  <w:style w:type="character" w:customStyle="1" w:styleId="205">
    <w:name w:val="新白云正文 Char"/>
    <w:link w:val="204"/>
    <w:qFormat/>
    <w:uiPriority w:val="0"/>
    <w:rPr>
      <w:kern w:val="2"/>
      <w:sz w:val="24"/>
    </w:rPr>
  </w:style>
  <w:style w:type="character" w:customStyle="1" w:styleId="206">
    <w:name w:val="表格文字 Char Char Char"/>
    <w:qFormat/>
    <w:uiPriority w:val="0"/>
    <w:rPr>
      <w:rFonts w:eastAsia="宋体"/>
      <w:kern w:val="2"/>
      <w:sz w:val="24"/>
      <w:lang w:val="en-US" w:eastAsia="zh-CN" w:bidi="ar-SA"/>
    </w:rPr>
  </w:style>
  <w:style w:type="paragraph" w:customStyle="1" w:styleId="207">
    <w:name w:val="样式 四号 段前: 3 磅 段后: 3 磅 行距: 1.5 倍行距1"/>
    <w:basedOn w:val="1"/>
    <w:qFormat/>
    <w:uiPriority w:val="0"/>
    <w:pPr>
      <w:ind w:firstLine="480" w:firstLineChars="200"/>
    </w:pPr>
    <w:rPr>
      <w:rFonts w:ascii="宋体" w:hAnsi="宋体"/>
      <w:kern w:val="0"/>
      <w:szCs w:val="20"/>
    </w:rPr>
  </w:style>
  <w:style w:type="paragraph" w:customStyle="1" w:styleId="208">
    <w:name w:val="Char Char4 Char Char Char Char Char Char"/>
    <w:basedOn w:val="1"/>
    <w:qFormat/>
    <w:uiPriority w:val="0"/>
    <w:pPr>
      <w:ind w:firstLine="200" w:firstLineChars="200"/>
    </w:pPr>
    <w:rPr>
      <w:sz w:val="21"/>
    </w:rPr>
  </w:style>
  <w:style w:type="character" w:customStyle="1" w:styleId="209">
    <w:name w:val="标准正文 Char"/>
    <w:link w:val="210"/>
    <w:qFormat/>
    <w:uiPriority w:val="0"/>
    <w:rPr>
      <w:rFonts w:ascii="仿宋" w:hAnsi="仿宋" w:eastAsia="仿宋" w:cs="宋体"/>
      <w:sz w:val="28"/>
    </w:rPr>
  </w:style>
  <w:style w:type="paragraph" w:customStyle="1" w:styleId="210">
    <w:name w:val="标准正文"/>
    <w:basedOn w:val="1"/>
    <w:link w:val="209"/>
    <w:qFormat/>
    <w:uiPriority w:val="0"/>
    <w:pPr>
      <w:widowControl/>
      <w:spacing w:line="480" w:lineRule="auto"/>
      <w:ind w:firstLine="560" w:firstLineChars="200"/>
    </w:pPr>
    <w:rPr>
      <w:rFonts w:ascii="仿宋" w:hAnsi="仿宋" w:eastAsia="仿宋" w:cs="宋体"/>
      <w:kern w:val="0"/>
      <w:sz w:val="28"/>
      <w:szCs w:val="20"/>
    </w:rPr>
  </w:style>
  <w:style w:type="paragraph" w:customStyle="1" w:styleId="211">
    <w:name w:val="表注图注"/>
    <w:basedOn w:val="1"/>
    <w:link w:val="212"/>
    <w:qFormat/>
    <w:uiPriority w:val="0"/>
    <w:pPr>
      <w:ind w:firstLine="2160" w:firstLineChars="900"/>
      <w:jc w:val="left"/>
    </w:pPr>
    <w:rPr>
      <w:rFonts w:ascii="宋体" w:hAnsi="宋体"/>
    </w:rPr>
  </w:style>
  <w:style w:type="character" w:customStyle="1" w:styleId="212">
    <w:name w:val="表注图注 Char"/>
    <w:link w:val="211"/>
    <w:qFormat/>
    <w:uiPriority w:val="0"/>
    <w:rPr>
      <w:rFonts w:ascii="宋体" w:hAnsi="宋体"/>
      <w:kern w:val="2"/>
      <w:sz w:val="24"/>
      <w:szCs w:val="24"/>
    </w:rPr>
  </w:style>
  <w:style w:type="paragraph" w:customStyle="1" w:styleId="213">
    <w:name w:val="_Style 67"/>
    <w:basedOn w:val="1"/>
    <w:qFormat/>
    <w:uiPriority w:val="0"/>
    <w:pPr>
      <w:ind w:firstLine="200" w:firstLineChars="200"/>
    </w:pPr>
    <w:rPr>
      <w:sz w:val="21"/>
      <w:szCs w:val="20"/>
    </w:rPr>
  </w:style>
  <w:style w:type="paragraph" w:customStyle="1" w:styleId="214">
    <w:name w:val="表小字1"/>
    <w:basedOn w:val="1"/>
    <w:qFormat/>
    <w:uiPriority w:val="0"/>
    <w:rPr>
      <w:color w:val="000000"/>
      <w:sz w:val="21"/>
    </w:rPr>
  </w:style>
  <w:style w:type="paragraph" w:customStyle="1" w:styleId="215">
    <w:name w:val="Char Char5"/>
    <w:basedOn w:val="1"/>
    <w:qFormat/>
    <w:uiPriority w:val="0"/>
    <w:pPr>
      <w:ind w:firstLine="200" w:firstLineChars="200"/>
    </w:pPr>
    <w:rPr>
      <w:sz w:val="21"/>
      <w:szCs w:val="20"/>
    </w:rPr>
  </w:style>
  <w:style w:type="paragraph" w:customStyle="1" w:styleId="216">
    <w:name w:val="Char Char10 Char Char"/>
    <w:basedOn w:val="1"/>
    <w:qFormat/>
    <w:uiPriority w:val="0"/>
    <w:pPr>
      <w:ind w:firstLine="200" w:firstLineChars="200"/>
    </w:pPr>
    <w:rPr>
      <w:sz w:val="21"/>
    </w:rPr>
  </w:style>
  <w:style w:type="paragraph" w:customStyle="1" w:styleId="217">
    <w:name w:val="Char5"/>
    <w:basedOn w:val="1"/>
    <w:qFormat/>
    <w:uiPriority w:val="0"/>
    <w:pPr>
      <w:adjustRightInd w:val="0"/>
      <w:snapToGrid w:val="0"/>
      <w:ind w:firstLine="200" w:firstLineChars="200"/>
    </w:pPr>
  </w:style>
  <w:style w:type="paragraph" w:customStyle="1" w:styleId="218">
    <w:name w:val="表格内格式"/>
    <w:basedOn w:val="1"/>
    <w:next w:val="1"/>
    <w:qFormat/>
    <w:uiPriority w:val="0"/>
    <w:pPr>
      <w:widowControl/>
      <w:spacing w:line="360" w:lineRule="exact"/>
      <w:jc w:val="center"/>
    </w:pPr>
    <w:rPr>
      <w:kern w:val="0"/>
      <w:sz w:val="21"/>
      <w:szCs w:val="20"/>
    </w:rPr>
  </w:style>
  <w:style w:type="character" w:customStyle="1" w:styleId="219">
    <w:name w:val="f121"/>
    <w:qFormat/>
    <w:uiPriority w:val="0"/>
    <w:rPr>
      <w:sz w:val="16"/>
      <w:szCs w:val="16"/>
    </w:rPr>
  </w:style>
  <w:style w:type="paragraph" w:customStyle="1" w:styleId="220">
    <w:name w:val="中文报告书样式"/>
    <w:basedOn w:val="1"/>
    <w:qFormat/>
    <w:uiPriority w:val="0"/>
    <w:pPr>
      <w:adjustRightInd w:val="0"/>
      <w:snapToGrid w:val="0"/>
      <w:ind w:firstLine="480" w:firstLineChars="200"/>
      <w:textAlignment w:val="baseline"/>
    </w:pPr>
    <w:rPr>
      <w:kern w:val="24"/>
      <w:szCs w:val="20"/>
    </w:rPr>
  </w:style>
  <w:style w:type="character" w:customStyle="1" w:styleId="221">
    <w:name w:val="Char Char2"/>
    <w:qFormat/>
    <w:uiPriority w:val="0"/>
    <w:rPr>
      <w:kern w:val="2"/>
      <w:sz w:val="21"/>
      <w:szCs w:val="24"/>
    </w:rPr>
  </w:style>
  <w:style w:type="character" w:customStyle="1" w:styleId="222">
    <w:name w:val="表注图注 Char Char"/>
    <w:qFormat/>
    <w:uiPriority w:val="0"/>
    <w:rPr>
      <w:rFonts w:ascii="宋体" w:hAnsi="宋体" w:eastAsia="宋体"/>
      <w:kern w:val="2"/>
      <w:sz w:val="24"/>
      <w:szCs w:val="24"/>
      <w:lang w:val="en-US" w:eastAsia="zh-CN" w:bidi="ar-SA"/>
    </w:rPr>
  </w:style>
  <w:style w:type="character" w:customStyle="1" w:styleId="223">
    <w:name w:val="Char Char1"/>
    <w:qFormat/>
    <w:uiPriority w:val="0"/>
    <w:rPr>
      <w:rFonts w:eastAsia="宋体"/>
      <w:kern w:val="2"/>
      <w:sz w:val="21"/>
      <w:szCs w:val="24"/>
      <w:lang w:val="en-US" w:eastAsia="zh-CN" w:bidi="ar-SA"/>
    </w:rPr>
  </w:style>
  <w:style w:type="character" w:customStyle="1" w:styleId="224">
    <w:name w:val="文档正文 Char Char"/>
    <w:link w:val="225"/>
    <w:qFormat/>
    <w:uiPriority w:val="0"/>
    <w:rPr>
      <w:rFonts w:ascii="宋体" w:hAnsi="宋体"/>
      <w:spacing w:val="4"/>
      <w:sz w:val="24"/>
      <w:szCs w:val="24"/>
    </w:rPr>
  </w:style>
  <w:style w:type="paragraph" w:customStyle="1" w:styleId="225">
    <w:name w:val="文档正文"/>
    <w:basedOn w:val="1"/>
    <w:link w:val="224"/>
    <w:qFormat/>
    <w:uiPriority w:val="0"/>
    <w:pPr>
      <w:adjustRightInd w:val="0"/>
      <w:spacing w:line="540" w:lineRule="exact"/>
      <w:ind w:firstLine="372" w:firstLineChars="150"/>
      <w:textAlignment w:val="baseline"/>
    </w:pPr>
    <w:rPr>
      <w:rFonts w:ascii="宋体" w:hAnsi="宋体"/>
      <w:spacing w:val="4"/>
      <w:kern w:val="0"/>
    </w:rPr>
  </w:style>
  <w:style w:type="character" w:customStyle="1" w:styleId="226">
    <w:name w:val="纯文本 Char Char"/>
    <w:qFormat/>
    <w:uiPriority w:val="0"/>
    <w:rPr>
      <w:rFonts w:ascii="宋体" w:hAnsi="Courier New" w:eastAsia="宋体" w:cs="Courier New"/>
      <w:kern w:val="2"/>
      <w:sz w:val="21"/>
      <w:szCs w:val="21"/>
      <w:lang w:val="en-US" w:eastAsia="zh-CN" w:bidi="ar-SA"/>
    </w:rPr>
  </w:style>
  <w:style w:type="character" w:customStyle="1" w:styleId="227">
    <w:name w:val="表格文字 Char Char"/>
    <w:qFormat/>
    <w:uiPriority w:val="0"/>
    <w:rPr>
      <w:rFonts w:eastAsia="宋体"/>
      <w:kern w:val="2"/>
      <w:sz w:val="24"/>
      <w:lang w:val="en-US" w:eastAsia="zh-CN" w:bidi="ar-SA"/>
    </w:rPr>
  </w:style>
  <w:style w:type="character" w:customStyle="1" w:styleId="228">
    <w:name w:val="表注题注 Char Char"/>
    <w:link w:val="229"/>
    <w:qFormat/>
    <w:uiPriority w:val="0"/>
    <w:rPr>
      <w:rFonts w:ascii="Arial" w:hAnsi="Arial" w:eastAsia="黑体"/>
      <w:color w:val="000000"/>
      <w:kern w:val="2"/>
      <w:sz w:val="21"/>
      <w:szCs w:val="18"/>
    </w:rPr>
  </w:style>
  <w:style w:type="paragraph" w:customStyle="1" w:styleId="229">
    <w:name w:val="表注题注"/>
    <w:basedOn w:val="1"/>
    <w:next w:val="1"/>
    <w:link w:val="228"/>
    <w:qFormat/>
    <w:uiPriority w:val="0"/>
    <w:pPr>
      <w:spacing w:beforeLines="50" w:line="240" w:lineRule="auto"/>
      <w:jc w:val="left"/>
    </w:pPr>
    <w:rPr>
      <w:rFonts w:ascii="Arial" w:hAnsi="Arial" w:eastAsia="黑体"/>
      <w:color w:val="000000"/>
      <w:sz w:val="21"/>
      <w:szCs w:val="18"/>
    </w:rPr>
  </w:style>
  <w:style w:type="paragraph" w:customStyle="1" w:styleId="230">
    <w:name w:val="样式 段前: 5 磅 段后: 5 磅"/>
    <w:basedOn w:val="1"/>
    <w:qFormat/>
    <w:uiPriority w:val="0"/>
    <w:pPr>
      <w:adjustRightInd w:val="0"/>
      <w:spacing w:before="100" w:after="100"/>
      <w:ind w:left="1050" w:leftChars="500" w:right="3263" w:rightChars="1554"/>
      <w:textAlignment w:val="baseline"/>
    </w:pPr>
  </w:style>
  <w:style w:type="paragraph" w:customStyle="1" w:styleId="231">
    <w:name w:val="Char Char Char Char Char Char Char1"/>
    <w:basedOn w:val="1"/>
    <w:qFormat/>
    <w:uiPriority w:val="0"/>
    <w:pPr>
      <w:ind w:firstLine="200" w:firstLineChars="200"/>
    </w:pPr>
    <w:rPr>
      <w:rFonts w:ascii="宋体" w:hAnsi="宋体" w:cs="宋体"/>
    </w:rPr>
  </w:style>
  <w:style w:type="paragraph" w:customStyle="1" w:styleId="232">
    <w:name w:val="样式4"/>
    <w:basedOn w:val="1"/>
    <w:qFormat/>
    <w:uiPriority w:val="0"/>
    <w:pPr>
      <w:tabs>
        <w:tab w:val="left" w:pos="851"/>
      </w:tabs>
      <w:ind w:left="851" w:hanging="851"/>
    </w:pPr>
  </w:style>
  <w:style w:type="paragraph" w:customStyle="1" w:styleId="233">
    <w:name w:val="样式 行距: 1.5 倍行距"/>
    <w:basedOn w:val="1"/>
    <w:qFormat/>
    <w:uiPriority w:val="0"/>
    <w:pPr>
      <w:ind w:firstLine="560" w:firstLineChars="200"/>
    </w:pPr>
    <w:rPr>
      <w:rFonts w:cs="宋体"/>
      <w:szCs w:val="20"/>
    </w:rPr>
  </w:style>
  <w:style w:type="paragraph" w:customStyle="1" w:styleId="234">
    <w:name w:val="表"/>
    <w:basedOn w:val="1"/>
    <w:qFormat/>
    <w:uiPriority w:val="0"/>
    <w:pPr>
      <w:snapToGrid w:val="0"/>
      <w:spacing w:line="240" w:lineRule="auto"/>
      <w:jc w:val="center"/>
    </w:pPr>
    <w:rPr>
      <w:spacing w:val="2"/>
      <w:sz w:val="21"/>
      <w:szCs w:val="20"/>
    </w:rPr>
  </w:style>
  <w:style w:type="paragraph" w:customStyle="1" w:styleId="235">
    <w:name w:val="样式2"/>
    <w:basedOn w:val="27"/>
    <w:qFormat/>
    <w:uiPriority w:val="0"/>
    <w:pPr>
      <w:widowControl/>
      <w:spacing w:line="240" w:lineRule="auto"/>
    </w:pPr>
    <w:rPr>
      <w:kern w:val="0"/>
    </w:rPr>
  </w:style>
  <w:style w:type="paragraph" w:customStyle="1" w:styleId="236">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kern w:val="0"/>
      <w:szCs w:val="20"/>
    </w:rPr>
  </w:style>
  <w:style w:type="paragraph" w:customStyle="1" w:styleId="237">
    <w:name w:val="（正文）"/>
    <w:basedOn w:val="22"/>
    <w:qFormat/>
    <w:uiPriority w:val="99"/>
    <w:pPr>
      <w:spacing w:line="360" w:lineRule="auto"/>
      <w:ind w:firstLine="480"/>
    </w:pPr>
    <w:rPr>
      <w:rFonts w:eastAsia="宋体"/>
      <w:sz w:val="24"/>
    </w:rPr>
  </w:style>
  <w:style w:type="character" w:customStyle="1" w:styleId="238">
    <w:name w:val="表格内正文 Char Char Char Char"/>
    <w:basedOn w:val="45"/>
    <w:link w:val="239"/>
    <w:qFormat/>
    <w:uiPriority w:val="0"/>
    <w:rPr>
      <w:rFonts w:ascii="宋体" w:hAnsi="宋体"/>
      <w:spacing w:val="4"/>
      <w:kern w:val="18"/>
      <w:sz w:val="24"/>
      <w:szCs w:val="24"/>
    </w:rPr>
  </w:style>
  <w:style w:type="paragraph" w:customStyle="1" w:styleId="239">
    <w:name w:val="表格内正文"/>
    <w:basedOn w:val="1"/>
    <w:link w:val="238"/>
    <w:qFormat/>
    <w:uiPriority w:val="0"/>
    <w:pPr>
      <w:ind w:firstLine="499"/>
    </w:pPr>
    <w:rPr>
      <w:rFonts w:ascii="宋体" w:hAnsi="宋体"/>
      <w:spacing w:val="4"/>
      <w:kern w:val="18"/>
    </w:rPr>
  </w:style>
  <w:style w:type="paragraph" w:customStyle="1" w:styleId="240">
    <w:name w:val="样式 正文首行缩进:  2 字符 + 首行缩进:  2 字符"/>
    <w:basedOn w:val="1"/>
    <w:qFormat/>
    <w:uiPriority w:val="99"/>
    <w:pPr>
      <w:ind w:firstLine="480" w:firstLineChars="200"/>
    </w:pPr>
    <w:rPr>
      <w:rFonts w:cs="宋体"/>
      <w:szCs w:val="20"/>
    </w:rPr>
  </w:style>
  <w:style w:type="character" w:customStyle="1" w:styleId="241">
    <w:name w:val="表格内容 Char1"/>
    <w:link w:val="242"/>
    <w:qFormat/>
    <w:locked/>
    <w:uiPriority w:val="99"/>
    <w:rPr>
      <w:rFonts w:ascii="Arial" w:hAnsi="Arial" w:eastAsia="仿宋_GB2312" w:cs="Arial"/>
      <w:sz w:val="24"/>
      <w:szCs w:val="24"/>
    </w:rPr>
  </w:style>
  <w:style w:type="paragraph" w:customStyle="1" w:styleId="242">
    <w:name w:val="表格内容"/>
    <w:basedOn w:val="243"/>
    <w:link w:val="241"/>
    <w:qFormat/>
    <w:uiPriority w:val="99"/>
    <w:pPr>
      <w:overflowPunct w:val="0"/>
      <w:adjustRightInd w:val="0"/>
      <w:spacing w:before="40" w:after="60" w:line="200" w:lineRule="atLeast"/>
      <w:textAlignment w:val="baseline"/>
    </w:pPr>
    <w:rPr>
      <w:rFonts w:ascii="Arial" w:hAnsi="Arial" w:eastAsia="仿宋_GB2312" w:cs="Arial"/>
      <w:kern w:val="0"/>
    </w:rPr>
  </w:style>
  <w:style w:type="paragraph" w:customStyle="1" w:styleId="243">
    <w:name w:val="表 图 内容"/>
    <w:basedOn w:val="1"/>
    <w:qFormat/>
    <w:uiPriority w:val="0"/>
    <w:pPr>
      <w:jc w:val="center"/>
    </w:pPr>
    <w:rPr>
      <w:color w:val="000000"/>
    </w:rPr>
  </w:style>
  <w:style w:type="paragraph" w:customStyle="1" w:styleId="244">
    <w:name w:val="正文_0"/>
    <w:qFormat/>
    <w:uiPriority w:val="0"/>
    <w:pPr>
      <w:widowControl w:val="0"/>
      <w:spacing w:line="240" w:lineRule="auto"/>
      <w:jc w:val="both"/>
    </w:pPr>
    <w:rPr>
      <w:rFonts w:ascii="Times New Roman" w:hAnsi="Times New Roman" w:eastAsia="宋体" w:cs="Times New Roman"/>
      <w:kern w:val="2"/>
      <w:sz w:val="21"/>
      <w:szCs w:val="24"/>
      <w:lang w:val="en-US" w:eastAsia="zh-CN" w:bidi="ar-SA"/>
    </w:rPr>
  </w:style>
  <w:style w:type="character" w:customStyle="1" w:styleId="245">
    <w:name w:val="fontstyle01"/>
    <w:basedOn w:val="45"/>
    <w:qFormat/>
    <w:uiPriority w:val="0"/>
    <w:rPr>
      <w:rFonts w:hint="eastAsia" w:ascii="宋体" w:hAnsi="宋体" w:eastAsia="宋体"/>
      <w:color w:val="000000"/>
      <w:sz w:val="28"/>
      <w:szCs w:val="28"/>
    </w:rPr>
  </w:style>
  <w:style w:type="character" w:customStyle="1" w:styleId="246">
    <w:name w:val="fontstyle21"/>
    <w:basedOn w:val="45"/>
    <w:qFormat/>
    <w:uiPriority w:val="0"/>
    <w:rPr>
      <w:rFonts w:hint="default" w:ascii="Calibri" w:hAnsi="Calibri"/>
      <w:color w:val="000000"/>
      <w:sz w:val="28"/>
      <w:szCs w:val="28"/>
    </w:rPr>
  </w:style>
  <w:style w:type="character" w:customStyle="1" w:styleId="247">
    <w:name w:val="批注文字 Char1"/>
    <w:basedOn w:val="45"/>
    <w:qFormat/>
    <w:locked/>
    <w:uiPriority w:val="99"/>
    <w:rPr>
      <w:kern w:val="2"/>
    </w:rPr>
  </w:style>
  <w:style w:type="character" w:customStyle="1" w:styleId="248">
    <w:name w:val="页码1"/>
    <w:basedOn w:val="45"/>
    <w:qFormat/>
    <w:uiPriority w:val="99"/>
    <w:rPr>
      <w:rFonts w:cs="Times New Roman"/>
    </w:rPr>
  </w:style>
  <w:style w:type="paragraph" w:customStyle="1" w:styleId="249">
    <w:name w:val="WPSOffice手动目录 1"/>
    <w:qFormat/>
    <w:uiPriority w:val="0"/>
    <w:pPr>
      <w:ind w:leftChars="0"/>
    </w:pPr>
    <w:rPr>
      <w:rFonts w:ascii="Times New Roman" w:hAnsi="Times New Roman" w:eastAsia="宋体" w:cs="Times New Roman"/>
      <w:sz w:val="20"/>
      <w:szCs w:val="20"/>
    </w:rPr>
  </w:style>
  <w:style w:type="paragraph" w:customStyle="1" w:styleId="250">
    <w:name w:val="CEE正文"/>
    <w:basedOn w:val="1"/>
    <w:qFormat/>
    <w:uiPriority w:val="0"/>
    <w:pPr>
      <w:spacing w:line="312" w:lineRule="auto"/>
      <w:ind w:firstLine="200" w:firstLineChars="200"/>
    </w:pPr>
    <w:rPr>
      <w:kern w:val="0"/>
      <w:sz w:val="24"/>
      <w:szCs w:val="24"/>
    </w:rPr>
  </w:style>
  <w:style w:type="paragraph" w:customStyle="1" w:styleId="251">
    <w:name w:val="普通(网站)1"/>
    <w:basedOn w:val="1"/>
    <w:qFormat/>
    <w:uiPriority w:val="0"/>
    <w:pPr>
      <w:spacing w:beforeAutospacing="1" w:afterAutospacing="1"/>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100" textRotate="1"/>
    <customShpInfo spid="_x0000_s4102" textRotate="1"/>
    <customShpInfo spid="_x0000_s4104" textRotate="1"/>
    <customShpInfo spid="_x0000_s4099"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CF21BA-FBAC-468C-BB18-0B858955AA6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19</Pages>
  <Words>1520</Words>
  <Characters>8664</Characters>
  <Lines>72</Lines>
  <Paragraphs>20</Paragraphs>
  <TotalTime>4</TotalTime>
  <ScaleCrop>false</ScaleCrop>
  <LinksUpToDate>false</LinksUpToDate>
  <CharactersWithSpaces>10164</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2020-10-24T13:31:00Z</dcterms:created>
  <dc:creator>User</dc:creator>
  <cp:lastModifiedBy>。。。</cp:lastModifiedBy>
  <cp:lastPrinted>2021-12-03T09:18:00Z</cp:lastPrinted>
  <dcterms:modified xsi:type="dcterms:W3CDTF">2021-12-07T01:53:36Z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4F58C4C4F09745769AD2068B9778791A</vt:lpwstr>
  </property>
</Properties>
</file>