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hint="eastAsia" w:ascii="宋体" w:hAnsi="宋体" w:eastAsia="宋体" w:cs="宋体"/>
          <w:b/>
          <w:bCs/>
          <w:sz w:val="32"/>
          <w:szCs w:val="32"/>
          <w:lang w:val="en-US" w:eastAsia="zh-CN"/>
        </w:rPr>
      </w:pPr>
      <w:r>
        <w:rPr>
          <w:rFonts w:hint="default" w:ascii="宋体" w:hAnsi="宋体" w:eastAsia="宋体" w:cs="宋体"/>
          <w:b/>
          <w:bCs/>
          <w:sz w:val="32"/>
          <w:szCs w:val="32"/>
          <w:lang w:val="en-US" w:eastAsia="zh-CN"/>
        </w:rPr>
        <w:t>德州</w:t>
      </w:r>
      <w:r>
        <w:rPr>
          <w:rFonts w:hint="eastAsia" w:ascii="宋体" w:hAnsi="宋体" w:eastAsia="宋体" w:cs="宋体"/>
          <w:b/>
          <w:bCs/>
          <w:sz w:val="32"/>
          <w:szCs w:val="32"/>
          <w:lang w:val="en-US" w:eastAsia="zh-CN"/>
        </w:rPr>
        <w:t>乐桥建材</w:t>
      </w:r>
      <w:r>
        <w:rPr>
          <w:rFonts w:hint="default" w:ascii="宋体" w:hAnsi="宋体" w:eastAsia="宋体" w:cs="宋体"/>
          <w:b/>
          <w:bCs/>
          <w:sz w:val="32"/>
          <w:szCs w:val="32"/>
          <w:lang w:val="en-US" w:eastAsia="zh-CN"/>
        </w:rPr>
        <w:t>有限公司</w:t>
      </w:r>
      <w:r>
        <w:rPr>
          <w:rFonts w:hint="eastAsia" w:ascii="宋体" w:hAnsi="宋体" w:eastAsia="宋体" w:cs="宋体"/>
          <w:b/>
          <w:bCs/>
          <w:sz w:val="32"/>
          <w:szCs w:val="32"/>
          <w:lang w:val="en-US" w:eastAsia="zh-CN"/>
        </w:rPr>
        <w:t>年产16000方钢筋混凝土预制构件</w:t>
      </w:r>
    </w:p>
    <w:p>
      <w:pPr>
        <w:spacing w:after="0" w:line="360" w:lineRule="auto"/>
        <w:jc w:val="center"/>
        <w:rPr>
          <w:rFonts w:ascii="宋体" w:hAnsi="宋体" w:eastAsia="宋体" w:cs="宋体"/>
          <w:b/>
          <w:bCs/>
          <w:sz w:val="32"/>
          <w:szCs w:val="32"/>
        </w:rPr>
      </w:pPr>
      <w:r>
        <w:rPr>
          <w:rFonts w:hint="eastAsia" w:ascii="宋体" w:hAnsi="宋体" w:eastAsia="宋体" w:cs="宋体"/>
          <w:b/>
          <w:bCs/>
          <w:sz w:val="32"/>
          <w:szCs w:val="32"/>
          <w:lang w:val="en-US" w:eastAsia="zh-CN"/>
        </w:rPr>
        <w:t>项目</w:t>
      </w:r>
      <w:r>
        <w:rPr>
          <w:rFonts w:ascii="宋体" w:hAnsi="宋体" w:eastAsia="宋体" w:cs="宋体"/>
          <w:b/>
          <w:bCs/>
          <w:sz w:val="32"/>
          <w:szCs w:val="32"/>
        </w:rPr>
        <w:t>竣工环境保护验收意见</w:t>
      </w:r>
    </w:p>
    <w:p>
      <w:pPr>
        <w:spacing w:after="0" w:line="360" w:lineRule="auto"/>
        <w:ind w:firstLine="360" w:firstLineChars="200"/>
        <w:jc w:val="both"/>
        <w:rPr>
          <w:rFonts w:ascii="Times New Roman" w:hAnsi="Times New Roman" w:eastAsia="宋体" w:cs="Times New Roman"/>
          <w:color w:val="000000"/>
          <w:sz w:val="18"/>
          <w:szCs w:val="18"/>
        </w:rPr>
      </w:pPr>
    </w:p>
    <w:p>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eastAsia"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20</w:t>
      </w:r>
      <w:r>
        <w:rPr>
          <w:rFonts w:hint="eastAsia" w:ascii="Times New Roman" w:hAnsi="Times New Roman" w:eastAsia="宋体" w:cs="Times New Roman"/>
          <w:color w:val="000000"/>
          <w:sz w:val="28"/>
          <w:szCs w:val="28"/>
          <w:lang w:val="en-US" w:eastAsia="zh-CN"/>
        </w:rPr>
        <w:t>20</w:t>
      </w:r>
      <w:r>
        <w:rPr>
          <w:rFonts w:hint="eastAsia" w:ascii="Times New Roman" w:hAnsi="Times New Roman" w:eastAsia="宋体" w:cs="Times New Roman"/>
          <w:color w:val="000000"/>
          <w:sz w:val="28"/>
          <w:szCs w:val="28"/>
        </w:rPr>
        <w:t>年</w:t>
      </w:r>
      <w:r>
        <w:rPr>
          <w:rFonts w:hint="eastAsia" w:cs="Times New Roman"/>
          <w:color w:val="000000"/>
          <w:sz w:val="28"/>
          <w:szCs w:val="28"/>
          <w:lang w:val="en-US" w:eastAsia="zh-CN"/>
        </w:rPr>
        <w:t>9</w:t>
      </w:r>
      <w:r>
        <w:rPr>
          <w:rFonts w:hint="eastAsia" w:ascii="Times New Roman" w:hAnsi="Times New Roman" w:eastAsia="宋体" w:cs="Times New Roman"/>
          <w:color w:val="000000"/>
          <w:sz w:val="28"/>
          <w:szCs w:val="28"/>
        </w:rPr>
        <w:t>月</w:t>
      </w:r>
      <w:r>
        <w:rPr>
          <w:rFonts w:hint="eastAsia" w:cs="Times New Roman"/>
          <w:color w:val="000000"/>
          <w:sz w:val="28"/>
          <w:szCs w:val="28"/>
          <w:lang w:val="en-US" w:eastAsia="zh-CN"/>
        </w:rPr>
        <w:t>6</w:t>
      </w:r>
      <w:r>
        <w:rPr>
          <w:rFonts w:hint="eastAsia" w:ascii="Times New Roman" w:hAnsi="Times New Roman" w:eastAsia="宋体" w:cs="Times New Roman"/>
          <w:color w:val="000000"/>
          <w:sz w:val="28"/>
          <w:szCs w:val="28"/>
        </w:rPr>
        <w:t>日，</w:t>
      </w:r>
      <w:r>
        <w:rPr>
          <w:rFonts w:hint="eastAsia" w:cs="Times New Roman"/>
          <w:color w:val="000000"/>
          <w:sz w:val="28"/>
          <w:szCs w:val="28"/>
          <w:lang w:val="en-US" w:eastAsia="zh-CN"/>
        </w:rPr>
        <w:t>德州乐桥建材有限公司</w:t>
      </w:r>
      <w:r>
        <w:rPr>
          <w:rFonts w:hint="eastAsia" w:ascii="Times New Roman" w:hAnsi="Times New Roman" w:eastAsia="宋体" w:cs="Times New Roman"/>
          <w:color w:val="000000"/>
          <w:sz w:val="28"/>
          <w:szCs w:val="28"/>
        </w:rPr>
        <w:t>根据</w:t>
      </w:r>
      <w:r>
        <w:rPr>
          <w:rFonts w:hint="eastAsia" w:cs="Times New Roman"/>
          <w:color w:val="000000"/>
          <w:sz w:val="28"/>
          <w:szCs w:val="28"/>
          <w:lang w:val="en-US" w:eastAsia="zh-CN"/>
        </w:rPr>
        <w:t>德州乐桥建材有限公司年产16000方钢筋混凝土预制构件项目</w:t>
      </w:r>
      <w:r>
        <w:rPr>
          <w:rFonts w:hint="eastAsia" w:ascii="Times New Roman" w:hAnsi="Times New Roman" w:eastAsia="宋体" w:cs="Times New Roman"/>
          <w:color w:val="000000"/>
          <w:sz w:val="28"/>
          <w:szCs w:val="28"/>
        </w:rPr>
        <w:t>竣工环境保护验收监测报告，并对照《建设项目竣工环境保护验收暂行办法》，严格依照国家有关法律、法规、建设项目竣工环境保护验收技术规范、本项目环境影响报告表和审批部门审批决定等要求，组织了项目竣工环境保护验收会，成立了验收工作组（名单附后）。验收组踏勘了项目现场、调查了环保设施建设、运行情况及其它环保工作落实情况，听取了建设单位关于项目基本情况的介绍以及验收监测单位关于监测内容的介绍，经认真讨论和查阅资料，形成验收意见如下：</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562" w:firstLineChars="200"/>
        <w:textAlignment w:val="auto"/>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t>一、工程建设基本情况</w:t>
      </w:r>
    </w:p>
    <w:p>
      <w:pPr>
        <w:pStyle w:val="1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eastAsia="宋体" w:cs="Times New Roman"/>
          <w:color w:val="000000"/>
          <w:kern w:val="2"/>
          <w:sz w:val="28"/>
          <w:szCs w:val="28"/>
        </w:rPr>
      </w:pPr>
      <w:r>
        <w:rPr>
          <w:rFonts w:ascii="Times New Roman" w:hAnsi="宋体" w:eastAsia="宋体" w:cs="Times New Roman"/>
          <w:color w:val="000000"/>
          <w:kern w:val="2"/>
          <w:sz w:val="28"/>
          <w:szCs w:val="28"/>
        </w:rPr>
        <w:t>（一）建设地点、规模、主要建设内容</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eastAsia" w:ascii="Times New Roman" w:hAnsi="Times New Roman" w:eastAsia="微软雅黑" w:cs="Times New Roman"/>
          <w:color w:val="FF0000"/>
          <w:sz w:val="28"/>
          <w:szCs w:val="28"/>
          <w:lang w:eastAsia="zh-CN"/>
        </w:rPr>
      </w:pPr>
      <w:r>
        <w:rPr>
          <w:rFonts w:hint="eastAsia" w:ascii="Times New Roman" w:hAnsi="Times New Roman" w:eastAsia="宋体" w:cs="Times New Roman"/>
          <w:sz w:val="28"/>
          <w:szCs w:val="28"/>
          <w:lang w:val="en-US" w:eastAsia="zh-CN"/>
        </w:rPr>
        <w:t>项目位于山东省德州市临邑县宿安乡林场工业园内北侧路西，</w:t>
      </w:r>
      <w:r>
        <w:rPr>
          <w:rFonts w:hint="eastAsia" w:cs="Times New Roman"/>
          <w:sz w:val="28"/>
          <w:szCs w:val="28"/>
          <w:lang w:val="en-US" w:eastAsia="zh-CN"/>
        </w:rPr>
        <w:t>生产规模为</w:t>
      </w:r>
      <w:r>
        <w:rPr>
          <w:rFonts w:hint="eastAsia" w:ascii="Times New Roman" w:hAnsi="Times New Roman" w:eastAsia="宋体" w:cs="Times New Roman"/>
          <w:sz w:val="28"/>
          <w:szCs w:val="28"/>
          <w:lang w:val="en-US" w:eastAsia="zh-CN"/>
        </w:rPr>
        <w:t>年产16000方钢筋混凝土预制构件</w:t>
      </w:r>
      <w:r>
        <w:rPr>
          <w:rFonts w:hint="eastAsia" w:cs="Times New Roman"/>
          <w:sz w:val="28"/>
          <w:szCs w:val="28"/>
          <w:lang w:val="en-US" w:eastAsia="zh-CN"/>
        </w:rPr>
        <w:t>，建设内容包括混凝土拌合站、粉料罐、龙门吊、钢筋加工生产线、桥梁板生产线、振动机、混凝土罐车等。</w:t>
      </w:r>
      <w:r>
        <w:rPr>
          <w:rFonts w:hint="eastAsia" w:ascii="Times New Roman" w:hAnsi="Times New Roman" w:eastAsia="宋体" w:cs="Times New Roman"/>
          <w:sz w:val="28"/>
          <w:szCs w:val="28"/>
          <w:lang w:val="en-US" w:eastAsia="zh-CN"/>
        </w:rPr>
        <w:t>项目定员9人，年运行300天（4800h/a，2班制，每班8小时，夜间</w:t>
      </w:r>
      <w:r>
        <w:rPr>
          <w:rFonts w:hint="eastAsia" w:cs="Times New Roman"/>
          <w:sz w:val="28"/>
          <w:szCs w:val="28"/>
          <w:lang w:val="en-US" w:eastAsia="zh-CN"/>
        </w:rPr>
        <w:t>不生产</w:t>
      </w:r>
      <w:r>
        <w:rPr>
          <w:rFonts w:hint="eastAsia" w:ascii="Times New Roman" w:hAnsi="Times New Roman" w:eastAsia="宋体" w:cs="Times New Roman"/>
          <w:sz w:val="28"/>
          <w:szCs w:val="28"/>
          <w:lang w:val="en-US" w:eastAsia="zh-CN"/>
        </w:rPr>
        <w:t>）</w:t>
      </w:r>
      <w:r>
        <w:rPr>
          <w:rFonts w:hint="eastAsia" w:cs="Times New Roman"/>
          <w:sz w:val="28"/>
          <w:szCs w:val="28"/>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color w:val="000000"/>
          <w:kern w:val="2"/>
          <w:sz w:val="28"/>
          <w:szCs w:val="28"/>
        </w:rPr>
      </w:pPr>
      <w:r>
        <w:rPr>
          <w:rFonts w:ascii="Times New Roman" w:hAnsi="Times New Roman" w:cs="Times New Roman"/>
          <w:color w:val="000000"/>
          <w:kern w:val="2"/>
          <w:sz w:val="28"/>
          <w:szCs w:val="28"/>
        </w:rPr>
        <w:t>（二）建设过程及环保审批情况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hAnsi="宋体"/>
          <w:color w:val="000000"/>
          <w:sz w:val="28"/>
          <w:szCs w:val="28"/>
        </w:rPr>
      </w:pPr>
      <w:r>
        <w:rPr>
          <w:rFonts w:hint="eastAsia" w:ascii="Times New Roman" w:hAnsi="Times New Roman" w:eastAsia="宋体" w:cs="Times New Roman"/>
          <w:color w:val="000000"/>
          <w:sz w:val="28"/>
          <w:szCs w:val="28"/>
        </w:rPr>
        <w:t>本项</w:t>
      </w:r>
      <w:r>
        <w:rPr>
          <w:rFonts w:hint="eastAsia" w:ascii="Times New Roman" w:hAnsi="Times New Roman" w:cs="Times New Roman"/>
          <w:color w:val="000000"/>
          <w:sz w:val="28"/>
          <w:szCs w:val="28"/>
          <w:lang w:val="en-US" w:eastAsia="zh-CN"/>
        </w:rPr>
        <w:t>目属于新建项目，2019年7月德州乐桥建材有限公司委托北京工大智源科技发展有限公司编制完成《德州乐桥建材有限公司年产16000方钢筋混凝土预制构件项目环境影响报告表》，2019年7月26日，临邑县环境保护局以临环报告表[2019]107号对本项目的环境影响报告表进行了批复。项目于2019年7月开工建设，2020年8月建设完工。</w:t>
      </w:r>
      <w:r>
        <w:rPr>
          <w:rFonts w:hint="eastAsia" w:hAnsi="宋体"/>
          <w:color w:val="000000"/>
          <w:sz w:val="28"/>
          <w:szCs w:val="28"/>
        </w:rPr>
        <w:t>项目建设及调试运行期间，无环境投诉、违法或处罚记录等。</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textAlignment w:val="auto"/>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（三）投资情况</w:t>
      </w:r>
    </w:p>
    <w:p>
      <w:pPr>
        <w:pStyle w:val="1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sz w:val="28"/>
          <w:szCs w:val="28"/>
        </w:rPr>
      </w:pPr>
      <w:r>
        <w:rPr>
          <w:rFonts w:ascii="Times New Roman" w:hAnsi="Times New Roman" w:cs="Times New Roman"/>
          <w:color w:val="000000"/>
          <w:kern w:val="2"/>
          <w:sz w:val="28"/>
          <w:szCs w:val="28"/>
        </w:rPr>
        <w:t>项目实</w:t>
      </w:r>
      <w:r>
        <w:rPr>
          <w:rFonts w:ascii="Times New Roman" w:hAnsi="Times New Roman" w:cs="Times New Roman"/>
          <w:sz w:val="28"/>
          <w:szCs w:val="28"/>
        </w:rPr>
        <w:t>际总投资</w:t>
      </w:r>
      <w:r>
        <w:rPr>
          <w:rFonts w:hint="eastAsia" w:ascii="Times New Roman" w:hAnsi="Times New Roman" w:cs="Times New Roman"/>
          <w:sz w:val="28"/>
          <w:szCs w:val="28"/>
          <w:lang w:val="en-US" w:eastAsia="zh-CN"/>
        </w:rPr>
        <w:t>3000</w:t>
      </w:r>
      <w:r>
        <w:rPr>
          <w:rFonts w:ascii="Times New Roman" w:hAnsi="Times New Roman" w:cs="Times New Roman"/>
          <w:sz w:val="28"/>
          <w:szCs w:val="28"/>
        </w:rPr>
        <w:t>万元，环保投资</w:t>
      </w:r>
      <w:r>
        <w:rPr>
          <w:rFonts w:hint="eastAsia" w:ascii="Times New Roman" w:hAnsi="Times New Roman" w:cs="Times New Roman"/>
          <w:sz w:val="28"/>
          <w:szCs w:val="28"/>
          <w:lang w:val="en-US" w:eastAsia="zh-CN"/>
        </w:rPr>
        <w:t>133</w:t>
      </w:r>
      <w:r>
        <w:rPr>
          <w:rFonts w:ascii="Times New Roman" w:hAnsi="Times New Roman" w:cs="Times New Roman"/>
          <w:sz w:val="28"/>
          <w:szCs w:val="28"/>
        </w:rPr>
        <w:t>万元。</w:t>
      </w:r>
    </w:p>
    <w:p>
      <w:pPr>
        <w:pStyle w:val="1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color w:val="000000"/>
          <w:kern w:val="2"/>
          <w:sz w:val="28"/>
          <w:szCs w:val="28"/>
        </w:rPr>
      </w:pPr>
      <w:r>
        <w:rPr>
          <w:rFonts w:ascii="Times New Roman" w:hAnsi="Times New Roman" w:cs="Times New Roman"/>
          <w:color w:val="000000"/>
          <w:kern w:val="2"/>
          <w:sz w:val="28"/>
          <w:szCs w:val="28"/>
        </w:rPr>
        <w:t>（四）验收范围</w:t>
      </w:r>
    </w:p>
    <w:p>
      <w:pPr>
        <w:pStyle w:val="1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560" w:firstLineChars="200"/>
        <w:jc w:val="both"/>
        <w:textAlignment w:val="auto"/>
        <w:outlineLvl w:val="0"/>
        <w:rPr>
          <w:rFonts w:ascii="Times New Roman" w:hAnsi="Times New Roman" w:cs="Times New Roman"/>
          <w:sz w:val="28"/>
          <w:szCs w:val="28"/>
        </w:rPr>
      </w:pPr>
      <w:r>
        <w:rPr>
          <w:rFonts w:hint="eastAsia" w:ascii="Times New Roman" w:hAnsi="Times New Roman" w:cs="Times New Roman"/>
          <w:color w:val="000000"/>
          <w:sz w:val="28"/>
          <w:szCs w:val="28"/>
          <w:lang w:val="en-US" w:eastAsia="zh-CN"/>
        </w:rPr>
        <w:t>德州乐桥建材有限公司年产16000方钢筋混凝土预制构件项目及其配套的环保设施及公辅工程。</w:t>
      </w:r>
    </w:p>
    <w:p>
      <w:pPr>
        <w:pStyle w:val="1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562" w:firstLineChars="200"/>
        <w:jc w:val="both"/>
        <w:textAlignment w:val="auto"/>
        <w:outlineLvl w:val="0"/>
        <w:rPr>
          <w:rFonts w:ascii="Times New Roman" w:hAnsi="Times New Roman" w:cs="Times New Roman"/>
          <w:b/>
          <w:color w:val="000000"/>
          <w:kern w:val="2"/>
          <w:sz w:val="28"/>
          <w:szCs w:val="28"/>
        </w:rPr>
      </w:pPr>
      <w:r>
        <w:rPr>
          <w:rFonts w:ascii="Times New Roman" w:hAnsi="Times New Roman" w:cs="Times New Roman"/>
          <w:b/>
          <w:color w:val="000000"/>
          <w:kern w:val="2"/>
          <w:sz w:val="28"/>
          <w:szCs w:val="28"/>
        </w:rPr>
        <w:t>二、工程变动情况</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eastAsia"/>
          <w:b/>
          <w:kern w:val="0"/>
          <w:sz w:val="24"/>
          <w:highlight w:val="none"/>
        </w:rPr>
      </w:pPr>
      <w:r>
        <w:rPr>
          <w:rFonts w:hint="eastAsia" w:ascii="Times New Roman" w:hAnsi="Times New Roman" w:eastAsia="宋体" w:cs="Times New Roman"/>
          <w:color w:val="000000"/>
          <w:sz w:val="28"/>
          <w:szCs w:val="28"/>
          <w:shd w:val="clear" w:color="auto" w:fill="FFFFFF"/>
        </w:rPr>
        <w:t>经验收期间现场实际踏勘，项目实际建设内容与环评文件及批复</w:t>
      </w:r>
      <w:r>
        <w:rPr>
          <w:rFonts w:hint="eastAsia" w:ascii="Times New Roman" w:hAnsi="Times New Roman" w:eastAsia="宋体" w:cs="Times New Roman"/>
          <w:color w:val="000000"/>
          <w:sz w:val="28"/>
          <w:szCs w:val="28"/>
          <w:shd w:val="clear" w:color="auto" w:fill="FFFFFF"/>
          <w:lang w:eastAsia="zh-CN"/>
        </w:rPr>
        <w:t>对比，</w:t>
      </w:r>
      <w:r>
        <w:rPr>
          <w:rFonts w:hint="eastAsia" w:ascii="Times New Roman" w:hAnsi="Times New Roman" w:eastAsia="宋体" w:cs="Times New Roman"/>
          <w:color w:val="000000"/>
          <w:sz w:val="28"/>
          <w:szCs w:val="28"/>
          <w:shd w:val="clear" w:color="auto" w:fill="FFFFFF"/>
          <w:lang w:val="en-US" w:eastAsia="zh-CN"/>
        </w:rPr>
        <w:t>变化情况见下表。</w:t>
      </w:r>
      <w:r>
        <w:rPr>
          <w:rFonts w:hint="eastAsia" w:ascii="Times New Roman" w:hAnsi="Times New Roman" w:eastAsia="宋体" w:cs="Times New Roman"/>
          <w:color w:val="000000"/>
          <w:sz w:val="28"/>
          <w:szCs w:val="28"/>
          <w:shd w:val="clear" w:color="auto" w:fill="FFFFFF"/>
        </w:rPr>
        <w:t xml:space="preserve"> </w:t>
      </w:r>
    </w:p>
    <w:p>
      <w:pPr>
        <w:pageBreakBefore w:val="0"/>
        <w:widowControl w:val="0"/>
        <w:kinsoku/>
        <w:wordWrap/>
        <w:overflowPunct/>
        <w:topLinePunct w:val="0"/>
        <w:bidi w:val="0"/>
        <w:adjustRightInd w:val="0"/>
        <w:snapToGrid w:val="0"/>
        <w:spacing w:after="0" w:line="360" w:lineRule="auto"/>
        <w:ind w:firstLine="482" w:firstLineChars="200"/>
        <w:jc w:val="center"/>
        <w:textAlignment w:val="auto"/>
        <w:rPr>
          <w:rFonts w:hint="eastAsia" w:cs="Times New Roman"/>
          <w:color w:val="C00000"/>
          <w:sz w:val="28"/>
          <w:szCs w:val="28"/>
          <w:lang w:val="en-US" w:eastAsia="zh-CN"/>
        </w:rPr>
      </w:pPr>
      <w:r>
        <w:rPr>
          <w:rFonts w:hint="eastAsia"/>
          <w:b/>
          <w:kern w:val="0"/>
          <w:sz w:val="24"/>
          <w:highlight w:val="none"/>
        </w:rPr>
        <w:t>项目</w:t>
      </w:r>
      <w:r>
        <w:rPr>
          <w:rFonts w:hint="eastAsia"/>
          <w:b/>
          <w:kern w:val="0"/>
          <w:sz w:val="24"/>
          <w:highlight w:val="none"/>
          <w:lang w:eastAsia="zh-CN"/>
        </w:rPr>
        <w:t>变动情况</w:t>
      </w:r>
      <w:r>
        <w:rPr>
          <w:rFonts w:hint="eastAsia"/>
          <w:b/>
          <w:kern w:val="0"/>
          <w:sz w:val="24"/>
          <w:highlight w:val="none"/>
        </w:rPr>
        <w:t>一览表</w:t>
      </w:r>
    </w:p>
    <w:tbl>
      <w:tblPr>
        <w:tblStyle w:val="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8"/>
        <w:gridCol w:w="2653"/>
        <w:gridCol w:w="2665"/>
        <w:gridCol w:w="1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5" w:type="pct"/>
            <w:noWrap w:val="0"/>
            <w:vAlign w:val="center"/>
          </w:tcPr>
          <w:p>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变动环节</w:t>
            </w:r>
          </w:p>
        </w:tc>
        <w:tc>
          <w:tcPr>
            <w:tcW w:w="1557" w:type="pct"/>
            <w:noWrap w:val="0"/>
            <w:vAlign w:val="center"/>
          </w:tcPr>
          <w:p>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环评报告内容</w:t>
            </w:r>
          </w:p>
        </w:tc>
        <w:tc>
          <w:tcPr>
            <w:tcW w:w="1564" w:type="pct"/>
            <w:noWrap w:val="0"/>
            <w:vAlign w:val="center"/>
          </w:tcPr>
          <w:p>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实际建设内容</w:t>
            </w:r>
          </w:p>
        </w:tc>
        <w:tc>
          <w:tcPr>
            <w:tcW w:w="1092" w:type="pct"/>
            <w:noWrap w:val="0"/>
            <w:vAlign w:val="center"/>
          </w:tcPr>
          <w:p>
            <w:pPr>
              <w:adjustRightInd w:val="0"/>
              <w:snapToGrid w:val="0"/>
              <w:jc w:val="center"/>
              <w:rPr>
                <w:rFonts w:hint="eastAsia"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rPr>
              <w:t>变动</w:t>
            </w:r>
            <w:r>
              <w:rPr>
                <w:rFonts w:hint="eastAsia" w:ascii="Times New Roman" w:hAnsi="Times New Roman" w:eastAsia="宋体" w:cs="Times New Roman"/>
                <w:color w:val="auto"/>
                <w:kern w:val="0"/>
                <w:sz w:val="21"/>
                <w:szCs w:val="21"/>
                <w:lang w:eastAsia="zh-CN"/>
              </w:rPr>
              <w:t>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85" w:type="pct"/>
            <w:noWrap w:val="0"/>
            <w:vAlign w:val="center"/>
          </w:tcPr>
          <w:p>
            <w:pPr>
              <w:adjustRightInd w:val="0"/>
              <w:snapToGrid w:val="0"/>
              <w:jc w:val="center"/>
              <w:rPr>
                <w:rFonts w:hint="default" w:ascii="Times New Roman" w:hAnsi="Times New Roman" w:eastAsia="宋体" w:cs="Times New Roman"/>
                <w:color w:val="auto"/>
                <w:kern w:val="0"/>
                <w:sz w:val="21"/>
                <w:szCs w:val="21"/>
                <w:lang w:eastAsia="zh-CN"/>
              </w:rPr>
            </w:pPr>
            <w:r>
              <w:rPr>
                <w:rFonts w:hint="eastAsia" w:ascii="Times New Roman" w:hAnsi="Times New Roman" w:eastAsia="宋体" w:cs="Times New Roman"/>
                <w:color w:val="auto"/>
                <w:kern w:val="0"/>
                <w:sz w:val="21"/>
                <w:szCs w:val="21"/>
                <w:highlight w:val="none"/>
                <w:lang w:val="en-US" w:eastAsia="zh-CN"/>
              </w:rPr>
              <w:t>环保设施废气</w:t>
            </w:r>
          </w:p>
        </w:tc>
        <w:tc>
          <w:tcPr>
            <w:tcW w:w="1557" w:type="pct"/>
            <w:noWrap w:val="0"/>
            <w:vAlign w:val="center"/>
          </w:tcPr>
          <w:p>
            <w:pPr>
              <w:ind w:firstLine="420" w:firstLineChars="200"/>
              <w:jc w:val="both"/>
              <w:rPr>
                <w:rFonts w:hint="default" w:ascii="Times New Roman" w:hAnsi="Times New Roman" w:eastAsia="宋体" w:cs="Times New Roman"/>
                <w:color w:val="auto"/>
                <w:kern w:val="0"/>
                <w:sz w:val="21"/>
                <w:szCs w:val="21"/>
                <w:highlight w:val="none"/>
                <w:lang w:val="en-US" w:eastAsia="zh-CN"/>
              </w:rPr>
            </w:pPr>
            <w:r>
              <w:rPr>
                <w:rFonts w:hint="eastAsia" w:ascii="宋体" w:hAnsi="宋体"/>
                <w:szCs w:val="21"/>
              </w:rPr>
              <w:t>粉料罐粉尘和搅拌粉尘经1套布袋除尘器处理后，</w:t>
            </w:r>
            <w:r>
              <w:rPr>
                <w:rFonts w:hint="eastAsia" w:ascii="宋体" w:hAnsi="宋体"/>
                <w:szCs w:val="21"/>
                <w:lang w:eastAsia="zh-CN"/>
              </w:rPr>
              <w:t>通过15m高排气筒</w:t>
            </w:r>
            <w:r>
              <w:rPr>
                <w:rFonts w:hint="eastAsia" w:ascii="宋体" w:hAnsi="宋体"/>
                <w:szCs w:val="21"/>
              </w:rPr>
              <w:t>达标排放</w:t>
            </w:r>
          </w:p>
        </w:tc>
        <w:tc>
          <w:tcPr>
            <w:tcW w:w="1564" w:type="pct"/>
            <w:noWrap w:val="0"/>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eastAsia" w:ascii="宋体" w:hAnsi="宋体"/>
                <w:szCs w:val="21"/>
                <w:lang w:val="en-US" w:eastAsia="zh-CN"/>
              </w:rPr>
              <w:t>4个</w:t>
            </w:r>
            <w:r>
              <w:rPr>
                <w:rFonts w:hint="eastAsia" w:ascii="宋体" w:hAnsi="宋体"/>
                <w:szCs w:val="21"/>
              </w:rPr>
              <w:t>粉料罐</w:t>
            </w:r>
            <w:r>
              <w:rPr>
                <w:rFonts w:hint="eastAsia" w:ascii="宋体" w:hAnsi="宋体"/>
                <w:szCs w:val="21"/>
                <w:lang w:val="en-US" w:eastAsia="zh-CN"/>
              </w:rPr>
              <w:t>,</w:t>
            </w:r>
            <w:r>
              <w:rPr>
                <w:rFonts w:hint="eastAsia" w:ascii="宋体" w:hAnsi="宋体"/>
                <w:szCs w:val="21"/>
                <w:lang w:eastAsia="zh-CN"/>
              </w:rPr>
              <w:t>每两个罐共用</w:t>
            </w:r>
            <w:r>
              <w:rPr>
                <w:rFonts w:hint="eastAsia" w:ascii="宋体" w:hAnsi="宋体"/>
                <w:szCs w:val="21"/>
                <w:lang w:val="en-US" w:eastAsia="zh-CN"/>
              </w:rPr>
              <w:t>1个脉冲除尘器，共有两套脉冲除尘器,处理后的废气通过21米高除尘器排放口空排放</w:t>
            </w:r>
            <w:r>
              <w:rPr>
                <w:rFonts w:hint="eastAsia" w:ascii="宋体" w:hAnsi="宋体"/>
                <w:szCs w:val="21"/>
                <w:lang w:eastAsia="zh-CN"/>
              </w:rPr>
              <w:t>，</w:t>
            </w:r>
            <w:r>
              <w:rPr>
                <w:rFonts w:hint="eastAsia" w:ascii="宋体" w:hAnsi="宋体"/>
                <w:szCs w:val="21"/>
              </w:rPr>
              <w:t>搅拌粉尘经1套</w:t>
            </w:r>
            <w:r>
              <w:rPr>
                <w:rFonts w:hint="eastAsia" w:ascii="宋体" w:hAnsi="宋体"/>
                <w:szCs w:val="21"/>
                <w:lang w:eastAsia="zh-CN"/>
              </w:rPr>
              <w:t>脉冲式滤芯除尘器</w:t>
            </w:r>
            <w:r>
              <w:rPr>
                <w:rFonts w:hint="eastAsia" w:ascii="宋体" w:hAnsi="宋体"/>
                <w:szCs w:val="21"/>
              </w:rPr>
              <w:t>处理后，</w:t>
            </w:r>
            <w:r>
              <w:rPr>
                <w:rFonts w:hint="eastAsia" w:ascii="宋体" w:hAnsi="宋体"/>
                <w:szCs w:val="21"/>
                <w:lang w:eastAsia="zh-CN"/>
              </w:rPr>
              <w:t>通过15m高排气筒</w:t>
            </w:r>
            <w:r>
              <w:rPr>
                <w:rFonts w:hint="eastAsia" w:ascii="宋体" w:hAnsi="宋体"/>
                <w:szCs w:val="21"/>
              </w:rPr>
              <w:t>达标排放</w:t>
            </w:r>
          </w:p>
        </w:tc>
        <w:tc>
          <w:tcPr>
            <w:tcW w:w="1092" w:type="pct"/>
            <w:noWrap w:val="0"/>
            <w:vAlign w:val="center"/>
          </w:tcPr>
          <w:p>
            <w:pPr>
              <w:adjustRightInd w:val="0"/>
              <w:snapToGrid w:val="0"/>
              <w:jc w:val="center"/>
              <w:rPr>
                <w:rFonts w:hint="default" w:ascii="Times New Roman" w:hAnsi="Times New Roman" w:eastAsia="宋体" w:cs="Times New Roman"/>
                <w:color w:val="auto"/>
                <w:kern w:val="0"/>
                <w:sz w:val="21"/>
                <w:szCs w:val="21"/>
              </w:rPr>
            </w:pPr>
          </w:p>
          <w:p>
            <w:pPr>
              <w:adjustRightInd w:val="0"/>
              <w:snapToGrid w:val="0"/>
              <w:jc w:val="center"/>
              <w:rPr>
                <w:rFonts w:hint="eastAsia" w:ascii="Times New Roman" w:hAnsi="Times New Roman" w:eastAsia="宋体" w:cs="Times New Roman"/>
                <w:color w:val="auto"/>
                <w:kern w:val="0"/>
                <w:sz w:val="21"/>
                <w:szCs w:val="21"/>
                <w:lang w:eastAsia="zh-CN"/>
              </w:rPr>
            </w:pPr>
            <w:r>
              <w:rPr>
                <w:rFonts w:hint="eastAsia" w:ascii="Times New Roman" w:hAnsi="Times New Roman" w:eastAsia="宋体" w:cs="Times New Roman"/>
                <w:color w:val="auto"/>
                <w:kern w:val="0"/>
                <w:sz w:val="21"/>
                <w:szCs w:val="21"/>
                <w:lang w:eastAsia="zh-CN"/>
              </w:rPr>
              <w:t>根据实际生产需要对环保设施改进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85" w:type="pct"/>
            <w:vMerge w:val="restart"/>
            <w:noWrap w:val="0"/>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主要设备</w:t>
            </w:r>
          </w:p>
        </w:tc>
        <w:tc>
          <w:tcPr>
            <w:tcW w:w="1557" w:type="pct"/>
            <w:noWrap w:val="0"/>
            <w:vAlign w:val="center"/>
          </w:tcPr>
          <w:p>
            <w:pPr>
              <w:ind w:firstLine="420" w:firstLineChars="200"/>
              <w:jc w:val="both"/>
              <w:rPr>
                <w:rFonts w:hint="eastAsia" w:ascii="宋体" w:hAnsi="宋体" w:eastAsia="宋体"/>
                <w:szCs w:val="21"/>
                <w:lang w:val="en-US" w:eastAsia="zh-CN"/>
              </w:rPr>
            </w:pPr>
            <w:r>
              <w:rPr>
                <w:rFonts w:hint="eastAsia" w:ascii="宋体" w:hAnsi="宋体"/>
                <w:szCs w:val="21"/>
              </w:rPr>
              <w:t>2</w:t>
            </w:r>
            <w:r>
              <w:rPr>
                <w:rFonts w:hint="eastAsia" w:ascii="宋体" w:hAnsi="宋体"/>
                <w:szCs w:val="21"/>
                <w:lang w:val="en-US" w:eastAsia="zh-CN"/>
              </w:rPr>
              <w:t>5</w:t>
            </w:r>
            <w:r>
              <w:rPr>
                <w:rFonts w:hint="eastAsia" w:ascii="宋体" w:hAnsi="宋体"/>
                <w:szCs w:val="21"/>
              </w:rPr>
              <w:t>T龙门吊</w:t>
            </w:r>
            <w:r>
              <w:rPr>
                <w:rFonts w:hint="eastAsia" w:ascii="宋体" w:hAnsi="宋体"/>
                <w:szCs w:val="21"/>
                <w:lang w:val="en-US" w:eastAsia="zh-CN"/>
              </w:rPr>
              <w:t>4台</w:t>
            </w:r>
          </w:p>
        </w:tc>
        <w:tc>
          <w:tcPr>
            <w:tcW w:w="1564" w:type="pct"/>
            <w:noWrap w:val="0"/>
            <w:vAlign w:val="center"/>
          </w:tcPr>
          <w:p>
            <w:pPr>
              <w:ind w:firstLine="420" w:firstLineChars="200"/>
              <w:jc w:val="both"/>
              <w:rPr>
                <w:rFonts w:hint="eastAsia" w:ascii="宋体" w:hAnsi="宋体"/>
                <w:szCs w:val="21"/>
                <w:lang w:val="en-US" w:eastAsia="zh-CN"/>
              </w:rPr>
            </w:pPr>
            <w:r>
              <w:rPr>
                <w:rFonts w:hint="eastAsia" w:ascii="宋体" w:hAnsi="宋体"/>
                <w:szCs w:val="21"/>
              </w:rPr>
              <w:t>2</w:t>
            </w:r>
            <w:r>
              <w:rPr>
                <w:rFonts w:hint="eastAsia" w:ascii="宋体" w:hAnsi="宋体"/>
                <w:szCs w:val="21"/>
                <w:lang w:val="en-US" w:eastAsia="zh-CN"/>
              </w:rPr>
              <w:t>5</w:t>
            </w:r>
            <w:r>
              <w:rPr>
                <w:rFonts w:hint="eastAsia" w:ascii="宋体" w:hAnsi="宋体"/>
                <w:szCs w:val="21"/>
              </w:rPr>
              <w:t>T龙门吊</w:t>
            </w:r>
            <w:r>
              <w:rPr>
                <w:rFonts w:hint="eastAsia" w:ascii="宋体" w:hAnsi="宋体"/>
                <w:szCs w:val="21"/>
                <w:lang w:val="en-US" w:eastAsia="zh-CN"/>
              </w:rPr>
              <w:t>2台</w:t>
            </w:r>
          </w:p>
        </w:tc>
        <w:tc>
          <w:tcPr>
            <w:tcW w:w="1092" w:type="pct"/>
            <w:vMerge w:val="restart"/>
            <w:noWrap w:val="0"/>
            <w:vAlign w:val="center"/>
          </w:tcPr>
          <w:p>
            <w:pPr>
              <w:adjustRightInd w:val="0"/>
              <w:snapToGrid w:val="0"/>
              <w:jc w:val="center"/>
              <w:rPr>
                <w:rFonts w:hint="eastAsia" w:ascii="Times New Roman" w:hAnsi="Times New Roman" w:eastAsia="宋体" w:cs="Times New Roman"/>
                <w:color w:val="auto"/>
                <w:kern w:val="0"/>
                <w:sz w:val="21"/>
                <w:szCs w:val="21"/>
                <w:lang w:eastAsia="zh-CN"/>
              </w:rPr>
            </w:pPr>
            <w:r>
              <w:rPr>
                <w:rFonts w:hint="eastAsia" w:ascii="Times New Roman" w:hAnsi="Times New Roman" w:eastAsia="宋体" w:cs="Times New Roman"/>
                <w:color w:val="auto"/>
                <w:kern w:val="0"/>
                <w:sz w:val="21"/>
                <w:szCs w:val="21"/>
                <w:lang w:eastAsia="zh-CN"/>
              </w:rPr>
              <w:t>实际生产需要</w:t>
            </w:r>
            <w:r>
              <w:rPr>
                <w:rFonts w:hint="eastAsia" w:cs="Times New Roman"/>
                <w:color w:val="auto"/>
                <w:kern w:val="0"/>
                <w:sz w:val="21"/>
                <w:szCs w:val="21"/>
                <w:lang w:eastAsia="zh-CN"/>
              </w:rPr>
              <w:t>，对生产设备数量进行调整，产能不变。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85" w:type="pct"/>
            <w:vMerge w:val="continue"/>
            <w:noWrap w:val="0"/>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rPr>
            </w:pPr>
          </w:p>
        </w:tc>
        <w:tc>
          <w:tcPr>
            <w:tcW w:w="1557" w:type="pct"/>
            <w:noWrap w:val="0"/>
            <w:vAlign w:val="center"/>
          </w:tcPr>
          <w:p>
            <w:pPr>
              <w:ind w:firstLine="210" w:firstLineChars="100"/>
              <w:rPr>
                <w:rFonts w:hint="eastAsia" w:ascii="宋体" w:hAnsi="宋体" w:eastAsia="宋体"/>
                <w:szCs w:val="21"/>
                <w:lang w:val="en-US" w:eastAsia="zh-CN"/>
              </w:rPr>
            </w:pPr>
            <w:r>
              <w:rPr>
                <w:rFonts w:hint="eastAsia" w:ascii="宋体" w:hAnsi="宋体"/>
                <w:szCs w:val="21"/>
              </w:rPr>
              <w:t>钢筋调直切断机</w:t>
            </w:r>
            <w:r>
              <w:rPr>
                <w:rFonts w:hint="eastAsia" w:ascii="宋体" w:hAnsi="宋体"/>
                <w:szCs w:val="21"/>
                <w:lang w:val="en-US" w:eastAsia="zh-CN"/>
              </w:rPr>
              <w:t>2台</w:t>
            </w:r>
          </w:p>
        </w:tc>
        <w:tc>
          <w:tcPr>
            <w:tcW w:w="1564" w:type="pct"/>
            <w:noWrap w:val="0"/>
            <w:vAlign w:val="center"/>
          </w:tcPr>
          <w:p>
            <w:pPr>
              <w:ind w:firstLine="210" w:firstLineChars="100"/>
              <w:rPr>
                <w:rFonts w:hint="eastAsia" w:ascii="宋体" w:hAnsi="宋体"/>
                <w:szCs w:val="21"/>
                <w:lang w:val="en-US" w:eastAsia="zh-CN"/>
              </w:rPr>
            </w:pPr>
            <w:r>
              <w:rPr>
                <w:rFonts w:hint="eastAsia" w:ascii="宋体" w:hAnsi="宋体"/>
                <w:szCs w:val="21"/>
              </w:rPr>
              <w:t>钢筋调直切断机</w:t>
            </w:r>
            <w:r>
              <w:rPr>
                <w:rFonts w:hint="eastAsia" w:ascii="宋体" w:hAnsi="宋体"/>
                <w:szCs w:val="21"/>
                <w:lang w:val="en-US" w:eastAsia="zh-CN"/>
              </w:rPr>
              <w:t>1台</w:t>
            </w:r>
          </w:p>
        </w:tc>
        <w:tc>
          <w:tcPr>
            <w:tcW w:w="1092" w:type="pct"/>
            <w:vMerge w:val="continue"/>
            <w:noWrap w:val="0"/>
            <w:vAlign w:val="center"/>
          </w:tcPr>
          <w:p>
            <w:pPr>
              <w:adjustRightInd w:val="0"/>
              <w:snapToGrid w:val="0"/>
              <w:jc w:val="center"/>
              <w:rPr>
                <w:rFonts w:hint="default" w:ascii="Times New Roman" w:hAnsi="Times New Roman" w:eastAsia="宋体" w:cs="Times New Roman"/>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85" w:type="pct"/>
            <w:vMerge w:val="continue"/>
            <w:noWrap w:val="0"/>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rPr>
            </w:pPr>
          </w:p>
        </w:tc>
        <w:tc>
          <w:tcPr>
            <w:tcW w:w="1557" w:type="pct"/>
            <w:noWrap w:val="0"/>
            <w:vAlign w:val="center"/>
          </w:tcPr>
          <w:p>
            <w:pPr>
              <w:jc w:val="center"/>
              <w:rPr>
                <w:rFonts w:hint="eastAsia" w:ascii="宋体" w:hAnsi="宋体"/>
                <w:szCs w:val="21"/>
              </w:rPr>
            </w:pPr>
            <w:r>
              <w:rPr>
                <w:rFonts w:hint="eastAsia" w:ascii="宋体" w:hAnsi="宋体"/>
                <w:szCs w:val="21"/>
              </w:rPr>
              <w:t>钢筋切断机</w:t>
            </w:r>
            <w:r>
              <w:rPr>
                <w:rFonts w:hint="eastAsia" w:ascii="宋体" w:hAnsi="宋体"/>
                <w:szCs w:val="21"/>
                <w:lang w:val="en-US" w:eastAsia="zh-CN"/>
              </w:rPr>
              <w:t>2台</w:t>
            </w:r>
          </w:p>
        </w:tc>
        <w:tc>
          <w:tcPr>
            <w:tcW w:w="1564" w:type="pct"/>
            <w:noWrap w:val="0"/>
            <w:vAlign w:val="center"/>
          </w:tcPr>
          <w:p>
            <w:pPr>
              <w:jc w:val="center"/>
              <w:rPr>
                <w:rFonts w:hint="eastAsia" w:ascii="宋体" w:hAnsi="宋体"/>
                <w:szCs w:val="21"/>
                <w:lang w:val="en-US" w:eastAsia="zh-CN"/>
              </w:rPr>
            </w:pPr>
            <w:r>
              <w:rPr>
                <w:rFonts w:hint="eastAsia" w:ascii="宋体" w:hAnsi="宋体"/>
                <w:szCs w:val="21"/>
              </w:rPr>
              <w:t>钢筋切断机</w:t>
            </w:r>
            <w:r>
              <w:rPr>
                <w:rFonts w:hint="eastAsia" w:ascii="宋体" w:hAnsi="宋体"/>
                <w:szCs w:val="21"/>
                <w:lang w:val="en-US" w:eastAsia="zh-CN"/>
              </w:rPr>
              <w:t>1台</w:t>
            </w:r>
          </w:p>
        </w:tc>
        <w:tc>
          <w:tcPr>
            <w:tcW w:w="1092" w:type="pct"/>
            <w:vMerge w:val="continue"/>
            <w:noWrap w:val="0"/>
            <w:vAlign w:val="center"/>
          </w:tcPr>
          <w:p>
            <w:pPr>
              <w:adjustRightInd w:val="0"/>
              <w:snapToGrid w:val="0"/>
              <w:jc w:val="center"/>
              <w:rPr>
                <w:rFonts w:hint="default" w:ascii="Times New Roman" w:hAnsi="Times New Roman" w:eastAsia="宋体" w:cs="Times New Roman"/>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85" w:type="pct"/>
            <w:vMerge w:val="continue"/>
            <w:noWrap w:val="0"/>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rPr>
            </w:pPr>
          </w:p>
        </w:tc>
        <w:tc>
          <w:tcPr>
            <w:tcW w:w="1557" w:type="pct"/>
            <w:noWrap w:val="0"/>
            <w:vAlign w:val="center"/>
          </w:tcPr>
          <w:p>
            <w:pPr>
              <w:jc w:val="center"/>
              <w:rPr>
                <w:rFonts w:hint="eastAsia" w:ascii="宋体" w:hAnsi="宋体"/>
                <w:szCs w:val="21"/>
              </w:rPr>
            </w:pPr>
            <w:r>
              <w:rPr>
                <w:rFonts w:hint="eastAsia" w:ascii="宋体" w:hAnsi="宋体"/>
                <w:szCs w:val="21"/>
              </w:rPr>
              <w:t>钢筋弯曲机</w:t>
            </w:r>
            <w:r>
              <w:rPr>
                <w:rFonts w:hint="eastAsia" w:ascii="宋体" w:hAnsi="宋体"/>
                <w:szCs w:val="21"/>
                <w:lang w:val="en-US" w:eastAsia="zh-CN"/>
              </w:rPr>
              <w:t>2台</w:t>
            </w:r>
          </w:p>
        </w:tc>
        <w:tc>
          <w:tcPr>
            <w:tcW w:w="1564" w:type="pct"/>
            <w:noWrap w:val="0"/>
            <w:vAlign w:val="center"/>
          </w:tcPr>
          <w:p>
            <w:pPr>
              <w:jc w:val="center"/>
              <w:rPr>
                <w:rFonts w:hint="eastAsia" w:ascii="宋体" w:hAnsi="宋体"/>
                <w:szCs w:val="21"/>
                <w:lang w:val="en-US" w:eastAsia="zh-CN"/>
              </w:rPr>
            </w:pPr>
            <w:r>
              <w:rPr>
                <w:rFonts w:hint="eastAsia" w:ascii="宋体" w:hAnsi="宋体"/>
                <w:szCs w:val="21"/>
              </w:rPr>
              <w:t>钢筋弯曲机</w:t>
            </w:r>
            <w:r>
              <w:rPr>
                <w:rFonts w:hint="eastAsia" w:ascii="宋体" w:hAnsi="宋体"/>
                <w:szCs w:val="21"/>
                <w:lang w:val="en-US" w:eastAsia="zh-CN"/>
              </w:rPr>
              <w:t>1台</w:t>
            </w:r>
          </w:p>
        </w:tc>
        <w:tc>
          <w:tcPr>
            <w:tcW w:w="1092" w:type="pct"/>
            <w:vMerge w:val="continue"/>
            <w:noWrap w:val="0"/>
            <w:vAlign w:val="center"/>
          </w:tcPr>
          <w:p>
            <w:pPr>
              <w:adjustRightInd w:val="0"/>
              <w:snapToGrid w:val="0"/>
              <w:jc w:val="center"/>
              <w:rPr>
                <w:rFonts w:hint="default" w:ascii="Times New Roman" w:hAnsi="Times New Roman" w:eastAsia="宋体" w:cs="Times New Roman"/>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85" w:type="pct"/>
            <w:vMerge w:val="continue"/>
            <w:noWrap w:val="0"/>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rPr>
            </w:pPr>
          </w:p>
        </w:tc>
        <w:tc>
          <w:tcPr>
            <w:tcW w:w="1557" w:type="pct"/>
            <w:noWrap w:val="0"/>
            <w:vAlign w:val="center"/>
          </w:tcPr>
          <w:p>
            <w:pPr>
              <w:ind w:firstLine="420" w:firstLineChars="200"/>
              <w:jc w:val="both"/>
              <w:rPr>
                <w:rFonts w:hint="eastAsia" w:ascii="宋体" w:hAnsi="宋体" w:eastAsia="宋体"/>
                <w:szCs w:val="21"/>
                <w:lang w:val="en-US" w:eastAsia="zh-CN"/>
              </w:rPr>
            </w:pPr>
            <w:r>
              <w:rPr>
                <w:rFonts w:hint="eastAsia" w:ascii="宋体" w:hAnsi="宋体"/>
                <w:szCs w:val="21"/>
              </w:rPr>
              <w:t>先张桥梁板生产线</w:t>
            </w:r>
            <w:r>
              <w:rPr>
                <w:rFonts w:hint="eastAsia" w:ascii="宋体" w:hAnsi="宋体"/>
                <w:szCs w:val="21"/>
                <w:lang w:val="en-US" w:eastAsia="zh-CN"/>
              </w:rPr>
              <w:t>2套</w:t>
            </w:r>
          </w:p>
        </w:tc>
        <w:tc>
          <w:tcPr>
            <w:tcW w:w="1564" w:type="pct"/>
            <w:noWrap w:val="0"/>
            <w:vAlign w:val="center"/>
          </w:tcPr>
          <w:p>
            <w:pPr>
              <w:ind w:firstLine="420" w:firstLineChars="200"/>
              <w:jc w:val="both"/>
              <w:rPr>
                <w:rFonts w:hint="eastAsia" w:ascii="宋体" w:hAnsi="宋体"/>
                <w:szCs w:val="21"/>
                <w:lang w:val="en-US" w:eastAsia="zh-CN"/>
              </w:rPr>
            </w:pPr>
            <w:r>
              <w:rPr>
                <w:rFonts w:hint="eastAsia" w:ascii="宋体" w:hAnsi="宋体"/>
                <w:szCs w:val="21"/>
              </w:rPr>
              <w:t>先张桥梁板生产线</w:t>
            </w:r>
            <w:r>
              <w:rPr>
                <w:rFonts w:hint="eastAsia" w:ascii="宋体" w:hAnsi="宋体"/>
                <w:szCs w:val="21"/>
                <w:lang w:val="en-US" w:eastAsia="zh-CN"/>
              </w:rPr>
              <w:t>1套</w:t>
            </w:r>
          </w:p>
        </w:tc>
        <w:tc>
          <w:tcPr>
            <w:tcW w:w="1092" w:type="pct"/>
            <w:vMerge w:val="continue"/>
            <w:noWrap w:val="0"/>
            <w:vAlign w:val="center"/>
          </w:tcPr>
          <w:p>
            <w:pPr>
              <w:adjustRightInd w:val="0"/>
              <w:snapToGrid w:val="0"/>
              <w:jc w:val="center"/>
              <w:rPr>
                <w:rFonts w:hint="default" w:ascii="Times New Roman" w:hAnsi="Times New Roman" w:eastAsia="宋体" w:cs="Times New Roman"/>
                <w:color w:val="auto"/>
                <w:kern w:val="0"/>
                <w:sz w:val="21"/>
                <w:szCs w:val="21"/>
              </w:rPr>
            </w:pPr>
          </w:p>
        </w:tc>
      </w:tr>
    </w:tbl>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eastAsia" w:ascii="Times New Roman" w:hAnsi="Times New Roman" w:eastAsia="宋体" w:cs="Times New Roman"/>
          <w:color w:val="000000"/>
          <w:sz w:val="28"/>
          <w:szCs w:val="28"/>
          <w:shd w:val="clear" w:color="auto" w:fill="FFFFFF"/>
          <w:lang w:val="en-US" w:eastAsia="zh-CN"/>
        </w:rPr>
      </w:pPr>
      <w:r>
        <w:rPr>
          <w:rFonts w:hint="eastAsia" w:ascii="Times New Roman" w:hAnsi="Times New Roman" w:eastAsia="宋体" w:cs="Times New Roman"/>
          <w:color w:val="000000"/>
          <w:sz w:val="28"/>
          <w:szCs w:val="28"/>
          <w:shd w:val="clear" w:color="auto" w:fill="FFFFFF"/>
          <w:lang w:val="en-US" w:eastAsia="zh-CN"/>
        </w:rPr>
        <w:t>根据《关于印发环评管理中部分行业建设项目重大变动清单的通知》（环办〔2015〕52号），本项目不属于重大变动。</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三、环境保护设施落实情况</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1、废水</w:t>
      </w:r>
    </w:p>
    <w:p>
      <w:pPr>
        <w:pStyle w:val="2"/>
        <w:adjustRightInd w:val="0"/>
        <w:snapToGrid w:val="0"/>
        <w:spacing w:after="0"/>
        <w:ind w:left="0" w:leftChars="0" w:firstLine="480"/>
        <w:rPr>
          <w:rFonts w:hint="eastAsia" w:ascii="Times New Roman" w:hAnsi="Times New Roman" w:eastAsia="宋体" w:cs="Times New Roman"/>
          <w:color w:val="auto"/>
          <w:kern w:val="2"/>
          <w:sz w:val="28"/>
          <w:szCs w:val="28"/>
          <w:lang w:val="en-US" w:eastAsia="zh-CN" w:bidi="ar-SA"/>
        </w:rPr>
      </w:pPr>
      <w:r>
        <w:rPr>
          <w:rFonts w:hint="eastAsia" w:ascii="Times New Roman" w:hAnsi="Times New Roman" w:eastAsia="宋体" w:cs="Times New Roman"/>
          <w:color w:val="auto"/>
          <w:kern w:val="2"/>
          <w:sz w:val="28"/>
          <w:szCs w:val="28"/>
          <w:lang w:val="en-US" w:eastAsia="zh-CN" w:bidi="ar-SA"/>
        </w:rPr>
        <w:t>搅拌机和车辆冲洗废水经沉淀池处理后用于混凝土搅拌，不外排；生活污水化粪池预处理后委托当地环卫部门清运。</w:t>
      </w:r>
    </w:p>
    <w:p>
      <w:pPr>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color w:val="auto"/>
          <w:sz w:val="28"/>
          <w:szCs w:val="28"/>
          <w:lang w:val="en-US" w:eastAsia="zh-CN"/>
        </w:rPr>
      </w:pPr>
      <w:r>
        <w:rPr>
          <w:rFonts w:hint="eastAsia"/>
          <w:color w:val="auto"/>
          <w:sz w:val="28"/>
          <w:szCs w:val="28"/>
          <w:lang w:val="en-US" w:eastAsia="zh-CN"/>
        </w:rPr>
        <w:t>2、废气</w:t>
      </w:r>
    </w:p>
    <w:p>
      <w:pPr>
        <w:pageBreakBefore w:val="0"/>
        <w:widowControl w:val="0"/>
        <w:kinsoku/>
        <w:wordWrap/>
        <w:overflowPunct/>
        <w:topLinePunct w:val="0"/>
        <w:autoSpaceDE w:val="0"/>
        <w:autoSpaceDN w:val="0"/>
        <w:bidi w:val="0"/>
        <w:adjustRightInd w:val="0"/>
        <w:snapToGrid w:val="0"/>
        <w:spacing w:line="360" w:lineRule="auto"/>
        <w:ind w:firstLine="560" w:firstLineChars="200"/>
        <w:textAlignment w:val="auto"/>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有组织废气：4个粉料罐粉尘每两个罐共用1个脉冲除尘器，共有两套脉冲除尘器</w:t>
      </w:r>
      <w:r>
        <w:rPr>
          <w:rFonts w:hint="eastAsia" w:cs="Times New Roman"/>
          <w:color w:val="auto"/>
          <w:sz w:val="28"/>
          <w:szCs w:val="28"/>
          <w:lang w:val="en-US" w:eastAsia="zh-CN"/>
        </w:rPr>
        <w:t>，处理后的废气</w:t>
      </w:r>
      <w:r>
        <w:rPr>
          <w:rFonts w:hint="eastAsia" w:ascii="Times New Roman" w:hAnsi="Times New Roman" w:cs="Times New Roman"/>
          <w:color w:val="auto"/>
          <w:sz w:val="28"/>
          <w:szCs w:val="28"/>
          <w:lang w:val="en-US" w:eastAsia="zh-CN"/>
        </w:rPr>
        <w:t>通过21米除尘器排放口高空排放</w:t>
      </w:r>
      <w:r>
        <w:rPr>
          <w:rFonts w:hint="eastAsia" w:cs="Times New Roman"/>
          <w:color w:val="auto"/>
          <w:sz w:val="28"/>
          <w:szCs w:val="28"/>
          <w:lang w:val="en-US" w:eastAsia="zh-CN"/>
        </w:rPr>
        <w:t>；</w:t>
      </w:r>
      <w:r>
        <w:rPr>
          <w:rFonts w:hint="eastAsia" w:ascii="Times New Roman" w:hAnsi="Times New Roman" w:cs="Times New Roman"/>
          <w:color w:val="auto"/>
          <w:sz w:val="28"/>
          <w:szCs w:val="28"/>
          <w:lang w:val="en-US" w:eastAsia="zh-CN"/>
        </w:rPr>
        <w:t>搅拌粉尘经1套脉冲式滤芯除尘器处理后，通过15m高排气筒排放。</w:t>
      </w:r>
    </w:p>
    <w:p>
      <w:pPr>
        <w:pStyle w:val="2"/>
        <w:adjustRightInd w:val="0"/>
        <w:snapToGrid w:val="0"/>
        <w:spacing w:after="0" w:line="360" w:lineRule="auto"/>
        <w:ind w:left="0" w:leftChars="0" w:firstLine="560"/>
        <w:rPr>
          <w:rFonts w:hint="eastAsia" w:ascii="Times New Roman" w:hAnsi="Times New Roman" w:eastAsia="宋体" w:cs="Times New Roman"/>
          <w:color w:val="auto"/>
          <w:kern w:val="2"/>
          <w:sz w:val="28"/>
          <w:szCs w:val="28"/>
          <w:lang w:val="en-US" w:eastAsia="zh-CN" w:bidi="ar-SA"/>
        </w:rPr>
      </w:pPr>
      <w:r>
        <w:rPr>
          <w:rFonts w:hint="eastAsia" w:ascii="Times New Roman" w:hAnsi="Times New Roman" w:eastAsia="宋体" w:cs="Times New Roman"/>
          <w:color w:val="auto"/>
          <w:kern w:val="2"/>
          <w:sz w:val="28"/>
          <w:szCs w:val="28"/>
          <w:lang w:val="en-US" w:eastAsia="zh-CN" w:bidi="ar-SA"/>
        </w:rPr>
        <w:t>无组织排放粉尘控制措施：焊接烟尘经移动焊烟净化器处理后无组织排放；控制车速，降低运输车辆扬尘；购置雾炮车对厂区进行洒水降尘；建设洗车平台，对进出车辆进行清洗；原料仓库密闭储存，设有喷淋装置，原料临时贮存进行覆盖。</w:t>
      </w:r>
    </w:p>
    <w:p>
      <w:pPr>
        <w:pStyle w:val="5"/>
        <w:pageBreakBefore w:val="0"/>
        <w:widowControl w:val="0"/>
        <w:kinsoku/>
        <w:wordWrap/>
        <w:overflowPunct/>
        <w:topLinePunct w:val="0"/>
        <w:bidi w:val="0"/>
        <w:adjustRightInd w:val="0"/>
        <w:snapToGrid w:val="0"/>
        <w:ind w:left="0" w:leftChars="0" w:firstLine="562" w:firstLineChars="200"/>
        <w:textAlignment w:val="auto"/>
        <w:rPr>
          <w:color w:val="auto"/>
          <w:sz w:val="28"/>
          <w:szCs w:val="28"/>
        </w:rPr>
      </w:pPr>
      <w:r>
        <w:rPr>
          <w:rFonts w:hint="default"/>
          <w:color w:val="auto"/>
          <w:sz w:val="28"/>
          <w:szCs w:val="28"/>
          <w:lang w:val="en-US"/>
        </w:rPr>
        <mc:AlternateContent>
          <mc:Choice Requires="wps">
            <w:drawing>
              <wp:anchor distT="0" distB="0" distL="114300" distR="114300" simplePos="0" relativeHeight="251664384" behindDoc="0" locked="0" layoutInCell="1" allowOverlap="1">
                <wp:simplePos x="0" y="0"/>
                <wp:positionH relativeFrom="column">
                  <wp:posOffset>6916420</wp:posOffset>
                </wp:positionH>
                <wp:positionV relativeFrom="paragraph">
                  <wp:posOffset>219710</wp:posOffset>
                </wp:positionV>
                <wp:extent cx="76200" cy="332105"/>
                <wp:effectExtent l="0" t="0" r="0" b="0"/>
                <wp:wrapNone/>
                <wp:docPr id="2" name="矩形 2"/>
                <wp:cNvGraphicFramePr/>
                <a:graphic xmlns:a="http://schemas.openxmlformats.org/drawingml/2006/main">
                  <a:graphicData uri="http://schemas.microsoft.com/office/word/2010/wordprocessingShape">
                    <wps:wsp>
                      <wps:cNvSpPr/>
                      <wps:spPr>
                        <a:xfrm flipH="1">
                          <a:off x="0" y="0"/>
                          <a:ext cx="76200" cy="332105"/>
                        </a:xfrm>
                        <a:prstGeom prst="rect">
                          <a:avLst/>
                        </a:prstGeom>
                        <a:noFill/>
                        <a:ln w="15875">
                          <a:noFill/>
                        </a:ln>
                      </wps:spPr>
                      <wps:txbx>
                        <w:txbxContent>
                          <w:p>
                            <w:pPr>
                              <w:rPr>
                                <w:rFonts w:hint="eastAsia"/>
                              </w:rPr>
                            </w:pPr>
                          </w:p>
                        </w:txbxContent>
                      </wps:txbx>
                      <wps:bodyPr upright="1"/>
                    </wps:wsp>
                  </a:graphicData>
                </a:graphic>
              </wp:anchor>
            </w:drawing>
          </mc:Choice>
          <mc:Fallback>
            <w:pict>
              <v:rect id="_x0000_s1026" o:spid="_x0000_s1026" o:spt="1" style="position:absolute;left:0pt;flip:x;margin-left:544.6pt;margin-top:17.3pt;height:26.15pt;width:6pt;z-index:251664384;mso-width-relative:page;mso-height-relative:page;" filled="f" stroked="f" coordsize="21600,21600" o:gfxdata="UEsDBAoAAAAAAIdO4kAAAAAAAAAAAAAAAAAEAAAAZHJzL1BLAwQUAAAACACHTuJAtzIwVtcAAAAL&#10;AQAADwAAAGRycy9kb3ducmV2LnhtbE2PwU7DMAyG70i8Q+RJ3FjSMVVd13QHJCQkTtuqcU0b01Zr&#10;nNJkW3l7vBMcf/vT78/FbnaDuOIUek8akqUCgdR421OroTq+PWcgQjRkzeAJNfxggF35+FCY3Pob&#10;7fF6iK3gEgq50dDFOOZShqZDZ8LSj0i8+/KTM5Hj1Eo7mRuXu0GulEqlMz3xhc6M+Nphcz5cnIbz&#10;xydW4fReuVmN33WH3u+Pa62fFonagog4xz8Y7vqsDiU71f5CNoiBs8o2K2Y1vKxTEHciUQlPag1Z&#10;ugFZFvL/D+UvUEsDBBQAAAAIAIdO4kB2b34HkQEAAAUDAAAOAAAAZHJzL2Uyb0RvYy54bWytUktO&#10;wzAQ3SNxB8t7mjSoBUVN2SBggQAJOIDr2I0l/zR2m/Q0SOw4BMdBXIOxWwqCHWIzmp/fvDfj2dlg&#10;NFkLCMrZho5HJSXCctcqu2zo48PF0SklITLbMu2saOhGBHo2PzyY9b4WleucbgUQBLGh7n1Duxh9&#10;XRSBd8KwMHJeWCxKB4ZFDGFZtMB6RDe6qMpyWvQOWg+OixAwe74t0nnGl1LweCtlEJHohiK3mC1k&#10;u0i2mM9YvQTmO8V3NNgfWBimLA7dQ52zyMgK1C8oozi44GQccWcKJ6XiImtANePyh5r7jnmRteBy&#10;gt+vKfwfLL9Z3wFRbUMrSiwzeKL3p5e312dSpd30PtTYcu/vYBcFdJPQQYIhUit/hWfP0lEMGfJm&#10;N/vNiiESjsmTKR6LEo6V4+NqXE4SeLFFSWgeQrwUzpDkNBTwbhmTra9D3LZ+tqR26y6U1phntbak&#10;RwaT05NJfrEvIbq2OCRJ2JJOXhwWw07JwrUb1L7yoJYdDh1nTqkJd53Z7f5FOub3OIN+/d75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LcyMFbXAAAACwEAAA8AAAAAAAAAAQAgAAAAIgAAAGRycy9k&#10;b3ducmV2LnhtbFBLAQIUABQAAAAIAIdO4kB2b34HkQEAAAUDAAAOAAAAAAAAAAEAIAAAACYBAABk&#10;cnMvZTJvRG9jLnhtbFBLBQYAAAAABgAGAFkBAAApBQAAAAA=&#10;">
                <v:fill on="f" focussize="0,0"/>
                <v:stroke on="f" weight="1.25pt"/>
                <v:imagedata o:title=""/>
                <o:lock v:ext="edit" aspectratio="f"/>
                <v:textbox>
                  <w:txbxContent>
                    <w:p>
                      <w:pPr>
                        <w:rPr>
                          <w:rFonts w:hint="eastAsia"/>
                        </w:rPr>
                      </w:pPr>
                    </w:p>
                  </w:txbxContent>
                </v:textbox>
              </v:rect>
            </w:pict>
          </mc:Fallback>
        </mc:AlternateContent>
      </w:r>
      <w:r>
        <w:rPr>
          <w:rFonts w:hint="default"/>
          <w:color w:val="auto"/>
          <w:sz w:val="28"/>
          <w:szCs w:val="28"/>
          <w:lang w:val="en-US"/>
        </w:rPr>
        <mc:AlternateContent>
          <mc:Choice Requires="wps">
            <w:drawing>
              <wp:anchor distT="0" distB="0" distL="114300" distR="114300" simplePos="0" relativeHeight="251663360" behindDoc="0" locked="0" layoutInCell="1" allowOverlap="1">
                <wp:simplePos x="0" y="0"/>
                <wp:positionH relativeFrom="column">
                  <wp:posOffset>-710565</wp:posOffset>
                </wp:positionH>
                <wp:positionV relativeFrom="paragraph">
                  <wp:posOffset>130810</wp:posOffset>
                </wp:positionV>
                <wp:extent cx="76200" cy="3764915"/>
                <wp:effectExtent l="0" t="0" r="0" b="0"/>
                <wp:wrapNone/>
                <wp:docPr id="1" name="矩形 1"/>
                <wp:cNvGraphicFramePr/>
                <a:graphic xmlns:a="http://schemas.openxmlformats.org/drawingml/2006/main">
                  <a:graphicData uri="http://schemas.microsoft.com/office/word/2010/wordprocessingShape">
                    <wps:wsp>
                      <wps:cNvSpPr/>
                      <wps:spPr>
                        <a:xfrm flipH="1">
                          <a:off x="0" y="0"/>
                          <a:ext cx="76200" cy="3764915"/>
                        </a:xfrm>
                        <a:prstGeom prst="rect">
                          <a:avLst/>
                        </a:prstGeom>
                        <a:noFill/>
                        <a:ln w="15875">
                          <a:noFill/>
                        </a:ln>
                      </wps:spPr>
                      <wps:txbx>
                        <w:txbxContent>
                          <w:p/>
                        </w:txbxContent>
                      </wps:txbx>
                      <wps:bodyPr upright="1"/>
                    </wps:wsp>
                  </a:graphicData>
                </a:graphic>
              </wp:anchor>
            </w:drawing>
          </mc:Choice>
          <mc:Fallback>
            <w:pict>
              <v:rect id="_x0000_s1026" o:spid="_x0000_s1026" o:spt="1" style="position:absolute;left:0pt;flip:x;margin-left:-55.95pt;margin-top:10.3pt;height:296.45pt;width:6pt;z-index:251663360;mso-width-relative:page;mso-height-relative:page;" filled="f" stroked="f" coordsize="21600,21600" o:gfxdata="UEsDBAoAAAAAAIdO4kAAAAAAAAAAAAAAAAAEAAAAZHJzL1BLAwQUAAAACACHTuJA+xOHm9gAAAAL&#10;AQAADwAAAGRycy9kb3ducmV2LnhtbE2PwU7DMAyG70i8Q+RJ3LokAyraNd0BCQmJ07YKrmljmmpN&#10;UppsK2+POcHR9qff31/tFjeyC85xCF6BXAtg6LtgBt8raI4v2ROwmLQ3egweFXxjhF19e1Pp0oSr&#10;3+PlkHpGIT6WWoFNaSo5j51Fp+M6TOjp9hlmpxONc8/NrK8U7ka+ESLnTg+ePlg94bPF7nQ4OwWn&#10;tw9s4vtr4xYxfbUWQ9gfH5S6W0mxBZZwSX8w/OqTOtTk1IazN5GNCjIpZUGsgo3IgRGRFQUtWgW5&#10;vH8EXlf8f4f6B1BLAwQUAAAACACHTuJA039DUZEBAAAGAwAADgAAAGRycy9lMm9Eb2MueG1srVI7&#10;TgMxEO2RuIPlnmwC5MMqG5ooUCBAAg7geO2sJf80NtnNaZDoOATHQVyDsRMCgg7RjObnN+/NeHre&#10;GU3WAoJytqKDXp8SYbmrlV1V9OF+cTShJERma6adFRXdiEDPZ4cH09aX4tg1TtcCCILYULa+ok2M&#10;viyKwBthWOg5LywWpQPDIoawKmpgLaIbXRz3+6OidVB7cFyEgNn5tkhnGV9KweONlEFEoiuK3GK2&#10;kO0y2WI2ZeUKmG8U39Fgf2BhmLI4dA81Z5GRR1C/oIzi4IKTscedKZyUiousAdUM+j/U3DXMi6wF&#10;lxP8fk3h/2D59foWiKrxdpRYZvBE708vb6/PZJB20/pQYsudv4VdFNBNQjsJhkit/GV6mjIohnR5&#10;s5v9ZkUXCcfkeITHooRj5WQ8Oj0bDBN6sYVJjz2EeCGcIcmpKODhMihbX4W4bf1sSe3WLZTWmGel&#10;tqRFCsPJeJhf7EuIri0OSRq2rJMXu2W3k7J09QbFP3pQqwaHZsW5HZed2e0+Rrrm9ziDfn3f2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7E4eb2AAAAAsBAAAPAAAAAAAAAAEAIAAAACIAAABkcnMv&#10;ZG93bnJldi54bWxQSwECFAAUAAAACACHTuJA039DUZEBAAAGAwAADgAAAAAAAAABACAAAAAnAQAA&#10;ZHJzL2Uyb0RvYy54bWxQSwUGAAAAAAYABgBZAQAAKgUAAAAA&#10;">
                <v:fill on="f" focussize="0,0"/>
                <v:stroke on="f" weight="1.25pt"/>
                <v:imagedata o:title=""/>
                <o:lock v:ext="edit" aspectratio="f"/>
                <v:textbox>
                  <w:txbxContent>
                    <w:p/>
                  </w:txbxContent>
                </v:textbox>
              </v:rect>
            </w:pict>
          </mc:Fallback>
        </mc:AlternateContent>
      </w:r>
      <w:r>
        <w:rPr>
          <w:rFonts w:hint="eastAsia"/>
          <w:color w:val="auto"/>
          <w:sz w:val="28"/>
          <w:szCs w:val="28"/>
          <w:lang w:val="en-US" w:eastAsia="zh-CN"/>
        </w:rPr>
        <w:t>3、</w:t>
      </w:r>
      <w:r>
        <w:rPr>
          <w:color w:val="auto"/>
          <w:sz w:val="28"/>
          <w:szCs w:val="28"/>
        </w:rPr>
        <w:t>噪声</w:t>
      </w:r>
    </w:p>
    <w:p>
      <w:pPr>
        <w:pStyle w:val="2"/>
        <w:adjustRightInd w:val="0"/>
        <w:snapToGrid w:val="0"/>
        <w:spacing w:after="0" w:line="360" w:lineRule="auto"/>
        <w:ind w:left="0" w:leftChars="0" w:firstLine="560"/>
        <w:rPr>
          <w:rFonts w:hint="eastAsia" w:ascii="Times New Roman" w:hAnsi="Times New Roman" w:eastAsia="宋体" w:cs="Times New Roman"/>
          <w:color w:val="auto"/>
          <w:kern w:val="2"/>
          <w:sz w:val="28"/>
          <w:szCs w:val="28"/>
          <w:lang w:val="en-US" w:eastAsia="zh-CN" w:bidi="ar-SA"/>
        </w:rPr>
      </w:pPr>
      <w:r>
        <w:rPr>
          <w:rFonts w:hint="eastAsia" w:ascii="Times New Roman" w:hAnsi="Times New Roman" w:eastAsia="宋体" w:cs="Times New Roman"/>
          <w:color w:val="auto"/>
          <w:kern w:val="2"/>
          <w:sz w:val="28"/>
          <w:szCs w:val="28"/>
          <w:lang w:val="en-US" w:eastAsia="zh-CN" w:bidi="ar-SA"/>
        </w:rPr>
        <w:t>该项目营运期噪声主要来源于运输车辆、生产设备运转过程中产生的噪声。项目采取选用低噪声设备、基础减震、厂房隔声、加强设备维护、运输车辆禁鸣缓行等措施</w:t>
      </w:r>
      <w:bookmarkStart w:id="0" w:name="_GoBack"/>
      <w:bookmarkEnd w:id="0"/>
      <w:r>
        <w:rPr>
          <w:rFonts w:hint="eastAsia" w:ascii="Times New Roman" w:hAnsi="Times New Roman" w:eastAsia="宋体" w:cs="Times New Roman"/>
          <w:color w:val="auto"/>
          <w:kern w:val="2"/>
          <w:sz w:val="28"/>
          <w:szCs w:val="28"/>
          <w:lang w:val="en-US" w:eastAsia="zh-CN" w:bidi="ar-SA"/>
        </w:rPr>
        <w:t>降低噪声的排放。</w:t>
      </w:r>
    </w:p>
    <w:p>
      <w:pPr>
        <w:pStyle w:val="5"/>
        <w:pageBreakBefore w:val="0"/>
        <w:widowControl w:val="0"/>
        <w:kinsoku/>
        <w:wordWrap/>
        <w:overflowPunct/>
        <w:topLinePunct w:val="0"/>
        <w:bidi w:val="0"/>
        <w:adjustRightInd w:val="0"/>
        <w:snapToGrid w:val="0"/>
        <w:ind w:left="0" w:leftChars="0" w:firstLine="562" w:firstLineChars="200"/>
        <w:textAlignment w:val="auto"/>
        <w:rPr>
          <w:color w:val="auto"/>
          <w:sz w:val="28"/>
          <w:szCs w:val="28"/>
        </w:rPr>
      </w:pPr>
      <w:r>
        <w:rPr>
          <w:rFonts w:hint="eastAsia"/>
          <w:color w:val="auto"/>
          <w:sz w:val="28"/>
          <w:szCs w:val="28"/>
          <w:lang w:val="en-US" w:eastAsia="zh-CN"/>
        </w:rPr>
        <w:t>4、</w:t>
      </w:r>
      <w:r>
        <w:rPr>
          <w:color w:val="auto"/>
          <w:sz w:val="28"/>
          <w:szCs w:val="28"/>
        </w:rPr>
        <w:t>固废</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本项目固废主要包括</w:t>
      </w:r>
      <w:r>
        <w:rPr>
          <w:rFonts w:hint="eastAsia" w:cs="Times New Roman"/>
          <w:color w:val="auto"/>
          <w:sz w:val="28"/>
          <w:szCs w:val="28"/>
          <w:lang w:val="en-US" w:eastAsia="zh-CN"/>
        </w:rPr>
        <w:t>：</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（1）生活垃圾：由环卫部门定期统一清理外运。</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（2）金属屑：钢筋切断过程中产生的金属屑的量为0.2t/a，收集后外售。</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（3）废钢筋：钢筋切断过程中产生的废钢筋的量为3.0t/a，收集后外售。</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（4）沉淀池沉渣：搅拌主机、车辆冲洗水沉淀产生的沉渣的量为0.3t/a，回用于生产。</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（5）除尘器收集到粉尘：除尘器收集到粉尘量为20.55 t/a，收集后回用于生产。</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（6）机油桶：模具涂的隔离层的成分机油，每年废机油桶的产生量为5个，合计为0.1 t/a，供应企业回收利用。</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（7）废液压油：千斤顶产生废液压油的量为0.06 t/a，属于危险废物（废物类别：HW08废矿物油与含矿物油废物，废物代码：900-218-08），统一收集后委托资质的危险废物处理单位处理。</w:t>
      </w:r>
    </w:p>
    <w:p>
      <w:pPr>
        <w:spacing w:line="500" w:lineRule="exact"/>
        <w:ind w:firstLine="560" w:firstLineChars="200"/>
        <w:rPr>
          <w:rFonts w:hint="eastAsia"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（8）废液压油桶：本项目每年废液压油桶3个，合计为0.003 t/a，属于危险废物（废物类别：HW08废矿物油与含矿物油废物，废物代码：900-249-08），统一收集后委托有相应资质的危险废物处理单位处理</w:t>
      </w:r>
      <w:r>
        <w:rPr>
          <w:rFonts w:hint="eastAsia" w:hAnsi="宋体"/>
          <w:color w:val="000000"/>
          <w:sz w:val="24"/>
          <w:lang w:val="en-US" w:eastAsia="zh-CN"/>
        </w:rPr>
        <w:t>。</w:t>
      </w:r>
    </w:p>
    <w:p>
      <w:pPr>
        <w:pageBreakBefore w:val="0"/>
        <w:widowControl w:val="0"/>
        <w:kinsoku/>
        <w:wordWrap/>
        <w:overflowPunct/>
        <w:topLinePunct w:val="0"/>
        <w:bidi w:val="0"/>
        <w:adjustRightInd w:val="0"/>
        <w:snapToGrid w:val="0"/>
        <w:spacing w:after="0" w:line="360" w:lineRule="auto"/>
        <w:ind w:left="0" w:leftChars="0" w:firstLine="562" w:firstLineChars="200"/>
        <w:textAlignment w:val="auto"/>
        <w:rPr>
          <w:rFonts w:hint="eastAsia" w:ascii="Times New Roman" w:hAnsi="Times New Roman" w:eastAsia="宋体" w:cs="Times New Roman"/>
          <w:b/>
          <w:bCs/>
          <w:color w:val="auto"/>
          <w:kern w:val="2"/>
          <w:sz w:val="28"/>
          <w:szCs w:val="28"/>
          <w:lang w:val="en-US" w:eastAsia="zh-CN" w:bidi="ar-SA"/>
        </w:rPr>
      </w:pPr>
      <w:r>
        <w:rPr>
          <w:rFonts w:hint="eastAsia" w:ascii="Times New Roman" w:hAnsi="Times New Roman" w:eastAsia="宋体" w:cs="Times New Roman"/>
          <w:b/>
          <w:bCs/>
          <w:color w:val="auto"/>
          <w:kern w:val="2"/>
          <w:sz w:val="28"/>
          <w:szCs w:val="28"/>
          <w:lang w:val="en-US" w:eastAsia="zh-CN" w:bidi="ar-SA"/>
        </w:rPr>
        <w:t>5、其他环境保护设施</w:t>
      </w:r>
    </w:p>
    <w:p>
      <w:pPr>
        <w:pageBreakBefore w:val="0"/>
        <w:widowControl w:val="0"/>
        <w:kinsoku/>
        <w:wordWrap/>
        <w:overflowPunct/>
        <w:topLinePunct w:val="0"/>
        <w:bidi w:val="0"/>
        <w:adjustRightInd w:val="0"/>
        <w:snapToGrid w:val="0"/>
        <w:spacing w:after="0" w:line="360" w:lineRule="auto"/>
        <w:ind w:left="0" w:leftChars="0" w:firstLine="560" w:firstLineChars="200"/>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（1）环境风险防范设施</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项目无重大环境风险源，企业建设了相应风险防范设施。</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w:t>
      </w:r>
      <w:r>
        <w:rPr>
          <w:rFonts w:hint="eastAsia" w:ascii="Times New Roman" w:hAnsi="Times New Roman" w:eastAsia="宋体" w:cs="Times New Roman"/>
          <w:color w:val="auto"/>
          <w:sz w:val="28"/>
          <w:szCs w:val="28"/>
          <w:lang w:val="en-US" w:eastAsia="zh-CN"/>
        </w:rPr>
        <w:t>2</w:t>
      </w:r>
      <w:r>
        <w:rPr>
          <w:rFonts w:hint="eastAsia" w:ascii="Times New Roman" w:hAnsi="Times New Roman" w:eastAsia="宋体" w:cs="Times New Roman"/>
          <w:color w:val="auto"/>
          <w:sz w:val="28"/>
          <w:szCs w:val="28"/>
        </w:rPr>
        <w:t>）</w:t>
      </w:r>
      <w:r>
        <w:rPr>
          <w:rFonts w:ascii="Times New Roman" w:hAnsi="Times New Roman" w:eastAsia="宋体" w:cs="Times New Roman"/>
          <w:color w:val="auto"/>
          <w:sz w:val="28"/>
          <w:szCs w:val="28"/>
        </w:rPr>
        <w:t>环境管理及监测制度</w:t>
      </w:r>
    </w:p>
    <w:p>
      <w:pPr>
        <w:pageBreakBefore w:val="0"/>
        <w:widowControl w:val="0"/>
        <w:kinsoku/>
        <w:wordWrap/>
        <w:overflowPunct/>
        <w:topLinePunct w:val="0"/>
        <w:bidi w:val="0"/>
        <w:adjustRightInd w:val="0"/>
        <w:snapToGrid w:val="0"/>
        <w:spacing w:after="0" w:line="360" w:lineRule="auto"/>
        <w:ind w:firstLine="560" w:firstLineChars="200"/>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公司设立了环保管理机构，制订了《环境保护管理制度》等，对全厂的各项环保工作做出了相应的规定。</w:t>
      </w:r>
    </w:p>
    <w:p>
      <w:pPr>
        <w:pageBreakBefore w:val="0"/>
        <w:widowControl w:val="0"/>
        <w:kinsoku/>
        <w:wordWrap/>
        <w:overflowPunct/>
        <w:topLinePunct w:val="0"/>
        <w:autoSpaceDE w:val="0"/>
        <w:autoSpaceDN w:val="0"/>
        <w:bidi w:val="0"/>
        <w:adjustRightInd w:val="0"/>
        <w:snapToGrid w:val="0"/>
        <w:spacing w:after="0" w:line="360" w:lineRule="auto"/>
        <w:ind w:firstLine="562" w:firstLineChars="200"/>
        <w:jc w:val="both"/>
        <w:textAlignment w:val="auto"/>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四、环境保护设施调试效果</w:t>
      </w:r>
    </w:p>
    <w:p>
      <w:pPr>
        <w:pStyle w:val="7"/>
        <w:pageBreakBefore w:val="0"/>
        <w:widowControl w:val="0"/>
        <w:kinsoku/>
        <w:wordWrap/>
        <w:overflowPunct/>
        <w:topLinePunct w:val="0"/>
        <w:bidi w:val="0"/>
        <w:adjustRightInd w:val="0"/>
        <w:snapToGrid w:val="0"/>
        <w:spacing w:line="360" w:lineRule="auto"/>
        <w:ind w:firstLine="560" w:firstLineChars="200"/>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本次竣工环境保护验收监测时间为</w:t>
      </w:r>
      <w:r>
        <w:rPr>
          <w:rFonts w:hint="eastAsia" w:ascii="Times New Roman" w:hAnsi="Times New Roman" w:eastAsia="宋体" w:cs="Times New Roman"/>
          <w:color w:val="auto"/>
          <w:sz w:val="28"/>
          <w:szCs w:val="28"/>
          <w:lang w:eastAsia="zh-CN"/>
        </w:rPr>
        <w:t>2020年7月30日~31日和2020年9月25日~26日</w:t>
      </w:r>
      <w:r>
        <w:rPr>
          <w:rFonts w:hint="eastAsia" w:ascii="Times New Roman" w:hAnsi="Times New Roman" w:eastAsia="宋体" w:cs="Times New Roman"/>
          <w:color w:val="auto"/>
          <w:sz w:val="28"/>
          <w:szCs w:val="28"/>
        </w:rPr>
        <w:t>，验收监测期间，项目正常运行，工况稳定，符合验收监测条件。</w:t>
      </w:r>
    </w:p>
    <w:p>
      <w:pPr>
        <w:pageBreakBefore w:val="0"/>
        <w:widowControl w:val="0"/>
        <w:kinsoku/>
        <w:wordWrap/>
        <w:overflowPunct/>
        <w:topLinePunct w:val="0"/>
        <w:autoSpaceDE w:val="0"/>
        <w:autoSpaceDN w:val="0"/>
        <w:bidi w:val="0"/>
        <w:adjustRightInd w:val="0"/>
        <w:snapToGrid w:val="0"/>
        <w:spacing w:after="0" w:line="360" w:lineRule="auto"/>
        <w:ind w:firstLine="560" w:firstLineChars="200"/>
        <w:jc w:val="both"/>
        <w:textAlignment w:val="auto"/>
        <w:rPr>
          <w:rFonts w:ascii="Times New Roman" w:hAnsi="Times New Roman" w:eastAsia="宋体" w:cs="Times New Roman"/>
          <w:bCs/>
          <w:color w:val="auto"/>
          <w:sz w:val="28"/>
          <w:szCs w:val="28"/>
        </w:rPr>
      </w:pPr>
      <w:r>
        <w:rPr>
          <w:rFonts w:ascii="Times New Roman" w:hAnsi="Times New Roman" w:eastAsia="宋体" w:cs="Times New Roman"/>
          <w:bCs/>
          <w:color w:val="auto"/>
          <w:sz w:val="28"/>
          <w:szCs w:val="28"/>
        </w:rPr>
        <w:t>1、废气</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552" w:firstLineChars="200"/>
        <w:textAlignment w:val="auto"/>
        <w:rPr>
          <w:rFonts w:hint="default" w:ascii="Times New Roman" w:hAnsi="Times New Roman" w:eastAsia="宋体" w:cs="Times New Roman"/>
          <w:color w:val="auto"/>
          <w:spacing w:val="-2"/>
          <w:kern w:val="2"/>
          <w:sz w:val="28"/>
          <w:szCs w:val="28"/>
          <w:lang w:val="en-US" w:eastAsia="zh-CN" w:bidi="ar-SA"/>
        </w:rPr>
      </w:pPr>
      <w:r>
        <w:rPr>
          <w:rFonts w:hint="eastAsia" w:ascii="Times New Roman" w:hAnsi="Times New Roman" w:cs="Times New Roman"/>
          <w:color w:val="auto"/>
          <w:spacing w:val="-2"/>
          <w:kern w:val="2"/>
          <w:sz w:val="28"/>
          <w:szCs w:val="28"/>
          <w:lang w:val="zh-CN" w:eastAsia="zh-CN" w:bidi="ar-SA"/>
        </w:rPr>
        <w:t>验收监测期间，</w:t>
      </w:r>
      <w:r>
        <w:rPr>
          <w:rFonts w:hint="default" w:ascii="Times New Roman" w:hAnsi="Times New Roman" w:cs="Times New Roman"/>
          <w:color w:val="auto"/>
          <w:spacing w:val="-2"/>
          <w:kern w:val="2"/>
          <w:sz w:val="28"/>
          <w:szCs w:val="28"/>
          <w:lang w:val="zh-CN" w:eastAsia="zh-CN" w:bidi="ar-SA"/>
        </w:rPr>
        <w:t>德州</w:t>
      </w:r>
      <w:r>
        <w:rPr>
          <w:rFonts w:hint="eastAsia" w:ascii="Times New Roman" w:hAnsi="Times New Roman" w:cs="Times New Roman"/>
          <w:color w:val="auto"/>
          <w:spacing w:val="-2"/>
          <w:kern w:val="2"/>
          <w:sz w:val="28"/>
          <w:szCs w:val="28"/>
          <w:lang w:val="zh-CN" w:eastAsia="zh-CN" w:bidi="ar-SA"/>
        </w:rPr>
        <w:t>乐桥建材</w:t>
      </w:r>
      <w:r>
        <w:rPr>
          <w:rFonts w:hint="default" w:ascii="Times New Roman" w:hAnsi="Times New Roman" w:cs="Times New Roman"/>
          <w:color w:val="auto"/>
          <w:spacing w:val="-2"/>
          <w:kern w:val="2"/>
          <w:sz w:val="28"/>
          <w:szCs w:val="28"/>
          <w:lang w:val="zh-CN" w:eastAsia="zh-CN" w:bidi="ar-SA"/>
        </w:rPr>
        <w:t>有限公司</w:t>
      </w:r>
      <w:r>
        <w:rPr>
          <w:rFonts w:hint="eastAsia" w:ascii="Times New Roman" w:hAnsi="Times New Roman" w:cs="Times New Roman"/>
          <w:color w:val="auto"/>
          <w:spacing w:val="-2"/>
          <w:kern w:val="2"/>
          <w:sz w:val="28"/>
          <w:szCs w:val="28"/>
          <w:lang w:val="en-US" w:eastAsia="zh-CN" w:bidi="ar-SA"/>
        </w:rPr>
        <w:t>年产16000方钢筋混凝土预制构件项目有组织排气筒排放的颗粒物</w:t>
      </w:r>
      <w:r>
        <w:rPr>
          <w:rFonts w:hint="eastAsia" w:ascii="Times New Roman" w:hAnsi="Times New Roman" w:cs="Times New Roman"/>
          <w:color w:val="auto"/>
          <w:spacing w:val="-2"/>
          <w:kern w:val="2"/>
          <w:sz w:val="28"/>
          <w:szCs w:val="28"/>
          <w:lang w:val="zh-CN" w:eastAsia="zh-CN" w:bidi="ar-SA"/>
        </w:rPr>
        <w:t>最大浓度为</w:t>
      </w:r>
      <w:r>
        <w:rPr>
          <w:rFonts w:hint="eastAsia" w:ascii="Times New Roman" w:hAnsi="Times New Roman" w:cs="Times New Roman"/>
          <w:color w:val="auto"/>
          <w:spacing w:val="-2"/>
          <w:kern w:val="2"/>
          <w:sz w:val="28"/>
          <w:szCs w:val="28"/>
          <w:lang w:val="en-US" w:eastAsia="zh-CN" w:bidi="ar-SA"/>
        </w:rPr>
        <w:t>7.5mg/m</w:t>
      </w:r>
      <w:r>
        <w:rPr>
          <w:rFonts w:hint="eastAsia" w:ascii="Times New Roman" w:hAnsi="Times New Roman" w:cs="Times New Roman"/>
          <w:color w:val="auto"/>
          <w:spacing w:val="-2"/>
          <w:kern w:val="2"/>
          <w:sz w:val="28"/>
          <w:szCs w:val="28"/>
          <w:vertAlign w:val="superscript"/>
          <w:lang w:val="en-US" w:eastAsia="zh-CN" w:bidi="ar-SA"/>
        </w:rPr>
        <w:t>3</w:t>
      </w:r>
      <w:r>
        <w:rPr>
          <w:rFonts w:hint="eastAsia" w:ascii="Times New Roman" w:hAnsi="Times New Roman" w:cs="Times New Roman"/>
          <w:color w:val="auto"/>
          <w:spacing w:val="-2"/>
          <w:kern w:val="2"/>
          <w:sz w:val="28"/>
          <w:szCs w:val="28"/>
          <w:lang w:val="en-US" w:eastAsia="zh-CN" w:bidi="ar-SA"/>
        </w:rPr>
        <w:t>，排放速率0.0064kg/h，排放浓度满足《建材工业大气污染物排放标准》（DB37/2373-2018）表2中重点控制区标准</w:t>
      </w:r>
      <w:r>
        <w:rPr>
          <w:rFonts w:hint="eastAsia" w:ascii="Times New Roman" w:hAnsi="Times New Roman" w:eastAsia="宋体" w:cs="Times New Roman"/>
          <w:color w:val="auto"/>
          <w:spacing w:val="-2"/>
          <w:kern w:val="2"/>
          <w:sz w:val="28"/>
          <w:szCs w:val="28"/>
          <w:lang w:val="en-US" w:eastAsia="zh-CN" w:bidi="ar-SA"/>
        </w:rPr>
        <w:t>。</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552" w:firstLineChars="200"/>
        <w:textAlignment w:val="auto"/>
        <w:rPr>
          <w:rFonts w:hint="eastAsia" w:ascii="Times New Roman" w:hAnsi="Times New Roman" w:cs="Times New Roman"/>
          <w:color w:val="auto"/>
          <w:spacing w:val="-2"/>
          <w:kern w:val="2"/>
          <w:sz w:val="28"/>
          <w:szCs w:val="28"/>
          <w:lang w:val="en-US" w:eastAsia="zh-CN" w:bidi="ar-SA"/>
        </w:rPr>
      </w:pPr>
      <w:r>
        <w:rPr>
          <w:rFonts w:hint="eastAsia" w:ascii="Times New Roman" w:hAnsi="Times New Roman" w:cs="Times New Roman"/>
          <w:color w:val="auto"/>
          <w:spacing w:val="-2"/>
          <w:kern w:val="2"/>
          <w:sz w:val="28"/>
          <w:szCs w:val="28"/>
          <w:lang w:val="en-US" w:eastAsia="zh-CN" w:bidi="ar-SA"/>
        </w:rPr>
        <w:t>验收监测期间，</w:t>
      </w:r>
      <w:r>
        <w:rPr>
          <w:rFonts w:hint="default" w:ascii="Times New Roman" w:hAnsi="Times New Roman" w:cs="Times New Roman"/>
          <w:color w:val="auto"/>
          <w:spacing w:val="-2"/>
          <w:kern w:val="2"/>
          <w:sz w:val="28"/>
          <w:szCs w:val="28"/>
          <w:lang w:val="en-US" w:eastAsia="zh-CN" w:bidi="ar-SA"/>
        </w:rPr>
        <w:t>德州</w:t>
      </w:r>
      <w:r>
        <w:rPr>
          <w:rFonts w:hint="eastAsia" w:ascii="Times New Roman" w:hAnsi="Times New Roman" w:cs="Times New Roman"/>
          <w:color w:val="auto"/>
          <w:spacing w:val="-2"/>
          <w:kern w:val="2"/>
          <w:sz w:val="28"/>
          <w:szCs w:val="28"/>
          <w:lang w:val="en-US" w:eastAsia="zh-CN" w:bidi="ar-SA"/>
        </w:rPr>
        <w:t>乐桥建材</w:t>
      </w:r>
      <w:r>
        <w:rPr>
          <w:rFonts w:hint="default" w:ascii="Times New Roman" w:hAnsi="Times New Roman" w:cs="Times New Roman"/>
          <w:color w:val="auto"/>
          <w:spacing w:val="-2"/>
          <w:kern w:val="2"/>
          <w:sz w:val="28"/>
          <w:szCs w:val="28"/>
          <w:lang w:val="en-US" w:eastAsia="zh-CN" w:bidi="ar-SA"/>
        </w:rPr>
        <w:t>有限公司</w:t>
      </w:r>
      <w:r>
        <w:rPr>
          <w:rFonts w:hint="eastAsia" w:ascii="Times New Roman" w:hAnsi="Times New Roman" w:cs="Times New Roman"/>
          <w:color w:val="auto"/>
          <w:spacing w:val="-2"/>
          <w:kern w:val="2"/>
          <w:sz w:val="28"/>
          <w:szCs w:val="28"/>
          <w:lang w:val="en-US" w:eastAsia="zh-CN" w:bidi="ar-SA"/>
        </w:rPr>
        <w:t>厂界无组织排放颗粒物废气最大浓度为0.269mg/m</w:t>
      </w:r>
      <w:r>
        <w:rPr>
          <w:rFonts w:hint="eastAsia" w:ascii="Times New Roman" w:hAnsi="Times New Roman" w:cs="Times New Roman"/>
          <w:color w:val="auto"/>
          <w:spacing w:val="-2"/>
          <w:kern w:val="2"/>
          <w:sz w:val="28"/>
          <w:szCs w:val="28"/>
          <w:vertAlign w:val="superscript"/>
          <w:lang w:val="en-US" w:eastAsia="zh-CN" w:bidi="ar-SA"/>
        </w:rPr>
        <w:t>3</w:t>
      </w:r>
      <w:r>
        <w:rPr>
          <w:rFonts w:hint="eastAsia" w:ascii="Times New Roman" w:hAnsi="Times New Roman" w:cs="Times New Roman"/>
          <w:color w:val="auto"/>
          <w:spacing w:val="-2"/>
          <w:kern w:val="2"/>
          <w:sz w:val="28"/>
          <w:szCs w:val="28"/>
          <w:lang w:val="en-US" w:eastAsia="zh-CN" w:bidi="ar-SA"/>
        </w:rPr>
        <w:t>，</w:t>
      </w:r>
      <w:r>
        <w:rPr>
          <w:rFonts w:hint="default" w:ascii="Times New Roman" w:hAnsi="Times New Roman" w:cs="Times New Roman"/>
          <w:color w:val="auto"/>
          <w:spacing w:val="-2"/>
          <w:kern w:val="2"/>
          <w:sz w:val="28"/>
          <w:szCs w:val="28"/>
          <w:lang w:val="en-US" w:eastAsia="zh-CN" w:bidi="ar-SA"/>
        </w:rPr>
        <w:t>能够满足</w:t>
      </w:r>
      <w:r>
        <w:rPr>
          <w:rFonts w:hint="eastAsia" w:ascii="Times New Roman" w:hAnsi="Times New Roman" w:cs="Times New Roman"/>
          <w:color w:val="auto"/>
          <w:spacing w:val="-2"/>
          <w:kern w:val="2"/>
          <w:sz w:val="28"/>
          <w:szCs w:val="28"/>
          <w:lang w:val="en-US" w:eastAsia="zh-CN" w:bidi="ar-SA"/>
        </w:rPr>
        <w:t>《建材工业大气污染物排放标准》（DB37/2373-2018）表3无组织排放监控浓度限值要求</w:t>
      </w:r>
      <w:r>
        <w:rPr>
          <w:rFonts w:hint="default" w:ascii="Times New Roman" w:hAnsi="Times New Roman" w:cs="Times New Roman"/>
          <w:color w:val="auto"/>
          <w:spacing w:val="-2"/>
          <w:kern w:val="2"/>
          <w:sz w:val="28"/>
          <w:szCs w:val="28"/>
          <w:lang w:val="en-US" w:eastAsia="zh-CN" w:bidi="ar-SA"/>
        </w:rPr>
        <w:t>。</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2、噪声</w:t>
      </w:r>
    </w:p>
    <w:p>
      <w:pPr>
        <w:pStyle w:val="2"/>
        <w:pageBreakBefore w:val="0"/>
        <w:widowControl w:val="0"/>
        <w:kinsoku/>
        <w:wordWrap/>
        <w:overflowPunct/>
        <w:topLinePunct w:val="0"/>
        <w:bidi w:val="0"/>
        <w:adjustRightInd w:val="0"/>
        <w:snapToGrid w:val="0"/>
        <w:spacing w:after="0"/>
        <w:ind w:left="0" w:leftChars="0" w:firstLine="552" w:firstLineChars="200"/>
        <w:textAlignment w:val="auto"/>
        <w:rPr>
          <w:rFonts w:hint="eastAsia"/>
          <w:color w:val="auto"/>
          <w:kern w:val="0"/>
        </w:rPr>
      </w:pPr>
      <w:r>
        <w:rPr>
          <w:rFonts w:hint="eastAsia" w:ascii="Times New Roman" w:hAnsi="Times New Roman" w:eastAsia="宋体" w:cs="Times New Roman"/>
          <w:color w:val="auto"/>
          <w:spacing w:val="-2"/>
          <w:kern w:val="2"/>
          <w:sz w:val="28"/>
          <w:szCs w:val="28"/>
          <w:lang w:val="en-US" w:eastAsia="zh-CN" w:bidi="ar-SA"/>
        </w:rPr>
        <w:t>验收监测期间，</w:t>
      </w:r>
      <w:r>
        <w:rPr>
          <w:rFonts w:hint="default" w:ascii="Times New Roman" w:hAnsi="Times New Roman" w:eastAsia="宋体" w:cs="Times New Roman"/>
          <w:color w:val="auto"/>
          <w:spacing w:val="-2"/>
          <w:kern w:val="2"/>
          <w:sz w:val="28"/>
          <w:szCs w:val="28"/>
          <w:lang w:val="en-US" w:eastAsia="zh-CN" w:bidi="ar-SA"/>
        </w:rPr>
        <w:t>德州</w:t>
      </w:r>
      <w:r>
        <w:rPr>
          <w:rFonts w:hint="eastAsia" w:ascii="Times New Roman" w:hAnsi="Times New Roman" w:eastAsia="宋体" w:cs="Times New Roman"/>
          <w:color w:val="auto"/>
          <w:spacing w:val="-2"/>
          <w:kern w:val="2"/>
          <w:sz w:val="28"/>
          <w:szCs w:val="28"/>
          <w:lang w:val="en-US" w:eastAsia="zh-CN" w:bidi="ar-SA"/>
        </w:rPr>
        <w:t>乐桥建材</w:t>
      </w:r>
      <w:r>
        <w:rPr>
          <w:rFonts w:hint="default" w:ascii="Times New Roman" w:hAnsi="Times New Roman" w:eastAsia="宋体" w:cs="Times New Roman"/>
          <w:color w:val="auto"/>
          <w:spacing w:val="-2"/>
          <w:kern w:val="2"/>
          <w:sz w:val="28"/>
          <w:szCs w:val="28"/>
          <w:lang w:val="en-US" w:eastAsia="zh-CN" w:bidi="ar-SA"/>
        </w:rPr>
        <w:t>有限公司</w:t>
      </w:r>
      <w:r>
        <w:rPr>
          <w:rFonts w:hint="eastAsia" w:ascii="Times New Roman" w:hAnsi="Times New Roman" w:eastAsia="宋体" w:cs="Times New Roman"/>
          <w:color w:val="auto"/>
          <w:spacing w:val="-2"/>
          <w:kern w:val="2"/>
          <w:sz w:val="28"/>
          <w:szCs w:val="28"/>
          <w:lang w:val="en-US" w:eastAsia="zh-CN" w:bidi="ar-SA"/>
        </w:rPr>
        <w:t>厂界昼间噪声最高值为57dB（A），厂界昼间噪声均能够满足《工业企业厂界环境噪声排放标准》（GB12348-2008）中2类功能区标准，夜间不生产。</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3、固体废物</w:t>
      </w:r>
    </w:p>
    <w:p>
      <w:pPr>
        <w:pStyle w:val="2"/>
        <w:adjustRightInd w:val="0"/>
        <w:snapToGrid w:val="0"/>
        <w:spacing w:after="0" w:line="360" w:lineRule="auto"/>
        <w:ind w:left="0" w:leftChars="0" w:firstLine="560"/>
        <w:rPr>
          <w:kern w:val="0"/>
          <w:szCs w:val="28"/>
        </w:rPr>
      </w:pPr>
      <w:r>
        <w:rPr>
          <w:kern w:val="0"/>
          <w:szCs w:val="28"/>
        </w:rPr>
        <w:t>经现场核查，该项目固体废物处置措施基本落实到位，固体废物得到了妥善处置。</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rPr>
        <w:t>五、工程建设对环境的影响</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eastAsia" w:ascii="Times New Roman" w:hAnsi="Times New Roman" w:eastAsia="宋体" w:cs="Times New Roman"/>
          <w:b w:val="0"/>
          <w:bCs/>
          <w:color w:val="auto"/>
          <w:sz w:val="28"/>
          <w:szCs w:val="28"/>
        </w:rPr>
      </w:pPr>
      <w:r>
        <w:rPr>
          <w:rFonts w:hint="eastAsia" w:ascii="Times New Roman" w:hAnsi="Times New Roman" w:eastAsia="宋体" w:cs="Times New Roman"/>
          <w:b w:val="0"/>
          <w:bCs/>
          <w:color w:val="auto"/>
          <w:sz w:val="28"/>
          <w:szCs w:val="28"/>
        </w:rPr>
        <w:t>本项目环评及批复未提及对环境质量进行检测，因此本项目</w:t>
      </w:r>
      <w:r>
        <w:rPr>
          <w:rFonts w:hint="eastAsia" w:cs="Times New Roman"/>
          <w:b w:val="0"/>
          <w:bCs/>
          <w:color w:val="auto"/>
          <w:sz w:val="28"/>
          <w:szCs w:val="28"/>
          <w:lang w:eastAsia="zh-CN"/>
        </w:rPr>
        <w:t>未</w:t>
      </w:r>
      <w:r>
        <w:rPr>
          <w:rFonts w:hint="eastAsia" w:ascii="Times New Roman" w:hAnsi="Times New Roman" w:eastAsia="宋体" w:cs="Times New Roman"/>
          <w:b w:val="0"/>
          <w:bCs/>
          <w:color w:val="auto"/>
          <w:sz w:val="28"/>
          <w:szCs w:val="28"/>
        </w:rPr>
        <w:t>进行环境质量现状监测。验收监测期间，该项目废气、噪声可达标排放</w:t>
      </w:r>
      <w:r>
        <w:rPr>
          <w:rFonts w:hint="eastAsia" w:cs="Times New Roman"/>
          <w:b w:val="0"/>
          <w:bCs/>
          <w:color w:val="auto"/>
          <w:sz w:val="28"/>
          <w:szCs w:val="28"/>
          <w:lang w:eastAsia="zh-CN"/>
        </w:rPr>
        <w:t>；</w:t>
      </w:r>
      <w:r>
        <w:rPr>
          <w:rFonts w:hint="eastAsia" w:ascii="Times New Roman" w:hAnsi="Times New Roman" w:eastAsia="宋体" w:cs="Times New Roman"/>
          <w:b w:val="0"/>
          <w:bCs/>
          <w:color w:val="auto"/>
          <w:sz w:val="28"/>
          <w:szCs w:val="28"/>
        </w:rPr>
        <w:t>生活废水经化粪池处理后，由环卫部门定期清运，</w:t>
      </w:r>
      <w:r>
        <w:rPr>
          <w:rFonts w:hint="eastAsia" w:ascii="Times New Roman" w:hAnsi="Times New Roman" w:eastAsia="宋体" w:cs="Times New Roman"/>
          <w:color w:val="auto"/>
          <w:kern w:val="2"/>
          <w:sz w:val="28"/>
          <w:szCs w:val="28"/>
          <w:lang w:val="en-US" w:eastAsia="zh-CN" w:bidi="ar-SA"/>
        </w:rPr>
        <w:t>搅拌机和车辆冲洗废水经沉淀池处理后用于混凝土搅拌，不外排；</w:t>
      </w:r>
      <w:r>
        <w:rPr>
          <w:rFonts w:hint="eastAsia" w:ascii="Times New Roman" w:hAnsi="Times New Roman" w:eastAsia="宋体" w:cs="Times New Roman"/>
          <w:b w:val="0"/>
          <w:bCs/>
          <w:color w:val="auto"/>
          <w:sz w:val="28"/>
          <w:szCs w:val="28"/>
        </w:rPr>
        <w:t>各类固体废物均妥善处置。该项目的建设对周围环境影响较小。</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ascii="Times New Roman" w:hAnsi="Times New Roman" w:eastAsia="宋体" w:cs="Times New Roman"/>
          <w:b/>
          <w:color w:val="auto"/>
          <w:sz w:val="28"/>
          <w:szCs w:val="28"/>
        </w:rPr>
      </w:pPr>
      <w:r>
        <w:rPr>
          <w:rFonts w:hint="eastAsia" w:cs="Times New Roman"/>
          <w:b/>
          <w:color w:val="auto"/>
          <w:sz w:val="28"/>
          <w:szCs w:val="28"/>
          <w:lang w:eastAsia="zh-CN"/>
        </w:rPr>
        <w:t>六</w:t>
      </w:r>
      <w:r>
        <w:rPr>
          <w:rFonts w:ascii="Times New Roman" w:hAnsi="Times New Roman" w:eastAsia="宋体" w:cs="Times New Roman"/>
          <w:b/>
          <w:color w:val="auto"/>
          <w:sz w:val="28"/>
          <w:szCs w:val="28"/>
        </w:rPr>
        <w:t>、验收结论</w:t>
      </w:r>
    </w:p>
    <w:p>
      <w:pPr>
        <w:pageBreakBefore w:val="0"/>
        <w:widowControl w:val="0"/>
        <w:kinsoku/>
        <w:wordWrap/>
        <w:overflowPunct/>
        <w:topLinePunct w:val="0"/>
        <w:autoSpaceDE w:val="0"/>
        <w:autoSpaceDN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hint="eastAsia" w:cs="Times New Roman"/>
          <w:color w:val="auto"/>
          <w:sz w:val="28"/>
          <w:szCs w:val="28"/>
          <w:lang w:val="en-US" w:eastAsia="zh-CN"/>
        </w:rPr>
        <w:t>德州乐桥建材有限公司年产16000方钢筋混凝土预制构件项目</w:t>
      </w:r>
      <w:r>
        <w:rPr>
          <w:rFonts w:ascii="Times New Roman" w:hAnsi="Times New Roman" w:eastAsia="宋体" w:cs="Times New Roman"/>
          <w:color w:val="auto"/>
          <w:sz w:val="28"/>
          <w:szCs w:val="28"/>
        </w:rPr>
        <w:t>环保手续齐全，建立了环境管理制度，项目主体工程及环境保护设施等总体按环评批复的要求建成，落实了环评批复中的各项环保要求，无重大变动，验收监测期间污染物达标排放，具备建设项目竣工环境保护验收条件，验收合格。</w:t>
      </w:r>
    </w:p>
    <w:p>
      <w:pPr>
        <w:pageBreakBefore w:val="0"/>
        <w:widowControl w:val="0"/>
        <w:kinsoku/>
        <w:wordWrap/>
        <w:overflowPunct/>
        <w:topLinePunct w:val="0"/>
        <w:bidi w:val="0"/>
        <w:adjustRightInd w:val="0"/>
        <w:snapToGrid w:val="0"/>
        <w:spacing w:after="0" w:line="360" w:lineRule="auto"/>
        <w:ind w:firstLine="562" w:firstLineChars="200"/>
        <w:jc w:val="both"/>
        <w:textAlignment w:val="auto"/>
        <w:rPr>
          <w:rFonts w:hint="eastAsia" w:eastAsia="宋体" w:cs="Times New Roman"/>
          <w:b/>
          <w:color w:val="auto"/>
          <w:sz w:val="28"/>
          <w:szCs w:val="28"/>
          <w:lang w:val="en-US" w:eastAsia="zh-CN"/>
        </w:rPr>
      </w:pPr>
      <w:r>
        <w:rPr>
          <w:rFonts w:hint="eastAsia" w:cs="Times New Roman"/>
          <w:b/>
          <w:color w:val="auto"/>
          <w:sz w:val="28"/>
          <w:szCs w:val="28"/>
          <w:lang w:eastAsia="zh-CN"/>
        </w:rPr>
        <w:t>七、改进意见与后续要求</w:t>
      </w:r>
    </w:p>
    <w:p>
      <w:pPr>
        <w:pageBreakBefore w:val="0"/>
        <w:widowControl w:val="0"/>
        <w:kinsoku/>
        <w:wordWrap/>
        <w:overflowPunct/>
        <w:topLinePunct w:val="0"/>
        <w:bidi w:val="0"/>
        <w:adjustRightInd w:val="0"/>
        <w:snapToGrid w:val="0"/>
        <w:spacing w:after="0" w:line="360" w:lineRule="auto"/>
        <w:ind w:firstLine="560" w:firstLineChars="200"/>
        <w:jc w:val="both"/>
        <w:textAlignment w:val="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lang w:val="en-US" w:eastAsia="zh-CN"/>
        </w:rPr>
        <w:t>完善环保管理制度、环保职责要求。加强各类环保设施的日常维护和管理，确保环保设施正常运转，厂区内定期洒水抑尘；如遇环保设施检修、</w:t>
      </w:r>
      <w:r>
        <w:rPr>
          <w:rFonts w:ascii="Times New Roman" w:hAnsi="Times New Roman" w:eastAsia="宋体" w:cs="Times New Roman"/>
          <w:color w:val="auto"/>
          <w:sz w:val="28"/>
          <w:szCs w:val="28"/>
        </w:rPr>
        <w:t>停运等情况，要及时向当地环保部门报告，并如实记录备查。</w:t>
      </w:r>
    </w:p>
    <w:p>
      <w:pPr>
        <w:pStyle w:val="11"/>
        <w:pageBreakBefore w:val="0"/>
        <w:widowControl w:val="0"/>
        <w:kinsoku/>
        <w:wordWrap/>
        <w:overflowPunct/>
        <w:topLinePunct w:val="0"/>
        <w:bidi w:val="0"/>
        <w:adjustRightInd w:val="0"/>
        <w:snapToGrid w:val="0"/>
        <w:spacing w:line="360" w:lineRule="auto"/>
        <w:ind w:firstLine="562" w:firstLineChars="200"/>
        <w:jc w:val="both"/>
        <w:textAlignment w:val="auto"/>
        <w:rPr>
          <w:rFonts w:ascii="Times New Roman" w:hAnsi="Times New Roman" w:cs="Times New Roman"/>
          <w:b/>
          <w:color w:val="auto"/>
          <w:kern w:val="2"/>
          <w:sz w:val="28"/>
          <w:szCs w:val="28"/>
        </w:rPr>
      </w:pPr>
      <w:r>
        <w:rPr>
          <w:rFonts w:hint="eastAsia" w:ascii="Times New Roman" w:hAnsi="Times New Roman" w:cs="Times New Roman"/>
          <w:b/>
          <w:color w:val="auto"/>
          <w:kern w:val="2"/>
          <w:sz w:val="28"/>
          <w:szCs w:val="28"/>
          <w:lang w:eastAsia="zh-CN"/>
        </w:rPr>
        <w:t>八</w:t>
      </w:r>
      <w:r>
        <w:rPr>
          <w:rFonts w:ascii="Times New Roman" w:hAnsi="Times New Roman" w:cs="Times New Roman"/>
          <w:b/>
          <w:color w:val="auto"/>
          <w:kern w:val="2"/>
          <w:sz w:val="28"/>
          <w:szCs w:val="28"/>
        </w:rPr>
        <w:t>、验收人员信息</w:t>
      </w:r>
    </w:p>
    <w:p>
      <w:pPr>
        <w:pStyle w:val="11"/>
        <w:pageBreakBefore w:val="0"/>
        <w:widowControl w:val="0"/>
        <w:kinsoku/>
        <w:wordWrap/>
        <w:overflowPunct/>
        <w:topLinePunct w:val="0"/>
        <w:bidi w:val="0"/>
        <w:adjustRightInd w:val="0"/>
        <w:snapToGrid w:val="0"/>
        <w:spacing w:line="360" w:lineRule="auto"/>
        <w:ind w:firstLine="560" w:firstLineChars="200"/>
        <w:jc w:val="both"/>
        <w:textAlignment w:val="auto"/>
        <w:rPr>
          <w:rFonts w:ascii="Times New Roman" w:hAnsi="Times New Roman" w:cs="Times New Roman"/>
          <w:color w:val="auto"/>
          <w:kern w:val="2"/>
          <w:sz w:val="28"/>
          <w:szCs w:val="28"/>
        </w:rPr>
      </w:pPr>
      <w:r>
        <w:rPr>
          <w:rFonts w:ascii="Times New Roman" w:hAnsi="Times New Roman" w:cs="Times New Roman"/>
          <w:color w:val="auto"/>
          <w:kern w:val="2"/>
          <w:sz w:val="28"/>
          <w:szCs w:val="28"/>
        </w:rPr>
        <w:t>参加验收的单位及人员信息、验收负责人名单附后。</w:t>
      </w:r>
    </w:p>
    <w:p>
      <w:pPr>
        <w:pageBreakBefore w:val="0"/>
        <w:widowControl w:val="0"/>
        <w:kinsoku/>
        <w:wordWrap/>
        <w:overflowPunct/>
        <w:topLinePunct w:val="0"/>
        <w:bidi w:val="0"/>
        <w:adjustRightInd w:val="0"/>
        <w:snapToGrid w:val="0"/>
        <w:spacing w:line="360" w:lineRule="auto"/>
        <w:ind w:right="552" w:firstLine="560" w:firstLineChars="200"/>
        <w:textAlignment w:val="auto"/>
        <w:rPr>
          <w:rFonts w:ascii="Times New Roman" w:hAnsi="Times New Roman" w:eastAsia="宋体" w:cs="Times New Roman"/>
          <w:color w:val="auto"/>
          <w:sz w:val="28"/>
          <w:szCs w:val="28"/>
        </w:rPr>
      </w:pPr>
    </w:p>
    <w:p>
      <w:pPr>
        <w:pageBreakBefore w:val="0"/>
        <w:widowControl w:val="0"/>
        <w:kinsoku/>
        <w:wordWrap/>
        <w:overflowPunct/>
        <w:topLinePunct w:val="0"/>
        <w:bidi w:val="0"/>
        <w:adjustRightInd w:val="0"/>
        <w:snapToGrid w:val="0"/>
        <w:spacing w:line="360" w:lineRule="auto"/>
        <w:ind w:right="552" w:firstLine="560" w:firstLineChars="200"/>
        <w:jc w:val="center"/>
        <w:textAlignment w:val="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 xml:space="preserve">                                           验 收 组 </w:t>
      </w:r>
    </w:p>
    <w:p>
      <w:pPr>
        <w:pageBreakBefore w:val="0"/>
        <w:widowControl w:val="0"/>
        <w:kinsoku/>
        <w:wordWrap/>
        <w:overflowPunct/>
        <w:topLinePunct w:val="0"/>
        <w:bidi w:val="0"/>
        <w:adjustRightInd w:val="0"/>
        <w:snapToGrid w:val="0"/>
        <w:spacing w:line="360" w:lineRule="auto"/>
        <w:ind w:firstLine="560" w:firstLineChars="200"/>
        <w:jc w:val="center"/>
        <w:textAlignment w:val="auto"/>
      </w:pPr>
      <w:r>
        <w:rPr>
          <w:rFonts w:ascii="Times New Roman" w:hAnsi="Times New Roman" w:eastAsia="宋体" w:cs="Times New Roman"/>
          <w:color w:val="auto"/>
          <w:sz w:val="28"/>
          <w:szCs w:val="28"/>
        </w:rPr>
        <w:t xml:space="preserve">                                     20</w:t>
      </w:r>
      <w:r>
        <w:rPr>
          <w:rFonts w:hint="eastAsia" w:ascii="Times New Roman" w:hAnsi="Times New Roman" w:eastAsia="宋体" w:cs="Times New Roman"/>
          <w:color w:val="auto"/>
          <w:sz w:val="28"/>
          <w:szCs w:val="28"/>
          <w:lang w:val="en-US" w:eastAsia="zh-CN"/>
        </w:rPr>
        <w:t>20</w:t>
      </w:r>
      <w:r>
        <w:rPr>
          <w:rFonts w:ascii="Times New Roman" w:hAnsi="Times New Roman" w:eastAsia="宋体" w:cs="Times New Roman"/>
          <w:color w:val="auto"/>
          <w:sz w:val="28"/>
          <w:szCs w:val="28"/>
        </w:rPr>
        <w:t>年</w:t>
      </w:r>
      <w:r>
        <w:rPr>
          <w:rFonts w:hint="eastAsia" w:cs="Times New Roman"/>
          <w:color w:val="auto"/>
          <w:sz w:val="28"/>
          <w:szCs w:val="28"/>
          <w:lang w:val="en-US" w:eastAsia="zh-CN"/>
        </w:rPr>
        <w:t>9</w:t>
      </w:r>
      <w:r>
        <w:rPr>
          <w:rFonts w:ascii="Times New Roman" w:hAnsi="Times New Roman" w:eastAsia="宋体" w:cs="Times New Roman"/>
          <w:color w:val="auto"/>
          <w:sz w:val="28"/>
          <w:szCs w:val="28"/>
        </w:rPr>
        <w:t>月</w:t>
      </w:r>
      <w:r>
        <w:rPr>
          <w:rFonts w:hint="eastAsia" w:cs="Times New Roman"/>
          <w:color w:val="auto"/>
          <w:sz w:val="28"/>
          <w:szCs w:val="28"/>
          <w:lang w:val="en-US" w:eastAsia="zh-CN"/>
        </w:rPr>
        <w:t>6</w:t>
      </w:r>
      <w:r>
        <w:rPr>
          <w:rFonts w:ascii="Times New Roman" w:hAnsi="Times New Roman" w:eastAsia="宋体" w:cs="Times New Roman"/>
          <w:color w:val="auto"/>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6E7894"/>
    <w:rsid w:val="16154823"/>
    <w:rsid w:val="1A2F68F2"/>
    <w:rsid w:val="1D507191"/>
    <w:rsid w:val="221A1B2F"/>
    <w:rsid w:val="2F1C03A5"/>
    <w:rsid w:val="33E67DEE"/>
    <w:rsid w:val="3519185B"/>
    <w:rsid w:val="3E1F6B53"/>
    <w:rsid w:val="5B5D2444"/>
    <w:rsid w:val="5E894C07"/>
    <w:rsid w:val="5FA7304C"/>
    <w:rsid w:val="65E778D1"/>
    <w:rsid w:val="693515F5"/>
    <w:rsid w:val="72D761D7"/>
    <w:rsid w:val="77675C10"/>
    <w:rsid w:val="7B8F1FB6"/>
    <w:rsid w:val="7B9E5A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3"/>
    <w:basedOn w:val="1"/>
    <w:next w:val="1"/>
    <w:qFormat/>
    <w:uiPriority w:val="0"/>
    <w:pPr>
      <w:keepNext/>
      <w:keepLines/>
      <w:adjustRightInd w:val="0"/>
      <w:snapToGrid w:val="0"/>
      <w:spacing w:line="360" w:lineRule="auto"/>
      <w:outlineLvl w:val="2"/>
    </w:pPr>
    <w:rPr>
      <w:b/>
      <w:bCs/>
      <w:sz w:val="2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spacing w:after="120"/>
      <w:ind w:left="420" w:leftChars="200" w:firstLine="420"/>
    </w:pPr>
  </w:style>
  <w:style w:type="paragraph" w:styleId="3">
    <w:name w:val="Body Text Indent"/>
    <w:basedOn w:val="1"/>
    <w:next w:val="4"/>
    <w:qFormat/>
    <w:uiPriority w:val="0"/>
    <w:pPr>
      <w:spacing w:line="360" w:lineRule="auto"/>
      <w:ind w:firstLine="560" w:firstLineChars="200"/>
    </w:pPr>
    <w:rPr>
      <w:sz w:val="28"/>
      <w:szCs w:val="28"/>
    </w:rPr>
  </w:style>
  <w:style w:type="paragraph" w:customStyle="1" w:styleId="4">
    <w:name w:val="样式 正文文本缩进 + 行距: 1.5 倍行距"/>
    <w:basedOn w:val="3"/>
    <w:qFormat/>
    <w:uiPriority w:val="0"/>
    <w:pPr>
      <w:spacing w:after="120"/>
      <w:ind w:left="90" w:leftChars="32"/>
    </w:pPr>
    <w:rPr>
      <w:rFonts w:cs="宋体"/>
      <w:sz w:val="24"/>
      <w:szCs w:val="20"/>
    </w:rPr>
  </w:style>
  <w:style w:type="paragraph" w:styleId="6">
    <w:name w:val="annotation text"/>
    <w:basedOn w:val="1"/>
    <w:qFormat/>
    <w:uiPriority w:val="0"/>
    <w:pPr>
      <w:jc w:val="left"/>
    </w:pPr>
  </w:style>
  <w:style w:type="paragraph" w:styleId="7">
    <w:name w:val="Plain Text"/>
    <w:basedOn w:val="1"/>
    <w:qFormat/>
    <w:uiPriority w:val="99"/>
    <w:rPr>
      <w:rFonts w:ascii="宋体" w:hAnsi="Courier New"/>
      <w:szCs w:val="21"/>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2">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13">
    <w:name w:val="文字描述"/>
    <w:basedOn w:val="1"/>
    <w:qFormat/>
    <w:uiPriority w:val="0"/>
    <w:pPr>
      <w:widowControl w:val="0"/>
      <w:spacing w:after="0" w:line="360" w:lineRule="auto"/>
      <w:ind w:firstLine="200" w:firstLineChars="200"/>
      <w:jc w:val="both"/>
    </w:pPr>
    <w:rPr>
      <w:rFonts w:ascii="Times New Roman" w:hAnsi="Times New Roman" w:eastAsia="宋体" w:cs="Times New Roman"/>
      <w:spacing w:val="-2"/>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2020-04-21T07:53:00Z</dcterms:created>
  <dc:creator>Administrator</dc:creator>
  <cp:lastModifiedBy>Administrator</cp:lastModifiedBy>
  <cp:lastPrinted>2020-09-03T02:13:00Z</cp:lastPrinted>
  <dcterms:modified xsi:type="dcterms:W3CDTF">2020-11-03T02:27:42Z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