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宋体" w:hAnsi="宋体" w:eastAsia="宋体" w:cs="宋体"/>
          <w:b/>
          <w:bCs/>
          <w:sz w:val="32"/>
          <w:szCs w:val="32"/>
        </w:rPr>
      </w:pPr>
      <w:r>
        <w:rPr>
          <w:rFonts w:hint="default" w:ascii="宋体" w:hAnsi="宋体" w:eastAsia="宋体" w:cs="宋体"/>
          <w:b/>
          <w:bCs/>
          <w:sz w:val="32"/>
          <w:szCs w:val="32"/>
          <w:lang w:val="en-US" w:eastAsia="zh-CN"/>
        </w:rPr>
        <w:t>德州</w:t>
      </w:r>
      <w:r>
        <w:rPr>
          <w:rFonts w:hint="eastAsia" w:ascii="宋体" w:hAnsi="宋体" w:eastAsia="宋体" w:cs="宋体"/>
          <w:b/>
          <w:bCs/>
          <w:sz w:val="32"/>
          <w:szCs w:val="32"/>
          <w:lang w:val="en-US" w:eastAsia="zh-CN"/>
        </w:rPr>
        <w:t>乐桥建材</w:t>
      </w:r>
      <w:r>
        <w:rPr>
          <w:rFonts w:hint="default" w:ascii="宋体" w:hAnsi="宋体" w:eastAsia="宋体" w:cs="宋体"/>
          <w:b/>
          <w:bCs/>
          <w:sz w:val="32"/>
          <w:szCs w:val="32"/>
          <w:lang w:val="en-US" w:eastAsia="zh-CN"/>
        </w:rPr>
        <w:t>有限公司</w:t>
      </w:r>
      <w:r>
        <w:rPr>
          <w:rFonts w:hint="eastAsia" w:ascii="宋体" w:hAnsi="宋体" w:cs="宋体"/>
          <w:b/>
          <w:bCs/>
          <w:sz w:val="32"/>
          <w:szCs w:val="32"/>
          <w:lang w:val="en-US" w:eastAsia="zh-CN"/>
        </w:rPr>
        <w:t>年新增8000吨混凝土水泥制品扩建项目（不含钢筋加工和混凝土加工生产线）</w:t>
      </w:r>
      <w:r>
        <w:rPr>
          <w:rFonts w:ascii="宋体" w:hAnsi="宋体" w:eastAsia="宋体" w:cs="宋体"/>
          <w:b/>
          <w:bCs/>
          <w:sz w:val="32"/>
          <w:szCs w:val="32"/>
        </w:rPr>
        <w:t>竣工环境保护验收意见</w:t>
      </w:r>
    </w:p>
    <w:p>
      <w:pPr>
        <w:spacing w:after="0" w:line="360" w:lineRule="auto"/>
        <w:ind w:firstLine="360" w:firstLineChars="200"/>
        <w:jc w:val="both"/>
        <w:rPr>
          <w:rFonts w:ascii="Times New Roman" w:hAnsi="Times New Roman" w:eastAsia="宋体" w:cs="Times New Roman"/>
          <w:color w:val="000000"/>
          <w:sz w:val="18"/>
          <w:szCs w:val="18"/>
        </w:rPr>
      </w:pP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eastAsia"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20</w:t>
      </w:r>
      <w:r>
        <w:rPr>
          <w:rFonts w:hint="eastAsia" w:ascii="Times New Roman" w:hAnsi="Times New Roman" w:eastAsia="宋体" w:cs="Times New Roman"/>
          <w:color w:val="000000"/>
          <w:sz w:val="28"/>
          <w:szCs w:val="28"/>
          <w:lang w:val="en-US" w:eastAsia="zh-CN"/>
        </w:rPr>
        <w:t>20</w:t>
      </w:r>
      <w:r>
        <w:rPr>
          <w:rFonts w:hint="eastAsia" w:ascii="Times New Roman" w:hAnsi="Times New Roman" w:eastAsia="宋体" w:cs="Times New Roman"/>
          <w:color w:val="000000"/>
          <w:sz w:val="28"/>
          <w:szCs w:val="28"/>
        </w:rPr>
        <w:t>年</w:t>
      </w:r>
      <w:r>
        <w:rPr>
          <w:rFonts w:hint="eastAsia" w:cs="Times New Roman"/>
          <w:color w:val="000000"/>
          <w:sz w:val="28"/>
          <w:szCs w:val="28"/>
          <w:lang w:val="en-US" w:eastAsia="zh-CN"/>
        </w:rPr>
        <w:t>9</w:t>
      </w:r>
      <w:r>
        <w:rPr>
          <w:rFonts w:hint="eastAsia" w:ascii="Times New Roman" w:hAnsi="Times New Roman" w:eastAsia="宋体" w:cs="Times New Roman"/>
          <w:color w:val="000000"/>
          <w:sz w:val="28"/>
          <w:szCs w:val="28"/>
        </w:rPr>
        <w:t>月</w:t>
      </w:r>
      <w:r>
        <w:rPr>
          <w:rFonts w:hint="eastAsia" w:cs="Times New Roman"/>
          <w:color w:val="000000"/>
          <w:sz w:val="28"/>
          <w:szCs w:val="28"/>
          <w:lang w:val="en-US" w:eastAsia="zh-CN"/>
        </w:rPr>
        <w:t>6</w:t>
      </w:r>
      <w:r>
        <w:rPr>
          <w:rFonts w:hint="eastAsia" w:ascii="Times New Roman" w:hAnsi="Times New Roman" w:eastAsia="宋体" w:cs="Times New Roman"/>
          <w:color w:val="000000"/>
          <w:sz w:val="28"/>
          <w:szCs w:val="28"/>
        </w:rPr>
        <w:t>日，</w:t>
      </w:r>
      <w:r>
        <w:rPr>
          <w:rFonts w:hint="eastAsia" w:cs="Times New Roman"/>
          <w:color w:val="000000"/>
          <w:sz w:val="28"/>
          <w:szCs w:val="28"/>
          <w:lang w:val="en-US" w:eastAsia="zh-CN"/>
        </w:rPr>
        <w:t>德州乐桥建材有限公司</w:t>
      </w:r>
      <w:r>
        <w:rPr>
          <w:rFonts w:hint="eastAsia" w:ascii="Times New Roman" w:hAnsi="Times New Roman" w:eastAsia="宋体" w:cs="Times New Roman"/>
          <w:color w:val="000000"/>
          <w:sz w:val="28"/>
          <w:szCs w:val="28"/>
        </w:rPr>
        <w:t>根据</w:t>
      </w:r>
      <w:r>
        <w:rPr>
          <w:rFonts w:hint="eastAsia" w:cs="Times New Roman"/>
          <w:color w:val="000000"/>
          <w:sz w:val="28"/>
          <w:szCs w:val="28"/>
          <w:lang w:val="en-US" w:eastAsia="zh-CN"/>
        </w:rPr>
        <w:t>德州乐桥建材有限公司年新增8000吨混凝土水泥制品扩建项目（不含钢筋加工和混凝土加工生产线）</w:t>
      </w:r>
      <w:r>
        <w:rPr>
          <w:rFonts w:hint="eastAsia" w:ascii="Times New Roman" w:hAnsi="Times New Roman" w:eastAsia="宋体" w:cs="Times New Roman"/>
          <w:color w:val="000000"/>
          <w:sz w:val="28"/>
          <w:szCs w:val="28"/>
        </w:rPr>
        <w:t>竣工环境保护验收监测报告，并对照《建设项目竣工环境保护验收暂行办法》，严格依照国家有关法律、法规、建设项目竣工环境保护验收技术规范、本项目环境影响报告表和审批部门审批决定等要求，组织了项目竣工环境保护验收会，成立了验收工作组（名单附后）。验收组踏勘了项目现场、环保设施建设、运行情况及其它环保工作落实情况，听取了建设单位关于项目基本情况的介绍以及验收监测单位关于监测内容的介绍，经认真讨论和查阅资料，形成验收意见如下：</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2" w:firstLineChars="200"/>
        <w:textAlignment w:val="auto"/>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一、工程建设基本情况</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eastAsia="宋体" w:cs="Times New Roman"/>
          <w:color w:val="000000"/>
          <w:kern w:val="2"/>
          <w:sz w:val="28"/>
          <w:szCs w:val="28"/>
        </w:rPr>
      </w:pPr>
      <w:r>
        <w:rPr>
          <w:rFonts w:ascii="Times New Roman" w:hAnsi="宋体" w:eastAsia="宋体" w:cs="Times New Roman"/>
          <w:color w:val="000000"/>
          <w:kern w:val="2"/>
          <w:sz w:val="28"/>
          <w:szCs w:val="28"/>
        </w:rPr>
        <w:t>（一）建设地点、规模、主要建设内容</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eastAsia" w:ascii="Times New Roman" w:hAnsi="Times New Roman" w:eastAsia="微软雅黑" w:cs="Times New Roman"/>
          <w:color w:val="FF0000"/>
          <w:sz w:val="28"/>
          <w:szCs w:val="28"/>
          <w:lang w:eastAsia="zh-CN"/>
        </w:rPr>
      </w:pPr>
      <w:r>
        <w:rPr>
          <w:rFonts w:hint="eastAsia" w:ascii="Times New Roman" w:hAnsi="Times New Roman" w:eastAsia="宋体" w:cs="Times New Roman"/>
          <w:sz w:val="28"/>
          <w:szCs w:val="28"/>
          <w:lang w:val="en-US" w:eastAsia="zh-CN"/>
        </w:rPr>
        <w:t>项目位于山东省德州市临邑县宿安乡林场工业园内北侧路西，项目建成后年产</w:t>
      </w:r>
      <w:r>
        <w:rPr>
          <w:rFonts w:hint="eastAsia" w:cs="Times New Roman"/>
          <w:color w:val="000000"/>
          <w:sz w:val="28"/>
          <w:szCs w:val="28"/>
          <w:lang w:val="en-US" w:eastAsia="zh-CN"/>
        </w:rPr>
        <w:t>混凝土水泥制品8000吨</w:t>
      </w:r>
      <w:r>
        <w:rPr>
          <w:rFonts w:hint="eastAsia" w:ascii="Times New Roman" w:hAnsi="Times New Roman" w:eastAsia="宋体" w:cs="Times New Roman"/>
          <w:sz w:val="28"/>
          <w:szCs w:val="28"/>
          <w:lang w:val="en-US" w:eastAsia="zh-CN"/>
        </w:rPr>
        <w:t>，以钢筋半成品、混凝土为原料，生产混凝土水泥制品，主要生产工序包括钢筋绑扎、固定侧膜、浇筑、洒水养护、启膜等，钢筋加工和</w:t>
      </w:r>
      <w:bookmarkStart w:id="0" w:name="_GoBack"/>
      <w:bookmarkEnd w:id="0"/>
      <w:r>
        <w:rPr>
          <w:rFonts w:hint="eastAsia" w:ascii="Times New Roman" w:hAnsi="Times New Roman" w:eastAsia="宋体" w:cs="Times New Roman"/>
          <w:sz w:val="28"/>
          <w:szCs w:val="28"/>
          <w:lang w:val="en-US" w:eastAsia="zh-CN"/>
        </w:rPr>
        <w:t>混凝土加工依托年产16000方钢筋混凝土预制构件项目，不在本项目验收范围内。项目定员9人，年运行300天（4800h/a，2班制，每班8小时，夜间</w:t>
      </w:r>
      <w:r>
        <w:rPr>
          <w:rFonts w:hint="eastAsia" w:cs="Times New Roman"/>
          <w:sz w:val="28"/>
          <w:szCs w:val="28"/>
          <w:lang w:val="en-US" w:eastAsia="zh-CN"/>
        </w:rPr>
        <w:t>不生产</w:t>
      </w:r>
      <w:r>
        <w:rPr>
          <w:rFonts w:hint="eastAsia" w:ascii="Times New Roman" w:hAnsi="Times New Roman" w:eastAsia="宋体" w:cs="Times New Roman"/>
          <w:sz w:val="28"/>
          <w:szCs w:val="28"/>
          <w:lang w:val="en-US" w:eastAsia="zh-CN"/>
        </w:rPr>
        <w:t>）</w:t>
      </w:r>
      <w:r>
        <w:rPr>
          <w:rFonts w:hint="eastAsia" w:cs="Times New Roman"/>
          <w:sz w:val="28"/>
          <w:szCs w:val="28"/>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（二）建设过程及环保审批情况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hAnsi="宋体"/>
          <w:color w:val="000000"/>
          <w:sz w:val="28"/>
          <w:szCs w:val="28"/>
        </w:rPr>
      </w:pPr>
      <w:r>
        <w:rPr>
          <w:rFonts w:hint="eastAsia" w:ascii="Times New Roman" w:hAnsi="Times New Roman" w:eastAsia="宋体" w:cs="Times New Roman"/>
          <w:color w:val="000000"/>
          <w:sz w:val="28"/>
          <w:szCs w:val="28"/>
        </w:rPr>
        <w:t>本项</w:t>
      </w:r>
      <w:r>
        <w:rPr>
          <w:rFonts w:hint="eastAsia" w:ascii="Times New Roman" w:hAnsi="Times New Roman" w:cs="Times New Roman"/>
          <w:color w:val="000000"/>
          <w:sz w:val="28"/>
          <w:szCs w:val="28"/>
          <w:lang w:val="en-US" w:eastAsia="zh-CN"/>
        </w:rPr>
        <w:t>目属于</w:t>
      </w:r>
      <w:r>
        <w:rPr>
          <w:rFonts w:hint="eastAsia" w:cs="Times New Roman"/>
          <w:color w:val="000000"/>
          <w:sz w:val="28"/>
          <w:szCs w:val="28"/>
          <w:lang w:val="en-US" w:eastAsia="zh-CN"/>
        </w:rPr>
        <w:t>改扩建</w:t>
      </w:r>
      <w:r>
        <w:rPr>
          <w:rFonts w:hint="eastAsia" w:ascii="Times New Roman" w:hAnsi="Times New Roman" w:cs="Times New Roman"/>
          <w:color w:val="000000"/>
          <w:sz w:val="28"/>
          <w:szCs w:val="28"/>
          <w:lang w:val="en-US" w:eastAsia="zh-CN"/>
        </w:rPr>
        <w:t>项</w:t>
      </w:r>
      <w:r>
        <w:rPr>
          <w:rFonts w:hint="eastAsia" w:ascii="Times New Roman" w:hAnsi="Times New Roman" w:eastAsia="宋体" w:cs="Times New Roman"/>
          <w:color w:val="000000"/>
          <w:sz w:val="28"/>
          <w:szCs w:val="28"/>
          <w:lang w:val="en-US" w:eastAsia="zh-CN"/>
        </w:rPr>
        <w:t>目，</w:t>
      </w:r>
      <w:r>
        <w:rPr>
          <w:rFonts w:hint="eastAsia" w:ascii="Times New Roman" w:hAnsi="Times New Roman" w:eastAsia="宋体" w:cs="Times New Roman"/>
          <w:color w:val="000000"/>
          <w:sz w:val="28"/>
          <w:szCs w:val="28"/>
          <w:lang w:eastAsia="zh-CN"/>
        </w:rPr>
        <w:t>2020年6月</w:t>
      </w:r>
      <w:r>
        <w:rPr>
          <w:rFonts w:hint="eastAsia" w:ascii="Times New Roman" w:hAnsi="Times New Roman" w:eastAsia="宋体" w:cs="Times New Roman"/>
          <w:color w:val="000000"/>
          <w:sz w:val="28"/>
          <w:szCs w:val="28"/>
          <w:lang w:val="en-US" w:eastAsia="zh-CN"/>
        </w:rPr>
        <w:t>德州乐桥建材有限公司</w:t>
      </w:r>
      <w:r>
        <w:rPr>
          <w:rFonts w:hint="eastAsia" w:ascii="Times New Roman" w:hAnsi="Times New Roman" w:eastAsia="宋体" w:cs="Times New Roman"/>
          <w:color w:val="000000"/>
          <w:sz w:val="28"/>
          <w:szCs w:val="28"/>
        </w:rPr>
        <w:t>委托</w:t>
      </w:r>
      <w:r>
        <w:rPr>
          <w:rFonts w:hint="eastAsia" w:ascii="Times New Roman" w:hAnsi="Times New Roman" w:eastAsia="宋体" w:cs="Times New Roman"/>
          <w:color w:val="000000"/>
          <w:sz w:val="28"/>
          <w:szCs w:val="28"/>
          <w:lang w:val="en-US" w:eastAsia="zh-CN"/>
        </w:rPr>
        <w:t>德州正能环保科技有限公司</w:t>
      </w:r>
      <w:r>
        <w:rPr>
          <w:rFonts w:hint="eastAsia" w:ascii="Times New Roman" w:hAnsi="Times New Roman" w:eastAsia="宋体" w:cs="Times New Roman"/>
          <w:color w:val="000000"/>
          <w:sz w:val="28"/>
          <w:szCs w:val="28"/>
        </w:rPr>
        <w:t>编制完成《</w:t>
      </w:r>
      <w:r>
        <w:rPr>
          <w:rFonts w:hint="eastAsia" w:ascii="Times New Roman" w:hAnsi="Times New Roman" w:eastAsia="宋体" w:cs="Times New Roman"/>
          <w:color w:val="000000"/>
          <w:sz w:val="28"/>
          <w:szCs w:val="28"/>
          <w:lang w:val="en-US" w:eastAsia="zh-CN"/>
        </w:rPr>
        <w:t>德州乐桥建材有限公司年新增8000吨混凝土水泥制品扩建项目</w:t>
      </w:r>
      <w:r>
        <w:rPr>
          <w:rFonts w:hint="eastAsia" w:ascii="Times New Roman" w:hAnsi="Times New Roman" w:eastAsia="宋体" w:cs="Times New Roman"/>
          <w:color w:val="000000"/>
          <w:sz w:val="28"/>
          <w:szCs w:val="28"/>
          <w:lang w:eastAsia="zh-CN"/>
        </w:rPr>
        <w:t>环境影响报告表</w:t>
      </w:r>
      <w:r>
        <w:rPr>
          <w:rFonts w:hint="eastAsia" w:ascii="Times New Roman" w:hAnsi="Times New Roman" w:eastAsia="宋体" w:cs="Times New Roman"/>
          <w:color w:val="000000"/>
          <w:sz w:val="28"/>
          <w:szCs w:val="28"/>
        </w:rPr>
        <w:t>》，</w:t>
      </w:r>
      <w:r>
        <w:rPr>
          <w:rFonts w:hint="eastAsia" w:ascii="Times New Roman" w:hAnsi="Times New Roman" w:eastAsia="宋体" w:cs="Times New Roman"/>
          <w:color w:val="000000"/>
          <w:sz w:val="28"/>
          <w:szCs w:val="28"/>
          <w:lang w:val="en-US" w:eastAsia="zh-CN"/>
        </w:rPr>
        <w:t>2020年7月28日，临邑县行政审批服务局以临审环报告表[2020]94号对本项目的环境影响报告表进行了批复。</w:t>
      </w:r>
      <w:r>
        <w:rPr>
          <w:rFonts w:hint="eastAsia" w:ascii="Times New Roman" w:hAnsi="Times New Roman" w:cs="Times New Roman"/>
          <w:color w:val="000000"/>
          <w:sz w:val="28"/>
          <w:szCs w:val="28"/>
          <w:lang w:val="en-US" w:eastAsia="zh-CN"/>
        </w:rPr>
        <w:t>项目于20</w:t>
      </w:r>
      <w:r>
        <w:rPr>
          <w:rFonts w:hint="eastAsia" w:cs="Times New Roman"/>
          <w:color w:val="000000"/>
          <w:sz w:val="28"/>
          <w:szCs w:val="28"/>
          <w:lang w:val="en-US" w:eastAsia="zh-CN"/>
        </w:rPr>
        <w:t>20</w:t>
      </w:r>
      <w:r>
        <w:rPr>
          <w:rFonts w:hint="eastAsia" w:ascii="Times New Roman" w:hAnsi="Times New Roman" w:cs="Times New Roman"/>
          <w:color w:val="000000"/>
          <w:sz w:val="28"/>
          <w:szCs w:val="28"/>
          <w:lang w:val="en-US" w:eastAsia="zh-CN"/>
        </w:rPr>
        <w:t>年7月开工建设，2020年</w:t>
      </w:r>
      <w:r>
        <w:rPr>
          <w:rFonts w:hint="eastAsia" w:cs="Times New Roman"/>
          <w:color w:val="000000"/>
          <w:sz w:val="28"/>
          <w:szCs w:val="28"/>
          <w:lang w:val="en-US" w:eastAsia="zh-CN"/>
        </w:rPr>
        <w:t>7</w:t>
      </w:r>
      <w:r>
        <w:rPr>
          <w:rFonts w:hint="eastAsia" w:ascii="Times New Roman" w:hAnsi="Times New Roman" w:cs="Times New Roman"/>
          <w:color w:val="000000"/>
          <w:sz w:val="28"/>
          <w:szCs w:val="28"/>
          <w:lang w:val="en-US" w:eastAsia="zh-CN"/>
        </w:rPr>
        <w:t>月建设完工。</w:t>
      </w:r>
      <w:r>
        <w:rPr>
          <w:rFonts w:hint="eastAsia" w:hAnsi="宋体"/>
          <w:color w:val="000000"/>
          <w:sz w:val="28"/>
          <w:szCs w:val="28"/>
        </w:rPr>
        <w:t>项目建设及调试运行期间，无环境投诉、违法或处罚记录等。</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（三）投资情况</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sz w:val="28"/>
          <w:szCs w:val="28"/>
        </w:rPr>
      </w:pPr>
      <w:r>
        <w:rPr>
          <w:rFonts w:ascii="Times New Roman" w:hAnsi="Times New Roman" w:cs="Times New Roman"/>
          <w:color w:val="000000"/>
          <w:kern w:val="2"/>
          <w:sz w:val="28"/>
          <w:szCs w:val="28"/>
        </w:rPr>
        <w:t>项目实</w:t>
      </w:r>
      <w:r>
        <w:rPr>
          <w:rFonts w:ascii="Times New Roman" w:hAnsi="Times New Roman" w:cs="Times New Roman"/>
          <w:sz w:val="28"/>
          <w:szCs w:val="28"/>
        </w:rPr>
        <w:t>际总投资</w:t>
      </w:r>
      <w:r>
        <w:rPr>
          <w:rFonts w:hint="eastAsia" w:ascii="Times New Roman" w:hAnsi="Times New Roman" w:cs="Times New Roman"/>
          <w:sz w:val="28"/>
          <w:szCs w:val="28"/>
          <w:lang w:val="en-US" w:eastAsia="zh-CN"/>
        </w:rPr>
        <w:t>5000</w:t>
      </w:r>
      <w:r>
        <w:rPr>
          <w:rFonts w:ascii="Times New Roman" w:hAnsi="Times New Roman" w:cs="Times New Roman"/>
          <w:sz w:val="28"/>
          <w:szCs w:val="28"/>
        </w:rPr>
        <w:t>万元，环保投资</w:t>
      </w:r>
      <w:r>
        <w:rPr>
          <w:rFonts w:hint="eastAsia" w:ascii="Times New Roman" w:hAnsi="Times New Roman" w:cs="Times New Roman"/>
          <w:sz w:val="28"/>
          <w:szCs w:val="28"/>
          <w:lang w:val="en-US" w:eastAsia="zh-CN"/>
        </w:rPr>
        <w:t>100</w:t>
      </w:r>
      <w:r>
        <w:rPr>
          <w:rFonts w:ascii="Times New Roman" w:hAnsi="Times New Roman" w:cs="Times New Roman"/>
          <w:sz w:val="28"/>
          <w:szCs w:val="28"/>
        </w:rPr>
        <w:t>万元。</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（四）验收范围</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sz w:val="28"/>
          <w:szCs w:val="28"/>
        </w:rPr>
      </w:pPr>
      <w:r>
        <w:rPr>
          <w:rFonts w:hint="eastAsia" w:ascii="Times New Roman" w:hAnsi="Times New Roman" w:cs="Times New Roman"/>
          <w:color w:val="000000"/>
          <w:sz w:val="28"/>
          <w:szCs w:val="28"/>
          <w:lang w:val="en-US" w:eastAsia="zh-CN"/>
        </w:rPr>
        <w:t>德州乐桥建材有限公司年新增8000吨混凝土水泥制品扩建项目（不含钢筋加工和混凝土加工生产线）及其配套的环保设施及公辅工程。</w:t>
      </w:r>
    </w:p>
    <w:p>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562" w:firstLineChars="200"/>
        <w:jc w:val="both"/>
        <w:textAlignment w:val="auto"/>
        <w:outlineLvl w:val="0"/>
        <w:rPr>
          <w:rFonts w:hint="eastAsia" w:ascii="Times New Roman" w:hAnsi="Times New Roman" w:eastAsia="宋体" w:cs="Times New Roman"/>
          <w:color w:val="000000"/>
          <w:kern w:val="2"/>
          <w:sz w:val="28"/>
          <w:szCs w:val="28"/>
          <w:shd w:val="clear" w:color="auto" w:fill="FFFFFF"/>
          <w:lang w:val="en-US" w:eastAsia="zh-CN" w:bidi="ar-SA"/>
        </w:rPr>
      </w:pPr>
      <w:r>
        <w:rPr>
          <w:rFonts w:ascii="Times New Roman" w:hAnsi="Times New Roman" w:cs="Times New Roman"/>
          <w:b/>
          <w:color w:val="000000"/>
          <w:kern w:val="2"/>
          <w:sz w:val="28"/>
          <w:szCs w:val="28"/>
        </w:rPr>
        <w:t>二、工程变动情况</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eastAsia" w:ascii="Times New Roman" w:hAnsi="Times New Roman" w:eastAsia="宋体" w:cs="Times New Roman"/>
          <w:color w:val="000000"/>
          <w:kern w:val="2"/>
          <w:sz w:val="28"/>
          <w:szCs w:val="28"/>
          <w:shd w:val="clear" w:color="auto" w:fill="FFFFFF"/>
          <w:lang w:val="en-US" w:eastAsia="zh-CN" w:bidi="ar-SA"/>
        </w:rPr>
      </w:pPr>
      <w:r>
        <w:rPr>
          <w:rFonts w:hint="eastAsia" w:ascii="Times New Roman" w:hAnsi="Times New Roman" w:eastAsia="宋体" w:cs="Times New Roman"/>
          <w:color w:val="000000"/>
          <w:kern w:val="2"/>
          <w:sz w:val="28"/>
          <w:szCs w:val="28"/>
          <w:shd w:val="clear" w:color="auto" w:fill="FFFFFF"/>
          <w:lang w:val="en-US" w:eastAsia="zh-CN" w:bidi="ar-SA"/>
        </w:rPr>
        <w:t>经验收期间现场实际踏勘，项目实际建设内容与环评文件及批复对比，钢筋加工、混凝土加工依托公司年产16000方钢筋混凝土预制构件项目，本项目未建设钢筋加工、混凝土加工工序，生产设备减少，无其他变动。本项目属于部分验收，不含钢筋加工和混凝土加工生产线，根据《关于印发环评管理中部分行业建设项目重大变动清单的通知》（环办〔2015〕52号），本项目不属于重大变动。</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三、环境保护设施落实情况</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1、废水</w:t>
      </w:r>
    </w:p>
    <w:p>
      <w:pPr>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车辆冲洗</w:t>
      </w:r>
      <w:r>
        <w:rPr>
          <w:rFonts w:hint="eastAsia" w:cs="Times New Roman"/>
          <w:color w:val="auto"/>
          <w:sz w:val="28"/>
          <w:szCs w:val="28"/>
          <w:lang w:val="en-US" w:eastAsia="zh-CN"/>
        </w:rPr>
        <w:t>水</w:t>
      </w:r>
      <w:r>
        <w:rPr>
          <w:rFonts w:hint="eastAsia" w:ascii="Times New Roman" w:hAnsi="Times New Roman" w:cs="Times New Roman"/>
          <w:color w:val="auto"/>
          <w:sz w:val="28"/>
          <w:szCs w:val="28"/>
          <w:lang w:val="en-US" w:eastAsia="zh-CN"/>
        </w:rPr>
        <w:t>经沉淀处理后用于混凝土搅拌。</w:t>
      </w:r>
    </w:p>
    <w:p>
      <w:pPr>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Times New Roman" w:hAnsi="Times New Roman" w:cs="Times New Roman"/>
          <w:color w:val="auto"/>
          <w:sz w:val="28"/>
          <w:szCs w:val="28"/>
          <w:lang w:val="en-US" w:eastAsia="zh-CN"/>
        </w:rPr>
      </w:pPr>
      <w:r>
        <w:rPr>
          <w:rFonts w:hint="default" w:ascii="Times New Roman" w:hAnsi="Times New Roman" w:cs="Times New Roman"/>
          <w:color w:val="auto"/>
          <w:sz w:val="28"/>
          <w:szCs w:val="28"/>
          <w:lang w:val="en-US" w:eastAsia="zh-CN"/>
        </w:rPr>
        <w:t>生活污水经化粪池处理后，</w:t>
      </w:r>
      <w:r>
        <w:rPr>
          <w:rFonts w:hint="eastAsia" w:ascii="Times New Roman" w:hAnsi="Times New Roman" w:cs="Times New Roman"/>
          <w:color w:val="auto"/>
          <w:sz w:val="28"/>
          <w:szCs w:val="28"/>
          <w:lang w:val="en-US" w:eastAsia="zh-CN"/>
        </w:rPr>
        <w:t>委托当地的环卫部门清运处理。</w:t>
      </w:r>
    </w:p>
    <w:p>
      <w:pPr>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color w:val="auto"/>
          <w:sz w:val="28"/>
          <w:szCs w:val="28"/>
          <w:lang w:val="en-US" w:eastAsia="zh-CN"/>
        </w:rPr>
      </w:pPr>
      <w:r>
        <w:rPr>
          <w:rFonts w:hint="eastAsia"/>
          <w:color w:val="auto"/>
          <w:sz w:val="28"/>
          <w:szCs w:val="28"/>
          <w:lang w:val="en-US" w:eastAsia="zh-CN"/>
        </w:rPr>
        <w:t>2、废气</w:t>
      </w:r>
    </w:p>
    <w:p>
      <w:pPr>
        <w:pStyle w:val="2"/>
        <w:adjustRightInd w:val="0"/>
        <w:snapToGrid w:val="0"/>
        <w:spacing w:after="0" w:line="360" w:lineRule="auto"/>
        <w:ind w:left="0" w:leftChars="0" w:firstLine="560"/>
        <w:rPr>
          <w:rFonts w:hint="eastAsia" w:ascii="Times New Roman" w:hAnsi="Times New Roman" w:eastAsia="宋体" w:cs="Times New Roman"/>
          <w:color w:val="auto"/>
          <w:kern w:val="2"/>
          <w:sz w:val="28"/>
          <w:szCs w:val="28"/>
          <w:lang w:val="en-US" w:eastAsia="zh-CN" w:bidi="ar-SA"/>
        </w:rPr>
      </w:pPr>
      <w:r>
        <w:rPr>
          <w:rFonts w:hint="eastAsia" w:ascii="Times New Roman" w:hAnsi="Times New Roman" w:eastAsia="宋体" w:cs="Times New Roman"/>
          <w:color w:val="auto"/>
          <w:kern w:val="2"/>
          <w:sz w:val="28"/>
          <w:szCs w:val="28"/>
          <w:lang w:val="en-US" w:eastAsia="zh-CN" w:bidi="ar-SA"/>
        </w:rPr>
        <w:t>本项目产生废气主要为运输扬尘、原料堆场粉尘、装卸原料粉尘以无组织形式排放，采取的控制措施包括控制车速，洒水降尘，建设洗车平台，对进出车辆进行清洗；原料仓库密闭储存，设有喷淋装置，原料临时贮存进行覆盖。</w:t>
      </w:r>
    </w:p>
    <w:p>
      <w:pPr>
        <w:pStyle w:val="5"/>
        <w:pageBreakBefore w:val="0"/>
        <w:widowControl w:val="0"/>
        <w:kinsoku/>
        <w:wordWrap/>
        <w:overflowPunct/>
        <w:topLinePunct w:val="0"/>
        <w:bidi w:val="0"/>
        <w:adjustRightInd w:val="0"/>
        <w:snapToGrid w:val="0"/>
        <w:ind w:left="0" w:leftChars="0" w:firstLine="562" w:firstLineChars="200"/>
        <w:textAlignment w:val="auto"/>
        <w:rPr>
          <w:color w:val="auto"/>
          <w:sz w:val="28"/>
          <w:szCs w:val="28"/>
        </w:rPr>
      </w:pPr>
      <w:r>
        <w:rPr>
          <w:rFonts w:hint="default"/>
          <w:color w:val="auto"/>
          <w:sz w:val="28"/>
          <w:szCs w:val="28"/>
          <w:lang w:val="en-US"/>
        </w:rPr>
        <mc:AlternateContent>
          <mc:Choice Requires="wps">
            <w:drawing>
              <wp:anchor distT="0" distB="0" distL="114300" distR="114300" simplePos="0" relativeHeight="251664384" behindDoc="0" locked="0" layoutInCell="1" allowOverlap="1">
                <wp:simplePos x="0" y="0"/>
                <wp:positionH relativeFrom="column">
                  <wp:posOffset>6916420</wp:posOffset>
                </wp:positionH>
                <wp:positionV relativeFrom="paragraph">
                  <wp:posOffset>219710</wp:posOffset>
                </wp:positionV>
                <wp:extent cx="76200" cy="332105"/>
                <wp:effectExtent l="0" t="0" r="0" b="0"/>
                <wp:wrapNone/>
                <wp:docPr id="2" name="矩形 2"/>
                <wp:cNvGraphicFramePr/>
                <a:graphic xmlns:a="http://schemas.openxmlformats.org/drawingml/2006/main">
                  <a:graphicData uri="http://schemas.microsoft.com/office/word/2010/wordprocessingShape">
                    <wps:wsp>
                      <wps:cNvSpPr/>
                      <wps:spPr>
                        <a:xfrm flipH="1">
                          <a:off x="0" y="0"/>
                          <a:ext cx="76200" cy="332105"/>
                        </a:xfrm>
                        <a:prstGeom prst="rect">
                          <a:avLst/>
                        </a:prstGeom>
                        <a:noFill/>
                        <a:ln w="15875">
                          <a:noFill/>
                        </a:ln>
                      </wps:spPr>
                      <wps:txbx>
                        <w:txbxContent>
                          <w:p>
                            <w:pPr>
                              <w:rPr>
                                <w:rFonts w:hint="eastAsia"/>
                              </w:rPr>
                            </w:pPr>
                          </w:p>
                        </w:txbxContent>
                      </wps:txbx>
                      <wps:bodyPr upright="1"/>
                    </wps:wsp>
                  </a:graphicData>
                </a:graphic>
              </wp:anchor>
            </w:drawing>
          </mc:Choice>
          <mc:Fallback>
            <w:pict>
              <v:rect id="_x0000_s1026" o:spid="_x0000_s1026" o:spt="1" style="position:absolute;left:0pt;flip:x;margin-left:544.6pt;margin-top:17.3pt;height:26.15pt;width:6pt;z-index:251664384;mso-width-relative:page;mso-height-relative:page;" filled="f" stroked="f" coordsize="21600,21600" o:gfxdata="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LcyMFbXAAAACwEAAA8AAAAAAAAAAQAgAAAAIgAAAGRycy9k&#10;b3ducmV2LnhtbFBLAQIUABQAAAAIAIdO4kB2b34HkQEAAAUDAAAOAAAAAAAAAAEAIAAAACYBAABk&#10;cnMvZTJvRG9jLnhtbFBLBQYAAAAABgAGAFkBAAApBQAAAAA=&#10;">
                <v:fill on="f" focussize="0,0"/>
                <v:stroke on="f" weight="1.25pt"/>
                <v:imagedata o:title=""/>
                <o:lock v:ext="edit" aspectratio="f"/>
                <v:textbox>
                  <w:txbxContent>
                    <w:p>
                      <w:pPr>
                        <w:rPr>
                          <w:rFonts w:hint="eastAsia"/>
                        </w:rPr>
                      </w:pPr>
                    </w:p>
                  </w:txbxContent>
                </v:textbox>
              </v:rect>
            </w:pict>
          </mc:Fallback>
        </mc:AlternateContent>
      </w:r>
      <w:r>
        <w:rPr>
          <w:rFonts w:hint="default"/>
          <w:color w:val="auto"/>
          <w:sz w:val="28"/>
          <w:szCs w:val="28"/>
          <w:lang w:val="en-US"/>
        </w:rPr>
        <mc:AlternateContent>
          <mc:Choice Requires="wps">
            <w:drawing>
              <wp:anchor distT="0" distB="0" distL="114300" distR="114300" simplePos="0" relativeHeight="251663360" behindDoc="0" locked="0" layoutInCell="1" allowOverlap="1">
                <wp:simplePos x="0" y="0"/>
                <wp:positionH relativeFrom="column">
                  <wp:posOffset>-710565</wp:posOffset>
                </wp:positionH>
                <wp:positionV relativeFrom="paragraph">
                  <wp:posOffset>130810</wp:posOffset>
                </wp:positionV>
                <wp:extent cx="76200" cy="3764915"/>
                <wp:effectExtent l="0" t="0" r="0" b="0"/>
                <wp:wrapNone/>
                <wp:docPr id="1" name="矩形 1"/>
                <wp:cNvGraphicFramePr/>
                <a:graphic xmlns:a="http://schemas.openxmlformats.org/drawingml/2006/main">
                  <a:graphicData uri="http://schemas.microsoft.com/office/word/2010/wordprocessingShape">
                    <wps:wsp>
                      <wps:cNvSpPr/>
                      <wps:spPr>
                        <a:xfrm flipH="1">
                          <a:off x="0" y="0"/>
                          <a:ext cx="76200" cy="3764915"/>
                        </a:xfrm>
                        <a:prstGeom prst="rect">
                          <a:avLst/>
                        </a:prstGeom>
                        <a:noFill/>
                        <a:ln w="15875">
                          <a:noFill/>
                        </a:ln>
                      </wps:spPr>
                      <wps:txbx>
                        <w:txbxContent>
                          <w:p/>
                        </w:txbxContent>
                      </wps:txbx>
                      <wps:bodyPr upright="1"/>
                    </wps:wsp>
                  </a:graphicData>
                </a:graphic>
              </wp:anchor>
            </w:drawing>
          </mc:Choice>
          <mc:Fallback>
            <w:pict>
              <v:rect id="_x0000_s1026" o:spid="_x0000_s1026" o:spt="1" style="position:absolute;left:0pt;flip:x;margin-left:-55.95pt;margin-top:10.3pt;height:296.45pt;width:6pt;z-index:251663360;mso-width-relative:page;mso-height-relative:page;" filled="f" stroked="f" coordsize="21600,21600" o:gfxdata="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7E4eb2AAAAAsBAAAPAAAAAAAAAAEAIAAAACIAAABkcnMv&#10;ZG93bnJldi54bWxQSwECFAAUAAAACACHTuJA039DUZEBAAAGAwAADgAAAAAAAAABACAAAAAnAQAA&#10;ZHJzL2Uyb0RvYy54bWxQSwUGAAAAAAYABgBZAQAAKgUAAAAA&#10;">
                <v:fill on="f" focussize="0,0"/>
                <v:stroke on="f" weight="1.25pt"/>
                <v:imagedata o:title=""/>
                <o:lock v:ext="edit" aspectratio="f"/>
                <v:textbox>
                  <w:txbxContent>
                    <w:p/>
                  </w:txbxContent>
                </v:textbox>
              </v:rect>
            </w:pict>
          </mc:Fallback>
        </mc:AlternateContent>
      </w:r>
      <w:r>
        <w:rPr>
          <w:rFonts w:hint="eastAsia"/>
          <w:color w:val="auto"/>
          <w:sz w:val="28"/>
          <w:szCs w:val="28"/>
          <w:lang w:val="en-US" w:eastAsia="zh-CN"/>
        </w:rPr>
        <w:t>3、</w:t>
      </w:r>
      <w:r>
        <w:rPr>
          <w:color w:val="auto"/>
          <w:sz w:val="28"/>
          <w:szCs w:val="28"/>
        </w:rPr>
        <w:t>噪声</w:t>
      </w:r>
    </w:p>
    <w:p>
      <w:pPr>
        <w:adjustRightInd w:val="0"/>
        <w:snapToGrid w:val="0"/>
        <w:spacing w:line="360" w:lineRule="auto"/>
        <w:ind w:firstLine="560" w:firstLineChars="200"/>
        <w:rPr>
          <w:color w:val="C00000"/>
          <w:sz w:val="28"/>
          <w:szCs w:val="28"/>
        </w:rPr>
      </w:pPr>
      <w:r>
        <w:rPr>
          <w:rFonts w:hint="eastAsia" w:ascii="Times New Roman" w:hAnsi="Times New Roman" w:eastAsia="宋体" w:cs="Times New Roman"/>
          <w:color w:val="auto"/>
          <w:kern w:val="2"/>
          <w:sz w:val="28"/>
          <w:szCs w:val="28"/>
          <w:lang w:val="en-US" w:eastAsia="zh-CN" w:bidi="ar-SA"/>
        </w:rPr>
        <w:t>该项目营运期噪声主要来源于运输车辆、生产设备运转过程中产生的噪声。项目采取选用低噪声设备、基础减震、厂房隔声、加强设备维护、运输车辆禁鸣缓行等措施降低噪声的排放。</w:t>
      </w:r>
    </w:p>
    <w:p>
      <w:pPr>
        <w:pStyle w:val="5"/>
        <w:pageBreakBefore w:val="0"/>
        <w:widowControl w:val="0"/>
        <w:kinsoku/>
        <w:wordWrap/>
        <w:overflowPunct/>
        <w:topLinePunct w:val="0"/>
        <w:bidi w:val="0"/>
        <w:adjustRightInd w:val="0"/>
        <w:snapToGrid w:val="0"/>
        <w:ind w:left="0" w:leftChars="0" w:firstLine="562" w:firstLineChars="200"/>
        <w:textAlignment w:val="auto"/>
        <w:rPr>
          <w:color w:val="auto"/>
          <w:sz w:val="28"/>
          <w:szCs w:val="28"/>
        </w:rPr>
      </w:pPr>
      <w:r>
        <w:rPr>
          <w:rFonts w:hint="eastAsia"/>
          <w:color w:val="auto"/>
          <w:sz w:val="28"/>
          <w:szCs w:val="28"/>
          <w:lang w:val="en-US" w:eastAsia="zh-CN"/>
        </w:rPr>
        <w:t>4、</w:t>
      </w:r>
      <w:r>
        <w:rPr>
          <w:color w:val="auto"/>
          <w:sz w:val="28"/>
          <w:szCs w:val="28"/>
        </w:rPr>
        <w:t>固废</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本项目固废主要包括</w:t>
      </w:r>
      <w:r>
        <w:rPr>
          <w:rFonts w:hint="eastAsia" w:cs="Times New Roman"/>
          <w:color w:val="auto"/>
          <w:sz w:val="28"/>
          <w:szCs w:val="28"/>
          <w:lang w:val="en-US" w:eastAsia="zh-CN"/>
        </w:rPr>
        <w:t>：</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（1）生活垃圾：由环卫部门定期统一清理外运。</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（2）金属屑：钢筋切断过程中产生的金属屑的量为0.2t/a，收集后外售。</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（3）废钢筋：钢筋切断过程中产生的废钢筋的量为3.0t/a，收集后外售。</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（4）沉淀池沉渣：搅拌主机、车辆冲洗水沉淀产生的沉渣的量为0.3t/a，回用于生产。</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（5）机油桶：模具涂的隔离层的成分机油，每年废机油桶的产生量为5个，合计为0.1 t/a，供应企业回收利用。</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（6）废液压油：千斤顶产生废液压油的量为0.06 t/a，属于危险废物（废物类别：HW08废矿物油与含矿物油废物，废物代码：900-218-08），统一收集后委托资质的危险废物处理单位处理。</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（7）废液压油桶：本项目每年废液压油桶3个，合计为0.003 t/a，属于危险废物（废物类别：HW08废矿物油与含矿物油废物，废物代码：900-249-08），统一收集后委托有相应资质的危险废物处理单位处理</w:t>
      </w:r>
      <w:r>
        <w:rPr>
          <w:rFonts w:hint="eastAsia" w:hAnsi="宋体"/>
          <w:color w:val="000000"/>
          <w:sz w:val="24"/>
          <w:lang w:val="en-US" w:eastAsia="zh-CN"/>
        </w:rPr>
        <w:t>。</w:t>
      </w:r>
    </w:p>
    <w:p>
      <w:pPr>
        <w:pageBreakBefore w:val="0"/>
        <w:widowControl w:val="0"/>
        <w:kinsoku/>
        <w:wordWrap/>
        <w:overflowPunct/>
        <w:topLinePunct w:val="0"/>
        <w:bidi w:val="0"/>
        <w:adjustRightInd w:val="0"/>
        <w:snapToGrid w:val="0"/>
        <w:spacing w:after="0" w:line="360" w:lineRule="auto"/>
        <w:ind w:left="0" w:leftChars="0" w:firstLine="562" w:firstLineChars="200"/>
        <w:textAlignment w:val="auto"/>
        <w:rPr>
          <w:rFonts w:hint="eastAsia" w:ascii="Times New Roman" w:hAnsi="Times New Roman" w:eastAsia="宋体" w:cs="Times New Roman"/>
          <w:b/>
          <w:bCs/>
          <w:color w:val="auto"/>
          <w:kern w:val="2"/>
          <w:sz w:val="28"/>
          <w:szCs w:val="28"/>
          <w:lang w:val="en-US" w:eastAsia="zh-CN" w:bidi="ar-SA"/>
        </w:rPr>
      </w:pPr>
      <w:r>
        <w:rPr>
          <w:rFonts w:hint="eastAsia" w:ascii="Times New Roman" w:hAnsi="Times New Roman" w:eastAsia="宋体" w:cs="Times New Roman"/>
          <w:b/>
          <w:bCs/>
          <w:color w:val="auto"/>
          <w:kern w:val="2"/>
          <w:sz w:val="28"/>
          <w:szCs w:val="28"/>
          <w:lang w:val="en-US" w:eastAsia="zh-CN" w:bidi="ar-SA"/>
        </w:rPr>
        <w:t>5、其他环境保护设施</w:t>
      </w:r>
    </w:p>
    <w:p>
      <w:pPr>
        <w:pageBreakBefore w:val="0"/>
        <w:widowControl w:val="0"/>
        <w:kinsoku/>
        <w:wordWrap/>
        <w:overflowPunct/>
        <w:topLinePunct w:val="0"/>
        <w:bidi w:val="0"/>
        <w:adjustRightInd w:val="0"/>
        <w:snapToGrid w:val="0"/>
        <w:spacing w:after="0" w:line="360" w:lineRule="auto"/>
        <w:ind w:left="0" w:leftChars="0"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（1）环境风险防范设施</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项目无重大环境风险源，企业建设了相应风险防范设施。</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w:t>
      </w:r>
      <w:r>
        <w:rPr>
          <w:rFonts w:hint="eastAsia" w:ascii="Times New Roman" w:hAnsi="Times New Roman" w:eastAsia="宋体" w:cs="Times New Roman"/>
          <w:color w:val="auto"/>
          <w:sz w:val="28"/>
          <w:szCs w:val="28"/>
          <w:lang w:val="en-US" w:eastAsia="zh-CN"/>
        </w:rPr>
        <w:t>2</w:t>
      </w:r>
      <w:r>
        <w:rPr>
          <w:rFonts w:hint="eastAsia" w:ascii="Times New Roman" w:hAnsi="Times New Roman" w:eastAsia="宋体" w:cs="Times New Roman"/>
          <w:color w:val="auto"/>
          <w:sz w:val="28"/>
          <w:szCs w:val="28"/>
        </w:rPr>
        <w:t>）</w:t>
      </w:r>
      <w:r>
        <w:rPr>
          <w:rFonts w:ascii="Times New Roman" w:hAnsi="Times New Roman" w:eastAsia="宋体" w:cs="Times New Roman"/>
          <w:color w:val="auto"/>
          <w:sz w:val="28"/>
          <w:szCs w:val="28"/>
        </w:rPr>
        <w:t>环境管理及监测制度</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公司设立了环保管理机构，制订了《环境保护管理制度》等，对全厂的各项环保工作做出了相应的规定。</w:t>
      </w:r>
    </w:p>
    <w:p>
      <w:pPr>
        <w:pageBreakBefore w:val="0"/>
        <w:widowControl w:val="0"/>
        <w:kinsoku/>
        <w:wordWrap/>
        <w:overflowPunct/>
        <w:topLinePunct w:val="0"/>
        <w:autoSpaceDE w:val="0"/>
        <w:autoSpaceDN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四、环境保护设施调试效果</w:t>
      </w:r>
    </w:p>
    <w:p>
      <w:pPr>
        <w:pStyle w:val="7"/>
        <w:pageBreakBefore w:val="0"/>
        <w:widowControl w:val="0"/>
        <w:kinsoku/>
        <w:wordWrap/>
        <w:overflowPunct/>
        <w:topLinePunct w:val="0"/>
        <w:bidi w:val="0"/>
        <w:adjustRightInd w:val="0"/>
        <w:snapToGrid w:val="0"/>
        <w:spacing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本次竣工环境保护验收监测时间为</w:t>
      </w:r>
      <w:r>
        <w:rPr>
          <w:rFonts w:hint="eastAsia" w:ascii="Times New Roman" w:hAnsi="Times New Roman" w:eastAsia="宋体" w:cs="Times New Roman"/>
          <w:color w:val="auto"/>
          <w:sz w:val="28"/>
          <w:szCs w:val="28"/>
          <w:lang w:eastAsia="zh-CN"/>
        </w:rPr>
        <w:t>2020年7月30日~31日</w:t>
      </w:r>
      <w:r>
        <w:rPr>
          <w:rFonts w:hint="eastAsia" w:ascii="Times New Roman" w:hAnsi="Times New Roman" w:eastAsia="宋体" w:cs="Times New Roman"/>
          <w:color w:val="auto"/>
          <w:sz w:val="28"/>
          <w:szCs w:val="28"/>
        </w:rPr>
        <w:t>，验收监测期间，项目正常运行，工况稳定，符合验收监测条件。</w:t>
      </w:r>
    </w:p>
    <w:p>
      <w:pPr>
        <w:pageBreakBefore w:val="0"/>
        <w:widowControl w:val="0"/>
        <w:kinsoku/>
        <w:wordWrap/>
        <w:overflowPunct/>
        <w:topLinePunct w:val="0"/>
        <w:autoSpaceDE w:val="0"/>
        <w:autoSpaceDN w:val="0"/>
        <w:bidi w:val="0"/>
        <w:adjustRightInd w:val="0"/>
        <w:snapToGrid w:val="0"/>
        <w:spacing w:after="0" w:line="360" w:lineRule="auto"/>
        <w:ind w:firstLine="560" w:firstLineChars="200"/>
        <w:jc w:val="both"/>
        <w:textAlignment w:val="auto"/>
        <w:rPr>
          <w:rFonts w:ascii="Times New Roman" w:hAnsi="Times New Roman" w:eastAsia="宋体" w:cs="Times New Roman"/>
          <w:bCs/>
          <w:color w:val="auto"/>
          <w:sz w:val="28"/>
          <w:szCs w:val="28"/>
        </w:rPr>
      </w:pPr>
      <w:r>
        <w:rPr>
          <w:rFonts w:ascii="Times New Roman" w:hAnsi="Times New Roman" w:eastAsia="宋体" w:cs="Times New Roman"/>
          <w:bCs/>
          <w:color w:val="auto"/>
          <w:sz w:val="28"/>
          <w:szCs w:val="28"/>
        </w:rPr>
        <w:t>1、废气</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552" w:firstLineChars="200"/>
        <w:textAlignment w:val="auto"/>
        <w:rPr>
          <w:rFonts w:hint="eastAsia" w:ascii="Times New Roman" w:hAnsi="Times New Roman" w:cs="Times New Roman"/>
          <w:color w:val="auto"/>
          <w:spacing w:val="-2"/>
          <w:kern w:val="2"/>
          <w:sz w:val="28"/>
          <w:szCs w:val="28"/>
          <w:lang w:val="en-US" w:eastAsia="zh-CN" w:bidi="ar-SA"/>
        </w:rPr>
      </w:pPr>
      <w:r>
        <w:rPr>
          <w:rFonts w:hint="eastAsia" w:ascii="Times New Roman" w:hAnsi="Times New Roman" w:eastAsia="宋体" w:cs="Times New Roman"/>
          <w:color w:val="auto"/>
          <w:spacing w:val="-2"/>
          <w:kern w:val="2"/>
          <w:sz w:val="28"/>
          <w:szCs w:val="28"/>
          <w:lang w:val="en-US" w:eastAsia="zh-CN" w:bidi="ar-SA"/>
        </w:rPr>
        <w:t>验收监测期间，</w:t>
      </w:r>
      <w:r>
        <w:rPr>
          <w:rFonts w:hint="default" w:ascii="Times New Roman" w:hAnsi="Times New Roman" w:eastAsia="宋体" w:cs="Times New Roman"/>
          <w:color w:val="auto"/>
          <w:spacing w:val="-2"/>
          <w:kern w:val="2"/>
          <w:sz w:val="28"/>
          <w:szCs w:val="28"/>
          <w:lang w:val="en-US" w:eastAsia="zh-CN" w:bidi="ar-SA"/>
        </w:rPr>
        <w:t>德州</w:t>
      </w:r>
      <w:r>
        <w:rPr>
          <w:rFonts w:hint="eastAsia" w:ascii="Times New Roman" w:hAnsi="Times New Roman" w:eastAsia="宋体" w:cs="Times New Roman"/>
          <w:color w:val="auto"/>
          <w:spacing w:val="-2"/>
          <w:kern w:val="2"/>
          <w:sz w:val="28"/>
          <w:szCs w:val="28"/>
          <w:lang w:val="en-US" w:eastAsia="zh-CN" w:bidi="ar-SA"/>
        </w:rPr>
        <w:t>乐桥建材</w:t>
      </w:r>
      <w:r>
        <w:rPr>
          <w:rFonts w:hint="default" w:ascii="Times New Roman" w:hAnsi="Times New Roman" w:eastAsia="宋体" w:cs="Times New Roman"/>
          <w:color w:val="auto"/>
          <w:spacing w:val="-2"/>
          <w:kern w:val="2"/>
          <w:sz w:val="28"/>
          <w:szCs w:val="28"/>
          <w:lang w:val="en-US" w:eastAsia="zh-CN" w:bidi="ar-SA"/>
        </w:rPr>
        <w:t>有限公司</w:t>
      </w:r>
      <w:r>
        <w:rPr>
          <w:rFonts w:hint="eastAsia" w:ascii="Times New Roman" w:hAnsi="Times New Roman" w:eastAsia="宋体" w:cs="Times New Roman"/>
          <w:color w:val="auto"/>
          <w:spacing w:val="-2"/>
          <w:kern w:val="2"/>
          <w:sz w:val="28"/>
          <w:szCs w:val="28"/>
          <w:lang w:val="en-US" w:eastAsia="zh-CN" w:bidi="ar-SA"/>
        </w:rPr>
        <w:t>年新增8000吨混凝土水泥制品扩建项目（不含钢筋加工和混凝土加工生产线）厂界无组织排放颗粒物废气最大浓度为0.269mg/m</w:t>
      </w:r>
      <w:r>
        <w:rPr>
          <w:rFonts w:hint="eastAsia" w:ascii="Times New Roman" w:hAnsi="Times New Roman" w:eastAsia="宋体" w:cs="Times New Roman"/>
          <w:color w:val="auto"/>
          <w:spacing w:val="-2"/>
          <w:kern w:val="2"/>
          <w:sz w:val="28"/>
          <w:szCs w:val="28"/>
          <w:vertAlign w:val="superscript"/>
          <w:lang w:val="en-US" w:eastAsia="zh-CN" w:bidi="ar-SA"/>
        </w:rPr>
        <w:t>3</w:t>
      </w:r>
      <w:r>
        <w:rPr>
          <w:rFonts w:hint="eastAsia" w:ascii="Times New Roman" w:hAnsi="Times New Roman" w:eastAsia="宋体" w:cs="Times New Roman"/>
          <w:color w:val="auto"/>
          <w:spacing w:val="-2"/>
          <w:kern w:val="2"/>
          <w:sz w:val="28"/>
          <w:szCs w:val="28"/>
          <w:lang w:val="en-US" w:eastAsia="zh-CN" w:bidi="ar-SA"/>
        </w:rPr>
        <w:t>，</w:t>
      </w:r>
      <w:r>
        <w:rPr>
          <w:rFonts w:hint="default" w:ascii="Times New Roman" w:hAnsi="Times New Roman" w:eastAsia="宋体" w:cs="Times New Roman"/>
          <w:color w:val="auto"/>
          <w:spacing w:val="-2"/>
          <w:kern w:val="2"/>
          <w:sz w:val="28"/>
          <w:szCs w:val="28"/>
          <w:lang w:val="en-US" w:eastAsia="zh-CN" w:bidi="ar-SA"/>
        </w:rPr>
        <w:t>能够满足</w:t>
      </w:r>
      <w:r>
        <w:rPr>
          <w:rFonts w:hint="eastAsia" w:ascii="Times New Roman" w:hAnsi="Times New Roman" w:eastAsia="宋体" w:cs="Times New Roman"/>
          <w:color w:val="auto"/>
          <w:spacing w:val="-2"/>
          <w:kern w:val="2"/>
          <w:sz w:val="28"/>
          <w:szCs w:val="28"/>
          <w:lang w:val="en-US" w:eastAsia="zh-CN" w:bidi="ar-SA"/>
        </w:rPr>
        <w:t>《建材工业大气污染物排放标准》（DB37/2373-2018）表3“除水泥行业外的其它建材”无组织排放监控浓度限值要求</w:t>
      </w:r>
      <w:r>
        <w:rPr>
          <w:rFonts w:hint="default" w:ascii="Times New Roman" w:hAnsi="Times New Roman" w:eastAsia="宋体" w:cs="Times New Roman"/>
          <w:color w:val="auto"/>
          <w:spacing w:val="-2"/>
          <w:kern w:val="2"/>
          <w:sz w:val="28"/>
          <w:szCs w:val="28"/>
          <w:lang w:val="en-US" w:eastAsia="zh-CN" w:bidi="ar-SA"/>
        </w:rPr>
        <w:t>。</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2、噪声</w:t>
      </w:r>
    </w:p>
    <w:p>
      <w:pPr>
        <w:pStyle w:val="2"/>
        <w:pageBreakBefore w:val="0"/>
        <w:widowControl w:val="0"/>
        <w:kinsoku/>
        <w:wordWrap/>
        <w:overflowPunct/>
        <w:topLinePunct w:val="0"/>
        <w:bidi w:val="0"/>
        <w:adjustRightInd w:val="0"/>
        <w:snapToGrid w:val="0"/>
        <w:spacing w:after="0"/>
        <w:ind w:left="0" w:leftChars="0" w:firstLine="552" w:firstLineChars="200"/>
        <w:textAlignment w:val="auto"/>
        <w:rPr>
          <w:rFonts w:hint="eastAsia"/>
          <w:color w:val="auto"/>
          <w:kern w:val="0"/>
        </w:rPr>
      </w:pPr>
      <w:r>
        <w:rPr>
          <w:rFonts w:hint="eastAsia" w:ascii="Times New Roman" w:hAnsi="Times New Roman" w:eastAsia="宋体" w:cs="Times New Roman"/>
          <w:color w:val="auto"/>
          <w:spacing w:val="-2"/>
          <w:kern w:val="2"/>
          <w:sz w:val="28"/>
          <w:szCs w:val="28"/>
          <w:lang w:val="en-US" w:eastAsia="zh-CN" w:bidi="ar-SA"/>
        </w:rPr>
        <w:t>验收监测期间，厂界昼间噪声最高值为57dB（A），厂界昼间噪声均能够满足《工业企业厂界环境噪声排放标准》（GB12348-2008）中2类功能区标准，夜间不生产。</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3、固体废物</w:t>
      </w:r>
    </w:p>
    <w:p>
      <w:pPr>
        <w:pStyle w:val="2"/>
        <w:adjustRightInd w:val="0"/>
        <w:snapToGrid w:val="0"/>
        <w:spacing w:after="0" w:line="360" w:lineRule="auto"/>
        <w:ind w:left="0" w:leftChars="0" w:firstLine="560"/>
        <w:rPr>
          <w:kern w:val="0"/>
          <w:szCs w:val="28"/>
        </w:rPr>
      </w:pPr>
      <w:r>
        <w:rPr>
          <w:kern w:val="0"/>
          <w:szCs w:val="28"/>
        </w:rPr>
        <w:t>经现场核查，该项目固体废物处置措施基本落实到位，固体废物得到了妥善处置。</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五、工程建设对环境的影响</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eastAsia" w:ascii="Times New Roman" w:hAnsi="Times New Roman" w:eastAsia="宋体" w:cs="Times New Roman"/>
          <w:b w:val="0"/>
          <w:bCs/>
          <w:color w:val="auto"/>
          <w:sz w:val="28"/>
          <w:szCs w:val="28"/>
        </w:rPr>
      </w:pPr>
      <w:r>
        <w:rPr>
          <w:rFonts w:hint="eastAsia" w:ascii="Times New Roman" w:hAnsi="Times New Roman" w:eastAsia="宋体" w:cs="Times New Roman"/>
          <w:b w:val="0"/>
          <w:bCs/>
          <w:color w:val="auto"/>
          <w:sz w:val="28"/>
          <w:szCs w:val="28"/>
        </w:rPr>
        <w:t>本项目环评及批复未提及对环境质量进行检测，因此本项目</w:t>
      </w:r>
      <w:r>
        <w:rPr>
          <w:rFonts w:hint="eastAsia" w:cs="Times New Roman"/>
          <w:b w:val="0"/>
          <w:bCs/>
          <w:color w:val="auto"/>
          <w:sz w:val="28"/>
          <w:szCs w:val="28"/>
          <w:lang w:eastAsia="zh-CN"/>
        </w:rPr>
        <w:t>未</w:t>
      </w:r>
      <w:r>
        <w:rPr>
          <w:rFonts w:hint="eastAsia" w:ascii="Times New Roman" w:hAnsi="Times New Roman" w:eastAsia="宋体" w:cs="Times New Roman"/>
          <w:b w:val="0"/>
          <w:bCs/>
          <w:color w:val="auto"/>
          <w:sz w:val="28"/>
          <w:szCs w:val="28"/>
        </w:rPr>
        <w:t>进行环境质量现状监测。验收监测期间，该项目废气、噪声可达标排放，生活废水经化粪池处理后，由环卫部门定期清运，各类固体废物均妥善处置。该项目的建设对周围环境影响较小。</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hint="eastAsia" w:cs="Times New Roman"/>
          <w:b/>
          <w:color w:val="auto"/>
          <w:sz w:val="28"/>
          <w:szCs w:val="28"/>
          <w:lang w:eastAsia="zh-CN"/>
        </w:rPr>
        <w:t>六</w:t>
      </w:r>
      <w:r>
        <w:rPr>
          <w:rFonts w:ascii="Times New Roman" w:hAnsi="Times New Roman" w:eastAsia="宋体" w:cs="Times New Roman"/>
          <w:b/>
          <w:color w:val="auto"/>
          <w:sz w:val="28"/>
          <w:szCs w:val="28"/>
        </w:rPr>
        <w:t>、验收结论</w:t>
      </w:r>
    </w:p>
    <w:p>
      <w:pPr>
        <w:pageBreakBefore w:val="0"/>
        <w:widowControl w:val="0"/>
        <w:kinsoku/>
        <w:wordWrap/>
        <w:overflowPunct/>
        <w:topLinePunct w:val="0"/>
        <w:autoSpaceDE w:val="0"/>
        <w:autoSpaceDN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hint="eastAsia" w:cs="Times New Roman"/>
          <w:color w:val="auto"/>
          <w:sz w:val="28"/>
          <w:szCs w:val="28"/>
          <w:lang w:val="en-US" w:eastAsia="zh-CN"/>
        </w:rPr>
        <w:t>德州乐桥建材有限公司年新增8000吨混凝土水泥制品扩建项目（不含钢筋加工和混凝土加工生产线）</w:t>
      </w:r>
      <w:r>
        <w:rPr>
          <w:rFonts w:ascii="Times New Roman" w:hAnsi="Times New Roman" w:eastAsia="宋体" w:cs="Times New Roman"/>
          <w:color w:val="auto"/>
          <w:sz w:val="28"/>
          <w:szCs w:val="28"/>
        </w:rPr>
        <w:t>环保手续齐全，建立了环境管理制度，项目主体工程及环境保护设施等总体按环评批复的要求建成，落实了环评批复中的各项环保要求，无重大变动，验收监测期间污染物达标排放，具备建设项目竣工环境保护验收条件，验收合格。</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hint="eastAsia" w:eastAsia="宋体" w:cs="Times New Roman"/>
          <w:b/>
          <w:color w:val="auto"/>
          <w:sz w:val="28"/>
          <w:szCs w:val="28"/>
          <w:lang w:val="en-US" w:eastAsia="zh-CN"/>
        </w:rPr>
      </w:pPr>
      <w:r>
        <w:rPr>
          <w:rFonts w:hint="eastAsia" w:cs="Times New Roman"/>
          <w:b/>
          <w:color w:val="auto"/>
          <w:sz w:val="28"/>
          <w:szCs w:val="28"/>
          <w:lang w:eastAsia="zh-CN"/>
        </w:rPr>
        <w:t>七、改进意见与后续要求</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lang w:val="en-US" w:eastAsia="zh-CN"/>
        </w:rPr>
        <w:t>完善环保管理制度、环保职责要求。加强各类环保设施的日常维护和管理，确保环保设施正常运转，厂区内定期洒水抑尘；如遇环保设施检修、</w:t>
      </w:r>
      <w:r>
        <w:rPr>
          <w:rFonts w:ascii="Times New Roman" w:hAnsi="Times New Roman" w:eastAsia="宋体" w:cs="Times New Roman"/>
          <w:color w:val="auto"/>
          <w:sz w:val="28"/>
          <w:szCs w:val="28"/>
        </w:rPr>
        <w:t>停运等情况，要及时向当地环保部门报告，并如实记录备查。</w:t>
      </w:r>
    </w:p>
    <w:p>
      <w:pPr>
        <w:pStyle w:val="12"/>
        <w:pageBreakBefore w:val="0"/>
        <w:widowControl w:val="0"/>
        <w:kinsoku/>
        <w:wordWrap/>
        <w:overflowPunct/>
        <w:topLinePunct w:val="0"/>
        <w:bidi w:val="0"/>
        <w:adjustRightInd w:val="0"/>
        <w:snapToGrid w:val="0"/>
        <w:spacing w:line="360" w:lineRule="auto"/>
        <w:ind w:firstLine="562" w:firstLineChars="200"/>
        <w:jc w:val="both"/>
        <w:textAlignment w:val="auto"/>
        <w:rPr>
          <w:rFonts w:ascii="Times New Roman" w:hAnsi="Times New Roman" w:cs="Times New Roman"/>
          <w:b/>
          <w:color w:val="auto"/>
          <w:kern w:val="2"/>
          <w:sz w:val="28"/>
          <w:szCs w:val="28"/>
        </w:rPr>
      </w:pPr>
      <w:r>
        <w:rPr>
          <w:rFonts w:hint="eastAsia" w:ascii="Times New Roman" w:hAnsi="Times New Roman" w:cs="Times New Roman"/>
          <w:b/>
          <w:color w:val="auto"/>
          <w:kern w:val="2"/>
          <w:sz w:val="28"/>
          <w:szCs w:val="28"/>
          <w:lang w:eastAsia="zh-CN"/>
        </w:rPr>
        <w:t>八</w:t>
      </w:r>
      <w:r>
        <w:rPr>
          <w:rFonts w:ascii="Times New Roman" w:hAnsi="Times New Roman" w:cs="Times New Roman"/>
          <w:b/>
          <w:color w:val="auto"/>
          <w:kern w:val="2"/>
          <w:sz w:val="28"/>
          <w:szCs w:val="28"/>
        </w:rPr>
        <w:t>、验收人员信息</w:t>
      </w:r>
    </w:p>
    <w:p>
      <w:pPr>
        <w:pStyle w:val="12"/>
        <w:pageBreakBefore w:val="0"/>
        <w:widowControl w:val="0"/>
        <w:kinsoku/>
        <w:wordWrap/>
        <w:overflowPunct/>
        <w:topLinePunct w:val="0"/>
        <w:bidi w:val="0"/>
        <w:adjustRightInd w:val="0"/>
        <w:snapToGrid w:val="0"/>
        <w:spacing w:line="360" w:lineRule="auto"/>
        <w:ind w:firstLine="560" w:firstLineChars="200"/>
        <w:jc w:val="both"/>
        <w:textAlignment w:val="auto"/>
        <w:rPr>
          <w:rFonts w:ascii="Times New Roman" w:hAnsi="Times New Roman" w:cs="Times New Roman"/>
          <w:color w:val="auto"/>
          <w:kern w:val="2"/>
          <w:sz w:val="28"/>
          <w:szCs w:val="28"/>
        </w:rPr>
      </w:pPr>
      <w:r>
        <w:rPr>
          <w:rFonts w:ascii="Times New Roman" w:hAnsi="Times New Roman" w:cs="Times New Roman"/>
          <w:color w:val="auto"/>
          <w:kern w:val="2"/>
          <w:sz w:val="28"/>
          <w:szCs w:val="28"/>
        </w:rPr>
        <w:t>参加验收的单位及人员信息、验收负责人名单附后。</w:t>
      </w:r>
    </w:p>
    <w:p>
      <w:pPr>
        <w:pageBreakBefore w:val="0"/>
        <w:widowControl w:val="0"/>
        <w:kinsoku/>
        <w:wordWrap/>
        <w:overflowPunct/>
        <w:topLinePunct w:val="0"/>
        <w:bidi w:val="0"/>
        <w:adjustRightInd w:val="0"/>
        <w:snapToGrid w:val="0"/>
        <w:spacing w:line="360" w:lineRule="auto"/>
        <w:ind w:right="552" w:firstLine="560" w:firstLineChars="200"/>
        <w:textAlignment w:val="auto"/>
        <w:rPr>
          <w:rFonts w:ascii="Times New Roman" w:hAnsi="Times New Roman" w:eastAsia="宋体" w:cs="Times New Roman"/>
          <w:color w:val="auto"/>
          <w:sz w:val="28"/>
          <w:szCs w:val="28"/>
        </w:rPr>
      </w:pPr>
    </w:p>
    <w:p>
      <w:pPr>
        <w:pageBreakBefore w:val="0"/>
        <w:widowControl w:val="0"/>
        <w:kinsoku/>
        <w:wordWrap/>
        <w:overflowPunct/>
        <w:topLinePunct w:val="0"/>
        <w:bidi w:val="0"/>
        <w:adjustRightInd w:val="0"/>
        <w:snapToGrid w:val="0"/>
        <w:spacing w:line="360" w:lineRule="auto"/>
        <w:ind w:right="552" w:firstLine="560" w:firstLineChars="200"/>
        <w:jc w:val="center"/>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 xml:space="preserve">                                           验 收 组 </w:t>
      </w:r>
    </w:p>
    <w:p>
      <w:pPr>
        <w:pageBreakBefore w:val="0"/>
        <w:widowControl w:val="0"/>
        <w:kinsoku/>
        <w:wordWrap/>
        <w:overflowPunct/>
        <w:topLinePunct w:val="0"/>
        <w:bidi w:val="0"/>
        <w:adjustRightInd w:val="0"/>
        <w:snapToGrid w:val="0"/>
        <w:spacing w:line="360" w:lineRule="auto"/>
        <w:ind w:firstLine="560" w:firstLineChars="200"/>
        <w:jc w:val="center"/>
        <w:textAlignment w:val="auto"/>
      </w:pPr>
      <w:r>
        <w:rPr>
          <w:rFonts w:ascii="Times New Roman" w:hAnsi="Times New Roman" w:eastAsia="宋体" w:cs="Times New Roman"/>
          <w:color w:val="auto"/>
          <w:sz w:val="28"/>
          <w:szCs w:val="28"/>
        </w:rPr>
        <w:t xml:space="preserve">                                     20</w:t>
      </w:r>
      <w:r>
        <w:rPr>
          <w:rFonts w:hint="eastAsia" w:ascii="Times New Roman" w:hAnsi="Times New Roman" w:eastAsia="宋体" w:cs="Times New Roman"/>
          <w:color w:val="auto"/>
          <w:sz w:val="28"/>
          <w:szCs w:val="28"/>
          <w:lang w:val="en-US" w:eastAsia="zh-CN"/>
        </w:rPr>
        <w:t>20</w:t>
      </w:r>
      <w:r>
        <w:rPr>
          <w:rFonts w:ascii="Times New Roman" w:hAnsi="Times New Roman" w:eastAsia="宋体" w:cs="Times New Roman"/>
          <w:color w:val="auto"/>
          <w:sz w:val="28"/>
          <w:szCs w:val="28"/>
        </w:rPr>
        <w:t>年</w:t>
      </w:r>
      <w:r>
        <w:rPr>
          <w:rFonts w:hint="eastAsia" w:cs="Times New Roman"/>
          <w:color w:val="auto"/>
          <w:sz w:val="28"/>
          <w:szCs w:val="28"/>
          <w:lang w:val="en-US" w:eastAsia="zh-CN"/>
        </w:rPr>
        <w:t>9</w:t>
      </w:r>
      <w:r>
        <w:rPr>
          <w:rFonts w:ascii="Times New Roman" w:hAnsi="Times New Roman" w:eastAsia="宋体" w:cs="Times New Roman"/>
          <w:color w:val="auto"/>
          <w:sz w:val="28"/>
          <w:szCs w:val="28"/>
        </w:rPr>
        <w:t>月</w:t>
      </w:r>
      <w:r>
        <w:rPr>
          <w:rFonts w:hint="eastAsia" w:cs="Times New Roman"/>
          <w:color w:val="auto"/>
          <w:sz w:val="28"/>
          <w:szCs w:val="28"/>
          <w:lang w:val="en-US" w:eastAsia="zh-CN"/>
        </w:rPr>
        <w:t>6</w:t>
      </w:r>
      <w:r>
        <w:rPr>
          <w:rFonts w:ascii="Times New Roman" w:hAnsi="Times New Roman" w:eastAsia="宋体" w:cs="Times New Roman"/>
          <w:color w:val="auto"/>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E7894"/>
    <w:rsid w:val="16154823"/>
    <w:rsid w:val="1A2F68F2"/>
    <w:rsid w:val="1B2B3259"/>
    <w:rsid w:val="1D507191"/>
    <w:rsid w:val="2486118E"/>
    <w:rsid w:val="31A03AAA"/>
    <w:rsid w:val="33E67DEE"/>
    <w:rsid w:val="3519185B"/>
    <w:rsid w:val="3E1F6B53"/>
    <w:rsid w:val="44CB5C9D"/>
    <w:rsid w:val="51451291"/>
    <w:rsid w:val="53E63C3F"/>
    <w:rsid w:val="55804DE3"/>
    <w:rsid w:val="5B5D2444"/>
    <w:rsid w:val="5FA7304C"/>
    <w:rsid w:val="65E778D1"/>
    <w:rsid w:val="662F4999"/>
    <w:rsid w:val="693515F5"/>
    <w:rsid w:val="72D761D7"/>
    <w:rsid w:val="74971A06"/>
    <w:rsid w:val="77675C10"/>
    <w:rsid w:val="78683A57"/>
    <w:rsid w:val="7B9E5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3"/>
    <w:basedOn w:val="1"/>
    <w:next w:val="1"/>
    <w:qFormat/>
    <w:uiPriority w:val="0"/>
    <w:pPr>
      <w:keepNext/>
      <w:keepLines/>
      <w:adjustRightInd w:val="0"/>
      <w:snapToGrid w:val="0"/>
      <w:spacing w:line="360" w:lineRule="auto"/>
      <w:outlineLvl w:val="2"/>
    </w:pPr>
    <w:rPr>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spacing w:after="120"/>
      <w:ind w:left="420" w:leftChars="200" w:firstLine="420"/>
    </w:pPr>
  </w:style>
  <w:style w:type="paragraph" w:styleId="3">
    <w:name w:val="Body Text Indent"/>
    <w:basedOn w:val="1"/>
    <w:next w:val="4"/>
    <w:qFormat/>
    <w:uiPriority w:val="0"/>
    <w:pPr>
      <w:spacing w:line="360" w:lineRule="auto"/>
      <w:ind w:firstLine="560" w:firstLineChars="200"/>
    </w:pPr>
    <w:rPr>
      <w:sz w:val="28"/>
      <w:szCs w:val="28"/>
    </w:rPr>
  </w:style>
  <w:style w:type="paragraph" w:customStyle="1" w:styleId="4">
    <w:name w:val="样式 正文文本缩进 + 行距: 1.5 倍行距"/>
    <w:basedOn w:val="3"/>
    <w:qFormat/>
    <w:uiPriority w:val="0"/>
    <w:pPr>
      <w:spacing w:after="120"/>
      <w:ind w:left="90" w:leftChars="32"/>
    </w:pPr>
    <w:rPr>
      <w:rFonts w:cs="宋体"/>
      <w:sz w:val="24"/>
      <w:szCs w:val="20"/>
    </w:rPr>
  </w:style>
  <w:style w:type="paragraph" w:styleId="6">
    <w:name w:val="annotation text"/>
    <w:basedOn w:val="1"/>
    <w:qFormat/>
    <w:uiPriority w:val="0"/>
    <w:pPr>
      <w:jc w:val="left"/>
    </w:pPr>
  </w:style>
  <w:style w:type="paragraph" w:styleId="7">
    <w:name w:val="Plain Text"/>
    <w:basedOn w:val="1"/>
    <w:qFormat/>
    <w:uiPriority w:val="99"/>
    <w:rPr>
      <w:rFonts w:ascii="宋体" w:hAnsi="Courier New"/>
      <w:szCs w:val="21"/>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bCs/>
    </w:rPr>
  </w:style>
  <w:style w:type="paragraph" w:customStyle="1" w:styleId="1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3">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14">
    <w:name w:val="文字描述"/>
    <w:basedOn w:val="1"/>
    <w:qFormat/>
    <w:uiPriority w:val="0"/>
    <w:pPr>
      <w:widowControl w:val="0"/>
      <w:spacing w:after="0" w:line="360" w:lineRule="auto"/>
      <w:ind w:firstLine="200" w:firstLineChars="200"/>
      <w:jc w:val="both"/>
    </w:pPr>
    <w:rPr>
      <w:rFonts w:ascii="Times New Roman" w:hAnsi="Times New Roman" w:eastAsia="宋体" w:cs="Times New Roman"/>
      <w:spacing w:val="-2"/>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2020-04-21T07:53:00Z</dcterms:created>
  <dc:creator>Administrator</dc:creator>
  <cp:lastModifiedBy>Administrator</cp:lastModifiedBy>
  <cp:lastPrinted>2020-09-03T02:13:00Z</cp:lastPrinted>
  <dcterms:modified xsi:type="dcterms:W3CDTF">2020-11-02T08:17:30Z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