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480" w:right="480" w:firstLine="0" w:firstLineChars="0"/>
        <w:jc w:val="center"/>
        <w:rPr>
          <w:rFonts w:hint="eastAsia" w:ascii="方正小标宋简体" w:eastAsia="方正小标宋简体"/>
          <w:b/>
          <w:sz w:val="36"/>
          <w:szCs w:val="36"/>
          <w:lang w:eastAsia="zh-CN"/>
        </w:rPr>
      </w:pPr>
      <w:r>
        <w:rPr>
          <w:rFonts w:hint="eastAsia" w:ascii="方正小标宋简体" w:eastAsia="方正小标宋简体"/>
          <w:b/>
          <w:sz w:val="36"/>
          <w:szCs w:val="36"/>
        </w:rPr>
        <w:t>株洲渌骏新材料有限公司</w:t>
      </w:r>
      <w:r>
        <w:rPr>
          <w:rFonts w:ascii="方正小标宋简体" w:eastAsia="方正小标宋简体"/>
          <w:b/>
          <w:sz w:val="36"/>
          <w:szCs w:val="36"/>
        </w:rPr>
        <w:t>渌口南洲新区</w:t>
      </w:r>
      <w:r>
        <w:rPr>
          <w:rFonts w:hint="eastAsia" w:ascii="方正小标宋简体" w:eastAsia="方正小标宋简体"/>
          <w:b/>
          <w:sz w:val="36"/>
          <w:szCs w:val="36"/>
        </w:rPr>
        <w:t>渌骏</w:t>
      </w:r>
      <w:r>
        <w:rPr>
          <w:rFonts w:ascii="方正小标宋简体" w:eastAsia="方正小标宋简体"/>
          <w:b/>
          <w:sz w:val="36"/>
          <w:szCs w:val="36"/>
        </w:rPr>
        <w:t>混凝土生产线及配套辅助设施项目</w:t>
      </w:r>
    </w:p>
    <w:p>
      <w:pPr>
        <w:ind w:left="480" w:right="480" w:firstLine="0" w:firstLineChars="0"/>
        <w:jc w:val="center"/>
        <w:rPr>
          <w:rFonts w:ascii="方正小标宋简体" w:eastAsia="方正小标宋简体"/>
          <w:b/>
          <w:sz w:val="36"/>
          <w:szCs w:val="36"/>
        </w:rPr>
      </w:pPr>
      <w:r>
        <w:rPr>
          <w:rFonts w:hint="eastAsia" w:ascii="方正小标宋简体" w:eastAsia="方正小标宋简体"/>
          <w:b/>
          <w:sz w:val="36"/>
          <w:szCs w:val="36"/>
        </w:rPr>
        <w:t xml:space="preserve">竣工环境保护验收意见                         </w:t>
      </w:r>
    </w:p>
    <w:p>
      <w:pPr>
        <w:pStyle w:val="4"/>
        <w:autoSpaceDE/>
        <w:autoSpaceDN/>
        <w:spacing w:line="240" w:lineRule="exact"/>
        <w:ind w:left="480" w:right="480"/>
      </w:pPr>
    </w:p>
    <w:p>
      <w:pPr>
        <w:tabs>
          <w:tab w:val="left" w:pos="9600"/>
        </w:tabs>
        <w:ind w:left="0" w:leftChars="0" w:right="0" w:rightChars="0" w:firstLine="478" w:firstLineChars="171"/>
        <w:rPr>
          <w:rFonts w:eastAsia="仿宋_GB2312"/>
          <w:position w:val="1"/>
          <w:sz w:val="28"/>
          <w:szCs w:val="28"/>
          <w:lang w:eastAsia="zh-CN"/>
        </w:rPr>
      </w:pPr>
      <w:r>
        <w:rPr>
          <w:rFonts w:eastAsia="仿宋_GB2312"/>
          <w:position w:val="1"/>
          <w:sz w:val="28"/>
          <w:szCs w:val="28"/>
        </w:rPr>
        <w:t>20</w:t>
      </w:r>
      <w:r>
        <w:rPr>
          <w:rFonts w:hint="eastAsia" w:eastAsia="仿宋_GB2312"/>
          <w:position w:val="1"/>
          <w:sz w:val="28"/>
          <w:szCs w:val="28"/>
          <w:lang w:eastAsia="zh-CN"/>
        </w:rPr>
        <w:t>21</w:t>
      </w:r>
      <w:r>
        <w:rPr>
          <w:rFonts w:eastAsia="仿宋_GB2312"/>
          <w:position w:val="1"/>
          <w:sz w:val="28"/>
          <w:szCs w:val="28"/>
        </w:rPr>
        <w:t>年</w:t>
      </w:r>
      <w:r>
        <w:rPr>
          <w:rFonts w:hint="eastAsia" w:eastAsia="仿宋_GB2312"/>
          <w:position w:val="1"/>
          <w:sz w:val="28"/>
          <w:szCs w:val="28"/>
          <w:lang w:eastAsia="zh-CN"/>
        </w:rPr>
        <w:t>12</w:t>
      </w:r>
      <w:r>
        <w:rPr>
          <w:rFonts w:eastAsia="仿宋_GB2312"/>
          <w:position w:val="1"/>
          <w:sz w:val="28"/>
          <w:szCs w:val="28"/>
        </w:rPr>
        <w:t>月</w:t>
      </w:r>
      <w:r>
        <w:rPr>
          <w:rFonts w:hint="eastAsia" w:eastAsia="仿宋_GB2312"/>
          <w:position w:val="1"/>
          <w:sz w:val="28"/>
          <w:szCs w:val="28"/>
          <w:lang w:eastAsia="zh-CN"/>
        </w:rPr>
        <w:t>24</w:t>
      </w:r>
      <w:r>
        <w:rPr>
          <w:rFonts w:eastAsia="仿宋_GB2312"/>
          <w:position w:val="1"/>
          <w:sz w:val="28"/>
          <w:szCs w:val="28"/>
        </w:rPr>
        <w:t>日</w:t>
      </w:r>
      <w:r>
        <w:rPr>
          <w:rFonts w:hint="eastAsia" w:eastAsia="仿宋_GB2312"/>
          <w:position w:val="1"/>
          <w:sz w:val="28"/>
          <w:szCs w:val="28"/>
          <w:lang w:eastAsia="zh-CN"/>
        </w:rPr>
        <w:t>，株洲渌骏新材料有限公司</w:t>
      </w:r>
      <w:r>
        <w:rPr>
          <w:rFonts w:eastAsia="仿宋_GB2312"/>
          <w:position w:val="1"/>
          <w:sz w:val="28"/>
          <w:szCs w:val="28"/>
          <w:lang w:eastAsia="zh-CN"/>
        </w:rPr>
        <w:t>根据《渌口南洲新区</w:t>
      </w:r>
      <w:r>
        <w:rPr>
          <w:rFonts w:hint="eastAsia" w:eastAsia="仿宋_GB2312"/>
          <w:position w:val="1"/>
          <w:sz w:val="28"/>
          <w:szCs w:val="28"/>
          <w:lang w:eastAsia="zh-CN"/>
        </w:rPr>
        <w:t>渌骏</w:t>
      </w:r>
      <w:r>
        <w:rPr>
          <w:rFonts w:eastAsia="仿宋_GB2312"/>
          <w:position w:val="1"/>
          <w:sz w:val="28"/>
          <w:szCs w:val="28"/>
          <w:lang w:eastAsia="zh-CN"/>
        </w:rPr>
        <w:t>混凝土生产线及配套辅助设施项目</w:t>
      </w:r>
      <w:r>
        <w:rPr>
          <w:rFonts w:hint="eastAsia" w:eastAsia="仿宋_GB2312"/>
          <w:position w:val="1"/>
          <w:sz w:val="28"/>
          <w:szCs w:val="28"/>
          <w:lang w:eastAsia="zh-CN"/>
        </w:rPr>
        <w:t>竣工环境保护验收监测报告</w:t>
      </w:r>
      <w:r>
        <w:rPr>
          <w:rFonts w:eastAsia="仿宋_GB2312"/>
          <w:position w:val="1"/>
          <w:sz w:val="28"/>
          <w:szCs w:val="28"/>
          <w:lang w:eastAsia="zh-CN"/>
        </w:rPr>
        <w:t>》，对照《建设项目竣工环境保护验收暂行办法》，严格依照国家有关法律法规、建设项目竣工环境保护验收技术</w:t>
      </w:r>
      <w:r>
        <w:rPr>
          <w:rFonts w:hint="eastAsia" w:eastAsia="仿宋_GB2312"/>
          <w:position w:val="1"/>
          <w:sz w:val="28"/>
          <w:szCs w:val="28"/>
          <w:lang w:eastAsia="zh-CN"/>
        </w:rPr>
        <w:t>指南</w:t>
      </w:r>
      <w:r>
        <w:rPr>
          <w:rFonts w:eastAsia="仿宋_GB2312"/>
          <w:position w:val="1"/>
          <w:sz w:val="28"/>
          <w:szCs w:val="28"/>
          <w:lang w:eastAsia="zh-CN"/>
        </w:rPr>
        <w:t>、本项目环境影响评价报告表和</w:t>
      </w:r>
      <w:r>
        <w:rPr>
          <w:rFonts w:hint="eastAsia" w:eastAsia="仿宋_GB2312"/>
          <w:position w:val="1"/>
          <w:sz w:val="28"/>
          <w:szCs w:val="28"/>
          <w:lang w:eastAsia="zh-CN"/>
        </w:rPr>
        <w:t>株洲市生态环境局</w:t>
      </w:r>
      <w:r>
        <w:rPr>
          <w:rFonts w:eastAsia="仿宋_GB2312"/>
          <w:position w:val="1"/>
          <w:sz w:val="28"/>
          <w:szCs w:val="28"/>
          <w:lang w:eastAsia="zh-CN"/>
        </w:rPr>
        <w:t>渌口</w:t>
      </w:r>
      <w:r>
        <w:rPr>
          <w:rFonts w:hint="eastAsia" w:eastAsia="仿宋_GB2312"/>
          <w:position w:val="1"/>
          <w:sz w:val="28"/>
          <w:szCs w:val="28"/>
          <w:lang w:eastAsia="zh-CN"/>
        </w:rPr>
        <w:t>分局</w:t>
      </w:r>
      <w:r>
        <w:rPr>
          <w:rFonts w:eastAsia="仿宋_GB2312"/>
          <w:position w:val="1"/>
          <w:sz w:val="28"/>
          <w:szCs w:val="28"/>
          <w:lang w:eastAsia="zh-CN"/>
        </w:rPr>
        <w:t>审批决定</w:t>
      </w:r>
      <w:r>
        <w:rPr>
          <w:rFonts w:hint="eastAsia" w:eastAsia="仿宋_GB2312"/>
          <w:position w:val="1"/>
          <w:sz w:val="28"/>
          <w:szCs w:val="28"/>
          <w:lang w:eastAsia="zh-CN"/>
        </w:rPr>
        <w:t>（株渌环评表</w:t>
      </w:r>
      <w:r>
        <w:rPr>
          <w:rFonts w:eastAsia="仿宋_GB2312"/>
          <w:position w:val="1"/>
          <w:sz w:val="28"/>
          <w:szCs w:val="28"/>
          <w:lang w:eastAsia="zh-CN"/>
        </w:rPr>
        <w:t>〔20</w:t>
      </w:r>
      <w:r>
        <w:rPr>
          <w:rFonts w:hint="eastAsia" w:eastAsia="仿宋_GB2312"/>
          <w:position w:val="1"/>
          <w:sz w:val="28"/>
          <w:szCs w:val="28"/>
          <w:lang w:eastAsia="zh-CN"/>
        </w:rPr>
        <w:t>21</w:t>
      </w:r>
      <w:r>
        <w:rPr>
          <w:rFonts w:eastAsia="仿宋_GB2312"/>
          <w:position w:val="1"/>
          <w:sz w:val="28"/>
          <w:szCs w:val="28"/>
          <w:lang w:eastAsia="zh-CN"/>
        </w:rPr>
        <w:t>〕</w:t>
      </w:r>
      <w:r>
        <w:rPr>
          <w:rFonts w:hint="eastAsia" w:eastAsia="仿宋_GB2312"/>
          <w:position w:val="1"/>
          <w:sz w:val="28"/>
          <w:szCs w:val="28"/>
          <w:lang w:eastAsia="zh-CN"/>
        </w:rPr>
        <w:t>11</w:t>
      </w:r>
      <w:r>
        <w:rPr>
          <w:rFonts w:eastAsia="仿宋_GB2312"/>
          <w:position w:val="1"/>
          <w:sz w:val="28"/>
          <w:szCs w:val="28"/>
          <w:lang w:eastAsia="zh-CN"/>
        </w:rPr>
        <w:t>号</w:t>
      </w:r>
      <w:r>
        <w:rPr>
          <w:rFonts w:hint="eastAsia" w:eastAsia="仿宋_GB2312"/>
          <w:position w:val="1"/>
          <w:sz w:val="28"/>
          <w:szCs w:val="28"/>
          <w:lang w:eastAsia="zh-CN"/>
        </w:rPr>
        <w:t>）</w:t>
      </w:r>
      <w:r>
        <w:rPr>
          <w:rFonts w:eastAsia="仿宋_GB2312"/>
          <w:position w:val="1"/>
          <w:sz w:val="28"/>
          <w:szCs w:val="28"/>
          <w:lang w:eastAsia="zh-CN"/>
        </w:rPr>
        <w:t>等要求对本项目</w:t>
      </w:r>
      <w:r>
        <w:rPr>
          <w:rFonts w:hint="eastAsia" w:eastAsia="仿宋_GB2312"/>
          <w:position w:val="1"/>
          <w:sz w:val="28"/>
          <w:szCs w:val="28"/>
          <w:lang w:eastAsia="zh-CN"/>
        </w:rPr>
        <w:t>总体竣工环境保护、环评内容、环评批复</w:t>
      </w:r>
      <w:r>
        <w:rPr>
          <w:rFonts w:eastAsia="仿宋_GB2312"/>
          <w:position w:val="1"/>
          <w:sz w:val="28"/>
          <w:szCs w:val="28"/>
          <w:lang w:eastAsia="zh-CN"/>
        </w:rPr>
        <w:t>进行验收，提出如下验收意见：</w:t>
      </w:r>
    </w:p>
    <w:p>
      <w:pPr>
        <w:ind w:left="0" w:leftChars="0" w:right="0" w:rightChars="0" w:firstLine="481" w:firstLineChars="171"/>
        <w:rPr>
          <w:rFonts w:eastAsia="黑体"/>
          <w:b/>
          <w:position w:val="1"/>
          <w:sz w:val="28"/>
          <w:szCs w:val="28"/>
        </w:rPr>
      </w:pPr>
      <w:bookmarkStart w:id="0" w:name="_Toc5373"/>
      <w:bookmarkStart w:id="1" w:name="_Toc30298"/>
      <w:bookmarkStart w:id="2" w:name="_Toc12060"/>
      <w:r>
        <w:rPr>
          <w:rFonts w:eastAsia="黑体"/>
          <w:b/>
          <w:position w:val="1"/>
          <w:sz w:val="28"/>
          <w:szCs w:val="28"/>
        </w:rPr>
        <w:t>一、工程建设基本情况</w:t>
      </w:r>
      <w:bookmarkEnd w:id="0"/>
      <w:bookmarkEnd w:id="1"/>
      <w:bookmarkEnd w:id="2"/>
    </w:p>
    <w:p>
      <w:pPr>
        <w:ind w:left="0" w:leftChars="0" w:right="0" w:rightChars="0" w:firstLine="481" w:firstLineChars="171"/>
        <w:outlineLvl w:val="0"/>
        <w:rPr>
          <w:rFonts w:eastAsia="仿宋_GB2312"/>
          <w:b/>
          <w:position w:val="1"/>
          <w:sz w:val="28"/>
          <w:szCs w:val="28"/>
        </w:rPr>
      </w:pPr>
      <w:bookmarkStart w:id="3" w:name="_Toc27933"/>
      <w:bookmarkStart w:id="4" w:name="_Toc24609"/>
      <w:bookmarkStart w:id="5" w:name="_Toc25698"/>
      <w:r>
        <w:rPr>
          <w:rFonts w:eastAsia="仿宋_GB2312"/>
          <w:b/>
          <w:position w:val="1"/>
          <w:sz w:val="28"/>
          <w:szCs w:val="28"/>
        </w:rPr>
        <w:t>（一）建设地点、规模、主要建设内容</w:t>
      </w:r>
      <w:bookmarkEnd w:id="3"/>
      <w:bookmarkEnd w:id="4"/>
      <w:bookmarkEnd w:id="5"/>
    </w:p>
    <w:p>
      <w:pPr>
        <w:ind w:left="0" w:leftChars="0" w:right="0" w:rightChars="0" w:firstLine="478" w:firstLineChars="171"/>
        <w:rPr>
          <w:rFonts w:hint="eastAsia" w:ascii="仿宋_GB2312" w:hAnsi="黑体" w:eastAsia="仿宋_GB2312"/>
          <w:position w:val="1"/>
          <w:sz w:val="28"/>
          <w:szCs w:val="28"/>
          <w:lang w:eastAsia="zh-CN"/>
        </w:rPr>
      </w:pPr>
      <w:r>
        <w:rPr>
          <w:rFonts w:hint="eastAsia" w:ascii="仿宋_GB2312" w:eastAsia="仿宋_GB2312"/>
          <w:sz w:val="28"/>
          <w:szCs w:val="28"/>
        </w:rPr>
        <w:t>株洲渌骏新材料有限公司</w:t>
      </w:r>
      <w:r>
        <w:rPr>
          <w:rFonts w:hint="eastAsia" w:ascii="仿宋_GB2312" w:hAnsi="黑体" w:eastAsia="仿宋_GB2312"/>
          <w:position w:val="1"/>
          <w:sz w:val="28"/>
          <w:szCs w:val="28"/>
          <w:lang w:eastAsia="zh-CN"/>
        </w:rPr>
        <w:t>投资</w:t>
      </w:r>
      <w:r>
        <w:rPr>
          <w:rFonts w:hint="eastAsia" w:ascii="仿宋_GB2312" w:eastAsia="仿宋_GB2312"/>
          <w:sz w:val="28"/>
          <w:szCs w:val="28"/>
        </w:rPr>
        <w:t>4200</w:t>
      </w:r>
      <w:r>
        <w:rPr>
          <w:rFonts w:hint="eastAsia" w:ascii="仿宋_GB2312" w:hAnsi="黑体" w:eastAsia="仿宋_GB2312"/>
          <w:position w:val="1"/>
          <w:sz w:val="28"/>
          <w:szCs w:val="28"/>
          <w:lang w:eastAsia="zh-CN"/>
        </w:rPr>
        <w:t>万元在</w:t>
      </w:r>
      <w:r>
        <w:rPr>
          <w:rFonts w:hint="eastAsia" w:ascii="仿宋_GB2312" w:eastAsia="仿宋_GB2312"/>
          <w:sz w:val="28"/>
          <w:szCs w:val="28"/>
        </w:rPr>
        <w:t>株洲市渌口区南洲新区南洲镇江边村</w:t>
      </w:r>
      <w:r>
        <w:rPr>
          <w:rFonts w:hint="eastAsia" w:ascii="仿宋_GB2312" w:hAnsi="黑体" w:eastAsia="仿宋_GB2312"/>
          <w:spacing w:val="-14"/>
          <w:sz w:val="28"/>
          <w:szCs w:val="28"/>
          <w:lang w:eastAsia="zh-CN"/>
        </w:rPr>
        <w:t>建设</w:t>
      </w:r>
      <w:r>
        <w:rPr>
          <w:rFonts w:hint="eastAsia" w:ascii="仿宋_GB2312" w:eastAsia="仿宋_GB2312"/>
          <w:sz w:val="28"/>
          <w:szCs w:val="28"/>
        </w:rPr>
        <w:t>商品混凝土搅拌站</w:t>
      </w:r>
      <w:r>
        <w:rPr>
          <w:rFonts w:hint="eastAsia" w:ascii="仿宋_GB2312" w:hAnsi="黑体" w:eastAsia="仿宋_GB2312"/>
          <w:position w:val="1"/>
          <w:sz w:val="28"/>
          <w:szCs w:val="28"/>
          <w:lang w:eastAsia="zh-CN"/>
        </w:rPr>
        <w:t>，建设性质为新建，</w:t>
      </w:r>
      <w:r>
        <w:rPr>
          <w:rFonts w:hint="eastAsia" w:ascii="仿宋_GB2312" w:eastAsia="仿宋_GB2312"/>
          <w:sz w:val="28"/>
          <w:szCs w:val="28"/>
        </w:rPr>
        <w:t>项目总用地面积约22401.98m</w:t>
      </w:r>
      <w:r>
        <w:rPr>
          <w:rFonts w:hint="eastAsia" w:ascii="仿宋_GB2312" w:eastAsia="仿宋_GB2312"/>
          <w:sz w:val="28"/>
          <w:szCs w:val="28"/>
          <w:vertAlign w:val="superscript"/>
        </w:rPr>
        <w:t>2</w:t>
      </w:r>
      <w:r>
        <w:rPr>
          <w:rFonts w:hint="eastAsia" w:ascii="仿宋_GB2312" w:hAnsi="黑体" w:eastAsia="仿宋_GB2312"/>
          <w:sz w:val="28"/>
          <w:szCs w:val="28"/>
          <w:lang w:eastAsia="zh-CN"/>
        </w:rPr>
        <w:t>，</w:t>
      </w:r>
      <w:r>
        <w:rPr>
          <w:rFonts w:hint="eastAsia" w:ascii="仿宋_GB2312" w:hAnsi="黑体" w:eastAsia="仿宋_GB2312"/>
          <w:position w:val="1"/>
          <w:sz w:val="28"/>
          <w:szCs w:val="28"/>
          <w:lang w:eastAsia="zh-CN"/>
        </w:rPr>
        <w:t>年生产商品</w:t>
      </w:r>
      <w:r>
        <w:rPr>
          <w:rFonts w:hint="eastAsia" w:ascii="仿宋_GB2312" w:eastAsia="仿宋_GB2312"/>
          <w:sz w:val="28"/>
          <w:szCs w:val="28"/>
        </w:rPr>
        <w:t>C15-C80混凝土</w:t>
      </w:r>
      <w:r>
        <w:rPr>
          <w:rFonts w:hint="eastAsia" w:ascii="仿宋_GB2312" w:eastAsia="仿宋_GB2312"/>
          <w:bCs/>
          <w:sz w:val="28"/>
          <w:szCs w:val="28"/>
          <w:lang w:val="en-US" w:eastAsia="zh-CN"/>
        </w:rPr>
        <w:t>50</w:t>
      </w:r>
      <w:r>
        <w:rPr>
          <w:rFonts w:hint="eastAsia" w:ascii="仿宋_GB2312" w:eastAsia="仿宋_GB2312"/>
          <w:bCs/>
          <w:sz w:val="28"/>
          <w:szCs w:val="28"/>
        </w:rPr>
        <w:t>万</w:t>
      </w:r>
      <w:r>
        <w:rPr>
          <w:rFonts w:hint="eastAsia" w:ascii="仿宋_GB2312" w:eastAsia="仿宋_GB2312"/>
          <w:sz w:val="28"/>
          <w:szCs w:val="28"/>
        </w:rPr>
        <w:t>m</w:t>
      </w:r>
      <w:r>
        <w:rPr>
          <w:rFonts w:hint="eastAsia" w:ascii="仿宋_GB2312" w:eastAsia="仿宋_GB2312"/>
          <w:sz w:val="28"/>
          <w:szCs w:val="28"/>
          <w:vertAlign w:val="superscript"/>
        </w:rPr>
        <w:t>3</w:t>
      </w:r>
      <w:r>
        <w:rPr>
          <w:rFonts w:hint="eastAsia" w:ascii="仿宋_GB2312" w:eastAsia="仿宋_GB2312"/>
          <w:sz w:val="28"/>
          <w:szCs w:val="28"/>
        </w:rPr>
        <w:t>/a</w:t>
      </w:r>
      <w:r>
        <w:rPr>
          <w:rFonts w:hint="eastAsia" w:ascii="仿宋_GB2312" w:hAnsi="黑体" w:eastAsia="仿宋_GB2312"/>
          <w:position w:val="1"/>
          <w:sz w:val="28"/>
          <w:szCs w:val="28"/>
        </w:rPr>
        <w:t>，主要建设内容包括主体工程、辅助工程、公用工程</w:t>
      </w:r>
      <w:r>
        <w:rPr>
          <w:rFonts w:hint="eastAsia" w:ascii="仿宋_GB2312" w:hAnsi="黑体" w:eastAsia="仿宋_GB2312"/>
          <w:position w:val="1"/>
          <w:sz w:val="28"/>
          <w:szCs w:val="28"/>
          <w:lang w:eastAsia="zh-CN"/>
        </w:rPr>
        <w:t>、环保工程等。</w:t>
      </w:r>
    </w:p>
    <w:p>
      <w:pPr>
        <w:ind w:left="0" w:leftChars="0" w:right="0" w:rightChars="0" w:firstLine="481" w:firstLineChars="171"/>
        <w:outlineLvl w:val="0"/>
        <w:rPr>
          <w:rFonts w:eastAsia="仿宋_GB2312"/>
          <w:b/>
          <w:position w:val="1"/>
          <w:sz w:val="28"/>
          <w:szCs w:val="28"/>
        </w:rPr>
      </w:pPr>
      <w:bookmarkStart w:id="6" w:name="_Toc6626"/>
      <w:bookmarkStart w:id="7" w:name="_Toc19657"/>
      <w:bookmarkStart w:id="8" w:name="_Toc16298"/>
      <w:r>
        <w:rPr>
          <w:rFonts w:eastAsia="仿宋_GB2312"/>
          <w:b/>
          <w:position w:val="1"/>
          <w:sz w:val="28"/>
          <w:szCs w:val="28"/>
        </w:rPr>
        <w:t>（二）建设过程及环保审批情况</w:t>
      </w:r>
      <w:bookmarkEnd w:id="6"/>
      <w:bookmarkEnd w:id="7"/>
      <w:bookmarkEnd w:id="8"/>
    </w:p>
    <w:p>
      <w:pPr>
        <w:ind w:left="0" w:leftChars="0" w:right="0" w:rightChars="0" w:firstLine="478" w:firstLineChars="171"/>
        <w:rPr>
          <w:rFonts w:hint="eastAsia" w:ascii="仿宋_GB2312" w:eastAsia="仿宋_GB2312"/>
          <w:position w:val="1"/>
          <w:sz w:val="28"/>
          <w:szCs w:val="28"/>
        </w:rPr>
      </w:pPr>
      <w:r>
        <w:rPr>
          <w:rFonts w:hint="eastAsia" w:ascii="仿宋_GB2312" w:eastAsia="仿宋_GB2312"/>
          <w:sz w:val="28"/>
          <w:szCs w:val="28"/>
        </w:rPr>
        <w:t>株洲渌骏新材料有限公司</w:t>
      </w:r>
      <w:r>
        <w:rPr>
          <w:rFonts w:hint="eastAsia" w:ascii="仿宋_GB2312" w:eastAsia="仿宋_GB2312"/>
          <w:position w:val="1"/>
          <w:sz w:val="28"/>
          <w:szCs w:val="28"/>
        </w:rPr>
        <w:t>于</w:t>
      </w:r>
      <w:r>
        <w:rPr>
          <w:rFonts w:hint="eastAsia" w:ascii="仿宋_GB2312" w:eastAsia="仿宋_GB2312"/>
          <w:sz w:val="28"/>
          <w:szCs w:val="28"/>
        </w:rPr>
        <w:t>2020年8月</w:t>
      </w:r>
      <w:r>
        <w:rPr>
          <w:rFonts w:hint="eastAsia" w:ascii="仿宋_GB2312" w:eastAsia="仿宋_GB2312"/>
          <w:position w:val="1"/>
          <w:sz w:val="28"/>
          <w:szCs w:val="28"/>
        </w:rPr>
        <w:t>委托</w:t>
      </w:r>
      <w:r>
        <w:rPr>
          <w:rFonts w:hint="eastAsia" w:ascii="仿宋_GB2312" w:eastAsia="仿宋_GB2312"/>
          <w:sz w:val="28"/>
          <w:szCs w:val="28"/>
        </w:rPr>
        <w:t>株洲华晟环保技术有限公司</w:t>
      </w:r>
      <w:r>
        <w:rPr>
          <w:rFonts w:hint="eastAsia" w:ascii="仿宋_GB2312" w:eastAsia="仿宋_GB2312"/>
          <w:position w:val="1"/>
          <w:sz w:val="28"/>
          <w:szCs w:val="28"/>
        </w:rPr>
        <w:t>编制完成了《</w:t>
      </w:r>
      <w:r>
        <w:rPr>
          <w:rFonts w:hint="eastAsia" w:ascii="仿宋_GB2312" w:eastAsia="仿宋_GB2312"/>
          <w:bCs/>
          <w:sz w:val="28"/>
          <w:szCs w:val="28"/>
        </w:rPr>
        <w:t>渌口南洲新区渌骏混凝土生产线及配套辅助设施项目</w:t>
      </w:r>
      <w:r>
        <w:rPr>
          <w:rFonts w:hint="eastAsia" w:ascii="仿宋_GB2312" w:eastAsia="仿宋_GB2312"/>
          <w:position w:val="1"/>
          <w:sz w:val="28"/>
          <w:szCs w:val="28"/>
        </w:rPr>
        <w:t>环境影响报告表》，并于</w:t>
      </w:r>
      <w:r>
        <w:rPr>
          <w:rFonts w:hint="eastAsia" w:ascii="仿宋_GB2312" w:eastAsia="仿宋_GB2312"/>
          <w:sz w:val="28"/>
          <w:szCs w:val="28"/>
        </w:rPr>
        <w:t>2021年6月2日</w:t>
      </w:r>
      <w:r>
        <w:rPr>
          <w:rFonts w:hint="eastAsia" w:ascii="仿宋_GB2312" w:eastAsia="仿宋_GB2312"/>
          <w:position w:val="1"/>
          <w:sz w:val="28"/>
          <w:szCs w:val="28"/>
        </w:rPr>
        <w:t>取得株洲市生态环境局</w:t>
      </w:r>
      <w:r>
        <w:rPr>
          <w:rFonts w:hint="eastAsia" w:ascii="仿宋_GB2312" w:eastAsia="仿宋_GB2312"/>
          <w:sz w:val="28"/>
          <w:szCs w:val="28"/>
        </w:rPr>
        <w:t>渌口分局</w:t>
      </w:r>
      <w:r>
        <w:rPr>
          <w:rFonts w:hint="eastAsia" w:ascii="仿宋_GB2312" w:eastAsia="仿宋_GB2312"/>
          <w:position w:val="1"/>
          <w:sz w:val="28"/>
          <w:szCs w:val="28"/>
        </w:rPr>
        <w:t>对该项目的审批意见（</w:t>
      </w:r>
      <w:r>
        <w:rPr>
          <w:rFonts w:hint="eastAsia" w:ascii="仿宋_GB2312" w:eastAsia="仿宋_GB2312"/>
          <w:spacing w:val="-4"/>
          <w:sz w:val="28"/>
          <w:szCs w:val="28"/>
        </w:rPr>
        <w:t>株渌环评表〔2021〕11号</w:t>
      </w:r>
      <w:r>
        <w:rPr>
          <w:rFonts w:hint="eastAsia" w:ascii="仿宋_GB2312" w:eastAsia="仿宋_GB2312"/>
          <w:position w:val="1"/>
          <w:sz w:val="28"/>
          <w:szCs w:val="28"/>
        </w:rPr>
        <w:t>）。本项目于</w:t>
      </w:r>
      <w:r>
        <w:rPr>
          <w:rFonts w:hint="eastAsia" w:ascii="仿宋_GB2312" w:eastAsia="仿宋_GB2312"/>
          <w:position w:val="1"/>
          <w:sz w:val="28"/>
          <w:szCs w:val="28"/>
          <w:lang w:eastAsia="zh-CN"/>
        </w:rPr>
        <w:t>2021</w:t>
      </w:r>
      <w:r>
        <w:rPr>
          <w:rFonts w:hint="eastAsia" w:ascii="仿宋_GB2312" w:eastAsia="仿宋_GB2312"/>
          <w:position w:val="1"/>
          <w:sz w:val="28"/>
          <w:szCs w:val="28"/>
        </w:rPr>
        <w:t>年</w:t>
      </w:r>
      <w:r>
        <w:rPr>
          <w:rFonts w:hint="eastAsia" w:ascii="仿宋_GB2312" w:eastAsia="仿宋_GB2312"/>
          <w:position w:val="1"/>
          <w:sz w:val="28"/>
          <w:szCs w:val="28"/>
          <w:lang w:eastAsia="zh-CN"/>
        </w:rPr>
        <w:t>8</w:t>
      </w:r>
      <w:r>
        <w:rPr>
          <w:rFonts w:hint="eastAsia" w:ascii="仿宋_GB2312" w:eastAsia="仿宋_GB2312"/>
          <w:position w:val="1"/>
          <w:sz w:val="28"/>
          <w:szCs w:val="28"/>
        </w:rPr>
        <w:t>月开始动工建设，</w:t>
      </w:r>
      <w:r>
        <w:rPr>
          <w:rFonts w:hint="eastAsia" w:ascii="仿宋_GB2312" w:eastAsia="仿宋_GB2312"/>
          <w:position w:val="1"/>
          <w:sz w:val="28"/>
          <w:szCs w:val="28"/>
          <w:lang w:eastAsia="zh-CN"/>
        </w:rPr>
        <w:t>2021</w:t>
      </w:r>
      <w:r>
        <w:rPr>
          <w:rFonts w:hint="eastAsia" w:ascii="仿宋_GB2312" w:eastAsia="仿宋_GB2312"/>
          <w:position w:val="1"/>
          <w:sz w:val="28"/>
          <w:szCs w:val="28"/>
        </w:rPr>
        <w:t>年</w:t>
      </w:r>
      <w:r>
        <w:rPr>
          <w:rFonts w:hint="eastAsia" w:ascii="仿宋_GB2312" w:eastAsia="仿宋_GB2312"/>
          <w:position w:val="1"/>
          <w:sz w:val="28"/>
          <w:szCs w:val="28"/>
          <w:lang w:eastAsia="zh-CN"/>
        </w:rPr>
        <w:t>10</w:t>
      </w:r>
      <w:r>
        <w:rPr>
          <w:rFonts w:hint="eastAsia" w:ascii="仿宋_GB2312" w:eastAsia="仿宋_GB2312"/>
          <w:position w:val="1"/>
          <w:sz w:val="28"/>
          <w:szCs w:val="28"/>
        </w:rPr>
        <w:t>月</w:t>
      </w:r>
      <w:r>
        <w:rPr>
          <w:rFonts w:hint="eastAsia" w:ascii="仿宋_GB2312" w:eastAsia="仿宋_GB2312"/>
          <w:position w:val="1"/>
          <w:sz w:val="28"/>
          <w:szCs w:val="28"/>
          <w:lang w:eastAsia="zh-CN"/>
        </w:rPr>
        <w:t>竣工并开始调试</w:t>
      </w:r>
      <w:r>
        <w:rPr>
          <w:rFonts w:hint="eastAsia" w:ascii="仿宋_GB2312" w:eastAsia="仿宋_GB2312"/>
          <w:position w:val="1"/>
          <w:sz w:val="28"/>
          <w:szCs w:val="28"/>
        </w:rPr>
        <w:t>。项目自环评审批以来，无环境污染投诉，未受到环境行政处罚。</w:t>
      </w:r>
    </w:p>
    <w:p>
      <w:pPr>
        <w:ind w:left="0" w:leftChars="0" w:right="0" w:rightChars="0" w:firstLine="481" w:firstLineChars="171"/>
        <w:outlineLvl w:val="0"/>
        <w:rPr>
          <w:rFonts w:eastAsia="仿宋_GB2312"/>
          <w:b/>
          <w:position w:val="1"/>
          <w:sz w:val="28"/>
          <w:szCs w:val="28"/>
        </w:rPr>
      </w:pPr>
      <w:bookmarkStart w:id="9" w:name="_Toc11146"/>
      <w:bookmarkStart w:id="10" w:name="_Toc6406"/>
      <w:bookmarkStart w:id="11" w:name="_Toc28487"/>
      <w:r>
        <w:rPr>
          <w:rFonts w:eastAsia="仿宋_GB2312"/>
          <w:b/>
          <w:position w:val="1"/>
          <w:sz w:val="28"/>
          <w:szCs w:val="28"/>
        </w:rPr>
        <w:t>（三）投资情况</w:t>
      </w:r>
      <w:bookmarkEnd w:id="9"/>
      <w:bookmarkEnd w:id="10"/>
      <w:bookmarkEnd w:id="11"/>
    </w:p>
    <w:p>
      <w:pPr>
        <w:ind w:left="0" w:leftChars="0" w:right="0" w:rightChars="0" w:firstLine="478" w:firstLineChars="171"/>
        <w:rPr>
          <w:rFonts w:eastAsia="仿宋_GB2312"/>
          <w:position w:val="1"/>
          <w:sz w:val="28"/>
          <w:szCs w:val="28"/>
          <w:lang w:eastAsia="zh-CN"/>
        </w:rPr>
      </w:pPr>
      <w:bookmarkStart w:id="12" w:name="_Toc3398"/>
      <w:bookmarkStart w:id="13" w:name="_Toc18533"/>
      <w:bookmarkStart w:id="14" w:name="_Toc17362"/>
      <w:r>
        <w:rPr>
          <w:rFonts w:hint="eastAsia" w:eastAsia="仿宋_GB2312"/>
          <w:position w:val="1"/>
          <w:sz w:val="28"/>
          <w:szCs w:val="28"/>
          <w:lang w:eastAsia="zh-CN"/>
        </w:rPr>
        <w:t>项目实际总投资</w:t>
      </w:r>
      <w:r>
        <w:rPr>
          <w:rFonts w:hint="eastAsia"/>
          <w:szCs w:val="21"/>
        </w:rPr>
        <w:t>4200</w:t>
      </w:r>
      <w:r>
        <w:rPr>
          <w:rFonts w:hint="eastAsia" w:eastAsia="仿宋_GB2312"/>
          <w:position w:val="1"/>
          <w:sz w:val="28"/>
          <w:szCs w:val="28"/>
          <w:lang w:eastAsia="zh-CN"/>
        </w:rPr>
        <w:t>万元，实际环保投资</w:t>
      </w:r>
      <w:r>
        <w:rPr>
          <w:rFonts w:hint="eastAsia"/>
          <w:szCs w:val="21"/>
        </w:rPr>
        <w:t>220</w:t>
      </w:r>
      <w:r>
        <w:rPr>
          <w:rFonts w:hint="eastAsia" w:eastAsia="仿宋_GB2312"/>
          <w:position w:val="1"/>
          <w:sz w:val="28"/>
          <w:szCs w:val="28"/>
          <w:lang w:eastAsia="zh-CN"/>
        </w:rPr>
        <w:t>万元，环保投资占总投资比例</w:t>
      </w:r>
      <w:r>
        <w:rPr>
          <w:rFonts w:hint="eastAsia"/>
          <w:szCs w:val="21"/>
        </w:rPr>
        <w:t>5.23 %</w:t>
      </w:r>
      <w:r>
        <w:rPr>
          <w:rFonts w:hint="eastAsia" w:eastAsia="仿宋_GB2312"/>
          <w:position w:val="1"/>
          <w:sz w:val="28"/>
          <w:szCs w:val="28"/>
          <w:lang w:eastAsia="zh-CN"/>
        </w:rPr>
        <w:t>。</w:t>
      </w:r>
    </w:p>
    <w:p>
      <w:pPr>
        <w:ind w:left="0" w:leftChars="0" w:right="0" w:rightChars="0" w:firstLine="481" w:firstLineChars="171"/>
        <w:outlineLvl w:val="0"/>
        <w:rPr>
          <w:rFonts w:eastAsia="仿宋_GB2312"/>
          <w:b/>
          <w:position w:val="1"/>
          <w:sz w:val="28"/>
          <w:szCs w:val="28"/>
        </w:rPr>
      </w:pPr>
      <w:r>
        <w:rPr>
          <w:rFonts w:eastAsia="仿宋_GB2312"/>
          <w:b/>
          <w:position w:val="1"/>
          <w:sz w:val="28"/>
          <w:szCs w:val="28"/>
        </w:rPr>
        <w:t>（四）验收范围</w:t>
      </w:r>
      <w:bookmarkEnd w:id="12"/>
      <w:bookmarkEnd w:id="13"/>
      <w:bookmarkEnd w:id="14"/>
    </w:p>
    <w:p>
      <w:pPr>
        <w:ind w:left="0" w:leftChars="0" w:right="0" w:rightChars="0" w:firstLine="478" w:firstLineChars="171"/>
        <w:rPr>
          <w:rFonts w:eastAsia="仿宋_GB2312"/>
          <w:position w:val="1"/>
          <w:sz w:val="28"/>
          <w:szCs w:val="28"/>
        </w:rPr>
      </w:pPr>
      <w:r>
        <w:rPr>
          <w:rFonts w:hint="eastAsia" w:eastAsia="仿宋_GB2312"/>
          <w:position w:val="1"/>
          <w:sz w:val="28"/>
          <w:szCs w:val="28"/>
        </w:rPr>
        <w:t>本次验收范围为项目总体竣工环境保护验收</w:t>
      </w:r>
      <w:r>
        <w:rPr>
          <w:rFonts w:hint="eastAsia" w:eastAsia="仿宋_GB2312"/>
          <w:position w:val="1"/>
          <w:sz w:val="28"/>
          <w:szCs w:val="28"/>
          <w:lang w:eastAsia="zh-CN"/>
        </w:rPr>
        <w:t>、环评内容、环评批复内容</w:t>
      </w:r>
      <w:r>
        <w:rPr>
          <w:rFonts w:hint="eastAsia" w:eastAsia="仿宋_GB2312"/>
          <w:position w:val="1"/>
          <w:sz w:val="28"/>
          <w:szCs w:val="28"/>
        </w:rPr>
        <w:t>。</w:t>
      </w:r>
    </w:p>
    <w:p>
      <w:pPr>
        <w:ind w:left="0" w:leftChars="0" w:right="0" w:rightChars="0" w:firstLine="478" w:firstLineChars="171"/>
        <w:rPr>
          <w:rFonts w:eastAsia="黑体"/>
          <w:position w:val="1"/>
          <w:sz w:val="28"/>
          <w:szCs w:val="28"/>
        </w:rPr>
      </w:pPr>
      <w:bookmarkStart w:id="15" w:name="_Toc20604"/>
      <w:bookmarkStart w:id="16" w:name="_Toc23657"/>
      <w:bookmarkStart w:id="17" w:name="_Toc24049"/>
      <w:r>
        <w:rPr>
          <w:rFonts w:eastAsia="黑体"/>
          <w:position w:val="1"/>
          <w:sz w:val="28"/>
          <w:szCs w:val="28"/>
        </w:rPr>
        <w:t>二、工程变动情况</w:t>
      </w:r>
      <w:bookmarkEnd w:id="15"/>
      <w:bookmarkEnd w:id="16"/>
      <w:bookmarkEnd w:id="17"/>
    </w:p>
    <w:p>
      <w:pPr>
        <w:ind w:left="0" w:leftChars="0" w:right="0" w:rightChars="0" w:firstLine="478" w:firstLineChars="171"/>
        <w:rPr>
          <w:rFonts w:eastAsia="仿宋_GB2312"/>
          <w:position w:val="1"/>
          <w:sz w:val="28"/>
          <w:szCs w:val="28"/>
          <w:lang w:eastAsia="zh-CN"/>
        </w:rPr>
      </w:pPr>
      <w:r>
        <w:rPr>
          <w:rFonts w:hint="eastAsia" w:eastAsia="仿宋_GB2312"/>
          <w:position w:val="1"/>
          <w:sz w:val="28"/>
          <w:szCs w:val="28"/>
        </w:rPr>
        <w:t>对照项目环评报告表及批复要求</w:t>
      </w:r>
      <w:r>
        <w:rPr>
          <w:rFonts w:hint="eastAsia" w:eastAsia="仿宋_GB2312"/>
          <w:position w:val="1"/>
          <w:sz w:val="28"/>
          <w:szCs w:val="28"/>
          <w:lang w:eastAsia="zh-CN"/>
        </w:rPr>
        <w:t>以及《污染影响类建设项目重大变动清单（试行）》（环办环评函[2020]688）号）</w:t>
      </w:r>
      <w:r>
        <w:rPr>
          <w:rFonts w:hint="eastAsia" w:eastAsia="仿宋_GB2312"/>
          <w:position w:val="1"/>
          <w:sz w:val="28"/>
          <w:szCs w:val="28"/>
        </w:rPr>
        <w:t>，</w:t>
      </w:r>
      <w:r>
        <w:rPr>
          <w:rFonts w:hint="eastAsia" w:eastAsia="仿宋_GB2312"/>
          <w:position w:val="1"/>
          <w:sz w:val="28"/>
          <w:szCs w:val="28"/>
          <w:lang w:eastAsia="zh-CN"/>
        </w:rPr>
        <w:t>本项目建设地点、性质、规模、生产工艺和建设情况未发生重大变化。根据实际建设及运营情况，项目情况有较小变化，但不属于重大变动，具体见下表。</w:t>
      </w:r>
    </w:p>
    <w:p>
      <w:pPr>
        <w:pStyle w:val="11"/>
      </w:pPr>
      <w:bookmarkStart w:id="18" w:name="_Toc11859"/>
      <w:bookmarkStart w:id="19" w:name="_Toc21118"/>
      <w:bookmarkStart w:id="20" w:name="_Toc10412"/>
      <w:r>
        <w:t>表</w:t>
      </w:r>
      <w:r>
        <w:rPr>
          <w:rFonts w:hint="eastAsia"/>
        </w:rPr>
        <w:t>1-1</w:t>
      </w:r>
      <w:r>
        <w:t>项目</w:t>
      </w:r>
      <w:r>
        <w:rPr>
          <w:rFonts w:hint="eastAsia"/>
        </w:rPr>
        <w:t>变化情况</w:t>
      </w:r>
    </w:p>
    <w:tbl>
      <w:tblPr>
        <w:tblStyle w:val="7"/>
        <w:tblW w:w="9491"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6" w:space="0"/>
        </w:tblBorders>
        <w:tblLayout w:type="fixed"/>
        <w:tblCellMar>
          <w:top w:w="0" w:type="dxa"/>
          <w:left w:w="0" w:type="dxa"/>
          <w:bottom w:w="0" w:type="dxa"/>
          <w:right w:w="0" w:type="dxa"/>
        </w:tblCellMar>
      </w:tblPr>
      <w:tblGrid>
        <w:gridCol w:w="765"/>
        <w:gridCol w:w="1100"/>
        <w:gridCol w:w="3217"/>
        <w:gridCol w:w="3218"/>
        <w:gridCol w:w="1191"/>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6" w:space="0"/>
          </w:tblBorders>
          <w:tblCellMar>
            <w:top w:w="0" w:type="dxa"/>
            <w:left w:w="0" w:type="dxa"/>
            <w:bottom w:w="0" w:type="dxa"/>
            <w:right w:w="0" w:type="dxa"/>
          </w:tblCellMar>
        </w:tblPrEx>
        <w:trPr>
          <w:trHeight w:val="539" w:hRule="atLeast"/>
          <w:tblHeader/>
          <w:jc w:val="center"/>
        </w:trPr>
        <w:tc>
          <w:tcPr>
            <w:tcW w:w="765" w:type="dxa"/>
            <w:tcBorders>
              <w:tl2br w:val="nil"/>
              <w:tr2bl w:val="nil"/>
            </w:tcBorders>
            <w:shd w:val="pct25" w:color="auto" w:fill="FFFFFF" w:themeFill="background1"/>
            <w:vAlign w:val="center"/>
          </w:tcPr>
          <w:p>
            <w:pPr>
              <w:pStyle w:val="10"/>
              <w:spacing w:line="240" w:lineRule="auto"/>
              <w:ind w:left="0" w:leftChars="0" w:right="0" w:rightChars="0" w:firstLine="0" w:firstLineChars="0"/>
              <w:rPr>
                <w:rFonts w:hint="eastAsia" w:ascii="仿宋_GB2312" w:hAnsi="Times New Roman" w:eastAsia="仿宋_GB2312" w:cs="Times New Roman"/>
                <w:b/>
                <w:bCs/>
                <w:color w:val="000000" w:themeColor="text1"/>
                <w:sz w:val="21"/>
                <w:szCs w:val="21"/>
              </w:rPr>
            </w:pPr>
            <w:r>
              <w:rPr>
                <w:rFonts w:hint="eastAsia" w:ascii="仿宋_GB2312" w:hAnsi="Times New Roman" w:eastAsia="仿宋_GB2312" w:cs="Times New Roman"/>
                <w:b/>
                <w:bCs/>
                <w:color w:val="000000" w:themeColor="text1"/>
                <w:sz w:val="21"/>
                <w:szCs w:val="21"/>
              </w:rPr>
              <w:t>序号</w:t>
            </w:r>
          </w:p>
        </w:tc>
        <w:tc>
          <w:tcPr>
            <w:tcW w:w="1100" w:type="dxa"/>
            <w:tcBorders>
              <w:right w:val="single" w:color="auto" w:sz="4" w:space="0"/>
              <w:tl2br w:val="nil"/>
              <w:tr2bl w:val="nil"/>
            </w:tcBorders>
            <w:shd w:val="pct25" w:color="auto" w:fill="FFFFFF" w:themeFill="background1"/>
            <w:vAlign w:val="center"/>
          </w:tcPr>
          <w:p>
            <w:pPr>
              <w:pStyle w:val="10"/>
              <w:spacing w:line="240" w:lineRule="auto"/>
              <w:ind w:left="0" w:leftChars="0" w:right="0" w:rightChars="0" w:firstLine="0" w:firstLineChars="0"/>
              <w:rPr>
                <w:rFonts w:hint="eastAsia" w:ascii="仿宋_GB2312" w:hAnsi="Times New Roman" w:eastAsia="仿宋_GB2312" w:cs="Times New Roman"/>
                <w:b/>
                <w:bCs/>
                <w:color w:val="000000" w:themeColor="text1"/>
                <w:sz w:val="21"/>
                <w:szCs w:val="21"/>
                <w:lang w:eastAsia="zh-CN"/>
              </w:rPr>
            </w:pPr>
            <w:r>
              <w:rPr>
                <w:rFonts w:hint="eastAsia" w:ascii="仿宋_GB2312" w:hAnsi="Times New Roman" w:eastAsia="仿宋_GB2312" w:cs="Times New Roman"/>
                <w:b/>
                <w:bCs/>
                <w:color w:val="000000" w:themeColor="text1"/>
                <w:sz w:val="21"/>
                <w:szCs w:val="21"/>
                <w:lang w:eastAsia="zh-CN"/>
              </w:rPr>
              <w:t>变动内容</w:t>
            </w:r>
          </w:p>
        </w:tc>
        <w:tc>
          <w:tcPr>
            <w:tcW w:w="3217" w:type="dxa"/>
            <w:tcBorders>
              <w:left w:val="single" w:color="auto" w:sz="4" w:space="0"/>
              <w:right w:val="single" w:color="auto" w:sz="4" w:space="0"/>
              <w:tl2br w:val="nil"/>
              <w:tr2bl w:val="nil"/>
            </w:tcBorders>
            <w:shd w:val="pct25" w:color="auto" w:fill="FFFFFF" w:themeFill="background1"/>
            <w:vAlign w:val="center"/>
          </w:tcPr>
          <w:p>
            <w:pPr>
              <w:pStyle w:val="10"/>
              <w:spacing w:line="240" w:lineRule="auto"/>
              <w:ind w:left="0" w:leftChars="0" w:right="0" w:rightChars="0" w:firstLine="0" w:firstLineChars="0"/>
              <w:rPr>
                <w:rFonts w:hint="eastAsia" w:ascii="仿宋_GB2312" w:hAnsi="Times New Roman" w:eastAsia="仿宋_GB2312" w:cs="Times New Roman"/>
                <w:b/>
                <w:bCs/>
                <w:color w:val="000000" w:themeColor="text1"/>
                <w:sz w:val="21"/>
                <w:szCs w:val="21"/>
                <w:lang w:eastAsia="zh-CN"/>
              </w:rPr>
            </w:pPr>
            <w:r>
              <w:rPr>
                <w:rFonts w:hint="eastAsia" w:ascii="仿宋_GB2312" w:hAnsi="Times New Roman" w:eastAsia="仿宋_GB2312" w:cs="Times New Roman"/>
                <w:b/>
                <w:bCs/>
                <w:color w:val="000000" w:themeColor="text1"/>
                <w:sz w:val="21"/>
                <w:szCs w:val="21"/>
                <w:lang w:eastAsia="zh-CN"/>
              </w:rPr>
              <w:t>环评内容</w:t>
            </w:r>
          </w:p>
        </w:tc>
        <w:tc>
          <w:tcPr>
            <w:tcW w:w="3218" w:type="dxa"/>
            <w:tcBorders>
              <w:left w:val="single" w:color="auto" w:sz="4" w:space="0"/>
              <w:tl2br w:val="nil"/>
              <w:tr2bl w:val="nil"/>
            </w:tcBorders>
            <w:shd w:val="pct25" w:color="auto" w:fill="FFFFFF" w:themeFill="background1"/>
            <w:vAlign w:val="center"/>
          </w:tcPr>
          <w:p>
            <w:pPr>
              <w:pStyle w:val="10"/>
              <w:spacing w:line="240" w:lineRule="auto"/>
              <w:ind w:left="0" w:leftChars="0" w:right="0" w:rightChars="0" w:firstLine="0" w:firstLineChars="0"/>
              <w:rPr>
                <w:rFonts w:hint="eastAsia" w:ascii="仿宋_GB2312" w:hAnsi="Times New Roman" w:eastAsia="仿宋_GB2312" w:cs="Times New Roman"/>
                <w:b/>
                <w:bCs/>
                <w:color w:val="000000" w:themeColor="text1"/>
                <w:sz w:val="21"/>
                <w:szCs w:val="21"/>
                <w:lang w:eastAsia="zh-CN"/>
              </w:rPr>
            </w:pPr>
            <w:r>
              <w:rPr>
                <w:rFonts w:hint="eastAsia" w:ascii="仿宋_GB2312" w:hAnsi="Times New Roman" w:eastAsia="仿宋_GB2312" w:cs="Times New Roman"/>
                <w:b/>
                <w:bCs/>
                <w:color w:val="000000" w:themeColor="text1"/>
                <w:sz w:val="21"/>
                <w:szCs w:val="21"/>
                <w:lang w:eastAsia="zh-CN"/>
              </w:rPr>
              <w:t>实际情况</w:t>
            </w:r>
          </w:p>
        </w:tc>
        <w:tc>
          <w:tcPr>
            <w:tcW w:w="1191" w:type="dxa"/>
            <w:tcBorders>
              <w:tl2br w:val="nil"/>
              <w:tr2bl w:val="nil"/>
            </w:tcBorders>
            <w:shd w:val="pct25" w:color="auto" w:fill="FFFFFF" w:themeFill="background1"/>
            <w:vAlign w:val="center"/>
          </w:tcPr>
          <w:p>
            <w:pPr>
              <w:pStyle w:val="10"/>
              <w:spacing w:line="240" w:lineRule="auto"/>
              <w:ind w:left="0" w:leftChars="0" w:right="0" w:rightChars="0" w:firstLine="0" w:firstLineChars="0"/>
              <w:rPr>
                <w:rFonts w:hint="eastAsia" w:ascii="仿宋_GB2312" w:hAnsi="Times New Roman" w:eastAsia="仿宋_GB2312" w:cs="Times New Roman"/>
                <w:b/>
                <w:bCs/>
                <w:color w:val="000000" w:themeColor="text1"/>
                <w:sz w:val="21"/>
                <w:szCs w:val="21"/>
                <w:lang w:eastAsia="zh-CN"/>
              </w:rPr>
            </w:pPr>
            <w:r>
              <w:rPr>
                <w:rFonts w:hint="eastAsia" w:ascii="仿宋_GB2312" w:hAnsi="Times New Roman" w:eastAsia="仿宋_GB2312" w:cs="Times New Roman"/>
                <w:b/>
                <w:bCs/>
                <w:color w:val="000000" w:themeColor="text1"/>
                <w:sz w:val="21"/>
                <w:szCs w:val="21"/>
                <w:lang w:eastAsia="zh-CN"/>
              </w:rPr>
              <w:t>是否重大变动</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6" w:space="0"/>
          </w:tblBorders>
          <w:tblCellMar>
            <w:top w:w="0" w:type="dxa"/>
            <w:left w:w="0" w:type="dxa"/>
            <w:bottom w:w="0" w:type="dxa"/>
            <w:right w:w="0" w:type="dxa"/>
          </w:tblCellMar>
        </w:tblPrEx>
        <w:trPr>
          <w:trHeight w:val="539" w:hRule="atLeast"/>
          <w:jc w:val="center"/>
        </w:trPr>
        <w:tc>
          <w:tcPr>
            <w:tcW w:w="765" w:type="dxa"/>
            <w:tcBorders>
              <w:tl2br w:val="nil"/>
              <w:tr2bl w:val="nil"/>
            </w:tcBorders>
            <w:vAlign w:val="center"/>
          </w:tcPr>
          <w:p>
            <w:pPr>
              <w:pStyle w:val="10"/>
              <w:snapToGrid w:val="0"/>
              <w:spacing w:line="240" w:lineRule="auto"/>
              <w:ind w:left="0" w:leftChars="0" w:right="0" w:rightChars="0" w:firstLine="0" w:firstLineChars="0"/>
              <w:rPr>
                <w:rFonts w:hint="eastAsia" w:ascii="仿宋_GB2312" w:hAnsi="Times New Roman" w:eastAsia="仿宋_GB2312" w:cs="Times New Roman"/>
                <w:color w:val="000000" w:themeColor="text1"/>
                <w:sz w:val="21"/>
                <w:szCs w:val="21"/>
              </w:rPr>
            </w:pPr>
            <w:r>
              <w:rPr>
                <w:rFonts w:hint="eastAsia" w:ascii="仿宋_GB2312" w:hAnsi="Times New Roman" w:eastAsia="仿宋_GB2312" w:cs="Times New Roman"/>
                <w:color w:val="000000" w:themeColor="text1"/>
                <w:w w:val="99"/>
                <w:sz w:val="21"/>
                <w:szCs w:val="21"/>
              </w:rPr>
              <w:t>1</w:t>
            </w:r>
          </w:p>
        </w:tc>
        <w:tc>
          <w:tcPr>
            <w:tcW w:w="1100" w:type="dxa"/>
            <w:tcBorders>
              <w:right w:val="single" w:color="auto" w:sz="4" w:space="0"/>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r>
              <w:rPr>
                <w:rFonts w:hint="eastAsia" w:ascii="仿宋_GB2312" w:hAnsi="Times New Roman" w:eastAsia="仿宋_GB2312" w:cs="Times New Roman"/>
                <w:color w:val="000000" w:themeColor="text1"/>
                <w:sz w:val="21"/>
                <w:szCs w:val="21"/>
                <w:lang w:eastAsia="zh-CN"/>
              </w:rPr>
              <w:t>投资情况</w:t>
            </w:r>
          </w:p>
        </w:tc>
        <w:tc>
          <w:tcPr>
            <w:tcW w:w="3217" w:type="dxa"/>
            <w:tcBorders>
              <w:left w:val="single" w:color="auto" w:sz="4" w:space="0"/>
              <w:right w:val="single" w:color="auto" w:sz="4" w:space="0"/>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r>
              <w:rPr>
                <w:rFonts w:hint="eastAsia" w:ascii="仿宋_GB2312" w:eastAsia="仿宋_GB2312"/>
                <w:sz w:val="21"/>
                <w:szCs w:val="21"/>
              </w:rPr>
              <w:t>投资总概算</w:t>
            </w:r>
            <w:r>
              <w:rPr>
                <w:rFonts w:hint="eastAsia" w:ascii="仿宋_GB2312" w:hAnsi="Times New Roman" w:eastAsia="仿宋_GB2312"/>
                <w:sz w:val="21"/>
                <w:szCs w:val="21"/>
              </w:rPr>
              <w:t>4102.82</w:t>
            </w:r>
            <w:r>
              <w:rPr>
                <w:rFonts w:hint="eastAsia" w:ascii="仿宋_GB2312" w:eastAsia="仿宋_GB2312"/>
                <w:sz w:val="21"/>
                <w:szCs w:val="21"/>
              </w:rPr>
              <w:t>万元，环保投资总概算200元，占比4.9%</w:t>
            </w:r>
          </w:p>
        </w:tc>
        <w:tc>
          <w:tcPr>
            <w:tcW w:w="3218" w:type="dxa"/>
            <w:tcBorders>
              <w:left w:val="single" w:color="auto" w:sz="4" w:space="0"/>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r>
              <w:rPr>
                <w:rFonts w:hint="eastAsia" w:ascii="仿宋_GB2312" w:eastAsia="仿宋_GB2312"/>
                <w:sz w:val="21"/>
                <w:szCs w:val="21"/>
              </w:rPr>
              <w:t>投资总概算 4200  万元，环保投资总概算 220万 元，占比5.23 %</w:t>
            </w:r>
          </w:p>
        </w:tc>
        <w:tc>
          <w:tcPr>
            <w:tcW w:w="1191" w:type="dxa"/>
            <w:tcBorders>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r>
              <w:rPr>
                <w:rFonts w:hint="eastAsia" w:ascii="仿宋_GB2312" w:hAnsi="Times New Roman" w:eastAsia="仿宋_GB2312" w:cs="Times New Roman"/>
                <w:bCs/>
                <w:color w:val="000000" w:themeColor="text1"/>
                <w:sz w:val="21"/>
                <w:szCs w:val="21"/>
                <w:lang w:eastAsia="zh-CN"/>
              </w:rPr>
              <w:t>否</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6" w:space="0"/>
          </w:tblBorders>
          <w:tblCellMar>
            <w:top w:w="0" w:type="dxa"/>
            <w:left w:w="0" w:type="dxa"/>
            <w:bottom w:w="0" w:type="dxa"/>
            <w:right w:w="0" w:type="dxa"/>
          </w:tblCellMar>
        </w:tblPrEx>
        <w:trPr>
          <w:trHeight w:val="539" w:hRule="atLeast"/>
          <w:jc w:val="center"/>
        </w:trPr>
        <w:tc>
          <w:tcPr>
            <w:tcW w:w="765" w:type="dxa"/>
            <w:vMerge w:val="restart"/>
            <w:tcBorders>
              <w:tl2br w:val="nil"/>
              <w:tr2bl w:val="nil"/>
            </w:tcBorders>
            <w:vAlign w:val="center"/>
          </w:tcPr>
          <w:p>
            <w:pPr>
              <w:pStyle w:val="10"/>
              <w:snapToGrid w:val="0"/>
              <w:spacing w:line="240" w:lineRule="auto"/>
              <w:ind w:left="0" w:leftChars="0" w:right="0" w:rightChars="0" w:firstLine="0" w:firstLineChars="0"/>
              <w:rPr>
                <w:rFonts w:hint="eastAsia" w:ascii="仿宋_GB2312" w:hAnsi="Times New Roman" w:eastAsia="仿宋_GB2312" w:cs="Times New Roman"/>
                <w:color w:val="000000" w:themeColor="text1"/>
                <w:w w:val="99"/>
                <w:sz w:val="21"/>
                <w:szCs w:val="21"/>
                <w:lang w:eastAsia="zh-CN"/>
              </w:rPr>
            </w:pPr>
            <w:r>
              <w:rPr>
                <w:rFonts w:hint="eastAsia" w:ascii="仿宋_GB2312" w:hAnsi="Times New Roman" w:eastAsia="仿宋_GB2312" w:cs="Times New Roman"/>
                <w:color w:val="000000" w:themeColor="text1"/>
                <w:w w:val="99"/>
                <w:sz w:val="21"/>
                <w:szCs w:val="21"/>
                <w:lang w:eastAsia="zh-CN"/>
              </w:rPr>
              <w:t>2</w:t>
            </w:r>
          </w:p>
        </w:tc>
        <w:tc>
          <w:tcPr>
            <w:tcW w:w="1100" w:type="dxa"/>
            <w:vMerge w:val="restart"/>
            <w:tcBorders>
              <w:right w:val="single" w:color="auto" w:sz="4" w:space="0"/>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r>
              <w:rPr>
                <w:rFonts w:hint="eastAsia" w:ascii="仿宋_GB2312" w:eastAsia="仿宋_GB2312"/>
                <w:sz w:val="21"/>
                <w:szCs w:val="21"/>
              </w:rPr>
              <w:t>构筑物情况</w:t>
            </w:r>
          </w:p>
        </w:tc>
        <w:tc>
          <w:tcPr>
            <w:tcW w:w="3217" w:type="dxa"/>
            <w:tcBorders>
              <w:left w:val="single" w:color="auto" w:sz="4" w:space="0"/>
              <w:right w:val="single" w:color="auto" w:sz="4" w:space="0"/>
              <w:tl2br w:val="nil"/>
              <w:tr2bl w:val="nil"/>
            </w:tcBorders>
            <w:vAlign w:val="center"/>
          </w:tcPr>
          <w:p>
            <w:pPr>
              <w:pStyle w:val="4"/>
              <w:ind w:left="0" w:leftChars="0" w:right="480" w:firstLine="210" w:firstLineChars="100"/>
              <w:rPr>
                <w:rFonts w:hint="eastAsia" w:ascii="仿宋_GB2312" w:eastAsia="仿宋_GB2312"/>
                <w:sz w:val="21"/>
                <w:szCs w:val="21"/>
              </w:rPr>
            </w:pPr>
            <w:r>
              <w:rPr>
                <w:rFonts w:hint="eastAsia" w:ascii="仿宋_GB2312" w:hAnsi="Times New Roman" w:eastAsia="仿宋_GB2312"/>
                <w:bCs/>
                <w:sz w:val="21"/>
                <w:szCs w:val="21"/>
              </w:rPr>
              <w:t>实验室及值班室351.10m</w:t>
            </w:r>
            <w:r>
              <w:rPr>
                <w:rFonts w:hint="eastAsia" w:ascii="仿宋_GB2312" w:hAnsi="Times New Roman" w:eastAsia="仿宋_GB2312"/>
                <w:bCs/>
                <w:sz w:val="21"/>
                <w:szCs w:val="21"/>
                <w:vertAlign w:val="superscript"/>
              </w:rPr>
              <w:t>2</w:t>
            </w:r>
          </w:p>
        </w:tc>
        <w:tc>
          <w:tcPr>
            <w:tcW w:w="3218" w:type="dxa"/>
            <w:tcBorders>
              <w:left w:val="single" w:color="auto" w:sz="4" w:space="0"/>
              <w:tl2br w:val="nil"/>
              <w:tr2bl w:val="nil"/>
            </w:tcBorders>
            <w:vAlign w:val="center"/>
          </w:tcPr>
          <w:p>
            <w:pPr>
              <w:pStyle w:val="4"/>
              <w:ind w:left="0" w:leftChars="0" w:right="480" w:firstLine="0" w:firstLineChars="0"/>
              <w:jc w:val="center"/>
              <w:rPr>
                <w:rFonts w:hint="eastAsia" w:ascii="仿宋_GB2312" w:eastAsia="仿宋_GB2312"/>
                <w:sz w:val="21"/>
                <w:szCs w:val="21"/>
              </w:rPr>
            </w:pPr>
            <w:r>
              <w:rPr>
                <w:rFonts w:hint="eastAsia" w:ascii="仿宋_GB2312" w:hAnsi="Times New Roman" w:eastAsia="仿宋_GB2312"/>
                <w:bCs/>
                <w:sz w:val="21"/>
                <w:szCs w:val="21"/>
                <w:lang w:val="en-US" w:eastAsia="zh-CN"/>
              </w:rPr>
              <w:t xml:space="preserve">   </w:t>
            </w:r>
            <w:r>
              <w:rPr>
                <w:rFonts w:hint="eastAsia" w:ascii="仿宋_GB2312" w:hAnsi="Times New Roman" w:eastAsia="仿宋_GB2312"/>
                <w:bCs/>
                <w:sz w:val="21"/>
                <w:szCs w:val="21"/>
              </w:rPr>
              <w:t>实验室位于办公楼的右侧占地面积为180m</w:t>
            </w:r>
            <w:r>
              <w:rPr>
                <w:rFonts w:hint="eastAsia" w:ascii="仿宋_GB2312" w:hAnsi="Times New Roman" w:eastAsia="仿宋_GB2312"/>
                <w:bCs/>
                <w:sz w:val="21"/>
                <w:szCs w:val="21"/>
                <w:vertAlign w:val="superscript"/>
              </w:rPr>
              <w:t>2</w:t>
            </w:r>
          </w:p>
        </w:tc>
        <w:tc>
          <w:tcPr>
            <w:tcW w:w="1191" w:type="dxa"/>
            <w:tcBorders>
              <w:tl2br w:val="nil"/>
              <w:tr2bl w:val="nil"/>
            </w:tcBorders>
            <w:vAlign w:val="center"/>
          </w:tcPr>
          <w:p>
            <w:pPr>
              <w:pStyle w:val="4"/>
              <w:ind w:left="0" w:leftChars="0" w:right="480" w:firstLine="420"/>
              <w:rPr>
                <w:rFonts w:hint="eastAsia" w:ascii="仿宋_GB2312" w:eastAsia="仿宋_GB2312"/>
                <w:sz w:val="21"/>
                <w:szCs w:val="21"/>
              </w:rPr>
            </w:pPr>
            <w:r>
              <w:rPr>
                <w:rFonts w:hint="eastAsia" w:ascii="仿宋_GB2312" w:eastAsia="仿宋_GB2312"/>
                <w:sz w:val="21"/>
                <w:szCs w:val="21"/>
              </w:rPr>
              <w:t>否</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6" w:space="0"/>
          </w:tblBorders>
          <w:tblCellMar>
            <w:top w:w="0" w:type="dxa"/>
            <w:left w:w="0" w:type="dxa"/>
            <w:bottom w:w="0" w:type="dxa"/>
            <w:right w:w="0" w:type="dxa"/>
          </w:tblCellMar>
        </w:tblPrEx>
        <w:trPr>
          <w:trHeight w:val="539" w:hRule="atLeast"/>
          <w:jc w:val="center"/>
        </w:trPr>
        <w:tc>
          <w:tcPr>
            <w:tcW w:w="765" w:type="dxa"/>
            <w:vMerge w:val="continue"/>
            <w:tcBorders>
              <w:tl2br w:val="nil"/>
              <w:tr2bl w:val="nil"/>
            </w:tcBorders>
            <w:vAlign w:val="center"/>
          </w:tcPr>
          <w:p>
            <w:pPr>
              <w:pStyle w:val="10"/>
              <w:snapToGrid w:val="0"/>
              <w:spacing w:line="240" w:lineRule="auto"/>
              <w:ind w:left="0" w:leftChars="0" w:right="0" w:rightChars="0" w:firstLine="0" w:firstLineChars="0"/>
              <w:rPr>
                <w:rFonts w:hint="eastAsia" w:ascii="仿宋_GB2312" w:hAnsi="Times New Roman" w:eastAsia="仿宋_GB2312" w:cs="Times New Roman"/>
                <w:color w:val="000000" w:themeColor="text1"/>
                <w:w w:val="99"/>
                <w:sz w:val="21"/>
                <w:szCs w:val="21"/>
              </w:rPr>
            </w:pPr>
          </w:p>
        </w:tc>
        <w:tc>
          <w:tcPr>
            <w:tcW w:w="1100" w:type="dxa"/>
            <w:vMerge w:val="continue"/>
            <w:tcBorders>
              <w:right w:val="single" w:color="auto" w:sz="4" w:space="0"/>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p>
        </w:tc>
        <w:tc>
          <w:tcPr>
            <w:tcW w:w="3217" w:type="dxa"/>
            <w:tcBorders>
              <w:left w:val="single" w:color="auto" w:sz="4" w:space="0"/>
              <w:right w:val="single" w:color="auto" w:sz="4" w:space="0"/>
              <w:tl2br w:val="nil"/>
              <w:tr2bl w:val="nil"/>
            </w:tcBorders>
            <w:vAlign w:val="center"/>
          </w:tcPr>
          <w:p>
            <w:pPr>
              <w:pStyle w:val="4"/>
              <w:ind w:left="0" w:leftChars="0" w:right="480" w:firstLine="315" w:firstLineChars="150"/>
              <w:rPr>
                <w:rFonts w:hint="eastAsia" w:ascii="仿宋_GB2312" w:eastAsia="仿宋_GB2312"/>
                <w:sz w:val="21"/>
                <w:szCs w:val="21"/>
              </w:rPr>
            </w:pPr>
            <w:r>
              <w:rPr>
                <w:rFonts w:hint="eastAsia" w:ascii="仿宋_GB2312" w:hAnsi="Times New Roman" w:eastAsia="仿宋_GB2312"/>
                <w:bCs/>
                <w:sz w:val="21"/>
                <w:szCs w:val="21"/>
              </w:rPr>
              <w:t>磅房，占地面积54.00m</w:t>
            </w:r>
            <w:r>
              <w:rPr>
                <w:rFonts w:hint="eastAsia" w:ascii="仿宋_GB2312" w:hAnsi="Times New Roman" w:eastAsia="仿宋_GB2312"/>
                <w:bCs/>
                <w:sz w:val="21"/>
                <w:szCs w:val="21"/>
                <w:vertAlign w:val="superscript"/>
              </w:rPr>
              <w:t>2</w:t>
            </w:r>
          </w:p>
        </w:tc>
        <w:tc>
          <w:tcPr>
            <w:tcW w:w="3218" w:type="dxa"/>
            <w:tcBorders>
              <w:left w:val="single" w:color="auto" w:sz="4" w:space="0"/>
              <w:tl2br w:val="nil"/>
              <w:tr2bl w:val="nil"/>
            </w:tcBorders>
            <w:vAlign w:val="center"/>
          </w:tcPr>
          <w:p>
            <w:pPr>
              <w:pStyle w:val="4"/>
              <w:ind w:left="439" w:leftChars="183" w:right="480" w:firstLine="420"/>
              <w:rPr>
                <w:rFonts w:hint="eastAsia" w:ascii="仿宋_GB2312" w:eastAsia="仿宋_GB2312"/>
                <w:sz w:val="21"/>
                <w:szCs w:val="21"/>
              </w:rPr>
            </w:pPr>
            <w:r>
              <w:rPr>
                <w:rFonts w:hint="eastAsia" w:ascii="仿宋_GB2312" w:eastAsia="仿宋_GB2312"/>
                <w:sz w:val="21"/>
                <w:szCs w:val="21"/>
              </w:rPr>
              <w:t>取消了磅房</w:t>
            </w:r>
          </w:p>
        </w:tc>
        <w:tc>
          <w:tcPr>
            <w:tcW w:w="1191" w:type="dxa"/>
            <w:tcBorders>
              <w:tl2br w:val="nil"/>
              <w:tr2bl w:val="nil"/>
            </w:tcBorders>
            <w:vAlign w:val="center"/>
          </w:tcPr>
          <w:p>
            <w:pPr>
              <w:pStyle w:val="4"/>
              <w:ind w:left="0" w:leftChars="0" w:right="480" w:firstLine="420"/>
              <w:rPr>
                <w:rFonts w:hint="eastAsia" w:ascii="仿宋_GB2312" w:eastAsia="仿宋_GB2312"/>
                <w:sz w:val="21"/>
                <w:szCs w:val="21"/>
              </w:rPr>
            </w:pPr>
            <w:r>
              <w:rPr>
                <w:rFonts w:hint="eastAsia" w:ascii="仿宋_GB2312" w:eastAsia="仿宋_GB2312"/>
                <w:sz w:val="21"/>
                <w:szCs w:val="21"/>
              </w:rPr>
              <w:t>否</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6" w:space="0"/>
          </w:tblBorders>
          <w:tblCellMar>
            <w:top w:w="0" w:type="dxa"/>
            <w:left w:w="0" w:type="dxa"/>
            <w:bottom w:w="0" w:type="dxa"/>
            <w:right w:w="0" w:type="dxa"/>
          </w:tblCellMar>
        </w:tblPrEx>
        <w:trPr>
          <w:trHeight w:val="539" w:hRule="atLeast"/>
          <w:jc w:val="center"/>
        </w:trPr>
        <w:tc>
          <w:tcPr>
            <w:tcW w:w="765" w:type="dxa"/>
            <w:vMerge w:val="continue"/>
            <w:tcBorders>
              <w:tl2br w:val="nil"/>
              <w:tr2bl w:val="nil"/>
            </w:tcBorders>
            <w:vAlign w:val="center"/>
          </w:tcPr>
          <w:p>
            <w:pPr>
              <w:pStyle w:val="10"/>
              <w:snapToGrid w:val="0"/>
              <w:spacing w:line="240" w:lineRule="auto"/>
              <w:ind w:left="0" w:leftChars="0" w:right="0" w:rightChars="0" w:firstLine="0" w:firstLineChars="0"/>
              <w:rPr>
                <w:rFonts w:hint="eastAsia" w:ascii="仿宋_GB2312" w:hAnsi="Times New Roman" w:eastAsia="仿宋_GB2312" w:cs="Times New Roman"/>
                <w:color w:val="000000" w:themeColor="text1"/>
                <w:w w:val="99"/>
                <w:sz w:val="21"/>
                <w:szCs w:val="21"/>
              </w:rPr>
            </w:pPr>
          </w:p>
        </w:tc>
        <w:tc>
          <w:tcPr>
            <w:tcW w:w="1100" w:type="dxa"/>
            <w:vMerge w:val="continue"/>
            <w:tcBorders>
              <w:right w:val="single" w:color="auto" w:sz="4" w:space="0"/>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p>
        </w:tc>
        <w:tc>
          <w:tcPr>
            <w:tcW w:w="3217" w:type="dxa"/>
            <w:tcBorders>
              <w:left w:val="single" w:color="auto" w:sz="4" w:space="0"/>
              <w:right w:val="single" w:color="auto" w:sz="4" w:space="0"/>
              <w:tl2br w:val="nil"/>
              <w:tr2bl w:val="nil"/>
            </w:tcBorders>
            <w:vAlign w:val="center"/>
          </w:tcPr>
          <w:p>
            <w:pPr>
              <w:pStyle w:val="4"/>
              <w:ind w:left="480" w:right="480" w:firstLine="420"/>
              <w:rPr>
                <w:rFonts w:hint="eastAsia" w:ascii="仿宋_GB2312" w:eastAsia="仿宋_GB2312"/>
                <w:sz w:val="21"/>
                <w:szCs w:val="21"/>
              </w:rPr>
            </w:pPr>
            <w:r>
              <w:rPr>
                <w:rFonts w:hint="eastAsia" w:ascii="仿宋_GB2312" w:eastAsia="仿宋_GB2312"/>
                <w:sz w:val="21"/>
                <w:szCs w:val="21"/>
              </w:rPr>
              <w:t>未设置宿舍</w:t>
            </w:r>
          </w:p>
        </w:tc>
        <w:tc>
          <w:tcPr>
            <w:tcW w:w="3218" w:type="dxa"/>
            <w:tcBorders>
              <w:left w:val="single" w:color="auto" w:sz="4" w:space="0"/>
              <w:tl2br w:val="nil"/>
              <w:tr2bl w:val="nil"/>
            </w:tcBorders>
            <w:vAlign w:val="center"/>
          </w:tcPr>
          <w:p>
            <w:pPr>
              <w:pStyle w:val="4"/>
              <w:ind w:left="0" w:leftChars="0" w:right="480" w:firstLine="0" w:firstLineChars="0"/>
              <w:jc w:val="center"/>
              <w:rPr>
                <w:rFonts w:hint="eastAsia" w:ascii="仿宋_GB2312" w:eastAsia="仿宋_GB2312"/>
                <w:sz w:val="21"/>
                <w:szCs w:val="21"/>
              </w:rPr>
            </w:pPr>
            <w:r>
              <w:rPr>
                <w:rFonts w:hint="eastAsia" w:ascii="仿宋_GB2312" w:eastAsia="仿宋_GB2312"/>
                <w:sz w:val="21"/>
                <w:szCs w:val="21"/>
                <w:lang w:val="en-US" w:eastAsia="zh-CN"/>
              </w:rPr>
              <w:t xml:space="preserve">   </w:t>
            </w:r>
            <w:r>
              <w:rPr>
                <w:rFonts w:hint="eastAsia" w:ascii="仿宋_GB2312" w:eastAsia="仿宋_GB2312"/>
                <w:sz w:val="21"/>
                <w:szCs w:val="21"/>
              </w:rPr>
              <w:t>现增设宿舍一栋，占地面积为</w:t>
            </w:r>
            <w:r>
              <w:rPr>
                <w:rFonts w:hint="eastAsia" w:ascii="仿宋_GB2312" w:hAnsi="Times New Roman" w:eastAsia="仿宋_GB2312"/>
                <w:bCs/>
                <w:sz w:val="21"/>
                <w:szCs w:val="21"/>
              </w:rPr>
              <w:t>108m</w:t>
            </w:r>
            <w:r>
              <w:rPr>
                <w:rFonts w:hint="eastAsia" w:ascii="仿宋_GB2312" w:hAnsi="Times New Roman" w:eastAsia="仿宋_GB2312"/>
                <w:bCs/>
                <w:sz w:val="21"/>
                <w:szCs w:val="21"/>
                <w:vertAlign w:val="superscript"/>
              </w:rPr>
              <w:t>2</w:t>
            </w:r>
          </w:p>
        </w:tc>
        <w:tc>
          <w:tcPr>
            <w:tcW w:w="1191" w:type="dxa"/>
            <w:tcBorders>
              <w:tl2br w:val="nil"/>
              <w:tr2bl w:val="nil"/>
            </w:tcBorders>
            <w:vAlign w:val="center"/>
          </w:tcPr>
          <w:p>
            <w:pPr>
              <w:pStyle w:val="4"/>
              <w:ind w:left="0" w:leftChars="0" w:right="480" w:firstLine="420"/>
              <w:rPr>
                <w:rFonts w:hint="eastAsia" w:ascii="仿宋_GB2312" w:eastAsia="仿宋_GB2312"/>
                <w:sz w:val="21"/>
                <w:szCs w:val="21"/>
              </w:rPr>
            </w:pPr>
            <w:r>
              <w:rPr>
                <w:rFonts w:hint="eastAsia" w:ascii="仿宋_GB2312" w:eastAsia="仿宋_GB2312"/>
                <w:sz w:val="21"/>
                <w:szCs w:val="21"/>
              </w:rPr>
              <w:t>否</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6" w:space="0"/>
          </w:tblBorders>
          <w:tblCellMar>
            <w:top w:w="0" w:type="dxa"/>
            <w:left w:w="0" w:type="dxa"/>
            <w:bottom w:w="0" w:type="dxa"/>
            <w:right w:w="0" w:type="dxa"/>
          </w:tblCellMar>
        </w:tblPrEx>
        <w:trPr>
          <w:trHeight w:val="539" w:hRule="atLeast"/>
          <w:jc w:val="center"/>
        </w:trPr>
        <w:tc>
          <w:tcPr>
            <w:tcW w:w="765" w:type="dxa"/>
            <w:tcBorders>
              <w:tl2br w:val="nil"/>
              <w:tr2bl w:val="nil"/>
            </w:tcBorders>
            <w:vAlign w:val="center"/>
          </w:tcPr>
          <w:p>
            <w:pPr>
              <w:pStyle w:val="10"/>
              <w:snapToGrid w:val="0"/>
              <w:spacing w:line="240" w:lineRule="auto"/>
              <w:ind w:left="0" w:leftChars="0" w:right="0" w:rightChars="0" w:firstLine="0" w:firstLineChars="0"/>
              <w:rPr>
                <w:rFonts w:hint="eastAsia" w:ascii="仿宋_GB2312" w:hAnsi="Times New Roman" w:eastAsia="仿宋_GB2312" w:cs="Times New Roman"/>
                <w:color w:val="000000" w:themeColor="text1"/>
                <w:w w:val="99"/>
                <w:sz w:val="21"/>
                <w:szCs w:val="21"/>
                <w:lang w:eastAsia="zh-CN"/>
              </w:rPr>
            </w:pPr>
            <w:r>
              <w:rPr>
                <w:rFonts w:hint="eastAsia" w:ascii="仿宋_GB2312" w:hAnsi="Times New Roman" w:eastAsia="仿宋_GB2312" w:cs="Times New Roman"/>
                <w:color w:val="000000" w:themeColor="text1"/>
                <w:w w:val="99"/>
                <w:sz w:val="21"/>
                <w:szCs w:val="21"/>
                <w:lang w:eastAsia="zh-CN"/>
              </w:rPr>
              <w:t>3</w:t>
            </w:r>
          </w:p>
        </w:tc>
        <w:tc>
          <w:tcPr>
            <w:tcW w:w="1100" w:type="dxa"/>
            <w:tcBorders>
              <w:right w:val="single" w:color="auto" w:sz="4" w:space="0"/>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r>
              <w:rPr>
                <w:rFonts w:hint="eastAsia" w:ascii="仿宋_GB2312" w:hAnsi="Times New Roman" w:eastAsia="仿宋_GB2312" w:cs="Times New Roman"/>
                <w:color w:val="000000" w:themeColor="text1"/>
                <w:sz w:val="21"/>
                <w:szCs w:val="21"/>
                <w:lang w:val="en-US" w:eastAsia="zh-CN"/>
              </w:rPr>
              <w:t>生产</w:t>
            </w:r>
            <w:r>
              <w:rPr>
                <w:rFonts w:hint="eastAsia" w:ascii="仿宋_GB2312" w:hAnsi="Times New Roman" w:eastAsia="仿宋_GB2312" w:cs="Times New Roman"/>
                <w:color w:val="000000" w:themeColor="text1"/>
                <w:sz w:val="21"/>
                <w:szCs w:val="21"/>
                <w:lang w:eastAsia="zh-CN"/>
              </w:rPr>
              <w:t>设备情况</w:t>
            </w:r>
          </w:p>
        </w:tc>
        <w:tc>
          <w:tcPr>
            <w:tcW w:w="3217" w:type="dxa"/>
            <w:tcBorders>
              <w:left w:val="single" w:color="auto" w:sz="4" w:space="0"/>
              <w:right w:val="single" w:color="auto" w:sz="4" w:space="0"/>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r>
              <w:rPr>
                <w:rFonts w:hint="eastAsia" w:ascii="仿宋_GB2312" w:hAnsi="Times New Roman" w:eastAsia="仿宋_GB2312"/>
                <w:sz w:val="21"/>
                <w:szCs w:val="21"/>
              </w:rPr>
              <w:t>废料收集槽有2套</w:t>
            </w:r>
            <w:r>
              <w:rPr>
                <w:rFonts w:hint="eastAsia" w:ascii="仿宋_GB2312" w:hAnsi="Times New Roman" w:eastAsia="仿宋_GB2312"/>
                <w:sz w:val="21"/>
                <w:szCs w:val="21"/>
                <w:lang w:eastAsia="zh-CN"/>
              </w:rPr>
              <w:t>、</w:t>
            </w:r>
            <w:r>
              <w:rPr>
                <w:rFonts w:hint="eastAsia" w:ascii="仿宋_GB2312" w:hAnsi="Times New Roman" w:eastAsia="仿宋_GB2312"/>
                <w:sz w:val="21"/>
                <w:szCs w:val="21"/>
              </w:rPr>
              <w:t>砂石分离机有2套</w:t>
            </w:r>
          </w:p>
        </w:tc>
        <w:tc>
          <w:tcPr>
            <w:tcW w:w="3218" w:type="dxa"/>
            <w:tcBorders>
              <w:left w:val="single" w:color="auto" w:sz="4" w:space="0"/>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r>
              <w:rPr>
                <w:rFonts w:hint="eastAsia" w:ascii="仿宋_GB2312" w:hAnsi="Times New Roman" w:eastAsia="仿宋_GB2312"/>
                <w:sz w:val="21"/>
                <w:szCs w:val="21"/>
              </w:rPr>
              <w:t>实际废料收集槽为1套</w:t>
            </w:r>
            <w:r>
              <w:rPr>
                <w:rFonts w:hint="eastAsia" w:ascii="仿宋_GB2312" w:hAnsi="Times New Roman" w:eastAsia="仿宋_GB2312"/>
                <w:sz w:val="21"/>
                <w:szCs w:val="21"/>
                <w:lang w:eastAsia="zh-CN"/>
              </w:rPr>
              <w:t>、</w:t>
            </w:r>
            <w:r>
              <w:rPr>
                <w:rFonts w:hint="eastAsia" w:ascii="仿宋_GB2312" w:hAnsi="Times New Roman" w:eastAsia="仿宋_GB2312"/>
                <w:sz w:val="21"/>
                <w:szCs w:val="21"/>
              </w:rPr>
              <w:t>实际砂石分离机为1套</w:t>
            </w:r>
          </w:p>
        </w:tc>
        <w:tc>
          <w:tcPr>
            <w:tcW w:w="1191" w:type="dxa"/>
            <w:tcBorders>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r>
              <w:rPr>
                <w:rFonts w:hint="eastAsia" w:ascii="仿宋_GB2312" w:hAnsi="Times New Roman" w:eastAsia="仿宋_GB2312" w:cs="Times New Roman"/>
                <w:bCs/>
                <w:color w:val="000000" w:themeColor="text1"/>
                <w:sz w:val="21"/>
                <w:szCs w:val="21"/>
                <w:lang w:eastAsia="zh-CN"/>
              </w:rPr>
              <w:t>否</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6" w:space="0"/>
          </w:tblBorders>
          <w:tblCellMar>
            <w:top w:w="0" w:type="dxa"/>
            <w:left w:w="0" w:type="dxa"/>
            <w:bottom w:w="0" w:type="dxa"/>
            <w:right w:w="0" w:type="dxa"/>
          </w:tblCellMar>
        </w:tblPrEx>
        <w:trPr>
          <w:trHeight w:val="539" w:hRule="atLeast"/>
          <w:jc w:val="center"/>
        </w:trPr>
        <w:tc>
          <w:tcPr>
            <w:tcW w:w="765" w:type="dxa"/>
            <w:tcBorders>
              <w:tl2br w:val="nil"/>
              <w:tr2bl w:val="nil"/>
            </w:tcBorders>
            <w:vAlign w:val="center"/>
          </w:tcPr>
          <w:p>
            <w:pPr>
              <w:pStyle w:val="10"/>
              <w:snapToGrid w:val="0"/>
              <w:spacing w:line="240" w:lineRule="auto"/>
              <w:ind w:left="0" w:leftChars="0" w:right="0" w:rightChars="0" w:firstLine="0" w:firstLineChars="0"/>
              <w:rPr>
                <w:rFonts w:hint="eastAsia" w:ascii="仿宋_GB2312" w:hAnsi="Times New Roman" w:eastAsia="仿宋_GB2312" w:cs="Times New Roman"/>
                <w:color w:val="000000" w:themeColor="text1"/>
                <w:w w:val="99"/>
                <w:sz w:val="21"/>
                <w:szCs w:val="21"/>
                <w:lang w:eastAsia="zh-CN"/>
              </w:rPr>
            </w:pPr>
            <w:r>
              <w:rPr>
                <w:rFonts w:hint="eastAsia" w:ascii="仿宋_GB2312" w:hAnsi="Times New Roman" w:eastAsia="仿宋_GB2312" w:cs="Times New Roman"/>
                <w:color w:val="000000" w:themeColor="text1"/>
                <w:w w:val="99"/>
                <w:sz w:val="21"/>
                <w:szCs w:val="21"/>
                <w:lang w:val="en-US" w:eastAsia="zh-CN"/>
              </w:rPr>
              <w:t>4</w:t>
            </w:r>
          </w:p>
        </w:tc>
        <w:tc>
          <w:tcPr>
            <w:tcW w:w="1100" w:type="dxa"/>
            <w:tcBorders>
              <w:right w:val="single" w:color="auto" w:sz="4" w:space="0"/>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r>
              <w:rPr>
                <w:rFonts w:hint="eastAsia" w:ascii="仿宋_GB2312" w:eastAsia="仿宋_GB2312"/>
                <w:sz w:val="21"/>
                <w:szCs w:val="21"/>
              </w:rPr>
              <w:t>辅助设备</w:t>
            </w:r>
          </w:p>
        </w:tc>
        <w:tc>
          <w:tcPr>
            <w:tcW w:w="3217" w:type="dxa"/>
            <w:tcBorders>
              <w:left w:val="single" w:color="auto" w:sz="4" w:space="0"/>
              <w:right w:val="single" w:color="auto" w:sz="4" w:space="0"/>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sz w:val="21"/>
                <w:szCs w:val="21"/>
                <w:lang w:eastAsia="zh-CN"/>
              </w:rPr>
            </w:pPr>
            <w:r>
              <w:rPr>
                <w:rFonts w:hint="eastAsia" w:ascii="仿宋_GB2312" w:hAnsi="Times New Roman" w:eastAsia="仿宋_GB2312"/>
                <w:sz w:val="21"/>
                <w:szCs w:val="21"/>
              </w:rPr>
              <w:t>混凝土运输车有30辆</w:t>
            </w:r>
            <w:r>
              <w:rPr>
                <w:rFonts w:hint="eastAsia" w:ascii="仿宋_GB2312" w:hAnsi="Times New Roman" w:eastAsia="仿宋_GB2312"/>
                <w:sz w:val="21"/>
                <w:szCs w:val="21"/>
                <w:lang w:eastAsia="zh-CN"/>
              </w:rPr>
              <w:t>、</w:t>
            </w:r>
            <w:r>
              <w:rPr>
                <w:rFonts w:hint="eastAsia" w:ascii="仿宋_GB2312" w:hAnsi="Times New Roman" w:eastAsia="仿宋_GB2312"/>
                <w:sz w:val="21"/>
                <w:szCs w:val="21"/>
              </w:rPr>
              <w:t>地磅（100t）有2台</w:t>
            </w:r>
          </w:p>
        </w:tc>
        <w:tc>
          <w:tcPr>
            <w:tcW w:w="3218" w:type="dxa"/>
            <w:tcBorders>
              <w:left w:val="single" w:color="auto" w:sz="4" w:space="0"/>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r>
              <w:rPr>
                <w:rFonts w:hint="eastAsia" w:ascii="仿宋_GB2312" w:hAnsi="Times New Roman" w:eastAsia="仿宋_GB2312"/>
                <w:sz w:val="21"/>
                <w:szCs w:val="21"/>
              </w:rPr>
              <w:t>实际混凝土运输车为25辆</w:t>
            </w:r>
            <w:r>
              <w:rPr>
                <w:rFonts w:hint="eastAsia" w:ascii="仿宋_GB2312" w:hAnsi="Times New Roman" w:eastAsia="仿宋_GB2312"/>
                <w:sz w:val="21"/>
                <w:szCs w:val="21"/>
                <w:lang w:eastAsia="zh-CN"/>
              </w:rPr>
              <w:t>、</w:t>
            </w:r>
            <w:r>
              <w:rPr>
                <w:rFonts w:hint="eastAsia" w:ascii="仿宋_GB2312" w:hAnsi="Times New Roman" w:eastAsia="仿宋_GB2312"/>
                <w:sz w:val="21"/>
                <w:szCs w:val="21"/>
              </w:rPr>
              <w:t>实际地磅为1台（120t）</w:t>
            </w:r>
          </w:p>
        </w:tc>
        <w:tc>
          <w:tcPr>
            <w:tcW w:w="1191" w:type="dxa"/>
            <w:tcBorders>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bCs/>
                <w:color w:val="000000" w:themeColor="text1"/>
                <w:sz w:val="21"/>
                <w:szCs w:val="21"/>
                <w:lang w:eastAsia="zh-CN"/>
              </w:rPr>
            </w:pPr>
            <w:r>
              <w:rPr>
                <w:rFonts w:hint="eastAsia" w:ascii="仿宋_GB2312" w:hAnsi="Times New Roman" w:eastAsia="仿宋_GB2312" w:cs="Times New Roman"/>
                <w:bCs/>
                <w:color w:val="000000" w:themeColor="text1"/>
                <w:sz w:val="21"/>
                <w:szCs w:val="21"/>
                <w:lang w:eastAsia="zh-CN"/>
              </w:rPr>
              <w:t>否</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6" w:space="0"/>
          </w:tblBorders>
          <w:tblCellMar>
            <w:top w:w="0" w:type="dxa"/>
            <w:left w:w="0" w:type="dxa"/>
            <w:bottom w:w="0" w:type="dxa"/>
            <w:right w:w="0" w:type="dxa"/>
          </w:tblCellMar>
        </w:tblPrEx>
        <w:trPr>
          <w:trHeight w:val="539" w:hRule="atLeast"/>
          <w:jc w:val="center"/>
        </w:trPr>
        <w:tc>
          <w:tcPr>
            <w:tcW w:w="765" w:type="dxa"/>
            <w:vMerge w:val="restart"/>
            <w:tcBorders>
              <w:tl2br w:val="nil"/>
              <w:tr2bl w:val="nil"/>
            </w:tcBorders>
            <w:vAlign w:val="center"/>
          </w:tcPr>
          <w:p>
            <w:pPr>
              <w:pStyle w:val="10"/>
              <w:snapToGrid w:val="0"/>
              <w:spacing w:line="240" w:lineRule="auto"/>
              <w:ind w:left="0" w:leftChars="0" w:right="0" w:rightChars="0" w:firstLine="0" w:firstLineChars="0"/>
              <w:rPr>
                <w:rFonts w:hint="eastAsia" w:ascii="仿宋_GB2312" w:hAnsi="Times New Roman" w:eastAsia="仿宋_GB2312" w:cs="Times New Roman"/>
                <w:color w:val="000000" w:themeColor="text1"/>
                <w:w w:val="99"/>
                <w:sz w:val="21"/>
                <w:szCs w:val="21"/>
                <w:lang w:eastAsia="zh-CN"/>
              </w:rPr>
            </w:pPr>
            <w:r>
              <w:rPr>
                <w:rFonts w:hint="eastAsia" w:ascii="仿宋_GB2312" w:hAnsi="Times New Roman" w:eastAsia="仿宋_GB2312" w:cs="Times New Roman"/>
                <w:color w:val="000000" w:themeColor="text1"/>
                <w:w w:val="99"/>
                <w:sz w:val="21"/>
                <w:szCs w:val="21"/>
                <w:lang w:val="en-US" w:eastAsia="zh-CN"/>
              </w:rPr>
              <w:t>5</w:t>
            </w:r>
          </w:p>
        </w:tc>
        <w:tc>
          <w:tcPr>
            <w:tcW w:w="1100" w:type="dxa"/>
            <w:vMerge w:val="restart"/>
            <w:tcBorders>
              <w:right w:val="single" w:color="auto" w:sz="4" w:space="0"/>
              <w:tl2br w:val="nil"/>
              <w:tr2bl w:val="nil"/>
            </w:tcBorders>
            <w:vAlign w:val="center"/>
          </w:tcPr>
          <w:p>
            <w:pPr>
              <w:pStyle w:val="10"/>
              <w:spacing w:line="240" w:lineRule="auto"/>
              <w:ind w:left="0" w:leftChars="0" w:right="0" w:rightChars="0" w:firstLine="0" w:firstLineChars="0"/>
              <w:rPr>
                <w:rFonts w:hint="default" w:ascii="仿宋_GB2312" w:hAnsi="Times New Roman" w:eastAsia="仿宋_GB2312" w:cs="Times New Roman"/>
                <w:color w:val="000000" w:themeColor="text1"/>
                <w:sz w:val="21"/>
                <w:szCs w:val="21"/>
                <w:lang w:val="en-US" w:eastAsia="zh-CN"/>
              </w:rPr>
            </w:pPr>
            <w:r>
              <w:rPr>
                <w:rFonts w:hint="eastAsia" w:ascii="仿宋_GB2312" w:hAnsi="Times New Roman" w:eastAsia="仿宋_GB2312" w:cs="Times New Roman"/>
                <w:color w:val="000000" w:themeColor="text1"/>
                <w:sz w:val="21"/>
                <w:szCs w:val="21"/>
                <w:lang w:val="en-US" w:eastAsia="zh-CN"/>
              </w:rPr>
              <w:t>环保设施</w:t>
            </w:r>
          </w:p>
        </w:tc>
        <w:tc>
          <w:tcPr>
            <w:tcW w:w="3217" w:type="dxa"/>
            <w:tcBorders>
              <w:left w:val="single" w:color="auto" w:sz="4" w:space="0"/>
              <w:right w:val="single" w:color="auto" w:sz="4" w:space="0"/>
              <w:tl2br w:val="nil"/>
              <w:tr2bl w:val="nil"/>
            </w:tcBorders>
            <w:vAlign w:val="center"/>
          </w:tcPr>
          <w:p>
            <w:pPr>
              <w:pStyle w:val="10"/>
              <w:spacing w:line="240" w:lineRule="auto"/>
              <w:ind w:left="0" w:leftChars="0" w:right="480" w:firstLine="0" w:firstLineChars="0"/>
              <w:jc w:val="center"/>
              <w:rPr>
                <w:rFonts w:hint="default" w:ascii="仿宋_GB2312" w:hAnsi="Times New Roman" w:eastAsia="仿宋_GB2312" w:cs="Times New Roman"/>
                <w:color w:val="000000" w:themeColor="text1"/>
                <w:sz w:val="21"/>
                <w:szCs w:val="21"/>
                <w:lang w:val="en-US" w:eastAsia="zh-CN"/>
              </w:rPr>
            </w:pPr>
            <w:r>
              <w:rPr>
                <w:rFonts w:hint="eastAsia" w:ascii="仿宋_GB2312" w:hAnsi="Times New Roman" w:eastAsia="仿宋_GB2312" w:cs="Times New Roman"/>
                <w:color w:val="000000" w:themeColor="text1"/>
                <w:sz w:val="21"/>
                <w:szCs w:val="21"/>
                <w:lang w:val="en-US" w:eastAsia="zh-CN"/>
              </w:rPr>
              <w:t>搅拌楼内的搅拌机未设置布袋除尘器</w:t>
            </w:r>
          </w:p>
        </w:tc>
        <w:tc>
          <w:tcPr>
            <w:tcW w:w="3218" w:type="dxa"/>
            <w:tcBorders>
              <w:left w:val="single" w:color="auto" w:sz="4" w:space="0"/>
              <w:tl2br w:val="nil"/>
              <w:tr2bl w:val="nil"/>
            </w:tcBorders>
            <w:vAlign w:val="center"/>
          </w:tcPr>
          <w:p>
            <w:pPr>
              <w:pStyle w:val="10"/>
              <w:spacing w:line="240" w:lineRule="auto"/>
              <w:ind w:left="0" w:leftChars="0" w:right="480" w:firstLine="0" w:firstLineChars="0"/>
              <w:jc w:val="center"/>
              <w:rPr>
                <w:rFonts w:hint="default" w:ascii="仿宋_GB2312" w:hAnsi="Times New Roman" w:eastAsia="仿宋_GB2312" w:cs="Times New Roman"/>
                <w:color w:val="000000" w:themeColor="text1"/>
                <w:sz w:val="21"/>
                <w:szCs w:val="21"/>
                <w:lang w:val="en-US" w:eastAsia="zh-CN"/>
              </w:rPr>
            </w:pPr>
            <w:r>
              <w:rPr>
                <w:rFonts w:hint="eastAsia" w:ascii="仿宋_GB2312" w:hAnsi="Times New Roman" w:eastAsia="仿宋_GB2312" w:cs="Times New Roman"/>
                <w:color w:val="000000" w:themeColor="text1"/>
                <w:sz w:val="21"/>
                <w:szCs w:val="21"/>
                <w:lang w:val="en-US" w:eastAsia="zh-CN"/>
              </w:rPr>
              <w:t>搅拌楼全封闭，搅拌楼内的2台搅拌机都设置布袋除尘器进行处理</w:t>
            </w:r>
          </w:p>
        </w:tc>
        <w:tc>
          <w:tcPr>
            <w:tcW w:w="1191" w:type="dxa"/>
            <w:tcBorders>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r>
              <w:rPr>
                <w:rFonts w:hint="eastAsia" w:ascii="仿宋_GB2312" w:hAnsi="Times New Roman" w:eastAsia="仿宋_GB2312" w:cs="Times New Roman"/>
                <w:bCs/>
                <w:color w:val="000000" w:themeColor="text1"/>
                <w:sz w:val="21"/>
                <w:szCs w:val="21"/>
                <w:lang w:eastAsia="zh-CN"/>
              </w:rPr>
              <w:t>否</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6" w:space="0"/>
          </w:tblBorders>
          <w:tblCellMar>
            <w:top w:w="0" w:type="dxa"/>
            <w:left w:w="0" w:type="dxa"/>
            <w:bottom w:w="0" w:type="dxa"/>
            <w:right w:w="0" w:type="dxa"/>
          </w:tblCellMar>
        </w:tblPrEx>
        <w:trPr>
          <w:trHeight w:val="539" w:hRule="atLeast"/>
          <w:jc w:val="center"/>
        </w:trPr>
        <w:tc>
          <w:tcPr>
            <w:tcW w:w="765" w:type="dxa"/>
            <w:vMerge w:val="continue"/>
            <w:tcBorders>
              <w:tl2br w:val="nil"/>
              <w:tr2bl w:val="nil"/>
            </w:tcBorders>
            <w:vAlign w:val="center"/>
          </w:tcPr>
          <w:p>
            <w:pPr>
              <w:pStyle w:val="10"/>
              <w:snapToGrid w:val="0"/>
              <w:spacing w:line="240" w:lineRule="auto"/>
              <w:ind w:left="0" w:leftChars="0" w:right="0" w:rightChars="0" w:firstLine="0" w:firstLineChars="0"/>
              <w:rPr>
                <w:rFonts w:hint="eastAsia" w:ascii="仿宋_GB2312" w:hAnsi="Times New Roman" w:eastAsia="仿宋_GB2312" w:cs="Times New Roman"/>
                <w:color w:val="000000" w:themeColor="text1"/>
                <w:w w:val="99"/>
                <w:sz w:val="21"/>
                <w:szCs w:val="21"/>
                <w:lang w:eastAsia="zh-CN"/>
              </w:rPr>
            </w:pPr>
          </w:p>
        </w:tc>
        <w:tc>
          <w:tcPr>
            <w:tcW w:w="1100" w:type="dxa"/>
            <w:vMerge w:val="continue"/>
            <w:tcBorders>
              <w:right w:val="single" w:color="auto" w:sz="4" w:space="0"/>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color w:val="000000" w:themeColor="text1"/>
                <w:sz w:val="21"/>
                <w:szCs w:val="21"/>
                <w:lang w:eastAsia="zh-CN"/>
              </w:rPr>
            </w:pPr>
          </w:p>
        </w:tc>
        <w:tc>
          <w:tcPr>
            <w:tcW w:w="3217" w:type="dxa"/>
            <w:tcBorders>
              <w:left w:val="single" w:color="auto" w:sz="4" w:space="0"/>
              <w:right w:val="single" w:color="auto" w:sz="4" w:space="0"/>
              <w:tl2br w:val="nil"/>
              <w:tr2bl w:val="nil"/>
            </w:tcBorders>
            <w:vAlign w:val="center"/>
          </w:tcPr>
          <w:p>
            <w:pPr>
              <w:pStyle w:val="10"/>
              <w:spacing w:line="240" w:lineRule="auto"/>
              <w:ind w:left="0" w:leftChars="0" w:right="480" w:firstLine="0" w:firstLineChars="0"/>
              <w:jc w:val="center"/>
              <w:rPr>
                <w:rFonts w:hint="eastAsia" w:ascii="仿宋_GB2312" w:hAnsi="Times New Roman" w:eastAsia="仿宋_GB2312"/>
                <w:sz w:val="21"/>
                <w:szCs w:val="21"/>
              </w:rPr>
            </w:pPr>
            <w:r>
              <w:rPr>
                <w:rFonts w:hint="eastAsia" w:ascii="仿宋_GB2312" w:hAnsi="Times New Roman" w:eastAsia="仿宋_GB2312"/>
                <w:sz w:val="21"/>
                <w:szCs w:val="21"/>
              </w:rPr>
              <w:t>危险废物暂存场所设置和贮存需满足《危险废物贮存污 染控制标准（ GB18597-2001）及2013修改单的相关要求，交给有处理资质的单位安全处置，严格执行危险废物转移联单制度。</w:t>
            </w:r>
          </w:p>
        </w:tc>
        <w:tc>
          <w:tcPr>
            <w:tcW w:w="3218" w:type="dxa"/>
            <w:tcBorders>
              <w:left w:val="single" w:color="auto" w:sz="4" w:space="0"/>
              <w:tl2br w:val="nil"/>
              <w:tr2bl w:val="nil"/>
            </w:tcBorders>
            <w:vAlign w:val="center"/>
          </w:tcPr>
          <w:p>
            <w:pPr>
              <w:pStyle w:val="10"/>
              <w:spacing w:line="240" w:lineRule="auto"/>
              <w:ind w:left="0" w:leftChars="0" w:right="480" w:firstLine="0" w:firstLineChars="0"/>
              <w:jc w:val="center"/>
              <w:rPr>
                <w:rFonts w:hint="default" w:ascii="仿宋_GB2312" w:hAnsi="Times New Roman" w:eastAsia="仿宋_GB2312"/>
                <w:sz w:val="21"/>
                <w:szCs w:val="21"/>
                <w:lang w:val="en-US" w:eastAsia="zh-CN"/>
              </w:rPr>
            </w:pPr>
            <w:r>
              <w:rPr>
                <w:rFonts w:hint="eastAsia" w:ascii="仿宋_GB2312" w:hAnsi="Times New Roman" w:eastAsia="仿宋_GB2312"/>
                <w:sz w:val="21"/>
                <w:szCs w:val="21"/>
                <w:lang w:val="en-US" w:eastAsia="zh-CN"/>
              </w:rPr>
              <w:t>本项目所有的混凝土运输车和铲车等运输车辆来源于由外包公司，车辆维修和维护不在厂区进行，生产设备维护只需要用到黄油进行润滑，不会产生危废，因此本项目没有危废产生</w:t>
            </w:r>
          </w:p>
        </w:tc>
        <w:tc>
          <w:tcPr>
            <w:tcW w:w="1191" w:type="dxa"/>
            <w:tcBorders>
              <w:tl2br w:val="nil"/>
              <w:tr2bl w:val="nil"/>
            </w:tcBorders>
            <w:vAlign w:val="center"/>
          </w:tcPr>
          <w:p>
            <w:pPr>
              <w:pStyle w:val="10"/>
              <w:spacing w:line="240" w:lineRule="auto"/>
              <w:ind w:left="0" w:leftChars="0" w:right="0" w:rightChars="0" w:firstLine="0" w:firstLineChars="0"/>
              <w:rPr>
                <w:rFonts w:hint="eastAsia" w:ascii="仿宋_GB2312" w:hAnsi="Times New Roman" w:eastAsia="仿宋_GB2312" w:cs="Times New Roman"/>
                <w:bCs/>
                <w:color w:val="000000" w:themeColor="text1"/>
                <w:sz w:val="21"/>
                <w:szCs w:val="21"/>
                <w:lang w:eastAsia="zh-CN"/>
              </w:rPr>
            </w:pPr>
            <w:r>
              <w:rPr>
                <w:rFonts w:hint="eastAsia" w:ascii="仿宋_GB2312" w:hAnsi="Times New Roman" w:eastAsia="仿宋_GB2312" w:cs="Times New Roman"/>
                <w:bCs/>
                <w:color w:val="000000" w:themeColor="text1"/>
                <w:sz w:val="21"/>
                <w:szCs w:val="21"/>
                <w:lang w:eastAsia="zh-CN"/>
              </w:rPr>
              <w:t>否</w:t>
            </w:r>
          </w:p>
        </w:tc>
      </w:tr>
    </w:tbl>
    <w:p>
      <w:pPr>
        <w:ind w:left="0" w:leftChars="0" w:right="480" w:firstLine="560"/>
        <w:rPr>
          <w:rFonts w:ascii="仿宋_GB2312" w:hAnsi="宋体" w:eastAsia="仿宋_GB2312"/>
          <w:sz w:val="28"/>
          <w:szCs w:val="28"/>
          <w:lang w:eastAsia="zh-CN"/>
        </w:rPr>
      </w:pPr>
      <w:r>
        <w:rPr>
          <w:rFonts w:hint="eastAsia" w:ascii="仿宋_GB2312" w:hAnsi="宋体" w:eastAsia="仿宋_GB2312"/>
          <w:sz w:val="28"/>
          <w:szCs w:val="28"/>
        </w:rPr>
        <w:t>本项目实际建设过程中的建设内容变动情况不在《污染影响类建设项目重大变动清单（运行）》中规定的重大变动情形范畴内，均不属于重大变动，因此，本项目实际建设内容不涉及重大变动。</w:t>
      </w:r>
    </w:p>
    <w:p>
      <w:pPr>
        <w:ind w:left="0" w:leftChars="0" w:right="0" w:rightChars="0" w:firstLine="478" w:firstLineChars="171"/>
        <w:rPr>
          <w:rFonts w:eastAsia="黑体"/>
          <w:position w:val="1"/>
          <w:sz w:val="28"/>
          <w:szCs w:val="28"/>
        </w:rPr>
      </w:pPr>
      <w:r>
        <w:rPr>
          <w:rFonts w:eastAsia="黑体"/>
          <w:position w:val="1"/>
          <w:sz w:val="28"/>
          <w:szCs w:val="28"/>
        </w:rPr>
        <w:t>三、环境保护和环境风险防范措施落实情况</w:t>
      </w:r>
      <w:bookmarkEnd w:id="18"/>
      <w:bookmarkEnd w:id="19"/>
      <w:bookmarkEnd w:id="20"/>
    </w:p>
    <w:p>
      <w:pPr>
        <w:ind w:left="0" w:leftChars="0" w:right="0" w:rightChars="0" w:firstLine="481" w:firstLineChars="171"/>
        <w:rPr>
          <w:rFonts w:eastAsia="仿宋_GB2312"/>
          <w:b/>
          <w:position w:val="1"/>
          <w:sz w:val="28"/>
          <w:szCs w:val="28"/>
        </w:rPr>
      </w:pPr>
      <w:bookmarkStart w:id="21" w:name="_Toc4809"/>
      <w:bookmarkStart w:id="22" w:name="_Toc13492"/>
      <w:bookmarkStart w:id="23" w:name="_Toc24894"/>
      <w:r>
        <w:rPr>
          <w:rFonts w:eastAsia="仿宋_GB2312"/>
          <w:b/>
          <w:position w:val="1"/>
          <w:sz w:val="28"/>
          <w:szCs w:val="28"/>
        </w:rPr>
        <w:t>（一）废水</w:t>
      </w:r>
      <w:bookmarkEnd w:id="21"/>
      <w:bookmarkEnd w:id="22"/>
      <w:bookmarkEnd w:id="23"/>
    </w:p>
    <w:p>
      <w:pPr>
        <w:ind w:left="0" w:leftChars="0" w:right="480" w:firstLine="700" w:firstLineChars="250"/>
        <w:rPr>
          <w:rFonts w:hint="eastAsia" w:ascii="仿宋_GB2312" w:eastAsia="仿宋_GB2312"/>
          <w:sz w:val="28"/>
          <w:szCs w:val="28"/>
        </w:rPr>
      </w:pPr>
      <w:bookmarkStart w:id="24" w:name="_Toc28718"/>
      <w:bookmarkStart w:id="25" w:name="_Toc7003"/>
      <w:bookmarkStart w:id="26" w:name="_Toc13300"/>
      <w:r>
        <w:rPr>
          <w:rFonts w:hint="eastAsia" w:ascii="仿宋_GB2312" w:hAnsi="Arial" w:eastAsia="仿宋_GB2312"/>
          <w:sz w:val="28"/>
          <w:szCs w:val="28"/>
        </w:rPr>
        <w:t>本</w:t>
      </w:r>
      <w:r>
        <w:rPr>
          <w:rFonts w:hint="eastAsia" w:ascii="仿宋_GB2312" w:eastAsia="仿宋_GB2312"/>
          <w:sz w:val="28"/>
          <w:szCs w:val="28"/>
        </w:rPr>
        <w:t>项目废水主要为生产废水、初期雨水及生活污水。</w:t>
      </w:r>
    </w:p>
    <w:p>
      <w:pPr>
        <w:pStyle w:val="18"/>
        <w:spacing w:after="62"/>
        <w:ind w:firstLine="560"/>
        <w:rPr>
          <w:rFonts w:hint="eastAsia" w:ascii="仿宋_GB2312" w:hAnsi="Times New Roman" w:eastAsia="仿宋_GB2312"/>
          <w:sz w:val="28"/>
          <w:szCs w:val="28"/>
        </w:rPr>
      </w:pPr>
      <w:r>
        <w:rPr>
          <w:rFonts w:hint="eastAsia" w:ascii="仿宋_GB2312" w:hAnsi="Arial" w:eastAsia="仿宋_GB2312"/>
          <w:sz w:val="28"/>
          <w:szCs w:val="28"/>
        </w:rPr>
        <w:t>（1）生产废水：</w:t>
      </w:r>
      <w:r>
        <w:rPr>
          <w:rFonts w:hint="eastAsia" w:ascii="仿宋_GB2312" w:hAnsi="Times New Roman" w:eastAsia="仿宋_GB2312"/>
          <w:sz w:val="28"/>
          <w:szCs w:val="28"/>
        </w:rPr>
        <w:t>混凝土搅拌设备清洗废水、混凝土运输车冲洗废水、作业平台冲洗废水、厂区场地及进出道路冲洗废水经砂石分离机+300m</w:t>
      </w:r>
      <w:r>
        <w:rPr>
          <w:rFonts w:hint="eastAsia" w:ascii="仿宋_GB2312" w:hAnsi="Times New Roman" w:eastAsia="仿宋_GB2312"/>
          <w:sz w:val="28"/>
          <w:szCs w:val="28"/>
          <w:vertAlign w:val="superscript"/>
        </w:rPr>
        <w:t>3</w:t>
      </w:r>
      <w:r>
        <w:rPr>
          <w:rFonts w:hint="eastAsia" w:ascii="仿宋_GB2312" w:hAnsi="Times New Roman" w:eastAsia="仿宋_GB2312"/>
          <w:sz w:val="28"/>
          <w:szCs w:val="28"/>
        </w:rPr>
        <w:t>三级沉淀池+100m</w:t>
      </w:r>
      <w:r>
        <w:rPr>
          <w:rFonts w:hint="eastAsia" w:ascii="仿宋_GB2312" w:hAnsi="Times New Roman" w:eastAsia="仿宋_GB2312"/>
          <w:sz w:val="28"/>
          <w:szCs w:val="28"/>
          <w:vertAlign w:val="superscript"/>
        </w:rPr>
        <w:t>3</w:t>
      </w:r>
      <w:r>
        <w:rPr>
          <w:rFonts w:hint="eastAsia" w:ascii="仿宋_GB2312" w:hAnsi="Times New Roman" w:eastAsia="仿宋_GB2312"/>
          <w:sz w:val="28"/>
          <w:szCs w:val="28"/>
        </w:rPr>
        <w:t>清水池+污水回用系统处理后回用于生产，不外排。</w:t>
      </w:r>
    </w:p>
    <w:p>
      <w:pPr>
        <w:pStyle w:val="18"/>
        <w:spacing w:after="62"/>
        <w:ind w:firstLine="560"/>
        <w:rPr>
          <w:rFonts w:hint="eastAsia" w:ascii="仿宋_GB2312" w:hAnsi="Arial" w:eastAsia="仿宋_GB2312"/>
          <w:sz w:val="28"/>
          <w:szCs w:val="28"/>
        </w:rPr>
      </w:pPr>
      <w:r>
        <w:rPr>
          <w:rFonts w:hint="eastAsia" w:ascii="仿宋_GB2312" w:hAnsi="Arial" w:eastAsia="仿宋_GB2312"/>
          <w:sz w:val="28"/>
          <w:szCs w:val="28"/>
        </w:rPr>
        <w:t>（2）初期雨水：建设单位</w:t>
      </w:r>
      <w:r>
        <w:rPr>
          <w:rFonts w:hint="eastAsia" w:ascii="仿宋_GB2312" w:hAnsi="Times New Roman" w:eastAsia="仿宋_GB2312"/>
          <w:sz w:val="28"/>
          <w:szCs w:val="28"/>
        </w:rPr>
        <w:t>在厂区四周</w:t>
      </w:r>
      <w:r>
        <w:rPr>
          <w:rFonts w:hint="eastAsia" w:ascii="仿宋_GB2312" w:hAnsi="Times New Roman" w:eastAsia="仿宋_GB2312"/>
          <w:sz w:val="28"/>
          <w:szCs w:val="28"/>
          <w:lang w:val="en-US" w:eastAsia="zh-CN"/>
        </w:rPr>
        <w:t>设置</w:t>
      </w:r>
      <w:r>
        <w:rPr>
          <w:rFonts w:hint="eastAsia" w:ascii="仿宋_GB2312" w:hAnsi="Times New Roman" w:eastAsia="仿宋_GB2312"/>
          <w:sz w:val="28"/>
          <w:szCs w:val="28"/>
        </w:rPr>
        <w:t>雨水收集沟以及100m</w:t>
      </w:r>
      <w:r>
        <w:rPr>
          <w:rFonts w:hint="eastAsia" w:ascii="仿宋_GB2312" w:hAnsi="Times New Roman" w:eastAsia="仿宋_GB2312"/>
          <w:sz w:val="28"/>
          <w:szCs w:val="28"/>
          <w:vertAlign w:val="superscript"/>
        </w:rPr>
        <w:t>3</w:t>
      </w:r>
      <w:r>
        <w:rPr>
          <w:rFonts w:hint="eastAsia" w:ascii="仿宋_GB2312" w:hAnsi="Times New Roman" w:eastAsia="仿宋_GB2312"/>
          <w:sz w:val="28"/>
          <w:szCs w:val="28"/>
        </w:rPr>
        <w:t>雨水收集池收集。</w:t>
      </w:r>
    </w:p>
    <w:p>
      <w:pPr>
        <w:pStyle w:val="18"/>
        <w:spacing w:after="62"/>
        <w:ind w:right="480" w:firstLine="560"/>
        <w:rPr>
          <w:rFonts w:hint="eastAsia" w:ascii="仿宋_GB2312" w:hAnsi="Times New Roman" w:eastAsia="仿宋_GB2312"/>
          <w:sz w:val="28"/>
          <w:szCs w:val="28"/>
        </w:rPr>
      </w:pPr>
      <w:r>
        <w:rPr>
          <w:rFonts w:hint="eastAsia" w:ascii="仿宋_GB2312" w:hAnsi="Arial" w:eastAsia="仿宋_GB2312"/>
          <w:sz w:val="28"/>
          <w:szCs w:val="28"/>
        </w:rPr>
        <w:t>（3）生活污水：生活污水</w:t>
      </w:r>
      <w:r>
        <w:rPr>
          <w:rFonts w:hint="eastAsia" w:ascii="仿宋_GB2312" w:hAnsi="Times New Roman" w:eastAsia="仿宋_GB2312"/>
          <w:sz w:val="28"/>
          <w:szCs w:val="28"/>
        </w:rPr>
        <w:t>经隔油池和一体化污水处理设施（10m</w:t>
      </w:r>
      <w:r>
        <w:rPr>
          <w:rFonts w:hint="eastAsia" w:ascii="仿宋_GB2312" w:hAnsi="Times New Roman" w:eastAsia="仿宋_GB2312"/>
          <w:sz w:val="28"/>
          <w:szCs w:val="28"/>
          <w:vertAlign w:val="superscript"/>
        </w:rPr>
        <w:t>3</w:t>
      </w:r>
      <w:r>
        <w:rPr>
          <w:rFonts w:hint="eastAsia" w:ascii="仿宋_GB2312" w:hAnsi="Times New Roman" w:eastAsia="仿宋_GB2312"/>
          <w:sz w:val="28"/>
          <w:szCs w:val="28"/>
        </w:rPr>
        <w:t>/d处理能力）与30m</w:t>
      </w:r>
      <w:r>
        <w:rPr>
          <w:rFonts w:hint="eastAsia" w:ascii="仿宋_GB2312" w:hAnsi="Times New Roman" w:eastAsia="仿宋_GB2312"/>
          <w:sz w:val="28"/>
          <w:szCs w:val="28"/>
          <w:vertAlign w:val="superscript"/>
        </w:rPr>
        <w:t>3</w:t>
      </w:r>
      <w:r>
        <w:rPr>
          <w:rFonts w:hint="eastAsia" w:ascii="仿宋_GB2312" w:hAnsi="Times New Roman" w:eastAsia="仿宋_GB2312"/>
          <w:sz w:val="28"/>
          <w:szCs w:val="28"/>
        </w:rPr>
        <w:t>清水池，处理后污水进入清水池内收集后回用至混凝土拌合用水。</w:t>
      </w:r>
    </w:p>
    <w:p>
      <w:pPr>
        <w:ind w:left="0" w:leftChars="0" w:right="0" w:rightChars="0" w:firstLine="481" w:firstLineChars="171"/>
        <w:outlineLvl w:val="0"/>
        <w:rPr>
          <w:rFonts w:eastAsia="仿宋_GB2312"/>
          <w:b/>
          <w:position w:val="1"/>
          <w:sz w:val="28"/>
          <w:szCs w:val="28"/>
        </w:rPr>
      </w:pPr>
      <w:r>
        <w:rPr>
          <w:rFonts w:eastAsia="仿宋_GB2312"/>
          <w:b/>
          <w:position w:val="1"/>
          <w:sz w:val="28"/>
          <w:szCs w:val="28"/>
        </w:rPr>
        <w:t>（二）废气</w:t>
      </w:r>
      <w:bookmarkEnd w:id="24"/>
      <w:bookmarkEnd w:id="25"/>
      <w:bookmarkEnd w:id="26"/>
    </w:p>
    <w:p>
      <w:pPr>
        <w:pStyle w:val="18"/>
        <w:spacing w:after="62"/>
        <w:ind w:right="480" w:firstLineChars="0"/>
        <w:rPr>
          <w:rFonts w:hint="eastAsia" w:ascii="仿宋_GB2312" w:hAnsi="Times New Roman" w:eastAsia="仿宋_GB2312"/>
          <w:sz w:val="28"/>
          <w:szCs w:val="28"/>
          <w:lang w:eastAsia="zh-CN"/>
        </w:rPr>
      </w:pPr>
      <w:bookmarkStart w:id="27" w:name="_Toc3426"/>
      <w:bookmarkStart w:id="28" w:name="_Toc3032"/>
      <w:bookmarkStart w:id="29" w:name="_Toc29282"/>
      <w:r>
        <w:rPr>
          <w:rFonts w:hint="eastAsia" w:ascii="仿宋_GB2312" w:hAnsi="Times New Roman" w:eastAsia="仿宋_GB2312"/>
          <w:sz w:val="28"/>
          <w:szCs w:val="28"/>
        </w:rPr>
        <w:t>本项目运营期废气主要有：备用柴油发电机废气；生产工艺粉尘，其中生产粉尘的来源有生产过程在输送、计量、投料过程产生的粉尘、运输车辆动力起尘、筒仓呼吸孔和库底粉尘、筒仓抽料时放空口产生的粉尘以及砂石堆场粉尘</w:t>
      </w:r>
      <w:r>
        <w:rPr>
          <w:rFonts w:hint="eastAsia" w:ascii="仿宋_GB2312" w:hAnsi="Times New Roman" w:eastAsia="仿宋_GB2312"/>
          <w:sz w:val="28"/>
          <w:szCs w:val="28"/>
          <w:lang w:eastAsia="zh-CN"/>
        </w:rPr>
        <w:t>。</w:t>
      </w:r>
    </w:p>
    <w:p>
      <w:pPr>
        <w:pStyle w:val="18"/>
        <w:spacing w:after="62"/>
        <w:ind w:firstLine="560"/>
        <w:rPr>
          <w:rFonts w:hint="eastAsia" w:ascii="仿宋_GB2312" w:hAnsi="Arial" w:eastAsia="仿宋_GB2312"/>
          <w:sz w:val="28"/>
          <w:szCs w:val="28"/>
          <w:lang w:eastAsia="zh-CN"/>
        </w:rPr>
      </w:pPr>
      <w:r>
        <w:rPr>
          <w:rFonts w:hint="eastAsia" w:ascii="仿宋_GB2312" w:eastAsia="仿宋_GB2312"/>
          <w:sz w:val="28"/>
          <w:szCs w:val="28"/>
        </w:rPr>
        <w:t>（1）</w:t>
      </w:r>
      <w:r>
        <w:rPr>
          <w:rFonts w:hint="eastAsia" w:ascii="仿宋_GB2312" w:hAnsi="Times New Roman" w:eastAsia="仿宋_GB2312"/>
          <w:sz w:val="28"/>
          <w:szCs w:val="28"/>
        </w:rPr>
        <w:t>输送、计量、投料粉尘</w:t>
      </w:r>
      <w:r>
        <w:rPr>
          <w:rFonts w:hint="eastAsia" w:ascii="仿宋_GB2312" w:eastAsia="仿宋_GB2312"/>
          <w:sz w:val="28"/>
          <w:szCs w:val="28"/>
        </w:rPr>
        <w:t>：</w:t>
      </w:r>
      <w:r>
        <w:rPr>
          <w:rFonts w:hint="eastAsia" w:ascii="仿宋_GB2312" w:hAnsi="Times New Roman" w:eastAsia="仿宋_GB2312"/>
          <w:sz w:val="28"/>
          <w:szCs w:val="28"/>
        </w:rPr>
        <w:t>建设单位将输送带设置为全封闭式廊道输送，搅拌楼设置为全封闭式，搅拌楼内的搅拌机配套设置脉冲反吹布袋除尘器进行处理，处理后的粉尘引至封闭式搅拌楼</w:t>
      </w:r>
      <w:r>
        <w:rPr>
          <w:rFonts w:hint="eastAsia" w:ascii="仿宋_GB2312" w:hAnsi="Times New Roman" w:eastAsia="仿宋_GB2312"/>
          <w:sz w:val="28"/>
          <w:szCs w:val="28"/>
          <w:lang w:val="en-US" w:eastAsia="zh-CN"/>
        </w:rPr>
        <w:t>无组织</w:t>
      </w:r>
      <w:r>
        <w:rPr>
          <w:rFonts w:hint="eastAsia" w:ascii="仿宋_GB2312" w:hAnsi="Times New Roman" w:eastAsia="仿宋_GB2312"/>
          <w:sz w:val="28"/>
          <w:szCs w:val="28"/>
        </w:rPr>
        <w:t>排放</w:t>
      </w:r>
      <w:r>
        <w:rPr>
          <w:rFonts w:hint="eastAsia" w:ascii="仿宋_GB2312" w:hAnsi="Times New Roman" w:eastAsia="仿宋_GB2312"/>
          <w:sz w:val="28"/>
          <w:szCs w:val="28"/>
          <w:lang w:eastAsia="zh-CN"/>
        </w:rPr>
        <w:t>。</w:t>
      </w:r>
    </w:p>
    <w:p>
      <w:pPr>
        <w:ind w:left="0" w:leftChars="0" w:right="480" w:firstLine="560"/>
        <w:rPr>
          <w:rFonts w:hint="eastAsia" w:ascii="仿宋_GB2312" w:eastAsia="仿宋_GB2312"/>
          <w:sz w:val="28"/>
          <w:szCs w:val="28"/>
        </w:rPr>
      </w:pPr>
      <w:r>
        <w:rPr>
          <w:rFonts w:hint="eastAsia" w:ascii="仿宋_GB2312" w:hAnsi="宋体" w:eastAsia="仿宋_GB2312"/>
          <w:sz w:val="28"/>
          <w:szCs w:val="28"/>
        </w:rPr>
        <w:t>（2）</w:t>
      </w:r>
      <w:r>
        <w:rPr>
          <w:rFonts w:hint="eastAsia" w:ascii="仿宋_GB2312" w:eastAsia="仿宋_GB2312"/>
          <w:sz w:val="28"/>
          <w:szCs w:val="28"/>
        </w:rPr>
        <w:t>筒仓顶呼吸孔及库底粉尘</w:t>
      </w:r>
      <w:r>
        <w:rPr>
          <w:rFonts w:hint="eastAsia" w:ascii="仿宋_GB2312" w:hAnsi="宋体" w:eastAsia="仿宋_GB2312"/>
          <w:sz w:val="28"/>
          <w:szCs w:val="28"/>
        </w:rPr>
        <w:t>：建设单位在</w:t>
      </w:r>
      <w:r>
        <w:rPr>
          <w:rFonts w:hint="eastAsia" w:ascii="仿宋_GB2312" w:eastAsia="仿宋_GB2312"/>
          <w:sz w:val="28"/>
          <w:szCs w:val="28"/>
        </w:rPr>
        <w:t>筒库底采用负压吸风收尘装置，收集的库底粉尘与库顶呼吸孔共用设备自带的布袋收尘机除尘，废气经处理后达标排放。</w:t>
      </w:r>
    </w:p>
    <w:p>
      <w:pPr>
        <w:pStyle w:val="12"/>
        <w:spacing w:line="360" w:lineRule="auto"/>
        <w:ind w:firstLine="465"/>
        <w:rPr>
          <w:rFonts w:hint="eastAsia" w:ascii="仿宋_GB2312" w:hAnsi="Arial" w:eastAsia="仿宋_GB2312"/>
          <w:sz w:val="28"/>
          <w:szCs w:val="28"/>
        </w:rPr>
      </w:pPr>
      <w:r>
        <w:rPr>
          <w:rFonts w:hint="eastAsia" w:ascii="仿宋_GB2312" w:hAnsi="Arial" w:eastAsia="仿宋_GB2312"/>
          <w:sz w:val="28"/>
          <w:szCs w:val="28"/>
        </w:rPr>
        <w:t>（3）</w:t>
      </w:r>
      <w:r>
        <w:rPr>
          <w:rFonts w:hint="eastAsia" w:ascii="仿宋_GB2312" w:hAnsi="Times New Roman" w:eastAsia="仿宋_GB2312"/>
          <w:color w:val="auto"/>
          <w:sz w:val="28"/>
          <w:szCs w:val="28"/>
        </w:rPr>
        <w:t>汽车动力起尘粉尘：原料和产品运输车辆进出都要由厂区东侧进出，禁止靠西侧进出。项目场地内全部硬化，进出车辆进行清洗，并定期对地面进行清洗并洒水降尘</w:t>
      </w:r>
      <w:r>
        <w:rPr>
          <w:rFonts w:hint="eastAsia" w:ascii="仿宋_GB2312" w:hAnsi="Arial" w:eastAsia="仿宋_GB2312"/>
          <w:sz w:val="28"/>
          <w:szCs w:val="28"/>
        </w:rPr>
        <w:t>，</w:t>
      </w:r>
      <w:r>
        <w:rPr>
          <w:rFonts w:hint="eastAsia" w:ascii="仿宋_GB2312" w:hAnsi="Times New Roman" w:eastAsia="仿宋_GB2312"/>
          <w:bCs/>
          <w:sz w:val="28"/>
          <w:szCs w:val="28"/>
        </w:rPr>
        <w:t>厂界四周已经设置防尘围挡，并配备喷雾洒水系统</w:t>
      </w:r>
      <w:r>
        <w:rPr>
          <w:rFonts w:hint="eastAsia" w:ascii="仿宋_GB2312" w:hAnsi="Times New Roman" w:eastAsia="仿宋_GB2312"/>
          <w:bCs/>
          <w:sz w:val="28"/>
          <w:szCs w:val="28"/>
          <w:lang w:eastAsia="zh-CN"/>
        </w:rPr>
        <w:t>（</w:t>
      </w:r>
      <w:r>
        <w:rPr>
          <w:rFonts w:hint="eastAsia" w:ascii="仿宋_GB2312" w:hAnsi="Times New Roman" w:eastAsia="仿宋_GB2312"/>
          <w:bCs/>
          <w:sz w:val="28"/>
          <w:szCs w:val="28"/>
          <w:lang w:val="en-US" w:eastAsia="zh-CN"/>
        </w:rPr>
        <w:t>喷雾桩设施</w:t>
      </w:r>
      <w:r>
        <w:rPr>
          <w:rFonts w:hint="eastAsia" w:ascii="仿宋_GB2312" w:hAnsi="Times New Roman" w:eastAsia="仿宋_GB2312"/>
          <w:bCs/>
          <w:sz w:val="28"/>
          <w:szCs w:val="28"/>
          <w:lang w:eastAsia="zh-CN"/>
        </w:rPr>
        <w:t>）</w:t>
      </w:r>
      <w:r>
        <w:rPr>
          <w:rFonts w:hint="eastAsia" w:ascii="仿宋_GB2312" w:hAnsi="Times New Roman" w:eastAsia="仿宋_GB2312"/>
          <w:bCs/>
          <w:sz w:val="28"/>
          <w:szCs w:val="28"/>
        </w:rPr>
        <w:t>定时进行喷雾洒水降尘。</w:t>
      </w:r>
    </w:p>
    <w:p>
      <w:pPr>
        <w:pStyle w:val="12"/>
        <w:spacing w:line="360" w:lineRule="auto"/>
        <w:ind w:firstLine="465"/>
        <w:rPr>
          <w:rFonts w:hint="eastAsia" w:ascii="仿宋_GB2312" w:hAnsi="Times New Roman" w:eastAsia="仿宋_GB2312"/>
          <w:color w:val="auto"/>
          <w:sz w:val="28"/>
          <w:szCs w:val="28"/>
          <w:lang w:eastAsia="zh-CN"/>
        </w:rPr>
      </w:pPr>
      <w:r>
        <w:rPr>
          <w:rFonts w:hint="eastAsia" w:ascii="仿宋_GB2312" w:hAnsi="Arial" w:eastAsia="仿宋_GB2312"/>
          <w:sz w:val="28"/>
          <w:szCs w:val="28"/>
        </w:rPr>
        <w:t>（4）</w:t>
      </w:r>
      <w:r>
        <w:rPr>
          <w:rFonts w:hint="eastAsia" w:ascii="仿宋_GB2312" w:hAnsi="Times New Roman" w:eastAsia="仿宋_GB2312"/>
          <w:color w:val="auto"/>
          <w:sz w:val="28"/>
          <w:szCs w:val="28"/>
        </w:rPr>
        <w:t>筒仓放空口粉尘：筒仓放空口处安装自动衔接输料口，同时出料车辆接料口也相应配套自动衔接口</w:t>
      </w:r>
      <w:r>
        <w:rPr>
          <w:rFonts w:hint="eastAsia" w:ascii="仿宋_GB2312" w:hAnsi="Times New Roman" w:eastAsia="仿宋_GB2312"/>
          <w:color w:val="auto"/>
          <w:sz w:val="28"/>
          <w:szCs w:val="28"/>
          <w:lang w:eastAsia="zh-CN"/>
        </w:rPr>
        <w:t>。</w:t>
      </w:r>
    </w:p>
    <w:p>
      <w:pPr>
        <w:pStyle w:val="12"/>
        <w:spacing w:line="360" w:lineRule="auto"/>
        <w:ind w:firstLine="465"/>
        <w:rPr>
          <w:rFonts w:hint="eastAsia" w:ascii="仿宋_GB2312" w:hAnsi="Times New Roman" w:eastAsia="仿宋_GB2312"/>
          <w:color w:val="auto"/>
          <w:sz w:val="28"/>
          <w:szCs w:val="28"/>
          <w:lang w:eastAsia="zh-CN"/>
        </w:rPr>
      </w:pPr>
      <w:r>
        <w:rPr>
          <w:rFonts w:hint="eastAsia" w:ascii="仿宋_GB2312" w:hAnsi="Times New Roman" w:eastAsia="仿宋_GB2312"/>
          <w:color w:val="auto"/>
          <w:sz w:val="28"/>
          <w:szCs w:val="28"/>
        </w:rPr>
        <w:t>（5）堆场粉尘：</w:t>
      </w:r>
      <w:r>
        <w:rPr>
          <w:rStyle w:val="19"/>
          <w:rFonts w:ascii="仿宋_GB2312" w:hAnsi="Times New Roman" w:eastAsia="仿宋_GB2312"/>
          <w:color w:val="auto"/>
          <w:sz w:val="28"/>
          <w:szCs w:val="28"/>
        </w:rPr>
        <w:t>项目为全封闭式砂石料仓库，堆场起尘主要为原料装卸时产生的扬尘，建设单位在封闭式砂石堆场配套设置喷雾洒水装置</w:t>
      </w:r>
      <w:r>
        <w:rPr>
          <w:rStyle w:val="19"/>
          <w:rFonts w:ascii="仿宋_GB2312" w:hAnsi="Times New Roman" w:eastAsia="仿宋_GB2312"/>
          <w:color w:val="auto"/>
          <w:sz w:val="28"/>
          <w:szCs w:val="28"/>
          <w:lang w:eastAsia="zh-CN"/>
        </w:rPr>
        <w:t>。</w:t>
      </w:r>
    </w:p>
    <w:p>
      <w:pPr>
        <w:pStyle w:val="12"/>
        <w:spacing w:line="360" w:lineRule="auto"/>
        <w:ind w:right="480" w:firstLine="420" w:firstLineChars="150"/>
        <w:rPr>
          <w:rFonts w:hint="eastAsia" w:ascii="仿宋_GB2312" w:hAnsi="宋体" w:eastAsia="仿宋_GB2312"/>
          <w:sz w:val="28"/>
          <w:szCs w:val="28"/>
        </w:rPr>
      </w:pPr>
      <w:r>
        <w:rPr>
          <w:rFonts w:hint="eastAsia" w:ascii="仿宋_GB2312" w:hAnsi="Times New Roman" w:eastAsia="仿宋_GB2312"/>
          <w:color w:val="auto"/>
          <w:sz w:val="28"/>
          <w:szCs w:val="28"/>
        </w:rPr>
        <w:t>（6）食堂油烟：</w:t>
      </w:r>
      <w:r>
        <w:rPr>
          <w:rFonts w:hint="eastAsia" w:ascii="仿宋_GB2312" w:hAnsi="Times New Roman" w:eastAsia="仿宋_GB2312"/>
          <w:bCs/>
          <w:sz w:val="28"/>
          <w:szCs w:val="28"/>
        </w:rPr>
        <w:t>经油烟净化器处理达</w:t>
      </w:r>
      <w:r>
        <w:rPr>
          <w:rStyle w:val="19"/>
          <w:rFonts w:ascii="仿宋_GB2312" w:hAnsi="Times New Roman" w:eastAsia="仿宋_GB2312"/>
          <w:color w:val="auto"/>
          <w:sz w:val="28"/>
          <w:szCs w:val="28"/>
        </w:rPr>
        <w:t>满足《饮食业油烟排放标准（试行）》（GB18483-2001）中相关标准限值（2mg/m3）</w:t>
      </w:r>
      <w:r>
        <w:rPr>
          <w:rFonts w:hint="eastAsia" w:ascii="仿宋_GB2312" w:hAnsi="Times New Roman" w:eastAsia="仿宋_GB2312"/>
          <w:bCs/>
          <w:sz w:val="28"/>
          <w:szCs w:val="28"/>
        </w:rPr>
        <w:t>后通过规范排烟管道高空排放</w:t>
      </w:r>
      <w:r>
        <w:rPr>
          <w:rFonts w:hint="eastAsia" w:ascii="仿宋_GB2312" w:hAnsi="宋体" w:eastAsia="仿宋_GB2312"/>
          <w:sz w:val="28"/>
          <w:szCs w:val="28"/>
        </w:rPr>
        <w:t>。</w:t>
      </w:r>
    </w:p>
    <w:p>
      <w:pPr>
        <w:ind w:left="0" w:leftChars="0" w:right="0" w:rightChars="0" w:firstLine="481" w:firstLineChars="171"/>
        <w:outlineLvl w:val="0"/>
        <w:rPr>
          <w:rFonts w:eastAsia="仿宋_GB2312"/>
          <w:b/>
          <w:position w:val="1"/>
          <w:sz w:val="28"/>
          <w:szCs w:val="28"/>
        </w:rPr>
      </w:pPr>
      <w:r>
        <w:rPr>
          <w:rFonts w:eastAsia="仿宋_GB2312"/>
          <w:b/>
          <w:position w:val="1"/>
          <w:sz w:val="28"/>
          <w:szCs w:val="28"/>
        </w:rPr>
        <w:t>（三）噪声</w:t>
      </w:r>
      <w:bookmarkEnd w:id="27"/>
      <w:bookmarkEnd w:id="28"/>
      <w:bookmarkEnd w:id="29"/>
    </w:p>
    <w:p>
      <w:pPr>
        <w:ind w:left="0" w:leftChars="0" w:right="0" w:rightChars="0" w:firstLine="478" w:firstLineChars="171"/>
        <w:rPr>
          <w:rFonts w:eastAsia="仿宋_GB2312"/>
          <w:position w:val="1"/>
          <w:sz w:val="28"/>
          <w:szCs w:val="28"/>
        </w:rPr>
      </w:pPr>
      <w:bookmarkStart w:id="30" w:name="_Toc22423"/>
      <w:bookmarkStart w:id="31" w:name="_Toc32014"/>
      <w:bookmarkStart w:id="32" w:name="_Toc30713"/>
      <w:r>
        <w:rPr>
          <w:rFonts w:hint="eastAsia" w:eastAsia="仿宋_GB2312"/>
          <w:position w:val="1"/>
          <w:sz w:val="28"/>
          <w:szCs w:val="28"/>
        </w:rPr>
        <w:t>合理布局，规范高噪设备的生产作业时间，选用低噪声设备，加强设备维护，采取基础做减振、镉声、消声等措施，确保厂界环境噪声达标。</w:t>
      </w:r>
    </w:p>
    <w:p>
      <w:pPr>
        <w:ind w:left="0" w:leftChars="0" w:right="0" w:rightChars="0" w:firstLine="481" w:firstLineChars="171"/>
        <w:outlineLvl w:val="0"/>
        <w:rPr>
          <w:rFonts w:eastAsia="仿宋_GB2312"/>
          <w:b/>
          <w:position w:val="1"/>
          <w:sz w:val="28"/>
          <w:szCs w:val="28"/>
        </w:rPr>
      </w:pPr>
      <w:r>
        <w:rPr>
          <w:rFonts w:eastAsia="仿宋_GB2312"/>
          <w:b/>
          <w:position w:val="1"/>
          <w:sz w:val="28"/>
          <w:szCs w:val="28"/>
        </w:rPr>
        <w:t>（四）固废</w:t>
      </w:r>
      <w:bookmarkEnd w:id="30"/>
      <w:bookmarkEnd w:id="31"/>
      <w:bookmarkEnd w:id="32"/>
    </w:p>
    <w:p>
      <w:pPr>
        <w:ind w:left="0" w:leftChars="0" w:right="480" w:firstLine="560"/>
        <w:rPr>
          <w:rFonts w:ascii="仿宋_GB2312" w:hAnsi="宋体" w:eastAsia="仿宋_GB2312"/>
          <w:sz w:val="28"/>
          <w:szCs w:val="28"/>
          <w:lang w:eastAsia="zh-CN"/>
        </w:rPr>
      </w:pPr>
      <w:bookmarkStart w:id="33" w:name="_Toc23453"/>
      <w:bookmarkStart w:id="34" w:name="_Toc28578"/>
      <w:bookmarkStart w:id="35" w:name="_Toc2688"/>
      <w:r>
        <w:rPr>
          <w:rFonts w:ascii="仿宋_GB2312" w:hAnsi="宋体" w:eastAsia="仿宋_GB2312"/>
          <w:sz w:val="28"/>
          <w:szCs w:val="28"/>
          <w:lang w:eastAsia="zh-CN"/>
        </w:rPr>
        <w:t>一般工业固体废物废集中堆放，其中能回收利用的定期送废品收购站处理，不能回收利用的交由资中环卫部门集中处理</w:t>
      </w:r>
      <w:r>
        <w:rPr>
          <w:rFonts w:hint="eastAsia" w:ascii="仿宋_GB2312" w:hAnsi="宋体" w:eastAsia="仿宋_GB2312"/>
          <w:sz w:val="28"/>
          <w:szCs w:val="28"/>
          <w:lang w:eastAsia="zh-CN"/>
        </w:rPr>
        <w:t>，</w:t>
      </w:r>
      <w:r>
        <w:rPr>
          <w:rFonts w:ascii="仿宋_GB2312" w:hAnsi="宋体" w:eastAsia="仿宋_GB2312"/>
          <w:sz w:val="28"/>
          <w:szCs w:val="28"/>
          <w:lang w:eastAsia="zh-CN"/>
        </w:rPr>
        <w:t>生活垃圾</w:t>
      </w:r>
      <w:r>
        <w:rPr>
          <w:rFonts w:hint="eastAsia" w:ascii="仿宋_GB2312" w:hAnsi="宋体" w:eastAsia="仿宋_GB2312"/>
          <w:sz w:val="28"/>
          <w:szCs w:val="28"/>
          <w:lang w:eastAsia="zh-CN"/>
        </w:rPr>
        <w:t>经垃圾桶</w:t>
      </w:r>
      <w:r>
        <w:rPr>
          <w:rFonts w:ascii="仿宋_GB2312" w:hAnsi="宋体" w:eastAsia="仿宋_GB2312"/>
          <w:sz w:val="28"/>
          <w:szCs w:val="28"/>
          <w:lang w:eastAsia="zh-CN"/>
        </w:rPr>
        <w:t>收集后交由环卫部门集中处理</w:t>
      </w:r>
      <w:r>
        <w:rPr>
          <w:rFonts w:hint="eastAsia" w:ascii="仿宋_GB2312" w:hAnsi="宋体" w:eastAsia="仿宋_GB2312"/>
          <w:sz w:val="28"/>
          <w:szCs w:val="28"/>
          <w:lang w:eastAsia="zh-CN"/>
        </w:rPr>
        <w:t>。</w:t>
      </w:r>
      <w:r>
        <w:rPr>
          <w:rFonts w:ascii="仿宋_GB2312" w:hAnsi="宋体" w:eastAsia="仿宋_GB2312"/>
          <w:sz w:val="28"/>
          <w:szCs w:val="28"/>
          <w:lang w:eastAsia="zh-CN"/>
        </w:rPr>
        <w:t xml:space="preserve">     </w:t>
      </w:r>
    </w:p>
    <w:bookmarkEnd w:id="33"/>
    <w:bookmarkEnd w:id="34"/>
    <w:bookmarkEnd w:id="35"/>
    <w:p>
      <w:pPr>
        <w:ind w:left="0" w:leftChars="0" w:right="0" w:rightChars="0" w:firstLine="481" w:firstLineChars="171"/>
        <w:rPr>
          <w:rFonts w:eastAsia="黑体"/>
          <w:b/>
          <w:position w:val="1"/>
          <w:sz w:val="28"/>
          <w:szCs w:val="28"/>
          <w:lang w:eastAsia="zh-CN"/>
        </w:rPr>
      </w:pPr>
      <w:bookmarkStart w:id="36" w:name="_Toc31963"/>
      <w:bookmarkStart w:id="37" w:name="_Toc27881"/>
      <w:bookmarkStart w:id="38" w:name="_Toc30515"/>
      <w:r>
        <w:rPr>
          <w:rFonts w:eastAsia="黑体"/>
          <w:b/>
          <w:position w:val="1"/>
          <w:sz w:val="28"/>
          <w:szCs w:val="28"/>
        </w:rPr>
        <w:t>四、</w:t>
      </w:r>
      <w:bookmarkEnd w:id="36"/>
      <w:bookmarkEnd w:id="37"/>
      <w:bookmarkEnd w:id="38"/>
      <w:r>
        <w:rPr>
          <w:rFonts w:hint="eastAsia" w:eastAsia="黑体"/>
          <w:b/>
          <w:position w:val="1"/>
          <w:sz w:val="28"/>
          <w:szCs w:val="28"/>
          <w:lang w:eastAsia="zh-CN"/>
        </w:rPr>
        <w:t>环境保护设施调试监测结果</w:t>
      </w:r>
    </w:p>
    <w:p>
      <w:pPr>
        <w:pStyle w:val="4"/>
        <w:ind w:left="0" w:leftChars="0" w:right="480" w:firstLine="560"/>
        <w:rPr>
          <w:rFonts w:ascii="仿宋_GB2312" w:eastAsia="仿宋_GB2312"/>
          <w:sz w:val="28"/>
          <w:szCs w:val="28"/>
          <w:lang w:eastAsia="zh-CN"/>
        </w:rPr>
      </w:pPr>
      <w:r>
        <w:rPr>
          <w:rFonts w:hint="eastAsia" w:ascii="仿宋_GB2312" w:eastAsia="仿宋_GB2312"/>
          <w:sz w:val="28"/>
          <w:szCs w:val="28"/>
          <w:lang w:eastAsia="zh-CN"/>
        </w:rPr>
        <w:t>根据湖南云天检测技术有限公司对该项目进行的环境保护验收监测。监测期间，该项目生产工况正常，生产工况负荷大于75%，符合竣工验收工况负荷要求。</w:t>
      </w:r>
    </w:p>
    <w:p>
      <w:pPr>
        <w:pStyle w:val="4"/>
        <w:ind w:left="0" w:leftChars="0" w:right="480" w:firstLine="700" w:firstLineChars="250"/>
        <w:rPr>
          <w:rFonts w:ascii="仿宋_GB2312" w:eastAsia="仿宋_GB2312"/>
          <w:sz w:val="28"/>
          <w:szCs w:val="28"/>
          <w:lang w:eastAsia="zh-CN"/>
        </w:rPr>
      </w:pPr>
      <w:r>
        <w:rPr>
          <w:rFonts w:hint="eastAsia" w:ascii="仿宋_GB2312" w:eastAsia="仿宋_GB2312"/>
          <w:sz w:val="28"/>
          <w:szCs w:val="28"/>
          <w:lang w:eastAsia="zh-CN"/>
        </w:rPr>
        <w:t>（一）废气</w:t>
      </w:r>
    </w:p>
    <w:p>
      <w:pPr>
        <w:pStyle w:val="4"/>
        <w:ind w:left="0" w:leftChars="0" w:right="480" w:firstLine="560"/>
        <w:rPr>
          <w:rFonts w:hint="eastAsia" w:ascii="仿宋_GB2312" w:eastAsia="仿宋_GB2312"/>
          <w:sz w:val="28"/>
          <w:szCs w:val="28"/>
          <w:lang w:eastAsia="zh-CN"/>
        </w:rPr>
      </w:pPr>
      <w:r>
        <w:rPr>
          <w:rFonts w:hint="eastAsia" w:ascii="仿宋_GB2312" w:eastAsia="仿宋_GB2312"/>
          <w:sz w:val="28"/>
          <w:szCs w:val="28"/>
          <w:lang w:eastAsia="zh-CN"/>
        </w:rPr>
        <w:t>项目无组织废气主要是颗粒物，厂界无组织废气颗粒物监测浓度能满足《水泥工业大气污染物排放标准》（GB4915-2013）中表2规定的大气污染物特别排放限值，项目废气对环境影响较小。</w:t>
      </w:r>
    </w:p>
    <w:p>
      <w:pPr>
        <w:pStyle w:val="4"/>
        <w:ind w:left="0" w:leftChars="0" w:right="480" w:firstLine="560"/>
        <w:rPr>
          <w:rFonts w:ascii="仿宋_GB2312" w:eastAsia="仿宋_GB2312"/>
          <w:sz w:val="28"/>
          <w:szCs w:val="28"/>
          <w:lang w:eastAsia="zh-CN"/>
        </w:rPr>
      </w:pPr>
      <w:r>
        <w:rPr>
          <w:rFonts w:hint="eastAsia" w:ascii="仿宋_GB2312" w:eastAsia="仿宋_GB2312"/>
          <w:sz w:val="28"/>
          <w:szCs w:val="28"/>
          <w:lang w:eastAsia="zh-CN"/>
        </w:rPr>
        <w:t>（二）废水</w:t>
      </w:r>
    </w:p>
    <w:p>
      <w:pPr>
        <w:ind w:left="0" w:leftChars="0" w:right="480" w:firstLine="560"/>
        <w:rPr>
          <w:rFonts w:hint="eastAsia" w:ascii="仿宋_GB2312" w:hAnsi="宋体" w:eastAsia="仿宋_GB2312"/>
          <w:sz w:val="28"/>
          <w:szCs w:val="28"/>
          <w:lang w:eastAsia="zh-CN"/>
        </w:rPr>
      </w:pPr>
      <w:r>
        <w:rPr>
          <w:rFonts w:hint="eastAsia" w:ascii="仿宋_GB2312" w:hAnsi="宋体" w:eastAsia="仿宋_GB2312"/>
          <w:sz w:val="28"/>
          <w:szCs w:val="28"/>
          <w:lang w:eastAsia="zh-CN"/>
        </w:rPr>
        <w:t>项目运营期废水主要包括</w:t>
      </w:r>
      <w:r>
        <w:rPr>
          <w:rFonts w:hint="eastAsia" w:ascii="仿宋_GB2312" w:eastAsia="仿宋_GB2312"/>
          <w:sz w:val="28"/>
          <w:szCs w:val="28"/>
        </w:rPr>
        <w:t>生产废水、初期雨水及生活污水</w:t>
      </w:r>
      <w:r>
        <w:rPr>
          <w:rFonts w:hint="eastAsia" w:ascii="仿宋_GB2312" w:hAnsi="宋体" w:eastAsia="仿宋_GB2312"/>
          <w:sz w:val="28"/>
          <w:szCs w:val="28"/>
          <w:lang w:eastAsia="zh-CN"/>
        </w:rPr>
        <w:t>。</w:t>
      </w:r>
      <w:r>
        <w:rPr>
          <w:rFonts w:hint="eastAsia" w:ascii="仿宋_GB2312" w:hAnsi="Arial" w:eastAsia="仿宋_GB2312"/>
          <w:sz w:val="28"/>
          <w:szCs w:val="28"/>
        </w:rPr>
        <w:t>生活污水</w:t>
      </w:r>
      <w:r>
        <w:rPr>
          <w:rFonts w:hint="eastAsia" w:ascii="仿宋_GB2312" w:eastAsia="仿宋_GB2312"/>
          <w:sz w:val="28"/>
          <w:szCs w:val="28"/>
        </w:rPr>
        <w:t>经隔油池和一体化污水处理设施（10m</w:t>
      </w:r>
      <w:r>
        <w:rPr>
          <w:rFonts w:hint="eastAsia" w:ascii="仿宋_GB2312" w:eastAsia="仿宋_GB2312"/>
          <w:sz w:val="28"/>
          <w:szCs w:val="28"/>
          <w:vertAlign w:val="superscript"/>
        </w:rPr>
        <w:t>3</w:t>
      </w:r>
      <w:r>
        <w:rPr>
          <w:rFonts w:hint="eastAsia" w:ascii="仿宋_GB2312" w:eastAsia="仿宋_GB2312"/>
          <w:sz w:val="28"/>
          <w:szCs w:val="28"/>
        </w:rPr>
        <w:t>/d处理能力）与30m</w:t>
      </w:r>
      <w:r>
        <w:rPr>
          <w:rFonts w:hint="eastAsia" w:ascii="仿宋_GB2312" w:eastAsia="仿宋_GB2312"/>
          <w:sz w:val="28"/>
          <w:szCs w:val="28"/>
          <w:vertAlign w:val="superscript"/>
        </w:rPr>
        <w:t>3</w:t>
      </w:r>
      <w:r>
        <w:rPr>
          <w:rFonts w:hint="eastAsia" w:ascii="仿宋_GB2312" w:eastAsia="仿宋_GB2312"/>
          <w:sz w:val="28"/>
          <w:szCs w:val="28"/>
        </w:rPr>
        <w:t>清水池，处理后污水进入清水池内收集后回用至混凝土拌合用水</w:t>
      </w:r>
      <w:r>
        <w:rPr>
          <w:rFonts w:hint="eastAsia" w:ascii="仿宋_GB2312" w:hAnsi="宋体" w:eastAsia="仿宋_GB2312"/>
          <w:sz w:val="28"/>
          <w:szCs w:val="28"/>
          <w:lang w:eastAsia="zh-CN"/>
        </w:rPr>
        <w:t>。项目废水对外环境影响较小。</w:t>
      </w:r>
    </w:p>
    <w:p>
      <w:pPr>
        <w:pStyle w:val="4"/>
        <w:ind w:left="0" w:leftChars="0" w:right="480" w:firstLine="560"/>
        <w:rPr>
          <w:rFonts w:ascii="仿宋_GB2312" w:eastAsia="仿宋_GB2312"/>
          <w:sz w:val="28"/>
          <w:szCs w:val="28"/>
          <w:lang w:eastAsia="zh-CN"/>
        </w:rPr>
      </w:pPr>
      <w:r>
        <w:rPr>
          <w:rFonts w:hint="eastAsia" w:ascii="仿宋_GB2312" w:eastAsia="仿宋_GB2312"/>
          <w:sz w:val="28"/>
          <w:szCs w:val="28"/>
          <w:lang w:eastAsia="zh-CN"/>
        </w:rPr>
        <w:t>（三）噪声</w:t>
      </w:r>
    </w:p>
    <w:p>
      <w:pPr>
        <w:pStyle w:val="4"/>
        <w:ind w:left="0" w:leftChars="0" w:right="480" w:firstLine="560"/>
        <w:rPr>
          <w:rFonts w:ascii="仿宋_GB2312" w:eastAsia="仿宋_GB2312"/>
          <w:sz w:val="28"/>
          <w:szCs w:val="28"/>
          <w:lang w:eastAsia="zh-CN"/>
        </w:rPr>
      </w:pPr>
      <w:r>
        <w:rPr>
          <w:rFonts w:ascii="仿宋_GB2312" w:eastAsia="仿宋_GB2312"/>
          <w:sz w:val="28"/>
          <w:szCs w:val="28"/>
          <w:lang w:eastAsia="zh-CN"/>
        </w:rPr>
        <w:t>项目厂界四周东、南、西、北侧噪声均满足《工业企业厂界环境噪声排放标准》（GB12348-2008）中的</w:t>
      </w:r>
      <w:r>
        <w:rPr>
          <w:rFonts w:hint="eastAsia" w:ascii="仿宋_GB2312" w:eastAsia="仿宋_GB2312"/>
          <w:sz w:val="28"/>
          <w:szCs w:val="28"/>
          <w:lang w:eastAsia="zh-CN"/>
        </w:rPr>
        <w:t>2</w:t>
      </w:r>
      <w:r>
        <w:rPr>
          <w:rFonts w:ascii="仿宋_GB2312" w:eastAsia="仿宋_GB2312"/>
          <w:sz w:val="28"/>
          <w:szCs w:val="28"/>
          <w:lang w:eastAsia="zh-CN"/>
        </w:rPr>
        <w:t>类标准限值要求。</w:t>
      </w:r>
    </w:p>
    <w:p>
      <w:pPr>
        <w:ind w:left="0" w:leftChars="0" w:right="0" w:rightChars="0" w:firstLine="478" w:firstLineChars="171"/>
        <w:rPr>
          <w:rFonts w:ascii="仿宋_GB2312" w:eastAsia="仿宋_GB2312"/>
          <w:sz w:val="28"/>
          <w:szCs w:val="28"/>
          <w:lang w:eastAsia="zh-CN"/>
        </w:rPr>
      </w:pPr>
      <w:r>
        <w:rPr>
          <w:rFonts w:hint="eastAsia" w:ascii="仿宋_GB2312" w:eastAsia="仿宋_GB2312"/>
          <w:sz w:val="28"/>
          <w:szCs w:val="28"/>
          <w:lang w:eastAsia="zh-CN"/>
        </w:rPr>
        <w:t>（四）污染物排放总量</w:t>
      </w:r>
    </w:p>
    <w:p>
      <w:pPr>
        <w:ind w:left="0" w:leftChars="0" w:right="480" w:firstLine="560"/>
        <w:rPr>
          <w:rFonts w:hint="eastAsia" w:ascii="仿宋_GB2312" w:eastAsia="仿宋_GB2312"/>
          <w:sz w:val="28"/>
          <w:szCs w:val="28"/>
        </w:rPr>
      </w:pPr>
      <w:r>
        <w:rPr>
          <w:rFonts w:hint="eastAsia" w:ascii="仿宋_GB2312" w:eastAsia="仿宋_GB2312"/>
          <w:sz w:val="28"/>
          <w:szCs w:val="28"/>
        </w:rPr>
        <w:t>根据《渌口南洲新区渌骏混凝土生产线及配套辅助设施项目环境影响报告表》及其批复要求，本项目生活污水经</w:t>
      </w:r>
      <w:r>
        <w:rPr>
          <w:rFonts w:hint="eastAsia" w:ascii="仿宋_GB2312" w:eastAsia="仿宋_GB2312"/>
          <w:sz w:val="28"/>
          <w:szCs w:val="28"/>
          <w:lang w:val="en-US" w:eastAsia="zh-CN"/>
        </w:rPr>
        <w:t>隔油池和</w:t>
      </w:r>
      <w:r>
        <w:rPr>
          <w:rFonts w:hint="eastAsia" w:ascii="仿宋_GB2312" w:eastAsia="仿宋_GB2312"/>
          <w:sz w:val="28"/>
          <w:szCs w:val="28"/>
        </w:rPr>
        <w:t>一体化污水处理设施处理后达到《城市污水再生利用 城市杂用水水质》GB/T18920-2002标准后回用于混凝土拌合用水，不外排；生产废水经砂石分离机+300m</w:t>
      </w:r>
      <w:r>
        <w:rPr>
          <w:rFonts w:hint="eastAsia" w:ascii="仿宋_GB2312" w:eastAsia="仿宋_GB2312"/>
          <w:sz w:val="28"/>
          <w:szCs w:val="28"/>
          <w:vertAlign w:val="superscript"/>
        </w:rPr>
        <w:t>3</w:t>
      </w:r>
      <w:r>
        <w:rPr>
          <w:rFonts w:hint="eastAsia" w:ascii="仿宋_GB2312" w:eastAsia="仿宋_GB2312"/>
          <w:sz w:val="28"/>
          <w:szCs w:val="28"/>
        </w:rPr>
        <w:t>三级沉淀池+100m</w:t>
      </w:r>
      <w:r>
        <w:rPr>
          <w:rFonts w:hint="eastAsia" w:ascii="仿宋_GB2312" w:eastAsia="仿宋_GB2312"/>
          <w:sz w:val="28"/>
          <w:szCs w:val="28"/>
          <w:vertAlign w:val="superscript"/>
        </w:rPr>
        <w:t>3</w:t>
      </w:r>
      <w:r>
        <w:rPr>
          <w:rFonts w:hint="eastAsia" w:ascii="仿宋_GB2312" w:eastAsia="仿宋_GB2312"/>
          <w:sz w:val="28"/>
          <w:szCs w:val="28"/>
        </w:rPr>
        <w:t>清水池，全部回用于生产和洒水抑尘；项目不涉及废水排放、不设置废水排口，因此无需设置总量控制指标。</w:t>
      </w:r>
    </w:p>
    <w:p>
      <w:pPr>
        <w:keepNext w:val="0"/>
        <w:keepLines w:val="0"/>
        <w:pageBreakBefore w:val="0"/>
        <w:kinsoku/>
        <w:wordWrap/>
        <w:overflowPunct/>
        <w:topLinePunct w:val="0"/>
        <w:bidi w:val="0"/>
        <w:adjustRightInd/>
        <w:snapToGrid/>
        <w:spacing w:line="500" w:lineRule="exact"/>
        <w:ind w:left="0" w:leftChars="0" w:right="0" w:rightChars="0" w:firstLine="481" w:firstLineChars="171"/>
        <w:textAlignment w:val="auto"/>
        <w:rPr>
          <w:rFonts w:ascii="黑体" w:hAnsi="黑体" w:eastAsia="黑体"/>
          <w:b/>
          <w:sz w:val="28"/>
          <w:szCs w:val="28"/>
          <w:lang w:eastAsia="zh-CN"/>
        </w:rPr>
      </w:pPr>
      <w:r>
        <w:rPr>
          <w:rFonts w:hint="eastAsia" w:ascii="黑体" w:hAnsi="黑体" w:eastAsia="黑体"/>
          <w:b/>
          <w:sz w:val="28"/>
          <w:szCs w:val="28"/>
          <w:lang w:eastAsia="zh-CN"/>
        </w:rPr>
        <w:t>五、工程建设对环境的影响</w:t>
      </w:r>
    </w:p>
    <w:p>
      <w:pPr>
        <w:ind w:left="0" w:leftChars="0" w:right="480" w:firstLine="560"/>
        <w:rPr>
          <w:rFonts w:hint="eastAsia" w:ascii="仿宋_GB2312" w:eastAsia="仿宋_GB2312"/>
          <w:sz w:val="28"/>
          <w:szCs w:val="28"/>
          <w:lang w:eastAsia="zh-CN"/>
        </w:rPr>
      </w:pPr>
      <w:r>
        <w:rPr>
          <w:rFonts w:hint="eastAsia" w:ascii="仿宋_GB2312" w:eastAsia="仿宋_GB2312"/>
          <w:sz w:val="28"/>
          <w:szCs w:val="28"/>
          <w:lang w:eastAsia="zh-CN"/>
        </w:rPr>
        <w:t>根据湖南云天检测技术有限公司出具的《渌口南洲新区渌骏混凝土生产线及配套辅助设施项目项目验收监测报告》监测结果表明：</w:t>
      </w:r>
    </w:p>
    <w:p>
      <w:pPr>
        <w:ind w:left="0" w:leftChars="0" w:right="480" w:firstLine="560"/>
        <w:rPr>
          <w:rFonts w:hint="eastAsia" w:ascii="仿宋_GB2312" w:eastAsia="仿宋_GB2312"/>
          <w:sz w:val="28"/>
          <w:szCs w:val="28"/>
          <w:lang w:eastAsia="zh-CN"/>
        </w:rPr>
      </w:pPr>
      <w:r>
        <w:rPr>
          <w:rFonts w:hint="eastAsia" w:ascii="仿宋_GB2312" w:eastAsia="仿宋_GB2312"/>
          <w:sz w:val="28"/>
          <w:szCs w:val="28"/>
          <w:lang w:eastAsia="zh-CN"/>
        </w:rPr>
        <w:t>本项目营运期废气、噪声均能做到达标排放，对周边环境影响</w:t>
      </w:r>
      <w:r>
        <w:rPr>
          <w:rFonts w:hint="eastAsia" w:ascii="仿宋_GB2312" w:eastAsia="仿宋_GB2312"/>
          <w:sz w:val="28"/>
          <w:szCs w:val="28"/>
          <w:lang w:val="en-US" w:eastAsia="zh-CN"/>
        </w:rPr>
        <w:t>较小</w:t>
      </w:r>
      <w:r>
        <w:rPr>
          <w:rFonts w:hint="eastAsia" w:ascii="仿宋_GB2312" w:eastAsia="仿宋_GB2312"/>
          <w:sz w:val="28"/>
          <w:szCs w:val="28"/>
          <w:lang w:eastAsia="zh-CN"/>
        </w:rPr>
        <w:t>。</w:t>
      </w:r>
    </w:p>
    <w:p>
      <w:pPr>
        <w:keepNext w:val="0"/>
        <w:keepLines w:val="0"/>
        <w:pageBreakBefore w:val="0"/>
        <w:kinsoku/>
        <w:wordWrap/>
        <w:overflowPunct/>
        <w:topLinePunct w:val="0"/>
        <w:bidi w:val="0"/>
        <w:adjustRightInd/>
        <w:snapToGrid/>
        <w:spacing w:line="500" w:lineRule="exact"/>
        <w:ind w:left="0" w:leftChars="0" w:right="0" w:rightChars="0" w:firstLine="481" w:firstLineChars="171"/>
        <w:textAlignment w:val="auto"/>
        <w:rPr>
          <w:rFonts w:hint="eastAsia" w:ascii="黑体" w:hAnsi="黑体" w:eastAsia="黑体"/>
          <w:b/>
          <w:sz w:val="28"/>
          <w:szCs w:val="28"/>
          <w:lang w:eastAsia="zh-CN"/>
        </w:rPr>
      </w:pPr>
      <w:bookmarkStart w:id="39" w:name="_Toc30732"/>
      <w:bookmarkStart w:id="40" w:name="_Toc12977"/>
      <w:bookmarkStart w:id="41" w:name="_Toc16281"/>
      <w:r>
        <w:rPr>
          <w:rFonts w:hint="eastAsia" w:ascii="黑体" w:hAnsi="黑体" w:eastAsia="黑体"/>
          <w:b/>
          <w:sz w:val="28"/>
          <w:szCs w:val="28"/>
          <w:lang w:eastAsia="zh-CN"/>
        </w:rPr>
        <w:t>六、验收结论</w:t>
      </w:r>
      <w:bookmarkEnd w:id="39"/>
      <w:bookmarkEnd w:id="40"/>
      <w:bookmarkEnd w:id="41"/>
    </w:p>
    <w:p>
      <w:pPr>
        <w:ind w:left="0" w:leftChars="0" w:right="480" w:firstLine="560"/>
        <w:rPr>
          <w:rFonts w:hint="eastAsia" w:ascii="仿宋_GB2312" w:eastAsia="仿宋_GB2312"/>
          <w:sz w:val="28"/>
          <w:szCs w:val="28"/>
          <w:lang w:eastAsia="zh-CN"/>
        </w:rPr>
      </w:pPr>
      <w:r>
        <w:rPr>
          <w:rFonts w:hint="eastAsia" w:ascii="仿宋_GB2312" w:eastAsia="仿宋_GB2312"/>
          <w:sz w:val="28"/>
          <w:szCs w:val="28"/>
          <w:lang w:eastAsia="zh-CN"/>
        </w:rPr>
        <w:t>该项目已按</w:t>
      </w:r>
      <w:r>
        <w:rPr>
          <w:rFonts w:hint="eastAsia" w:ascii="仿宋_GB2312" w:eastAsia="仿宋_GB2312"/>
          <w:sz w:val="28"/>
          <w:szCs w:val="28"/>
        </w:rPr>
        <w:t>环评报告表及</w:t>
      </w:r>
      <w:r>
        <w:rPr>
          <w:rFonts w:hint="eastAsia" w:ascii="仿宋_GB2312" w:eastAsia="仿宋_GB2312"/>
          <w:sz w:val="28"/>
          <w:szCs w:val="28"/>
          <w:lang w:eastAsia="zh-CN"/>
        </w:rPr>
        <w:t>审批</w:t>
      </w:r>
      <w:r>
        <w:rPr>
          <w:rFonts w:hint="eastAsia" w:ascii="仿宋_GB2312" w:eastAsia="仿宋_GB2312"/>
          <w:sz w:val="28"/>
          <w:szCs w:val="28"/>
        </w:rPr>
        <w:t>决定</w:t>
      </w:r>
      <w:r>
        <w:rPr>
          <w:rFonts w:hint="eastAsia" w:ascii="仿宋_GB2312" w:eastAsia="仿宋_GB2312"/>
          <w:sz w:val="28"/>
          <w:szCs w:val="28"/>
          <w:lang w:eastAsia="zh-CN"/>
        </w:rPr>
        <w:t>的建设地点、性质、生产工艺和环境保护设施进行了建设</w:t>
      </w:r>
      <w:r>
        <w:rPr>
          <w:rFonts w:hint="eastAsia" w:ascii="仿宋_GB2312" w:eastAsia="仿宋_GB2312"/>
          <w:sz w:val="28"/>
          <w:szCs w:val="28"/>
        </w:rPr>
        <w:t>，</w:t>
      </w:r>
      <w:r>
        <w:rPr>
          <w:rFonts w:hint="eastAsia" w:ascii="仿宋_GB2312" w:eastAsia="仿宋_GB2312"/>
          <w:sz w:val="28"/>
          <w:szCs w:val="28"/>
          <w:lang w:eastAsia="zh-CN"/>
        </w:rPr>
        <w:t>没有发生重大变动。根据实际建设及运营情况，项目情况有较小变化，但不属于重大变动。外排污染物均达到了环评及审批的排放标准要求，固体废物得到了妥善处置，验收资料较齐全，同意该项目竣工环境保护验收合格。</w:t>
      </w:r>
    </w:p>
    <w:p>
      <w:pPr>
        <w:ind w:left="0" w:leftChars="0" w:right="480" w:firstLine="560"/>
        <w:rPr>
          <w:rFonts w:hint="eastAsia" w:ascii="仿宋_GB2312" w:eastAsia="仿宋_GB2312"/>
          <w:sz w:val="28"/>
          <w:szCs w:val="28"/>
          <w:lang w:eastAsia="zh-CN"/>
        </w:rPr>
      </w:pPr>
    </w:p>
    <w:p>
      <w:pPr>
        <w:keepNext w:val="0"/>
        <w:keepLines w:val="0"/>
        <w:pageBreakBefore w:val="0"/>
        <w:kinsoku/>
        <w:wordWrap/>
        <w:overflowPunct/>
        <w:topLinePunct w:val="0"/>
        <w:bidi w:val="0"/>
        <w:adjustRightInd/>
        <w:snapToGrid/>
        <w:spacing w:line="500" w:lineRule="exact"/>
        <w:ind w:left="0" w:leftChars="0" w:right="0" w:rightChars="0" w:firstLine="481" w:firstLineChars="171"/>
        <w:textAlignment w:val="auto"/>
        <w:rPr>
          <w:rFonts w:hint="eastAsia" w:ascii="黑体" w:hAnsi="黑体" w:eastAsia="黑体"/>
          <w:b/>
          <w:sz w:val="28"/>
          <w:szCs w:val="28"/>
          <w:lang w:eastAsia="zh-CN"/>
        </w:rPr>
      </w:pPr>
      <w:r>
        <w:rPr>
          <w:rFonts w:hint="eastAsia" w:ascii="黑体" w:hAnsi="黑体" w:eastAsia="黑体"/>
          <w:b/>
          <w:sz w:val="28"/>
          <w:szCs w:val="28"/>
          <w:lang w:eastAsia="zh-CN"/>
        </w:rPr>
        <w:t>七、后续要求</w:t>
      </w:r>
    </w:p>
    <w:p>
      <w:pPr>
        <w:ind w:left="0" w:leftChars="0" w:right="480" w:firstLine="560"/>
        <w:rPr>
          <w:rFonts w:hint="eastAsia" w:ascii="仿宋_GB2312" w:eastAsia="仿宋_GB2312"/>
          <w:sz w:val="28"/>
          <w:szCs w:val="28"/>
          <w:lang w:eastAsia="zh-CN"/>
        </w:rPr>
      </w:pPr>
      <w:r>
        <w:rPr>
          <w:rFonts w:hint="eastAsia" w:ascii="仿宋_GB2312" w:eastAsia="仿宋_GB2312"/>
          <w:sz w:val="28"/>
          <w:szCs w:val="28"/>
          <w:lang w:eastAsia="zh-CN"/>
        </w:rPr>
        <w:t>1、建立环境管理机构，负责项目区环境管理工作，并建立环保档案。加强设备、管道、各项</w:t>
      </w:r>
      <w:bookmarkStart w:id="42" w:name="_GoBack"/>
      <w:bookmarkEnd w:id="42"/>
      <w:r>
        <w:rPr>
          <w:rFonts w:hint="eastAsia" w:ascii="仿宋_GB2312" w:eastAsia="仿宋_GB2312"/>
          <w:sz w:val="28"/>
          <w:szCs w:val="28"/>
          <w:lang w:eastAsia="zh-CN"/>
        </w:rPr>
        <w:t>治污措施的定期检修和维护工作。确保各污染源外排污染物浓度达到设计要求，做到达标排放，杜绝事故排放。</w:t>
      </w:r>
    </w:p>
    <w:p>
      <w:pPr>
        <w:ind w:left="0" w:leftChars="0" w:right="480" w:firstLine="560"/>
        <w:rPr>
          <w:rFonts w:hint="eastAsia" w:ascii="仿宋_GB2312" w:eastAsia="仿宋_GB2312"/>
          <w:sz w:val="28"/>
          <w:szCs w:val="28"/>
          <w:lang w:val="en-US" w:eastAsia="zh-CN"/>
        </w:rPr>
      </w:pPr>
      <w:r>
        <w:rPr>
          <w:rFonts w:hint="eastAsia" w:ascii="仿宋_GB2312" w:eastAsia="仿宋_GB2312"/>
          <w:sz w:val="28"/>
          <w:szCs w:val="28"/>
          <w:lang w:val="en-US" w:eastAsia="zh-CN"/>
        </w:rPr>
        <w:t>2、严格废气与噪声污染控制管理，维护出入交通秩序，保持场地畅通，减轻汽车尾气、车辆噪声环境影响。</w:t>
      </w:r>
    </w:p>
    <w:p>
      <w:pPr>
        <w:ind w:left="0" w:leftChars="0" w:right="480" w:firstLine="560"/>
        <w:rPr>
          <w:rFonts w:hint="eastAsia" w:ascii="仿宋_GB2312" w:eastAsia="仿宋_GB2312"/>
          <w:sz w:val="28"/>
          <w:szCs w:val="28"/>
          <w:lang w:val="en-US" w:eastAsia="zh-CN"/>
        </w:rPr>
      </w:pPr>
      <w:r>
        <w:rPr>
          <w:rFonts w:hint="eastAsia" w:ascii="仿宋_GB2312" w:eastAsia="仿宋_GB2312"/>
          <w:sz w:val="28"/>
          <w:szCs w:val="28"/>
          <w:lang w:val="en-US" w:eastAsia="zh-CN"/>
        </w:rPr>
        <w:t>3、运营过程中严禁强力撞击水泥罐的支腿及仓体，要定期的检查并清理除尘器布袋附着的粉料。</w:t>
      </w:r>
    </w:p>
    <w:p>
      <w:pPr>
        <w:pStyle w:val="4"/>
        <w:ind w:left="0" w:leftChars="0" w:right="0" w:rightChars="0" w:firstLine="560"/>
        <w:jc w:val="both"/>
        <w:outlineLvl w:val="0"/>
        <w:rPr>
          <w:rFonts w:ascii="Times New Roman" w:hAnsi="Times New Roman" w:eastAsia="黑体"/>
          <w:position w:val="1"/>
          <w:sz w:val="28"/>
          <w:szCs w:val="28"/>
          <w:lang w:eastAsia="zh-CN"/>
        </w:rPr>
      </w:pPr>
      <w:r>
        <w:rPr>
          <w:rFonts w:hint="eastAsia" w:ascii="Times New Roman" w:hAnsi="Times New Roman" w:eastAsia="黑体"/>
          <w:position w:val="1"/>
          <w:sz w:val="28"/>
          <w:szCs w:val="28"/>
          <w:lang w:val="en-US" w:eastAsia="zh-CN"/>
        </w:rPr>
        <w:t>八</w:t>
      </w:r>
      <w:r>
        <w:rPr>
          <w:rFonts w:hint="eastAsia" w:ascii="Times New Roman" w:hAnsi="Times New Roman" w:eastAsia="黑体"/>
          <w:position w:val="1"/>
          <w:sz w:val="28"/>
          <w:szCs w:val="28"/>
          <w:lang w:eastAsia="zh-CN"/>
        </w:rPr>
        <w:t>、验收人员信息</w:t>
      </w:r>
    </w:p>
    <w:p>
      <w:pPr>
        <w:pStyle w:val="4"/>
        <w:ind w:left="0" w:leftChars="0" w:right="0" w:rightChars="0" w:firstLine="478" w:firstLineChars="171"/>
        <w:rPr>
          <w:rFonts w:eastAsia="仿宋_GB2312"/>
          <w:position w:val="1"/>
          <w:sz w:val="28"/>
          <w:szCs w:val="28"/>
          <w:lang w:eastAsia="zh-CN"/>
        </w:rPr>
      </w:pPr>
      <w:r>
        <w:rPr>
          <w:rFonts w:hint="eastAsia" w:eastAsia="仿宋_GB2312"/>
          <w:position w:val="1"/>
          <w:sz w:val="28"/>
          <w:szCs w:val="28"/>
          <w:lang w:eastAsia="zh-CN"/>
        </w:rPr>
        <w:t xml:space="preserve"> 参加项目竣工环境保护验收会议人员有：建设单位负责人、3名特邀专家。验收人员信息，详见验收组签名表（附表）。</w:t>
      </w:r>
    </w:p>
    <w:p>
      <w:pPr>
        <w:pStyle w:val="4"/>
        <w:ind w:left="0" w:leftChars="0" w:right="0" w:rightChars="0" w:firstLine="478" w:firstLineChars="171"/>
        <w:rPr>
          <w:rFonts w:hint="eastAsia" w:eastAsia="仿宋_GB2312"/>
          <w:position w:val="1"/>
          <w:sz w:val="28"/>
          <w:szCs w:val="28"/>
          <w:lang w:eastAsia="zh-CN"/>
        </w:rPr>
      </w:pPr>
      <w:r>
        <w:rPr>
          <w:rFonts w:hint="eastAsia" w:eastAsia="仿宋_GB2312"/>
          <w:position w:val="1"/>
          <w:sz w:val="28"/>
          <w:szCs w:val="28"/>
          <w:lang w:eastAsia="zh-CN"/>
        </w:rPr>
        <w:t>附表：株洲渌骏新材料有限公司渌口南洲新区渌骏混凝土生产线及配套辅助设施项目</w:t>
      </w:r>
      <w:r>
        <w:rPr>
          <w:rFonts w:hint="eastAsia" w:eastAsia="仿宋_GB2312"/>
          <w:position w:val="1"/>
          <w:sz w:val="28"/>
          <w:szCs w:val="28"/>
          <w:lang w:eastAsia="zh-CN"/>
        </w:rPr>
        <w:t>竣工环境保护验收组签名表</w:t>
      </w:r>
    </w:p>
    <w:p>
      <w:pPr>
        <w:pStyle w:val="4"/>
        <w:ind w:left="0" w:leftChars="0" w:right="560" w:rightChars="0" w:firstLine="560"/>
        <w:rPr>
          <w:rFonts w:eastAsia="仿宋_GB2312"/>
          <w:position w:val="1"/>
          <w:sz w:val="28"/>
          <w:szCs w:val="28"/>
          <w:lang w:eastAsia="zh-CN"/>
        </w:rPr>
      </w:pPr>
      <w:r>
        <w:rPr>
          <w:rFonts w:hint="eastAsia" w:eastAsia="仿宋_GB2312"/>
          <w:position w:val="1"/>
          <w:sz w:val="28"/>
          <w:szCs w:val="28"/>
          <w:lang w:eastAsia="zh-CN"/>
        </w:rPr>
        <w:t>验收专家组：</w:t>
      </w:r>
    </w:p>
    <w:p>
      <w:pPr>
        <w:pStyle w:val="4"/>
        <w:ind w:left="480" w:right="480"/>
        <w:rPr>
          <w:lang w:eastAsia="zh-CN"/>
        </w:rPr>
      </w:pPr>
    </w:p>
    <w:p>
      <w:pPr>
        <w:pStyle w:val="4"/>
        <w:ind w:left="0" w:leftChars="0" w:right="0" w:rightChars="0" w:firstLine="481" w:firstLineChars="171"/>
        <w:rPr>
          <w:rFonts w:ascii="黑体" w:hAnsi="黑体" w:eastAsia="黑体"/>
          <w:b/>
          <w:position w:val="1"/>
          <w:sz w:val="28"/>
          <w:szCs w:val="28"/>
          <w:lang w:eastAsia="zh-CN"/>
        </w:rPr>
      </w:pPr>
    </w:p>
    <w:p>
      <w:pPr>
        <w:pStyle w:val="4"/>
        <w:ind w:left="0" w:leftChars="0" w:right="0" w:rightChars="0" w:firstLine="478" w:firstLineChars="171"/>
        <w:rPr>
          <w:rFonts w:hint="eastAsia" w:eastAsia="仿宋_GB2312"/>
          <w:position w:val="1"/>
          <w:sz w:val="28"/>
          <w:szCs w:val="28"/>
          <w:lang w:eastAsia="zh-CN"/>
        </w:rPr>
      </w:pPr>
    </w:p>
    <w:p>
      <w:pPr>
        <w:ind w:left="480" w:right="480"/>
        <w:rPr>
          <w:rFonts w:hint="eastAsia"/>
          <w:lang w:eastAsia="zh-CN"/>
        </w:rPr>
      </w:pPr>
    </w:p>
    <w:p>
      <w:pPr>
        <w:pStyle w:val="4"/>
        <w:ind w:left="480" w:right="480"/>
        <w:rPr>
          <w:rFonts w:hint="eastAsia"/>
          <w:lang w:eastAsia="zh-CN"/>
        </w:rPr>
      </w:pPr>
    </w:p>
    <w:p>
      <w:pPr>
        <w:ind w:left="480" w:right="480"/>
        <w:rPr>
          <w:rFonts w:hint="eastAsia"/>
          <w:lang w:eastAsia="zh-CN"/>
        </w:rPr>
      </w:pPr>
    </w:p>
    <w:p>
      <w:pPr>
        <w:pStyle w:val="4"/>
        <w:ind w:left="480" w:right="480"/>
        <w:rPr>
          <w:rFonts w:hint="eastAsia"/>
          <w:lang w:eastAsia="zh-CN"/>
        </w:rPr>
      </w:pPr>
    </w:p>
    <w:p>
      <w:pPr>
        <w:ind w:left="480" w:right="480"/>
        <w:rPr>
          <w:rFonts w:hint="eastAsia"/>
          <w:lang w:eastAsia="zh-CN"/>
        </w:rPr>
      </w:pPr>
    </w:p>
    <w:p>
      <w:pPr>
        <w:pStyle w:val="4"/>
        <w:ind w:left="480" w:right="480"/>
        <w:rPr>
          <w:rFonts w:hint="eastAsia"/>
          <w:lang w:eastAsia="zh-CN"/>
        </w:rPr>
      </w:pPr>
    </w:p>
    <w:p>
      <w:pPr>
        <w:ind w:left="480" w:right="480"/>
        <w:rPr>
          <w:rFonts w:hint="eastAsia"/>
          <w:lang w:eastAsia="zh-CN"/>
        </w:rPr>
      </w:pPr>
    </w:p>
    <w:p>
      <w:pPr>
        <w:pStyle w:val="4"/>
        <w:ind w:left="480" w:right="480"/>
        <w:rPr>
          <w:rFonts w:hint="eastAsia"/>
          <w:lang w:eastAsia="zh-CN"/>
        </w:rPr>
      </w:pPr>
    </w:p>
    <w:p>
      <w:pPr>
        <w:ind w:left="480" w:right="480"/>
        <w:rPr>
          <w:rFonts w:hint="eastAsia"/>
          <w:lang w:eastAsia="zh-CN"/>
        </w:rPr>
      </w:pPr>
    </w:p>
    <w:p>
      <w:pPr>
        <w:pStyle w:val="4"/>
        <w:ind w:left="480" w:right="480"/>
        <w:rPr>
          <w:rFonts w:hint="eastAsia"/>
          <w:lang w:eastAsia="zh-CN"/>
        </w:rPr>
      </w:pPr>
    </w:p>
    <w:p>
      <w:pPr>
        <w:ind w:left="480" w:right="480"/>
        <w:rPr>
          <w:rFonts w:hint="eastAsia"/>
          <w:lang w:eastAsia="zh-CN"/>
        </w:rPr>
      </w:pPr>
    </w:p>
    <w:p>
      <w:pPr>
        <w:pStyle w:val="4"/>
        <w:ind w:left="480" w:right="480"/>
        <w:rPr>
          <w:rFonts w:hint="eastAsia"/>
          <w:lang w:eastAsia="zh-CN"/>
        </w:rPr>
      </w:pPr>
    </w:p>
    <w:p>
      <w:pPr>
        <w:ind w:left="480" w:right="480"/>
        <w:rPr>
          <w:rFonts w:hint="eastAsia"/>
          <w:lang w:eastAsia="zh-CN"/>
        </w:rPr>
      </w:pPr>
    </w:p>
    <w:p>
      <w:pPr>
        <w:pStyle w:val="4"/>
        <w:ind w:left="480" w:right="480"/>
        <w:rPr>
          <w:rFonts w:hint="eastAsia"/>
          <w:lang w:eastAsia="zh-CN"/>
        </w:rPr>
      </w:pPr>
    </w:p>
    <w:p>
      <w:pPr>
        <w:ind w:left="480" w:right="480"/>
        <w:rPr>
          <w:rFonts w:hint="eastAsia"/>
          <w:lang w:eastAsia="zh-CN"/>
        </w:rPr>
      </w:pPr>
    </w:p>
    <w:p>
      <w:pPr>
        <w:pStyle w:val="4"/>
        <w:ind w:left="480" w:right="480"/>
        <w:rPr>
          <w:rFonts w:hint="eastAsia"/>
          <w:lang w:eastAsia="zh-CN"/>
        </w:rPr>
      </w:pPr>
    </w:p>
    <w:p>
      <w:pPr>
        <w:ind w:left="480" w:right="480"/>
        <w:rPr>
          <w:rFonts w:hint="eastAsia"/>
          <w:lang w:eastAsia="zh-CN"/>
        </w:rPr>
      </w:pPr>
    </w:p>
    <w:p>
      <w:pPr>
        <w:pStyle w:val="4"/>
        <w:ind w:left="480" w:right="480"/>
        <w:rPr>
          <w:rFonts w:hint="eastAsia"/>
          <w:lang w:eastAsia="zh-CN"/>
        </w:rPr>
      </w:pPr>
    </w:p>
    <w:p>
      <w:pPr>
        <w:ind w:left="480" w:right="480"/>
        <w:rPr>
          <w:rFonts w:hint="eastAsia"/>
          <w:lang w:eastAsia="zh-CN"/>
        </w:rPr>
      </w:pPr>
    </w:p>
    <w:p>
      <w:pPr>
        <w:pStyle w:val="4"/>
        <w:ind w:left="480" w:right="480"/>
        <w:rPr>
          <w:rFonts w:hint="eastAsia"/>
          <w:lang w:eastAsia="zh-CN"/>
        </w:rPr>
      </w:pPr>
    </w:p>
    <w:p>
      <w:pPr>
        <w:ind w:left="480" w:right="480"/>
        <w:rPr>
          <w:rFonts w:hint="eastAsia"/>
          <w:lang w:eastAsia="zh-CN"/>
        </w:rPr>
      </w:pPr>
    </w:p>
    <w:p>
      <w:pPr>
        <w:pStyle w:val="4"/>
        <w:ind w:left="480" w:right="480"/>
        <w:rPr>
          <w:rFonts w:hint="eastAsia"/>
          <w:lang w:eastAsia="zh-CN"/>
        </w:rPr>
      </w:pPr>
    </w:p>
    <w:p>
      <w:pPr>
        <w:ind w:left="480" w:right="480"/>
        <w:rPr>
          <w:rFonts w:hint="eastAsia"/>
          <w:lang w:eastAsia="zh-CN"/>
        </w:rPr>
      </w:pPr>
    </w:p>
    <w:p>
      <w:pPr>
        <w:pStyle w:val="4"/>
        <w:ind w:left="480" w:right="480"/>
        <w:rPr>
          <w:rFonts w:hint="eastAsia"/>
          <w:lang w:eastAsia="zh-CN"/>
        </w:rPr>
      </w:pPr>
    </w:p>
    <w:p>
      <w:pPr>
        <w:ind w:left="480" w:right="480"/>
        <w:rPr>
          <w:rFonts w:hint="eastAsia"/>
          <w:lang w:eastAsia="zh-CN"/>
        </w:rPr>
      </w:pPr>
    </w:p>
    <w:p>
      <w:pPr>
        <w:pStyle w:val="4"/>
        <w:ind w:left="480" w:right="480"/>
        <w:rPr>
          <w:rFonts w:hint="eastAsia"/>
          <w:lang w:eastAsia="zh-CN"/>
        </w:rPr>
      </w:pPr>
    </w:p>
    <w:p>
      <w:pPr>
        <w:ind w:left="480" w:right="480"/>
        <w:rPr>
          <w:rFonts w:hint="eastAsia"/>
          <w:lang w:eastAsia="zh-CN"/>
        </w:rPr>
      </w:pPr>
    </w:p>
    <w:p>
      <w:pPr>
        <w:ind w:left="480" w:right="480"/>
        <w:rPr>
          <w:rFonts w:hint="eastAsia"/>
          <w:lang w:eastAsia="zh-CN"/>
        </w:rPr>
      </w:pPr>
    </w:p>
    <w:p>
      <w:pPr>
        <w:pStyle w:val="4"/>
        <w:ind w:left="480" w:right="480"/>
        <w:rPr>
          <w:rFonts w:hint="eastAsia"/>
          <w:lang w:eastAsia="zh-CN"/>
        </w:rPr>
      </w:pPr>
    </w:p>
    <w:p>
      <w:pPr>
        <w:ind w:left="480" w:right="480"/>
        <w:rPr>
          <w:lang w:eastAsia="zh-CN"/>
        </w:rPr>
      </w:pPr>
    </w:p>
    <w:p>
      <w:pPr>
        <w:pStyle w:val="4"/>
        <w:ind w:left="480" w:right="480"/>
        <w:jc w:val="center"/>
        <w:rPr>
          <w:lang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left="480" w:right="480" w:firstLine="480"/>
      </w:pPr>
      <w:r>
        <w:separator/>
      </w:r>
    </w:p>
  </w:endnote>
  <w:endnote w:type="continuationSeparator" w:id="1">
    <w:p>
      <w:pPr>
        <w:spacing w:line="240" w:lineRule="auto"/>
        <w:ind w:left="480" w:right="480"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left="480" w:right="480" w:firstLine="480"/>
      </w:pPr>
      <w:r>
        <w:separator/>
      </w:r>
    </w:p>
  </w:footnote>
  <w:footnote w:type="continuationSeparator" w:id="1">
    <w:p>
      <w:pPr>
        <w:spacing w:line="360" w:lineRule="auto"/>
        <w:ind w:left="480" w:right="480"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540"/>
    <w:rsid w:val="000D0C2E"/>
    <w:rsid w:val="0016753E"/>
    <w:rsid w:val="001B7178"/>
    <w:rsid w:val="00206421"/>
    <w:rsid w:val="00307C53"/>
    <w:rsid w:val="003165AB"/>
    <w:rsid w:val="003C1F46"/>
    <w:rsid w:val="004C62C1"/>
    <w:rsid w:val="005011BF"/>
    <w:rsid w:val="00554239"/>
    <w:rsid w:val="005C6125"/>
    <w:rsid w:val="006325DC"/>
    <w:rsid w:val="00646407"/>
    <w:rsid w:val="006E0660"/>
    <w:rsid w:val="006E4138"/>
    <w:rsid w:val="006F1274"/>
    <w:rsid w:val="00751435"/>
    <w:rsid w:val="007F760F"/>
    <w:rsid w:val="00827540"/>
    <w:rsid w:val="009B0B65"/>
    <w:rsid w:val="00A31953"/>
    <w:rsid w:val="00A333B7"/>
    <w:rsid w:val="00A94262"/>
    <w:rsid w:val="00B006B1"/>
    <w:rsid w:val="00B46871"/>
    <w:rsid w:val="00C635D2"/>
    <w:rsid w:val="00C87346"/>
    <w:rsid w:val="00D01147"/>
    <w:rsid w:val="00E15CE1"/>
    <w:rsid w:val="00E44B85"/>
    <w:rsid w:val="00E9649F"/>
    <w:rsid w:val="00FD36CD"/>
    <w:rsid w:val="6C6140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line="360" w:lineRule="auto"/>
      <w:ind w:left="440" w:leftChars="200" w:right="440" w:rightChars="200" w:firstLine="480" w:firstLineChars="200"/>
      <w:jc w:val="left"/>
    </w:pPr>
    <w:rPr>
      <w:rFonts w:ascii="Times New Roman" w:hAnsi="Times New Roman" w:eastAsia="宋体" w:cs="宋体"/>
      <w:kern w:val="0"/>
      <w:sz w:val="24"/>
      <w:szCs w:val="22"/>
      <w:lang w:val="en-US" w:eastAsia="en-US"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header"/>
    <w:basedOn w:val="1"/>
    <w:next w:val="1"/>
    <w:qFormat/>
    <w:uiPriority w:val="0"/>
    <w:pPr>
      <w:pBdr>
        <w:bottom w:val="single" w:color="auto" w:sz="6" w:space="1"/>
      </w:pBdr>
      <w:tabs>
        <w:tab w:val="center" w:pos="4153"/>
        <w:tab w:val="right" w:pos="8306"/>
      </w:tabs>
      <w:snapToGrid w:val="0"/>
      <w:jc w:val="center"/>
    </w:pPr>
    <w:rPr>
      <w:sz w:val="18"/>
      <w:szCs w:val="18"/>
    </w:rPr>
  </w:style>
  <w:style w:type="paragraph" w:styleId="3">
    <w:name w:val="Document Map"/>
    <w:basedOn w:val="1"/>
    <w:link w:val="13"/>
    <w:semiHidden/>
    <w:unhideWhenUsed/>
    <w:uiPriority w:val="99"/>
    <w:rPr>
      <w:rFonts w:ascii="宋体"/>
      <w:sz w:val="18"/>
      <w:szCs w:val="18"/>
    </w:rPr>
  </w:style>
  <w:style w:type="paragraph" w:styleId="4">
    <w:name w:val="Body Text"/>
    <w:basedOn w:val="1"/>
    <w:next w:val="1"/>
    <w:link w:val="9"/>
    <w:qFormat/>
    <w:uiPriority w:val="0"/>
    <w:rPr>
      <w:rFonts w:ascii="宋体" w:hAnsi="宋体"/>
      <w:szCs w:val="24"/>
    </w:rPr>
  </w:style>
  <w:style w:type="paragraph" w:styleId="5">
    <w:name w:val="Balloon Text"/>
    <w:basedOn w:val="1"/>
    <w:link w:val="16"/>
    <w:semiHidden/>
    <w:unhideWhenUsed/>
    <w:uiPriority w:val="99"/>
    <w:pPr>
      <w:spacing w:line="240" w:lineRule="auto"/>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customStyle="1" w:styleId="9">
    <w:name w:val="正文文本 Char"/>
    <w:basedOn w:val="8"/>
    <w:link w:val="4"/>
    <w:qFormat/>
    <w:uiPriority w:val="0"/>
    <w:rPr>
      <w:rFonts w:ascii="宋体" w:hAnsi="宋体" w:eastAsia="宋体" w:cs="宋体"/>
      <w:kern w:val="0"/>
      <w:sz w:val="24"/>
      <w:szCs w:val="24"/>
      <w:lang w:eastAsia="en-US"/>
    </w:rPr>
  </w:style>
  <w:style w:type="paragraph" w:customStyle="1" w:styleId="10">
    <w:name w:val="Table Paragraph"/>
    <w:basedOn w:val="1"/>
    <w:qFormat/>
    <w:uiPriority w:val="1"/>
    <w:pPr>
      <w:jc w:val="center"/>
    </w:pPr>
    <w:rPr>
      <w:rFonts w:ascii="宋体" w:hAnsi="宋体"/>
    </w:rPr>
  </w:style>
  <w:style w:type="paragraph" w:customStyle="1" w:styleId="11">
    <w:name w:val="表标"/>
    <w:next w:val="1"/>
    <w:qFormat/>
    <w:uiPriority w:val="0"/>
    <w:pPr>
      <w:spacing w:line="240" w:lineRule="auto"/>
      <w:jc w:val="center"/>
    </w:pPr>
    <w:rPr>
      <w:rFonts w:ascii="Times New Roman" w:hAnsi="Times New Roman" w:eastAsia="宋体" w:cs="Times New Roman"/>
      <w:b/>
      <w:kern w:val="0"/>
      <w:sz w:val="21"/>
      <w:szCs w:val="20"/>
      <w:lang w:val="en-US" w:eastAsia="zh-CN" w:bidi="ar-SA"/>
    </w:rPr>
  </w:style>
  <w:style w:type="paragraph" w:customStyle="1" w:styleId="12">
    <w:name w:val="Default"/>
    <w:qFormat/>
    <w:uiPriority w:val="0"/>
    <w:pPr>
      <w:widowControl w:val="0"/>
      <w:autoSpaceDE w:val="0"/>
      <w:autoSpaceDN w:val="0"/>
      <w:adjustRightInd w:val="0"/>
      <w:spacing w:line="240" w:lineRule="auto"/>
      <w:jc w:val="left"/>
    </w:pPr>
    <w:rPr>
      <w:rFonts w:ascii="宋体" w:hAnsi="Calibri" w:eastAsia="宋体" w:cs="宋体"/>
      <w:color w:val="000000"/>
      <w:kern w:val="0"/>
      <w:sz w:val="24"/>
      <w:szCs w:val="24"/>
      <w:lang w:val="en-US" w:eastAsia="zh-CN" w:bidi="ar-SA"/>
    </w:rPr>
  </w:style>
  <w:style w:type="character" w:customStyle="1" w:styleId="13">
    <w:name w:val="文档结构图 Char"/>
    <w:basedOn w:val="8"/>
    <w:link w:val="3"/>
    <w:semiHidden/>
    <w:uiPriority w:val="99"/>
    <w:rPr>
      <w:rFonts w:ascii="宋体" w:hAnsi="Times New Roman" w:eastAsia="宋体" w:cs="宋体"/>
      <w:kern w:val="0"/>
      <w:sz w:val="18"/>
      <w:szCs w:val="18"/>
      <w:lang w:eastAsia="en-US"/>
    </w:rPr>
  </w:style>
  <w:style w:type="character" w:customStyle="1" w:styleId="14">
    <w:name w:val="段落正文 Char"/>
    <w:basedOn w:val="8"/>
    <w:link w:val="15"/>
    <w:qFormat/>
    <w:uiPriority w:val="0"/>
    <w:rPr>
      <w:sz w:val="24"/>
      <w:szCs w:val="24"/>
    </w:rPr>
  </w:style>
  <w:style w:type="paragraph" w:customStyle="1" w:styleId="15">
    <w:name w:val="段落正文"/>
    <w:basedOn w:val="1"/>
    <w:link w:val="14"/>
    <w:qFormat/>
    <w:uiPriority w:val="0"/>
    <w:pPr>
      <w:autoSpaceDE/>
      <w:autoSpaceDN/>
      <w:ind w:left="0" w:leftChars="0" w:right="0" w:rightChars="0" w:firstLine="1446"/>
      <w:jc w:val="both"/>
    </w:pPr>
    <w:rPr>
      <w:rFonts w:asciiTheme="minorHAnsi" w:hAnsiTheme="minorHAnsi" w:eastAsiaTheme="minorEastAsia" w:cstheme="minorBidi"/>
      <w:kern w:val="2"/>
      <w:szCs w:val="24"/>
      <w:lang w:eastAsia="zh-CN"/>
    </w:rPr>
  </w:style>
  <w:style w:type="character" w:customStyle="1" w:styleId="16">
    <w:name w:val="批注框文本 Char"/>
    <w:basedOn w:val="8"/>
    <w:link w:val="5"/>
    <w:semiHidden/>
    <w:uiPriority w:val="99"/>
    <w:rPr>
      <w:rFonts w:ascii="Times New Roman" w:hAnsi="Times New Roman" w:eastAsia="宋体" w:cs="宋体"/>
      <w:kern w:val="0"/>
      <w:sz w:val="18"/>
      <w:szCs w:val="18"/>
      <w:lang w:eastAsia="en-US"/>
    </w:rPr>
  </w:style>
  <w:style w:type="character" w:customStyle="1" w:styleId="17">
    <w:name w:val="样式 (符号) 宋体 小四 行距: 1.5 倍行距 Char"/>
    <w:link w:val="18"/>
    <w:qFormat/>
    <w:uiPriority w:val="0"/>
    <w:rPr>
      <w:rFonts w:hAnsi="宋体"/>
      <w:sz w:val="24"/>
    </w:rPr>
  </w:style>
  <w:style w:type="paragraph" w:customStyle="1" w:styleId="18">
    <w:name w:val="样式 (符号) 宋体 小四 行距: 1.5 倍行距"/>
    <w:basedOn w:val="1"/>
    <w:link w:val="17"/>
    <w:qFormat/>
    <w:uiPriority w:val="0"/>
    <w:pPr>
      <w:autoSpaceDE/>
      <w:autoSpaceDN/>
      <w:adjustRightInd w:val="0"/>
      <w:snapToGrid w:val="0"/>
      <w:spacing w:afterLines="20"/>
      <w:ind w:left="0" w:leftChars="0" w:right="0" w:rightChars="0"/>
      <w:textAlignment w:val="baseline"/>
    </w:pPr>
    <w:rPr>
      <w:rFonts w:hAnsi="宋体" w:asciiTheme="minorHAnsi" w:eastAsiaTheme="minorEastAsia" w:cstheme="minorBidi"/>
      <w:kern w:val="2"/>
      <w:lang w:eastAsia="zh-CN"/>
    </w:rPr>
  </w:style>
  <w:style w:type="character" w:customStyle="1" w:styleId="19">
    <w:name w:val="fontstyle01"/>
    <w:qFormat/>
    <w:uiPriority w:val="0"/>
    <w:rPr>
      <w:rFonts w:hint="eastAsia" w:ascii="宋体" w:hAnsi="宋体" w:eastAsia="宋体"/>
      <w:color w:val="00000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593</Words>
  <Characters>3384</Characters>
  <Lines>28</Lines>
  <Paragraphs>7</Paragraphs>
  <TotalTime>4</TotalTime>
  <ScaleCrop>false</ScaleCrop>
  <LinksUpToDate>false</LinksUpToDate>
  <CharactersWithSpaces>3970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2021-12-24T00:53:00Z</dcterms:created>
  <dc:creator>Administrator</dc:creator>
  <cp:lastModifiedBy>A顾小北</cp:lastModifiedBy>
  <dcterms:modified xsi:type="dcterms:W3CDTF">2021-12-24T03:45:32Z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A7E63F4C780C4F1DBAA39734F35F3C84</vt:lpwstr>
  </property>
</Properties>
</file>