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jc w:val="center"/>
        <w:rPr>
          <w:rFonts w:hint="eastAsia" w:ascii="宋体" w:hAnsi="宋体" w:eastAsia="宋体" w:cs="宋体"/>
          <w:sz w:val="44"/>
        </w:rPr>
      </w:pPr>
    </w:p>
    <w:p>
      <w:pPr>
        <w:spacing w:after="0"/>
        <w:jc w:val="center"/>
        <w:rPr>
          <w:rFonts w:hint="eastAsia" w:ascii="宋体" w:hAnsi="宋体" w:eastAsia="宋体" w:cs="宋体"/>
          <w:sz w:val="44"/>
        </w:rPr>
      </w:pPr>
    </w:p>
    <w:p>
      <w:pPr>
        <w:spacing w:after="0"/>
        <w:jc w:val="center"/>
        <w:rPr>
          <w:rFonts w:hint="eastAsia" w:ascii="宋体" w:hAnsi="宋体" w:eastAsia="宋体" w:cs="宋体"/>
          <w:sz w:val="44"/>
        </w:rPr>
      </w:pPr>
    </w:p>
    <w:p>
      <w:pPr>
        <w:spacing w:after="0"/>
        <w:jc w:val="center"/>
        <w:rPr>
          <w:rFonts w:hint="eastAsia" w:ascii="宋体" w:hAnsi="宋体" w:eastAsia="宋体" w:cs="宋体"/>
          <w:sz w:val="44"/>
          <w:lang w:val="en-GB" w:eastAsia="zh-CN"/>
        </w:rPr>
      </w:pPr>
      <w:r>
        <w:rPr>
          <w:rFonts w:hint="eastAsia" w:ascii="宋体" w:hAnsi="宋体" w:eastAsia="宋体" w:cs="宋体"/>
          <w:sz w:val="44"/>
          <w:lang w:val="en-GB" w:eastAsia="zh-CN"/>
        </w:rPr>
        <w:t>鹤壁市广睿科技有限公司</w:t>
      </w:r>
    </w:p>
    <w:p>
      <w:pPr>
        <w:spacing w:after="0"/>
        <w:jc w:val="center"/>
        <w:rPr>
          <w:rFonts w:hint="eastAsia" w:ascii="宋体" w:hAnsi="宋体" w:eastAsia="宋体" w:cs="宋体"/>
          <w:sz w:val="44"/>
        </w:rPr>
      </w:pPr>
      <w:r>
        <w:rPr>
          <w:rFonts w:hint="eastAsia" w:ascii="宋体" w:hAnsi="宋体" w:eastAsia="宋体" w:cs="宋体"/>
          <w:sz w:val="32"/>
          <w:szCs w:val="32"/>
          <w:lang w:val="en-GB" w:eastAsia="zh-CN"/>
        </w:rPr>
        <w:t>年产2000套灯光雕刻、标示标牌喷漆喷塑生产线建设项目</w:t>
      </w:r>
    </w:p>
    <w:p>
      <w:pPr>
        <w:spacing w:after="0"/>
        <w:jc w:val="center"/>
        <w:rPr>
          <w:rFonts w:hint="eastAsia" w:ascii="宋体" w:hAnsi="宋体" w:eastAsia="宋体" w:cs="宋体"/>
          <w:sz w:val="44"/>
          <w:lang w:val="en-US" w:eastAsia="zh-CN"/>
        </w:rPr>
      </w:pPr>
      <w:r>
        <w:rPr>
          <w:rFonts w:hint="eastAsia" w:ascii="宋体" w:hAnsi="宋体" w:eastAsia="宋体" w:cs="宋体"/>
          <w:sz w:val="44"/>
        </w:rPr>
        <w:t>竣工环境保护验收监测报告</w:t>
      </w:r>
      <w:r>
        <w:rPr>
          <w:rFonts w:hint="eastAsia" w:ascii="宋体" w:hAnsi="宋体" w:eastAsia="宋体" w:cs="宋体"/>
          <w:sz w:val="44"/>
          <w:lang w:val="en-US" w:eastAsia="zh-CN"/>
        </w:rPr>
        <w:t>表</w:t>
      </w:r>
    </w:p>
    <w:p>
      <w:pPr>
        <w:spacing w:after="714" w:line="473" w:lineRule="auto"/>
        <w:ind w:left="840" w:hanging="50"/>
        <w:rPr>
          <w:rFonts w:ascii="华文新魏" w:hAnsi="华文新魏" w:eastAsia="华文新魏" w:cs="华文新魏"/>
          <w:sz w:val="28"/>
        </w:rPr>
      </w:pPr>
    </w:p>
    <w:p>
      <w:pPr>
        <w:spacing w:after="714" w:line="473" w:lineRule="auto"/>
        <w:ind w:left="840" w:hanging="50"/>
        <w:rPr>
          <w:rFonts w:ascii="华文新魏" w:hAnsi="华文新魏" w:eastAsia="华文新魏" w:cs="华文新魏"/>
          <w:sz w:val="28"/>
        </w:rPr>
      </w:pPr>
    </w:p>
    <w:p>
      <w:pPr>
        <w:spacing w:after="714" w:line="473" w:lineRule="auto"/>
        <w:ind w:left="840" w:hanging="50"/>
        <w:rPr>
          <w:rFonts w:ascii="华文新魏" w:hAnsi="华文新魏" w:eastAsia="华文新魏" w:cs="华文新魏"/>
          <w:sz w:val="28"/>
        </w:rPr>
      </w:pPr>
    </w:p>
    <w:p>
      <w:pPr>
        <w:spacing w:after="714" w:line="473" w:lineRule="auto"/>
        <w:ind w:left="840" w:hanging="50"/>
        <w:rPr>
          <w:rFonts w:ascii="华文新魏" w:hAnsi="华文新魏" w:eastAsia="华文新魏" w:cs="华文新魏"/>
          <w:sz w:val="28"/>
        </w:rPr>
      </w:pPr>
    </w:p>
    <w:p>
      <w:pPr>
        <w:spacing w:after="714" w:line="473" w:lineRule="auto"/>
        <w:ind w:left="840" w:hanging="50"/>
        <w:rPr>
          <w:rFonts w:ascii="华文新魏" w:hAnsi="华文新魏" w:eastAsia="华文新魏" w:cs="华文新魏"/>
          <w:sz w:val="28"/>
        </w:rPr>
      </w:pPr>
    </w:p>
    <w:p>
      <w:pPr>
        <w:spacing w:after="3" w:line="360" w:lineRule="auto"/>
        <w:ind w:left="1200" w:right="1380" w:hanging="1400" w:hangingChars="500"/>
        <w:jc w:val="center"/>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GB" w:eastAsia="zh-CN" w:bidi="ar-SA"/>
        </w:rPr>
        <w:t>建设单位</w:t>
      </w:r>
      <w:r>
        <w:rPr>
          <w:rFonts w:hint="eastAsia" w:ascii="宋体" w:hAnsi="宋体" w:eastAsia="宋体" w:cs="宋体"/>
          <w:color w:val="000000"/>
          <w:kern w:val="2"/>
          <w:sz w:val="28"/>
          <w:szCs w:val="28"/>
          <w:lang w:val="en-US" w:eastAsia="zh-CN" w:bidi="ar-SA"/>
        </w:rPr>
        <w:t xml:space="preserve">: </w:t>
      </w:r>
      <w:r>
        <w:rPr>
          <w:rFonts w:hint="eastAsia" w:ascii="宋体" w:hAnsi="宋体" w:eastAsia="宋体" w:cs="宋体"/>
          <w:color w:val="000000"/>
          <w:kern w:val="2"/>
          <w:sz w:val="28"/>
          <w:szCs w:val="28"/>
          <w:lang w:val="en-GB" w:eastAsia="zh-CN" w:bidi="ar-SA"/>
        </w:rPr>
        <w:t>鹤壁市广睿科技有限公司</w:t>
      </w:r>
    </w:p>
    <w:p>
      <w:pPr>
        <w:spacing w:after="3" w:line="360" w:lineRule="auto"/>
        <w:ind w:left="1200" w:right="1380" w:hanging="1400" w:hangingChars="500"/>
        <w:jc w:val="center"/>
        <w:rPr>
          <w:rFonts w:hint="eastAsia" w:ascii="宋体" w:hAnsi="宋体" w:eastAsia="宋体" w:cs="宋体"/>
          <w:color w:val="000000"/>
          <w:kern w:val="2"/>
          <w:sz w:val="28"/>
          <w:szCs w:val="28"/>
          <w:lang w:val="en-GB" w:eastAsia="zh-CN" w:bidi="ar-SA"/>
        </w:rPr>
      </w:pPr>
      <w:r>
        <w:rPr>
          <w:rFonts w:hint="eastAsia" w:ascii="宋体" w:hAnsi="宋体" w:eastAsia="宋体" w:cs="宋体"/>
          <w:color w:val="000000"/>
          <w:kern w:val="2"/>
          <w:sz w:val="28"/>
          <w:szCs w:val="28"/>
          <w:lang w:val="en-US" w:eastAsia="zh-CN" w:bidi="ar-SA"/>
        </w:rPr>
        <w:t xml:space="preserve">   </w:t>
      </w:r>
      <w:r>
        <w:rPr>
          <w:rFonts w:hint="eastAsia" w:ascii="宋体" w:hAnsi="宋体" w:eastAsia="宋体" w:cs="宋体"/>
          <w:color w:val="000000"/>
          <w:kern w:val="2"/>
          <w:sz w:val="28"/>
          <w:szCs w:val="28"/>
          <w:lang w:val="en-GB" w:eastAsia="zh-CN" w:bidi="ar-SA"/>
        </w:rPr>
        <w:t>编制单位：</w:t>
      </w:r>
      <w:r>
        <w:rPr>
          <w:rFonts w:hint="eastAsia" w:ascii="宋体" w:hAnsi="宋体" w:eastAsia="宋体" w:cs="宋体"/>
          <w:color w:val="000000"/>
          <w:kern w:val="2"/>
          <w:sz w:val="28"/>
          <w:szCs w:val="28"/>
          <w:lang w:val="en-US" w:eastAsia="zh-CN" w:bidi="ar-SA"/>
        </w:rPr>
        <w:t>河南融济环保科技有限公司</w:t>
      </w:r>
    </w:p>
    <w:p>
      <w:pPr>
        <w:spacing w:after="3" w:line="360" w:lineRule="auto"/>
        <w:ind w:left="1200" w:right="1380" w:hanging="1400" w:hangingChars="500"/>
        <w:jc w:val="center"/>
        <w:rPr>
          <w:rFonts w:hint="eastAsia" w:ascii="宋体" w:hAnsi="宋体" w:eastAsia="宋体" w:cs="宋体"/>
          <w:color w:val="000000"/>
          <w:kern w:val="2"/>
          <w:sz w:val="28"/>
          <w:szCs w:val="28"/>
          <w:lang w:val="en-GB" w:eastAsia="zh-CN" w:bidi="ar-SA"/>
        </w:rPr>
      </w:pPr>
      <w:r>
        <w:rPr>
          <w:rFonts w:hint="eastAsia" w:ascii="宋体" w:hAnsi="宋体" w:eastAsia="宋体" w:cs="宋体"/>
          <w:color w:val="000000"/>
          <w:kern w:val="2"/>
          <w:sz w:val="28"/>
          <w:szCs w:val="28"/>
          <w:lang w:val="en-GB" w:eastAsia="zh-CN" w:bidi="ar-SA"/>
        </w:rPr>
        <w:t>20</w:t>
      </w:r>
      <w:r>
        <w:rPr>
          <w:rFonts w:hint="eastAsia" w:ascii="宋体" w:hAnsi="宋体" w:eastAsia="宋体" w:cs="宋体"/>
          <w:color w:val="000000"/>
          <w:kern w:val="2"/>
          <w:sz w:val="28"/>
          <w:szCs w:val="28"/>
          <w:lang w:val="en-US" w:eastAsia="zh-CN" w:bidi="ar-SA"/>
        </w:rPr>
        <w:t>21</w:t>
      </w:r>
      <w:r>
        <w:rPr>
          <w:rFonts w:hint="eastAsia" w:ascii="宋体" w:hAnsi="宋体" w:eastAsia="宋体" w:cs="宋体"/>
          <w:color w:val="000000"/>
          <w:kern w:val="2"/>
          <w:sz w:val="28"/>
          <w:szCs w:val="28"/>
          <w:lang w:val="en-GB" w:eastAsia="zh-CN" w:bidi="ar-SA"/>
        </w:rPr>
        <w:t>年</w:t>
      </w:r>
      <w:r>
        <w:rPr>
          <w:rFonts w:hint="eastAsia" w:ascii="宋体" w:hAnsi="宋体" w:eastAsia="宋体" w:cs="宋体"/>
          <w:color w:val="000000"/>
          <w:kern w:val="2"/>
          <w:sz w:val="28"/>
          <w:szCs w:val="28"/>
          <w:lang w:val="en-US" w:eastAsia="zh-CN" w:bidi="ar-SA"/>
        </w:rPr>
        <w:t>12</w:t>
      </w:r>
      <w:r>
        <w:rPr>
          <w:rFonts w:hint="eastAsia" w:ascii="宋体" w:hAnsi="宋体" w:eastAsia="宋体" w:cs="宋体"/>
          <w:color w:val="000000"/>
          <w:kern w:val="2"/>
          <w:sz w:val="28"/>
          <w:szCs w:val="28"/>
          <w:lang w:val="en-GB" w:eastAsia="zh-CN" w:bidi="ar-SA"/>
        </w:rPr>
        <w:t>月</w:t>
      </w:r>
    </w:p>
    <w:p>
      <w:pPr>
        <w:spacing w:after="3" w:line="362" w:lineRule="auto"/>
        <w:ind w:left="-5" w:right="1380" w:hanging="10"/>
        <w:rPr>
          <w:rFonts w:ascii="宋体" w:hAnsi="宋体" w:eastAsia="宋体" w:cs="宋体"/>
          <w:sz w:val="30"/>
        </w:rPr>
      </w:pPr>
    </w:p>
    <w:p>
      <w:pPr>
        <w:spacing w:after="3" w:line="362" w:lineRule="auto"/>
        <w:ind w:left="-5" w:right="1380" w:hanging="10"/>
        <w:rPr>
          <w:rFonts w:ascii="宋体" w:hAnsi="宋体" w:eastAsia="宋体" w:cs="宋体"/>
          <w:sz w:val="30"/>
        </w:rPr>
      </w:pPr>
    </w:p>
    <w:p>
      <w:pPr>
        <w:spacing w:after="3" w:line="362" w:lineRule="auto"/>
        <w:ind w:left="-5" w:right="1380" w:hanging="10"/>
        <w:rPr>
          <w:rFonts w:ascii="宋体" w:hAnsi="宋体" w:eastAsia="宋体" w:cs="宋体"/>
          <w:sz w:val="30"/>
        </w:rPr>
      </w:pPr>
    </w:p>
    <w:p>
      <w:pPr>
        <w:spacing w:after="3" w:line="362" w:lineRule="auto"/>
        <w:ind w:left="-5" w:right="1380" w:hanging="10"/>
        <w:rPr>
          <w:rFonts w:ascii="宋体" w:hAnsi="宋体" w:eastAsia="宋体" w:cs="宋体"/>
          <w:sz w:val="30"/>
        </w:rPr>
      </w:pPr>
    </w:p>
    <w:p>
      <w:pPr>
        <w:spacing w:after="3" w:line="360" w:lineRule="auto"/>
        <w:ind w:left="1200" w:right="1380" w:hanging="1200" w:hangingChars="500"/>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建设单位：</w:t>
      </w:r>
      <w:r>
        <w:rPr>
          <w:rFonts w:hint="eastAsia" w:ascii="宋体" w:hAnsi="宋体" w:eastAsia="宋体" w:cs="宋体"/>
          <w:color w:val="000000"/>
          <w:kern w:val="2"/>
          <w:sz w:val="24"/>
          <w:szCs w:val="24"/>
          <w:lang w:val="en-GB" w:eastAsia="zh-CN" w:bidi="ar-SA"/>
        </w:rPr>
        <w:t>鹤壁市广睿科技有限公司</w:t>
      </w:r>
      <w:r>
        <w:rPr>
          <w:rFonts w:hint="eastAsia" w:ascii="宋体" w:hAnsi="宋体" w:eastAsia="宋体" w:cs="宋体"/>
          <w:color w:val="000000"/>
          <w:kern w:val="2"/>
          <w:sz w:val="24"/>
          <w:szCs w:val="24"/>
          <w:lang w:val="en-US" w:eastAsia="zh-CN" w:bidi="ar-SA"/>
        </w:rPr>
        <w:t>（盖章）</w:t>
      </w:r>
    </w:p>
    <w:p>
      <w:pPr>
        <w:spacing w:after="3" w:line="360" w:lineRule="auto"/>
        <w:ind w:left="1200" w:right="1380" w:hanging="1200" w:hangingChars="500"/>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法人代表：</w:t>
      </w:r>
      <w:r>
        <w:rPr>
          <w:rFonts w:hint="eastAsia" w:ascii="宋体" w:hAnsi="宋体" w:eastAsia="宋体" w:cs="宋体"/>
          <w:color w:val="000000"/>
          <w:kern w:val="2"/>
          <w:sz w:val="24"/>
          <w:szCs w:val="24"/>
          <w:lang w:val="en-GB" w:eastAsia="zh-CN" w:bidi="ar-SA"/>
        </w:rPr>
        <w:t>李从稳</w:t>
      </w:r>
    </w:p>
    <w:p>
      <w:pPr>
        <w:spacing w:after="3" w:line="360" w:lineRule="auto"/>
        <w:ind w:left="1200" w:right="1380" w:hanging="1200" w:hangingChars="500"/>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项目负责人：</w:t>
      </w:r>
      <w:r>
        <w:rPr>
          <w:rFonts w:hint="eastAsia" w:ascii="宋体" w:hAnsi="宋体" w:eastAsia="宋体" w:cs="宋体"/>
          <w:color w:val="000000"/>
          <w:kern w:val="2"/>
          <w:sz w:val="24"/>
          <w:szCs w:val="24"/>
          <w:lang w:val="en-GB" w:eastAsia="zh-CN" w:bidi="ar-SA"/>
        </w:rPr>
        <w:t>李从稳</w:t>
      </w:r>
    </w:p>
    <w:p>
      <w:pPr>
        <w:spacing w:after="3" w:line="360" w:lineRule="auto"/>
        <w:ind w:left="1200" w:right="1380" w:hanging="1200" w:hangingChars="500"/>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电话：</w:t>
      </w:r>
      <w:r>
        <w:rPr>
          <w:rFonts w:hint="eastAsia" w:ascii="宋体" w:hAnsi="宋体" w:eastAsia="宋体" w:cs="宋体"/>
          <w:color w:val="000000"/>
          <w:kern w:val="2"/>
          <w:sz w:val="24"/>
          <w:szCs w:val="24"/>
          <w:lang w:val="en-GB" w:eastAsia="zh-CN" w:bidi="ar-SA"/>
        </w:rPr>
        <w:t>18634356784</w:t>
      </w:r>
    </w:p>
    <w:p>
      <w:pPr>
        <w:spacing w:after="3" w:line="360" w:lineRule="auto"/>
        <w:ind w:left="1200" w:right="1380" w:hanging="1200" w:hangingChars="500"/>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邮编：</w:t>
      </w:r>
      <w:r>
        <w:rPr>
          <w:rFonts w:hint="default" w:ascii="宋体" w:hAnsi="宋体" w:eastAsia="宋体" w:cs="宋体"/>
          <w:color w:val="000000"/>
          <w:kern w:val="2"/>
          <w:sz w:val="24"/>
          <w:szCs w:val="24"/>
          <w:lang w:val="en-US" w:eastAsia="zh-CN" w:bidi="ar-SA"/>
        </w:rPr>
        <w:t>4580</w:t>
      </w:r>
      <w:r>
        <w:rPr>
          <w:rFonts w:hint="eastAsia" w:ascii="宋体" w:hAnsi="宋体" w:eastAsia="宋体" w:cs="宋体"/>
          <w:color w:val="000000"/>
          <w:kern w:val="2"/>
          <w:sz w:val="24"/>
          <w:szCs w:val="24"/>
          <w:lang w:val="en-US" w:eastAsia="zh-CN" w:bidi="ar-SA"/>
        </w:rPr>
        <w:t>3</w:t>
      </w:r>
      <w:r>
        <w:rPr>
          <w:rFonts w:hint="default" w:ascii="宋体" w:hAnsi="宋体" w:eastAsia="宋体" w:cs="宋体"/>
          <w:color w:val="000000"/>
          <w:kern w:val="2"/>
          <w:sz w:val="24"/>
          <w:szCs w:val="24"/>
          <w:lang w:val="en-US" w:eastAsia="zh-CN" w:bidi="ar-SA"/>
        </w:rPr>
        <w:t>0</w:t>
      </w:r>
    </w:p>
    <w:p>
      <w:pPr>
        <w:spacing w:after="3" w:line="360" w:lineRule="auto"/>
        <w:ind w:left="1200" w:right="1380" w:hanging="1200" w:hangingChars="500"/>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地址：</w:t>
      </w:r>
      <w:r>
        <w:rPr>
          <w:rFonts w:hint="eastAsia" w:ascii="宋体" w:hAnsi="宋体" w:eastAsia="宋体" w:cs="宋体"/>
          <w:color w:val="000000"/>
          <w:kern w:val="2"/>
          <w:sz w:val="24"/>
          <w:szCs w:val="24"/>
          <w:lang w:val="en-GB" w:eastAsia="zh-CN" w:bidi="ar-SA"/>
        </w:rPr>
        <w:t>鹤壁市淇滨区锯桥镇冢儿章村原宏光节能建材厂内3号车间</w:t>
      </w:r>
    </w:p>
    <w:p>
      <w:pPr>
        <w:pStyle w:val="11"/>
        <w:rPr>
          <w:rFonts w:hint="eastAsia" w:ascii="宋体" w:hAnsi="宋体" w:eastAsia="宋体" w:cs="宋体"/>
          <w:color w:val="000000"/>
          <w:kern w:val="2"/>
          <w:sz w:val="24"/>
          <w:szCs w:val="24"/>
          <w:lang w:val="en-US" w:eastAsia="zh-CN" w:bidi="ar-SA"/>
        </w:rPr>
      </w:pPr>
    </w:p>
    <w:p>
      <w:pPr>
        <w:rPr>
          <w:rFonts w:hint="eastAsia"/>
          <w:lang w:val="en-US" w:eastAsia="zh-CN"/>
        </w:rPr>
      </w:pPr>
    </w:p>
    <w:p>
      <w:pPr>
        <w:spacing w:after="3" w:line="360" w:lineRule="auto"/>
        <w:ind w:left="1200" w:right="1380" w:hanging="1200" w:hangingChars="500"/>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编制单位：河南融济环保科技有限公司（盖章）</w:t>
      </w:r>
    </w:p>
    <w:p>
      <w:pPr>
        <w:spacing w:after="3" w:line="360" w:lineRule="auto"/>
        <w:ind w:left="1200" w:right="1380" w:hanging="1200" w:hangingChars="500"/>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法人代表：王良辉</w:t>
      </w:r>
    </w:p>
    <w:p>
      <w:pPr>
        <w:spacing w:after="3" w:line="360" w:lineRule="auto"/>
        <w:ind w:left="1200" w:right="1380" w:hanging="1200" w:hangingChars="500"/>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项目负责人：孙会民</w:t>
      </w:r>
    </w:p>
    <w:p>
      <w:pPr>
        <w:spacing w:after="3" w:line="360" w:lineRule="auto"/>
        <w:ind w:left="1200" w:right="1380" w:hanging="1200" w:hangingChars="500"/>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电话：13803929771</w:t>
      </w:r>
    </w:p>
    <w:p>
      <w:pPr>
        <w:spacing w:after="3" w:line="360" w:lineRule="auto"/>
        <w:ind w:left="1200" w:right="1380" w:hanging="1200" w:hangingChars="500"/>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邮编：458030</w:t>
      </w:r>
    </w:p>
    <w:p>
      <w:pPr>
        <w:spacing w:after="3" w:line="360" w:lineRule="auto"/>
        <w:ind w:left="1200" w:right="1380" w:hanging="1200" w:hangingChars="500"/>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地址：鹤壁市淇滨区朝歌路金融大厦南配楼16楼1606室</w:t>
      </w:r>
    </w:p>
    <w:p>
      <w:pPr>
        <w:spacing w:after="3"/>
        <w:ind w:left="-5" w:right="1380" w:hanging="10"/>
      </w:pPr>
      <w:r>
        <w:br w:type="page"/>
      </w:r>
    </w:p>
    <w:p>
      <w:pPr>
        <w:spacing w:after="94"/>
        <w:ind w:left="24"/>
        <w:jc w:val="center"/>
      </w:pPr>
      <w:r>
        <w:rPr>
          <w:rFonts w:ascii="宋体" w:hAnsi="宋体" w:eastAsia="宋体" w:cs="宋体"/>
          <w:sz w:val="32"/>
        </w:rPr>
        <w:t>前言</w:t>
      </w:r>
    </w:p>
    <w:p>
      <w:pPr>
        <w:widowControl w:val="0"/>
        <w:spacing w:after="0" w:line="360" w:lineRule="auto"/>
        <w:ind w:firstLine="480" w:firstLineChars="200"/>
        <w:contextualSpacing/>
        <w:jc w:val="both"/>
        <w:rPr>
          <w:rFonts w:hint="eastAsia" w:ascii="宋体" w:hAnsi="宋体" w:eastAsia="宋体" w:cs="宋体"/>
          <w:bCs/>
          <w:sz w:val="24"/>
          <w:szCs w:val="24"/>
          <w:lang w:val="en-US" w:eastAsia="zh-CN"/>
        </w:rPr>
      </w:pPr>
      <w:r>
        <w:rPr>
          <w:rFonts w:hint="eastAsia" w:ascii="宋体" w:hAnsi="宋体" w:eastAsia="宋体" w:cs="宋体"/>
          <w:bCs/>
          <w:sz w:val="24"/>
          <w:szCs w:val="24"/>
          <w:lang w:val="en-GB" w:eastAsia="zh-CN"/>
        </w:rPr>
        <w:t>鹤壁市广睿科技有限公司</w:t>
      </w:r>
      <w:r>
        <w:rPr>
          <w:rFonts w:hint="eastAsia" w:ascii="宋体" w:hAnsi="宋体" w:eastAsia="宋体" w:cs="宋体"/>
          <w:bCs/>
          <w:sz w:val="24"/>
          <w:szCs w:val="24"/>
          <w:lang w:val="en-US" w:eastAsia="zh-CN"/>
        </w:rPr>
        <w:t>位于</w:t>
      </w:r>
      <w:r>
        <w:rPr>
          <w:rFonts w:hint="eastAsia" w:ascii="宋体" w:hAnsi="宋体" w:eastAsia="宋体" w:cs="宋体"/>
          <w:bCs/>
          <w:sz w:val="24"/>
          <w:szCs w:val="24"/>
          <w:lang w:val="en-GB" w:eastAsia="zh-CN"/>
        </w:rPr>
        <w:t>鹤壁市淇滨区锯桥镇冢儿章村原宏光节能建材厂内</w:t>
      </w:r>
      <w:r>
        <w:rPr>
          <w:rFonts w:hint="eastAsia" w:ascii="宋体" w:hAnsi="宋体" w:eastAsia="宋体" w:cs="宋体"/>
          <w:bCs/>
          <w:sz w:val="24"/>
          <w:szCs w:val="24"/>
          <w:lang w:val="en-US" w:eastAsia="zh-CN"/>
        </w:rPr>
        <w:t>，主要从事灯光雕刻、标示标牌生产。</w:t>
      </w:r>
      <w:r>
        <w:rPr>
          <w:rFonts w:hint="eastAsia" w:ascii="宋体" w:hAnsi="宋体" w:eastAsia="宋体" w:cs="宋体"/>
          <w:bCs/>
          <w:sz w:val="24"/>
          <w:szCs w:val="24"/>
          <w:lang w:val="en-GB" w:eastAsia="zh-CN"/>
        </w:rPr>
        <w:t>鹤壁市广睿科技有限公司</w:t>
      </w:r>
      <w:r>
        <w:rPr>
          <w:rFonts w:hint="eastAsia" w:ascii="宋体" w:hAnsi="宋体" w:eastAsia="宋体" w:cs="宋体"/>
          <w:bCs/>
          <w:sz w:val="24"/>
          <w:szCs w:val="24"/>
          <w:lang w:val="en-US" w:eastAsia="zh-CN"/>
        </w:rPr>
        <w:t>2018年8月29日登记成立。企业于</w:t>
      </w:r>
      <w:r>
        <w:rPr>
          <w:rFonts w:hint="eastAsia" w:ascii="宋体" w:hAnsi="宋体" w:eastAsia="宋体" w:cs="宋体"/>
          <w:bCs/>
          <w:sz w:val="24"/>
          <w:szCs w:val="24"/>
          <w:lang w:eastAsia="zh-CN"/>
        </w:rPr>
        <w:t>2018年9月编制完成《</w:t>
      </w:r>
      <w:r>
        <w:rPr>
          <w:rFonts w:hint="eastAsia" w:ascii="宋体" w:hAnsi="宋体" w:eastAsia="宋体" w:cs="宋体"/>
          <w:bCs/>
          <w:sz w:val="24"/>
          <w:szCs w:val="24"/>
          <w:lang w:val="en-GB" w:eastAsia="zh-CN"/>
        </w:rPr>
        <w:t>鹤壁市广睿科技有限公司年产2000套灯光雕刻、标示标牌</w:t>
      </w:r>
      <w:r>
        <w:rPr>
          <w:rFonts w:hint="eastAsia" w:ascii="宋体" w:hAnsi="宋体" w:eastAsia="宋体" w:cs="宋体"/>
          <w:bCs/>
          <w:sz w:val="24"/>
          <w:szCs w:val="24"/>
          <w:lang w:eastAsia="zh-CN"/>
        </w:rPr>
        <w:t>项目环境影响报告表》，</w:t>
      </w:r>
      <w:r>
        <w:rPr>
          <w:rFonts w:hint="eastAsia" w:ascii="宋体" w:hAnsi="宋体" w:eastAsia="宋体" w:cs="宋体"/>
          <w:bCs/>
          <w:sz w:val="24"/>
          <w:szCs w:val="24"/>
          <w:lang w:val="en-US" w:eastAsia="zh-CN"/>
        </w:rPr>
        <w:t>于</w:t>
      </w:r>
      <w:r>
        <w:rPr>
          <w:rFonts w:hint="eastAsia" w:ascii="宋体" w:hAnsi="宋体" w:eastAsia="宋体" w:cs="宋体"/>
          <w:bCs/>
          <w:sz w:val="24"/>
          <w:szCs w:val="24"/>
          <w:lang w:eastAsia="zh-CN"/>
        </w:rPr>
        <w:t>2019年4月18日</w:t>
      </w:r>
      <w:r>
        <w:rPr>
          <w:rFonts w:hint="eastAsia" w:ascii="宋体" w:hAnsi="宋体" w:eastAsia="宋体" w:cs="宋体"/>
          <w:bCs/>
          <w:sz w:val="24"/>
          <w:szCs w:val="24"/>
          <w:lang w:val="en-US" w:eastAsia="zh-CN"/>
        </w:rPr>
        <w:t>取得了《</w:t>
      </w:r>
      <w:r>
        <w:rPr>
          <w:rFonts w:hint="eastAsia" w:ascii="宋体" w:hAnsi="宋体" w:eastAsia="宋体" w:cs="宋体"/>
          <w:bCs/>
          <w:sz w:val="24"/>
          <w:szCs w:val="24"/>
          <w:lang w:val="en-GB" w:eastAsia="zh-CN"/>
        </w:rPr>
        <w:t>鹤壁市广睿科技有限公司年产2000套灯光雕刻、标示标牌</w:t>
      </w:r>
      <w:r>
        <w:rPr>
          <w:rFonts w:hint="eastAsia" w:ascii="宋体" w:hAnsi="宋体" w:eastAsia="宋体" w:cs="宋体"/>
          <w:bCs/>
          <w:sz w:val="24"/>
          <w:szCs w:val="24"/>
          <w:lang w:eastAsia="zh-CN"/>
        </w:rPr>
        <w:t>项目环境影响报告表</w:t>
      </w:r>
      <w:r>
        <w:rPr>
          <w:rFonts w:hint="eastAsia" w:ascii="宋体" w:hAnsi="宋体" w:eastAsia="宋体" w:cs="宋体"/>
          <w:bCs/>
          <w:sz w:val="24"/>
          <w:szCs w:val="24"/>
          <w:lang w:val="en-US" w:eastAsia="zh-CN"/>
        </w:rPr>
        <w:t>的批复》（</w:t>
      </w:r>
      <w:r>
        <w:rPr>
          <w:rFonts w:hint="eastAsia" w:ascii="宋体" w:hAnsi="宋体" w:eastAsia="宋体" w:cs="宋体"/>
          <w:bCs/>
          <w:sz w:val="24"/>
          <w:szCs w:val="24"/>
          <w:lang w:eastAsia="zh-CN"/>
        </w:rPr>
        <w:t>鹤环监表（2019）026号</w:t>
      </w:r>
      <w:r>
        <w:rPr>
          <w:rFonts w:hint="eastAsia" w:ascii="宋体" w:hAnsi="宋体" w:eastAsia="宋体" w:cs="宋体"/>
          <w:bCs/>
          <w:sz w:val="24"/>
          <w:szCs w:val="24"/>
          <w:lang w:val="en-US" w:eastAsia="zh-CN"/>
        </w:rPr>
        <w:t>），批复后，项目未建，需要进行改建。改建项目为“</w:t>
      </w:r>
      <w:r>
        <w:rPr>
          <w:rFonts w:hint="eastAsia" w:ascii="宋体" w:hAnsi="宋体" w:eastAsia="宋体" w:cs="宋体"/>
          <w:bCs/>
          <w:sz w:val="24"/>
          <w:szCs w:val="24"/>
          <w:lang w:val="en-GB" w:eastAsia="zh-CN"/>
        </w:rPr>
        <w:t>年产2000套灯光雕刻、标示标牌喷漆喷塑生产线建设项目</w:t>
      </w:r>
      <w:r>
        <w:rPr>
          <w:rFonts w:hint="eastAsia" w:ascii="宋体" w:hAnsi="宋体" w:eastAsia="宋体" w:cs="宋体"/>
          <w:bCs/>
          <w:sz w:val="24"/>
          <w:szCs w:val="24"/>
          <w:lang w:val="en-US" w:eastAsia="zh-CN"/>
        </w:rPr>
        <w:t>”，于</w:t>
      </w:r>
      <w:r>
        <w:rPr>
          <w:rFonts w:hint="eastAsia" w:ascii="宋体" w:hAnsi="宋体" w:eastAsia="宋体" w:cs="宋体"/>
          <w:bCs/>
          <w:sz w:val="24"/>
          <w:szCs w:val="24"/>
          <w:lang w:eastAsia="zh-CN"/>
        </w:rPr>
        <w:t>20</w:t>
      </w:r>
      <w:r>
        <w:rPr>
          <w:rFonts w:hint="eastAsia" w:ascii="宋体" w:hAnsi="宋体" w:eastAsia="宋体" w:cs="宋体"/>
          <w:bCs/>
          <w:sz w:val="24"/>
          <w:szCs w:val="24"/>
          <w:lang w:val="en-US" w:eastAsia="zh-CN"/>
        </w:rPr>
        <w:t>21</w:t>
      </w:r>
      <w:r>
        <w:rPr>
          <w:rFonts w:hint="eastAsia" w:ascii="宋体" w:hAnsi="宋体" w:eastAsia="宋体" w:cs="宋体"/>
          <w:bCs/>
          <w:sz w:val="24"/>
          <w:szCs w:val="24"/>
          <w:lang w:eastAsia="zh-CN"/>
        </w:rPr>
        <w:t>年</w:t>
      </w:r>
      <w:r>
        <w:rPr>
          <w:rFonts w:hint="eastAsia" w:ascii="宋体" w:hAnsi="宋体" w:eastAsia="宋体" w:cs="宋体"/>
          <w:bCs/>
          <w:sz w:val="24"/>
          <w:szCs w:val="24"/>
          <w:lang w:val="en-US" w:eastAsia="zh-CN"/>
        </w:rPr>
        <w:t>7</w:t>
      </w:r>
      <w:r>
        <w:rPr>
          <w:rFonts w:hint="eastAsia" w:ascii="宋体" w:hAnsi="宋体" w:eastAsia="宋体" w:cs="宋体"/>
          <w:bCs/>
          <w:sz w:val="24"/>
          <w:szCs w:val="24"/>
          <w:lang w:eastAsia="zh-CN"/>
        </w:rPr>
        <w:t>月1</w:t>
      </w:r>
      <w:r>
        <w:rPr>
          <w:rFonts w:hint="eastAsia" w:ascii="宋体" w:hAnsi="宋体" w:eastAsia="宋体" w:cs="宋体"/>
          <w:bCs/>
          <w:sz w:val="24"/>
          <w:szCs w:val="24"/>
          <w:lang w:val="en-US" w:eastAsia="zh-CN"/>
        </w:rPr>
        <w:t>6</w:t>
      </w:r>
      <w:r>
        <w:rPr>
          <w:rFonts w:hint="eastAsia" w:ascii="宋体" w:hAnsi="宋体" w:eastAsia="宋体" w:cs="宋体"/>
          <w:bCs/>
          <w:sz w:val="24"/>
          <w:szCs w:val="24"/>
          <w:lang w:eastAsia="zh-CN"/>
        </w:rPr>
        <w:t>日</w:t>
      </w:r>
      <w:r>
        <w:rPr>
          <w:rFonts w:hint="eastAsia" w:ascii="宋体" w:hAnsi="宋体" w:eastAsia="宋体" w:cs="宋体"/>
          <w:bCs/>
          <w:sz w:val="24"/>
          <w:szCs w:val="24"/>
          <w:lang w:val="en-US" w:eastAsia="zh-CN"/>
        </w:rPr>
        <w:t>取得了《</w:t>
      </w:r>
      <w:r>
        <w:rPr>
          <w:rFonts w:hint="eastAsia" w:ascii="宋体" w:hAnsi="宋体" w:eastAsia="宋体" w:cs="宋体"/>
          <w:bCs/>
          <w:sz w:val="24"/>
          <w:szCs w:val="24"/>
          <w:lang w:val="en-GB" w:eastAsia="zh-CN"/>
        </w:rPr>
        <w:t>鹤壁市广睿科技有限公司年产2000套灯光雕刻、标示标牌喷漆喷塑生产线建设项目</w:t>
      </w:r>
      <w:r>
        <w:rPr>
          <w:rFonts w:hint="eastAsia" w:ascii="宋体" w:hAnsi="宋体" w:eastAsia="宋体" w:cs="宋体"/>
          <w:bCs/>
          <w:sz w:val="24"/>
          <w:szCs w:val="24"/>
          <w:lang w:eastAsia="zh-CN"/>
        </w:rPr>
        <w:t>环境影响报告表</w:t>
      </w:r>
      <w:r>
        <w:rPr>
          <w:rFonts w:hint="eastAsia" w:ascii="宋体" w:hAnsi="宋体" w:eastAsia="宋体" w:cs="宋体"/>
          <w:bCs/>
          <w:sz w:val="24"/>
          <w:szCs w:val="24"/>
          <w:lang w:val="en-US" w:eastAsia="zh-CN"/>
        </w:rPr>
        <w:t>的批复》（</w:t>
      </w:r>
      <w:r>
        <w:rPr>
          <w:rFonts w:hint="eastAsia" w:ascii="宋体" w:hAnsi="宋体" w:eastAsia="宋体" w:cs="宋体"/>
          <w:bCs/>
          <w:sz w:val="24"/>
          <w:szCs w:val="24"/>
          <w:lang w:eastAsia="zh-CN"/>
        </w:rPr>
        <w:t>鹤环监表（20</w:t>
      </w:r>
      <w:r>
        <w:rPr>
          <w:rFonts w:hint="eastAsia" w:ascii="宋体" w:hAnsi="宋体" w:eastAsia="宋体" w:cs="宋体"/>
          <w:bCs/>
          <w:sz w:val="24"/>
          <w:szCs w:val="24"/>
          <w:lang w:val="en-US" w:eastAsia="zh-CN"/>
        </w:rPr>
        <w:t>21</w:t>
      </w:r>
      <w:r>
        <w:rPr>
          <w:rFonts w:hint="eastAsia" w:ascii="宋体" w:hAnsi="宋体" w:eastAsia="宋体" w:cs="宋体"/>
          <w:bCs/>
          <w:sz w:val="24"/>
          <w:szCs w:val="24"/>
          <w:lang w:eastAsia="zh-CN"/>
        </w:rPr>
        <w:t>）0</w:t>
      </w:r>
      <w:r>
        <w:rPr>
          <w:rFonts w:hint="eastAsia" w:ascii="宋体" w:hAnsi="宋体" w:eastAsia="宋体" w:cs="宋体"/>
          <w:bCs/>
          <w:sz w:val="24"/>
          <w:szCs w:val="24"/>
          <w:lang w:val="en-US" w:eastAsia="zh-CN"/>
        </w:rPr>
        <w:t>53</w:t>
      </w:r>
      <w:r>
        <w:rPr>
          <w:rFonts w:hint="eastAsia" w:ascii="宋体" w:hAnsi="宋体" w:eastAsia="宋体" w:cs="宋体"/>
          <w:bCs/>
          <w:sz w:val="24"/>
          <w:szCs w:val="24"/>
          <w:lang w:eastAsia="zh-CN"/>
        </w:rPr>
        <w:t>号</w:t>
      </w:r>
      <w:r>
        <w:rPr>
          <w:rFonts w:hint="eastAsia" w:ascii="宋体" w:hAnsi="宋体" w:eastAsia="宋体" w:cs="宋体"/>
          <w:bCs/>
          <w:sz w:val="24"/>
          <w:szCs w:val="24"/>
          <w:lang w:val="en-US" w:eastAsia="zh-CN"/>
        </w:rPr>
        <w:t>）（见附件二）</w:t>
      </w:r>
      <w:r>
        <w:rPr>
          <w:rFonts w:hint="eastAsia" w:ascii="宋体" w:hAnsi="宋体" w:eastAsia="宋体" w:cs="宋体"/>
          <w:bCs/>
          <w:color w:val="auto"/>
          <w:sz w:val="24"/>
          <w:szCs w:val="24"/>
          <w:lang w:val="en-US" w:eastAsia="zh-CN"/>
        </w:rPr>
        <w:t>，2021年8月开始进行建设，2021年11月25日建设完成。本次对</w:t>
      </w:r>
      <w:r>
        <w:rPr>
          <w:rFonts w:hint="eastAsia" w:ascii="宋体" w:hAnsi="宋体" w:eastAsia="宋体" w:cs="宋体"/>
          <w:bCs/>
          <w:color w:val="auto"/>
          <w:sz w:val="24"/>
          <w:szCs w:val="24"/>
          <w:lang w:val="en-GB" w:eastAsia="zh-CN"/>
        </w:rPr>
        <w:t>鹤壁市广睿科</w:t>
      </w:r>
      <w:r>
        <w:rPr>
          <w:rFonts w:hint="eastAsia" w:ascii="宋体" w:hAnsi="宋体" w:eastAsia="宋体" w:cs="宋体"/>
          <w:bCs/>
          <w:sz w:val="24"/>
          <w:szCs w:val="24"/>
          <w:lang w:val="en-GB" w:eastAsia="zh-CN"/>
        </w:rPr>
        <w:t>技有限公司年产2000套灯光雕刻、标示标牌</w:t>
      </w:r>
      <w:r>
        <w:rPr>
          <w:rFonts w:hint="eastAsia" w:ascii="宋体" w:hAnsi="宋体" w:eastAsia="宋体" w:cs="宋体"/>
          <w:bCs/>
          <w:sz w:val="24"/>
          <w:szCs w:val="24"/>
          <w:lang w:eastAsia="zh-CN"/>
        </w:rPr>
        <w:t>项目</w:t>
      </w:r>
      <w:r>
        <w:rPr>
          <w:rFonts w:hint="eastAsia" w:ascii="宋体" w:hAnsi="宋体" w:eastAsia="宋体" w:cs="宋体"/>
          <w:bCs/>
          <w:sz w:val="24"/>
          <w:szCs w:val="24"/>
          <w:lang w:val="en-US" w:eastAsia="zh-CN"/>
        </w:rPr>
        <w:t>和</w:t>
      </w:r>
      <w:r>
        <w:rPr>
          <w:rFonts w:hint="eastAsia" w:ascii="宋体" w:hAnsi="宋体" w:eastAsia="宋体" w:cs="宋体"/>
          <w:bCs/>
          <w:sz w:val="24"/>
          <w:szCs w:val="24"/>
          <w:lang w:val="en-GB" w:eastAsia="zh-CN"/>
        </w:rPr>
        <w:t>年产2000套灯光雕刻、标示标牌喷漆喷塑生产线建设项目</w:t>
      </w:r>
      <w:r>
        <w:rPr>
          <w:rFonts w:hint="eastAsia" w:ascii="宋体" w:hAnsi="宋体" w:eastAsia="宋体" w:cs="宋体"/>
          <w:bCs/>
          <w:sz w:val="24"/>
          <w:szCs w:val="24"/>
          <w:lang w:val="en-US" w:eastAsia="zh-CN"/>
        </w:rPr>
        <w:t>一块验收。</w:t>
      </w:r>
    </w:p>
    <w:p>
      <w:pPr>
        <w:widowControl w:val="0"/>
        <w:spacing w:after="0" w:line="360" w:lineRule="auto"/>
        <w:ind w:firstLine="480" w:firstLineChars="200"/>
        <w:contextualSpacing/>
        <w:jc w:val="both"/>
        <w:rPr>
          <w:rFonts w:hint="eastAsia" w:ascii="Times New Roman" w:hAnsi="Times New Roman" w:eastAsia="宋体" w:cs="Times New Roman"/>
          <w:bCs/>
          <w:sz w:val="24"/>
          <w:szCs w:val="24"/>
          <w:lang w:eastAsia="zh-CN"/>
        </w:rPr>
      </w:pPr>
      <w:r>
        <w:rPr>
          <w:rFonts w:hint="eastAsia" w:ascii="宋体" w:hAnsi="宋体" w:eastAsia="宋体" w:cs="宋体"/>
          <w:bCs/>
          <w:sz w:val="24"/>
          <w:szCs w:val="24"/>
          <w:lang w:val="en-US" w:eastAsia="zh-CN"/>
        </w:rPr>
        <w:t>根据《建设项目竣工</w:t>
      </w:r>
      <w:r>
        <w:rPr>
          <w:rFonts w:hint="eastAsia" w:ascii="宋体" w:hAnsi="宋体" w:eastAsia="宋体" w:cs="宋体"/>
          <w:bCs/>
          <w:sz w:val="24"/>
          <w:szCs w:val="24"/>
          <w:lang w:eastAsia="zh-CN"/>
        </w:rPr>
        <w:t>环境保护验收暂行办法》（国环规环评[2017]4号）、《关于规范建设单位自主开展建设项目竣工环境保护验收的通知》（环办环评函[2017]235号）、《建设项目竣工环境保护验收技术指南污染影响类》（生态环境部公告，2018年9号）等文件的要求，我单位验收组技术人员于20</w:t>
      </w:r>
      <w:r>
        <w:rPr>
          <w:rFonts w:hint="eastAsia" w:ascii="宋体" w:hAnsi="宋体" w:eastAsia="宋体" w:cs="宋体"/>
          <w:bCs/>
          <w:sz w:val="24"/>
          <w:szCs w:val="24"/>
          <w:lang w:val="en-US" w:eastAsia="zh-CN"/>
        </w:rPr>
        <w:t>21</w:t>
      </w:r>
      <w:r>
        <w:rPr>
          <w:rFonts w:hint="eastAsia" w:ascii="宋体" w:hAnsi="宋体" w:eastAsia="宋体" w:cs="宋体"/>
          <w:bCs/>
          <w:sz w:val="24"/>
          <w:szCs w:val="24"/>
          <w:lang w:eastAsia="zh-CN"/>
        </w:rPr>
        <w:t>年</w:t>
      </w:r>
      <w:r>
        <w:rPr>
          <w:rFonts w:hint="eastAsia" w:ascii="宋体" w:hAnsi="宋体" w:eastAsia="宋体" w:cs="宋体"/>
          <w:bCs/>
          <w:sz w:val="24"/>
          <w:szCs w:val="24"/>
          <w:lang w:val="en-US" w:eastAsia="zh-CN"/>
        </w:rPr>
        <w:t>12</w:t>
      </w:r>
      <w:r>
        <w:rPr>
          <w:rFonts w:hint="eastAsia" w:ascii="宋体" w:hAnsi="宋体" w:eastAsia="宋体" w:cs="宋体"/>
          <w:bCs/>
          <w:sz w:val="24"/>
          <w:szCs w:val="24"/>
          <w:lang w:eastAsia="zh-CN"/>
        </w:rPr>
        <w:t>月进行了现场勘察，检查了环保设施的建设及污染防治措施的落实情况，并查阅了有关文件和技术资料，委托河南永蓝检测技术有限公司于20</w:t>
      </w:r>
      <w:r>
        <w:rPr>
          <w:rFonts w:hint="eastAsia" w:ascii="宋体" w:hAnsi="宋体" w:eastAsia="宋体" w:cs="宋体"/>
          <w:bCs/>
          <w:sz w:val="24"/>
          <w:szCs w:val="24"/>
          <w:lang w:val="en-US" w:eastAsia="zh-CN"/>
        </w:rPr>
        <w:t>21</w:t>
      </w:r>
      <w:r>
        <w:rPr>
          <w:rFonts w:hint="eastAsia" w:ascii="宋体" w:hAnsi="宋体" w:eastAsia="宋体" w:cs="宋体"/>
          <w:bCs/>
          <w:sz w:val="24"/>
          <w:szCs w:val="24"/>
          <w:lang w:eastAsia="zh-CN"/>
        </w:rPr>
        <w:t>年</w:t>
      </w:r>
      <w:r>
        <w:rPr>
          <w:rFonts w:hint="eastAsia" w:ascii="宋体" w:hAnsi="宋体" w:eastAsia="宋体" w:cs="宋体"/>
          <w:bCs/>
          <w:sz w:val="24"/>
          <w:szCs w:val="24"/>
          <w:lang w:val="en-US" w:eastAsia="zh-CN"/>
        </w:rPr>
        <w:t>12</w:t>
      </w:r>
      <w:r>
        <w:rPr>
          <w:rFonts w:hint="eastAsia" w:ascii="宋体" w:hAnsi="宋体" w:eastAsia="宋体" w:cs="宋体"/>
          <w:bCs/>
          <w:sz w:val="24"/>
          <w:szCs w:val="24"/>
          <w:lang w:eastAsia="zh-CN"/>
        </w:rPr>
        <w:t>月</w:t>
      </w:r>
      <w:r>
        <w:rPr>
          <w:rFonts w:hint="eastAsia" w:ascii="宋体" w:hAnsi="宋体" w:eastAsia="宋体" w:cs="宋体"/>
          <w:bCs/>
          <w:sz w:val="24"/>
          <w:szCs w:val="24"/>
          <w:lang w:val="en-US" w:eastAsia="zh-CN"/>
        </w:rPr>
        <w:t>15</w:t>
      </w:r>
      <w:r>
        <w:rPr>
          <w:rFonts w:hint="eastAsia" w:ascii="宋体" w:hAnsi="宋体" w:eastAsia="宋体" w:cs="宋体"/>
          <w:bCs/>
          <w:sz w:val="24"/>
          <w:szCs w:val="24"/>
          <w:lang w:eastAsia="zh-CN"/>
        </w:rPr>
        <w:t>日至</w:t>
      </w:r>
      <w:r>
        <w:rPr>
          <w:rFonts w:hint="eastAsia" w:ascii="宋体" w:hAnsi="宋体" w:eastAsia="宋体" w:cs="宋体"/>
          <w:bCs/>
          <w:sz w:val="24"/>
          <w:szCs w:val="24"/>
          <w:lang w:val="en-US" w:eastAsia="zh-CN"/>
        </w:rPr>
        <w:t>12</w:t>
      </w:r>
      <w:r>
        <w:rPr>
          <w:rFonts w:hint="eastAsia" w:ascii="宋体" w:hAnsi="宋体" w:eastAsia="宋体" w:cs="宋体"/>
          <w:bCs/>
          <w:sz w:val="24"/>
          <w:szCs w:val="24"/>
          <w:lang w:eastAsia="zh-CN"/>
        </w:rPr>
        <w:t>月</w:t>
      </w:r>
      <w:r>
        <w:rPr>
          <w:rFonts w:hint="eastAsia" w:ascii="宋体" w:hAnsi="宋体" w:eastAsia="宋体" w:cs="宋体"/>
          <w:bCs/>
          <w:sz w:val="24"/>
          <w:szCs w:val="24"/>
          <w:lang w:val="en-US" w:eastAsia="zh-CN"/>
        </w:rPr>
        <w:t>16</w:t>
      </w:r>
      <w:r>
        <w:rPr>
          <w:rFonts w:hint="eastAsia" w:ascii="宋体" w:hAnsi="宋体" w:eastAsia="宋体" w:cs="宋体"/>
          <w:bCs/>
          <w:sz w:val="24"/>
          <w:szCs w:val="24"/>
          <w:lang w:eastAsia="zh-CN"/>
        </w:rPr>
        <w:t>日进行了废气、厂界噪声监测。在此基础上，编写了《</w:t>
      </w:r>
      <w:r>
        <w:rPr>
          <w:rFonts w:hint="eastAsia" w:ascii="宋体" w:hAnsi="宋体" w:eastAsia="宋体" w:cs="宋体"/>
          <w:bCs/>
          <w:sz w:val="24"/>
          <w:szCs w:val="24"/>
          <w:lang w:val="en-GB" w:eastAsia="zh-CN"/>
        </w:rPr>
        <w:t>鹤壁市广睿科技有限公司年产2000套灯光雕刻、标示标牌喷漆喷塑生产线建设项目</w:t>
      </w:r>
      <w:r>
        <w:rPr>
          <w:rFonts w:hint="eastAsia" w:ascii="宋体" w:hAnsi="宋体" w:eastAsia="宋体" w:cs="宋体"/>
          <w:bCs/>
          <w:sz w:val="24"/>
          <w:szCs w:val="24"/>
          <w:lang w:eastAsia="zh-CN"/>
        </w:rPr>
        <w:t>竣工环境保护验收监测报告》。</w:t>
      </w:r>
    </w:p>
    <w:p>
      <w:pPr>
        <w:spacing w:after="128" w:line="360" w:lineRule="auto"/>
        <w:ind w:right="120" w:firstLine="440" w:firstLineChars="200"/>
        <w:jc w:val="both"/>
        <w:rPr>
          <w:rFonts w:ascii="Tahoma" w:hAnsi="Arial" w:eastAsia="仿宋_GB2312" w:cs="Times New Roman"/>
          <w:b/>
          <w:color w:val="000000"/>
          <w:kern w:val="0"/>
          <w:sz w:val="21"/>
          <w:szCs w:val="21"/>
        </w:rPr>
        <w:sectPr>
          <w:footerReference r:id="rId5" w:type="default"/>
          <w:pgSz w:w="11906" w:h="16838"/>
          <w:pgMar w:top="1450" w:right="1826" w:bottom="1451" w:left="1800" w:header="720" w:footer="602" w:gutter="0"/>
          <w:pgBorders>
            <w:top w:val="none" w:sz="0" w:space="0"/>
            <w:left w:val="none" w:sz="0" w:space="0"/>
            <w:bottom w:val="none" w:sz="0" w:space="0"/>
            <w:right w:val="none" w:sz="0" w:space="0"/>
          </w:pgBorders>
          <w:pgNumType w:fmt="decimal"/>
          <w:cols w:space="720" w:num="1"/>
        </w:sectPr>
      </w:pPr>
      <w:r>
        <w:br w:type="page"/>
      </w:r>
    </w:p>
    <w:p>
      <w:pPr>
        <w:adjustRightInd w:val="0"/>
        <w:snapToGrid w:val="0"/>
        <w:spacing w:after="0" w:afterLines="0" w:line="360" w:lineRule="auto"/>
        <w:rPr>
          <w:rFonts w:ascii="Tahoma" w:hAnsi="Arial" w:eastAsia="仿宋_GB2312" w:cs="Times New Roman"/>
          <w:b/>
          <w:color w:val="000000"/>
          <w:kern w:val="0"/>
          <w:sz w:val="21"/>
          <w:szCs w:val="21"/>
        </w:rPr>
      </w:pPr>
      <w:r>
        <w:rPr>
          <w:rFonts w:ascii="Tahoma" w:hAnsi="Arial" w:eastAsia="仿宋_GB2312" w:cs="Times New Roman"/>
          <w:b/>
          <w:color w:val="000000"/>
          <w:kern w:val="0"/>
          <w:sz w:val="21"/>
          <w:szCs w:val="21"/>
        </w:rPr>
        <w:t>表一</w:t>
      </w:r>
    </w:p>
    <w:tbl>
      <w:tblPr>
        <w:tblStyle w:val="17"/>
        <w:tblW w:w="8522" w:type="dxa"/>
        <w:jc w:val="center"/>
        <w:tblLayout w:type="fixed"/>
        <w:tblCellMar>
          <w:top w:w="37" w:type="dxa"/>
          <w:left w:w="107" w:type="dxa"/>
          <w:bottom w:w="0" w:type="dxa"/>
          <w:right w:w="108" w:type="dxa"/>
        </w:tblCellMar>
      </w:tblPr>
      <w:tblGrid>
        <w:gridCol w:w="1773"/>
        <w:gridCol w:w="2027"/>
        <w:gridCol w:w="2008"/>
        <w:gridCol w:w="956"/>
        <w:gridCol w:w="742"/>
        <w:gridCol w:w="1016"/>
      </w:tblGrid>
      <w:tr>
        <w:tblPrEx>
          <w:tblCellMar>
            <w:top w:w="37" w:type="dxa"/>
            <w:left w:w="107" w:type="dxa"/>
            <w:bottom w:w="0" w:type="dxa"/>
            <w:right w:w="108" w:type="dxa"/>
          </w:tblCellMar>
        </w:tblPrEx>
        <w:trPr>
          <w:trHeight w:val="439" w:hRule="atLeast"/>
          <w:jc w:val="center"/>
        </w:trPr>
        <w:tc>
          <w:tcPr>
            <w:tcW w:w="1773" w:type="dxa"/>
            <w:tcBorders>
              <w:top w:val="single" w:color="000000" w:sz="8" w:space="0"/>
              <w:left w:val="single" w:color="000000" w:sz="8" w:space="0"/>
              <w:bottom w:val="single" w:color="000000" w:sz="4" w:space="0"/>
              <w:right w:val="single" w:color="000000" w:sz="4" w:space="0"/>
            </w:tcBorders>
          </w:tcPr>
          <w:p>
            <w:pPr>
              <w:spacing w:after="0" w:line="240" w:lineRule="auto"/>
              <w:jc w:val="center"/>
              <w:rPr>
                <w:rFonts w:hint="eastAsia" w:ascii="宋体" w:hAnsi="宋体" w:eastAsia="宋体" w:cs="宋体"/>
                <w:sz w:val="24"/>
                <w:szCs w:val="24"/>
              </w:rPr>
            </w:pPr>
            <w:r>
              <w:rPr>
                <w:rFonts w:hint="eastAsia" w:ascii="宋体" w:hAnsi="宋体" w:eastAsia="宋体" w:cs="宋体"/>
                <w:sz w:val="24"/>
                <w:szCs w:val="24"/>
              </w:rPr>
              <w:t>建设项目名称</w:t>
            </w:r>
          </w:p>
        </w:tc>
        <w:tc>
          <w:tcPr>
            <w:tcW w:w="6749" w:type="dxa"/>
            <w:gridSpan w:val="5"/>
            <w:tcBorders>
              <w:top w:val="single" w:color="000000" w:sz="8" w:space="0"/>
              <w:left w:val="single" w:color="000000" w:sz="4" w:space="0"/>
              <w:bottom w:val="single" w:color="000000" w:sz="4" w:space="0"/>
              <w:right w:val="single" w:color="000000" w:sz="8" w:space="0"/>
            </w:tcBorders>
            <w:vAlign w:val="center"/>
          </w:tcPr>
          <w:p>
            <w:pPr>
              <w:spacing w:after="0" w:line="240" w:lineRule="auto"/>
              <w:rPr>
                <w:rFonts w:hint="eastAsia" w:ascii="Times New Roman" w:hAnsi="Times New Roman" w:eastAsia="宋体" w:cs="Times New Roman"/>
                <w:sz w:val="24"/>
                <w:szCs w:val="24"/>
                <w:lang w:val="en-GB" w:eastAsia="zh-CN"/>
              </w:rPr>
            </w:pPr>
            <w:r>
              <w:rPr>
                <w:rFonts w:hint="eastAsia" w:ascii="Times New Roman" w:hAnsi="Times New Roman" w:eastAsia="宋体" w:cs="Times New Roman"/>
                <w:sz w:val="24"/>
                <w:szCs w:val="24"/>
                <w:lang w:val="en-GB" w:eastAsia="zh-CN"/>
              </w:rPr>
              <w:t>年产2000套灯光雕刻、标示标牌喷漆喷塑生产线建设项目</w:t>
            </w:r>
          </w:p>
        </w:tc>
      </w:tr>
      <w:tr>
        <w:tblPrEx>
          <w:tblCellMar>
            <w:top w:w="37" w:type="dxa"/>
            <w:left w:w="107" w:type="dxa"/>
            <w:bottom w:w="0" w:type="dxa"/>
            <w:right w:w="108" w:type="dxa"/>
          </w:tblCellMar>
        </w:tblPrEx>
        <w:trPr>
          <w:trHeight w:val="450" w:hRule="atLeast"/>
          <w:jc w:val="center"/>
        </w:trPr>
        <w:tc>
          <w:tcPr>
            <w:tcW w:w="1773" w:type="dxa"/>
            <w:tcBorders>
              <w:top w:val="single" w:color="000000" w:sz="4" w:space="0"/>
              <w:left w:val="single" w:color="000000" w:sz="8" w:space="0"/>
              <w:bottom w:val="single" w:color="000000" w:sz="4" w:space="0"/>
              <w:right w:val="single" w:color="000000" w:sz="4" w:space="0"/>
            </w:tcBorders>
          </w:tcPr>
          <w:p>
            <w:pPr>
              <w:spacing w:after="0" w:line="240" w:lineRule="auto"/>
              <w:jc w:val="center"/>
              <w:rPr>
                <w:rFonts w:hint="eastAsia" w:ascii="宋体" w:hAnsi="宋体" w:eastAsia="宋体" w:cs="宋体"/>
                <w:sz w:val="24"/>
                <w:szCs w:val="24"/>
              </w:rPr>
            </w:pPr>
            <w:r>
              <w:rPr>
                <w:rFonts w:hint="eastAsia" w:ascii="宋体" w:hAnsi="宋体" w:eastAsia="宋体" w:cs="宋体"/>
                <w:sz w:val="24"/>
                <w:szCs w:val="24"/>
              </w:rPr>
              <w:t>建设单位名称</w:t>
            </w:r>
          </w:p>
        </w:tc>
        <w:tc>
          <w:tcPr>
            <w:tcW w:w="6749" w:type="dxa"/>
            <w:gridSpan w:val="5"/>
            <w:tcBorders>
              <w:top w:val="single" w:color="000000" w:sz="4" w:space="0"/>
              <w:left w:val="single" w:color="000000" w:sz="4" w:space="0"/>
              <w:bottom w:val="single" w:color="000000" w:sz="4" w:space="0"/>
              <w:right w:val="single" w:color="000000" w:sz="8" w:space="0"/>
            </w:tcBorders>
            <w:vAlign w:val="center"/>
          </w:tcPr>
          <w:p>
            <w:pPr>
              <w:spacing w:after="0" w:line="240" w:lineRule="auto"/>
              <w:rPr>
                <w:rFonts w:hint="eastAsia" w:ascii="Times New Roman" w:hAnsi="Times New Roman" w:eastAsia="宋体" w:cs="Times New Roman"/>
                <w:sz w:val="24"/>
                <w:szCs w:val="24"/>
                <w:lang w:val="en-GB" w:eastAsia="zh-CN"/>
              </w:rPr>
            </w:pPr>
            <w:r>
              <w:rPr>
                <w:rFonts w:hint="eastAsia" w:ascii="Times New Roman" w:hAnsi="Times New Roman" w:eastAsia="宋体" w:cs="Times New Roman"/>
                <w:sz w:val="24"/>
                <w:szCs w:val="24"/>
                <w:lang w:val="en-GB" w:eastAsia="zh-CN"/>
              </w:rPr>
              <w:t>鹤壁市广睿科技有限公司</w:t>
            </w:r>
          </w:p>
        </w:tc>
      </w:tr>
      <w:tr>
        <w:tblPrEx>
          <w:tblCellMar>
            <w:top w:w="37" w:type="dxa"/>
            <w:left w:w="107" w:type="dxa"/>
            <w:bottom w:w="0" w:type="dxa"/>
            <w:right w:w="108" w:type="dxa"/>
          </w:tblCellMar>
        </w:tblPrEx>
        <w:trPr>
          <w:trHeight w:val="404" w:hRule="atLeast"/>
          <w:jc w:val="center"/>
        </w:trPr>
        <w:tc>
          <w:tcPr>
            <w:tcW w:w="1773" w:type="dxa"/>
            <w:tcBorders>
              <w:top w:val="single" w:color="000000" w:sz="4" w:space="0"/>
              <w:left w:val="single" w:color="000000" w:sz="8" w:space="0"/>
              <w:bottom w:val="single" w:color="000000" w:sz="4" w:space="0"/>
              <w:right w:val="single" w:color="000000" w:sz="4" w:space="0"/>
            </w:tcBorders>
          </w:tcPr>
          <w:p>
            <w:pPr>
              <w:spacing w:after="0" w:line="240" w:lineRule="auto"/>
              <w:jc w:val="center"/>
              <w:rPr>
                <w:rFonts w:hint="eastAsia" w:ascii="宋体" w:hAnsi="宋体" w:eastAsia="宋体" w:cs="宋体"/>
                <w:sz w:val="24"/>
                <w:szCs w:val="24"/>
              </w:rPr>
            </w:pPr>
            <w:r>
              <w:rPr>
                <w:rFonts w:hint="eastAsia" w:ascii="宋体" w:hAnsi="宋体" w:eastAsia="宋体" w:cs="宋体"/>
                <w:sz w:val="24"/>
                <w:szCs w:val="24"/>
              </w:rPr>
              <w:t>建设项目性质</w:t>
            </w:r>
          </w:p>
        </w:tc>
        <w:tc>
          <w:tcPr>
            <w:tcW w:w="6749" w:type="dxa"/>
            <w:gridSpan w:val="5"/>
            <w:tcBorders>
              <w:top w:val="single" w:color="000000" w:sz="4" w:space="0"/>
              <w:left w:val="single" w:color="000000" w:sz="4" w:space="0"/>
              <w:bottom w:val="single" w:color="000000" w:sz="4" w:space="0"/>
              <w:right w:val="single" w:color="000000" w:sz="8" w:space="0"/>
            </w:tcBorders>
            <w:vAlign w:val="center"/>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t>新建 改扩建 √技改 迁建</w:t>
            </w:r>
          </w:p>
        </w:tc>
      </w:tr>
      <w:tr>
        <w:tblPrEx>
          <w:tblCellMar>
            <w:top w:w="37" w:type="dxa"/>
            <w:left w:w="107" w:type="dxa"/>
            <w:bottom w:w="0" w:type="dxa"/>
            <w:right w:w="108" w:type="dxa"/>
          </w:tblCellMar>
        </w:tblPrEx>
        <w:trPr>
          <w:trHeight w:val="409" w:hRule="atLeast"/>
          <w:jc w:val="center"/>
        </w:trPr>
        <w:tc>
          <w:tcPr>
            <w:tcW w:w="1773" w:type="dxa"/>
            <w:tcBorders>
              <w:top w:val="single" w:color="000000" w:sz="4" w:space="0"/>
              <w:left w:val="single" w:color="000000" w:sz="8" w:space="0"/>
              <w:bottom w:val="single" w:color="000000" w:sz="4" w:space="0"/>
              <w:right w:val="single" w:color="000000" w:sz="4" w:space="0"/>
            </w:tcBorders>
            <w:vAlign w:val="center"/>
          </w:tcPr>
          <w:p>
            <w:pP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建设地点</w:t>
            </w:r>
          </w:p>
        </w:tc>
        <w:tc>
          <w:tcPr>
            <w:tcW w:w="6749" w:type="dxa"/>
            <w:gridSpan w:val="5"/>
            <w:tcBorders>
              <w:top w:val="single" w:color="000000" w:sz="4" w:space="0"/>
              <w:left w:val="single" w:color="000000" w:sz="4" w:space="0"/>
              <w:bottom w:val="single" w:color="000000" w:sz="4" w:space="0"/>
              <w:right w:val="single" w:color="000000" w:sz="8" w:space="0"/>
            </w:tcBorders>
            <w:vAlign w:val="center"/>
          </w:tcPr>
          <w:p>
            <w:pPr>
              <w:spacing w:after="0" w:line="240" w:lineRule="auto"/>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val="en-GB" w:eastAsia="zh-CN"/>
              </w:rPr>
              <w:t>鹤壁市淇滨区锯桥镇冢儿章村原宏光节能建材厂内</w:t>
            </w:r>
          </w:p>
        </w:tc>
      </w:tr>
      <w:tr>
        <w:tblPrEx>
          <w:tblCellMar>
            <w:top w:w="37" w:type="dxa"/>
            <w:left w:w="107" w:type="dxa"/>
            <w:bottom w:w="0" w:type="dxa"/>
            <w:right w:w="108" w:type="dxa"/>
          </w:tblCellMar>
        </w:tblPrEx>
        <w:trPr>
          <w:trHeight w:val="330" w:hRule="atLeast"/>
          <w:jc w:val="center"/>
        </w:trPr>
        <w:tc>
          <w:tcPr>
            <w:tcW w:w="1773" w:type="dxa"/>
            <w:tcBorders>
              <w:top w:val="single" w:color="000000" w:sz="4" w:space="0"/>
              <w:left w:val="single" w:color="000000" w:sz="8" w:space="0"/>
              <w:bottom w:val="single" w:color="000000" w:sz="4" w:space="0"/>
              <w:right w:val="single" w:color="000000" w:sz="4" w:space="0"/>
            </w:tcBorders>
          </w:tcPr>
          <w:p>
            <w:pPr>
              <w:spacing w:after="0" w:line="240" w:lineRule="auto"/>
              <w:jc w:val="center"/>
              <w:rPr>
                <w:rFonts w:hint="eastAsia" w:ascii="宋体" w:hAnsi="宋体" w:eastAsia="宋体" w:cs="宋体"/>
                <w:sz w:val="24"/>
                <w:szCs w:val="24"/>
              </w:rPr>
            </w:pPr>
            <w:r>
              <w:rPr>
                <w:rFonts w:hint="eastAsia" w:ascii="宋体" w:hAnsi="宋体" w:eastAsia="宋体" w:cs="宋体"/>
                <w:sz w:val="24"/>
                <w:szCs w:val="24"/>
              </w:rPr>
              <w:t>主要产品名称</w:t>
            </w:r>
          </w:p>
        </w:tc>
        <w:tc>
          <w:tcPr>
            <w:tcW w:w="6749" w:type="dxa"/>
            <w:gridSpan w:val="5"/>
            <w:tcBorders>
              <w:top w:val="single" w:color="000000" w:sz="4" w:space="0"/>
              <w:left w:val="single" w:color="000000" w:sz="4" w:space="0"/>
              <w:bottom w:val="single" w:color="000000" w:sz="4" w:space="0"/>
              <w:right w:val="single" w:color="000000" w:sz="8" w:space="0"/>
            </w:tcBorders>
            <w:vAlign w:val="center"/>
          </w:tcPr>
          <w:p>
            <w:pPr>
              <w:spacing w:after="0" w:line="240" w:lineRule="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年产</w:t>
            </w:r>
            <w:r>
              <w:rPr>
                <w:rFonts w:hint="eastAsia" w:ascii="Times New Roman" w:hAnsi="Times New Roman" w:eastAsia="宋体" w:cs="Times New Roman"/>
                <w:sz w:val="24"/>
                <w:szCs w:val="24"/>
                <w:lang w:val="en-GB" w:eastAsia="zh-CN"/>
              </w:rPr>
              <w:t>2000套灯光雕刻、标示标牌，</w:t>
            </w:r>
            <w:r>
              <w:rPr>
                <w:rFonts w:hint="eastAsia" w:ascii="Times New Roman" w:hAnsi="Times New Roman" w:eastAsia="宋体" w:cs="Times New Roman"/>
                <w:sz w:val="24"/>
                <w:szCs w:val="24"/>
                <w:lang w:val="en-US" w:eastAsia="zh-CN"/>
              </w:rPr>
              <w:t>并对</w:t>
            </w:r>
            <w:r>
              <w:rPr>
                <w:rFonts w:hint="eastAsia" w:ascii="Times New Roman" w:hAnsi="Times New Roman" w:eastAsia="宋体" w:cs="Times New Roman"/>
                <w:sz w:val="24"/>
                <w:szCs w:val="24"/>
                <w:lang w:val="en-GB" w:eastAsia="zh-CN"/>
              </w:rPr>
              <w:t>2000套</w:t>
            </w:r>
            <w:r>
              <w:rPr>
                <w:rFonts w:hint="eastAsia" w:ascii="Times New Roman" w:hAnsi="Times New Roman" w:eastAsia="宋体" w:cs="Times New Roman"/>
                <w:sz w:val="24"/>
                <w:szCs w:val="24"/>
                <w:lang w:val="en-US" w:eastAsia="zh-CN"/>
              </w:rPr>
              <w:t>产品</w:t>
            </w:r>
            <w:r>
              <w:rPr>
                <w:rFonts w:hint="eastAsia" w:ascii="Times New Roman" w:hAnsi="Times New Roman" w:eastAsia="宋体" w:cs="Times New Roman"/>
                <w:sz w:val="24"/>
                <w:szCs w:val="24"/>
                <w:lang w:val="en-GB" w:eastAsia="zh-CN"/>
              </w:rPr>
              <w:t>喷漆</w:t>
            </w:r>
            <w:r>
              <w:rPr>
                <w:rFonts w:hint="eastAsia" w:ascii="Times New Roman" w:hAnsi="Times New Roman" w:eastAsia="宋体" w:cs="Times New Roman"/>
                <w:sz w:val="24"/>
                <w:szCs w:val="24"/>
                <w:lang w:val="en-US" w:eastAsia="zh-CN"/>
              </w:rPr>
              <w:t>或</w:t>
            </w:r>
            <w:r>
              <w:rPr>
                <w:rFonts w:hint="eastAsia" w:ascii="Times New Roman" w:hAnsi="Times New Roman" w:eastAsia="宋体" w:cs="Times New Roman"/>
                <w:sz w:val="24"/>
                <w:szCs w:val="24"/>
                <w:lang w:val="en-GB" w:eastAsia="zh-CN"/>
              </w:rPr>
              <w:t>喷塑</w:t>
            </w:r>
          </w:p>
        </w:tc>
      </w:tr>
      <w:tr>
        <w:tblPrEx>
          <w:tblCellMar>
            <w:top w:w="37" w:type="dxa"/>
            <w:left w:w="107" w:type="dxa"/>
            <w:bottom w:w="0" w:type="dxa"/>
            <w:right w:w="108" w:type="dxa"/>
          </w:tblCellMar>
        </w:tblPrEx>
        <w:trPr>
          <w:trHeight w:val="338" w:hRule="atLeast"/>
          <w:jc w:val="center"/>
        </w:trPr>
        <w:tc>
          <w:tcPr>
            <w:tcW w:w="1773" w:type="dxa"/>
            <w:tcBorders>
              <w:top w:val="single" w:color="000000" w:sz="4" w:space="0"/>
              <w:left w:val="single" w:color="000000" w:sz="8" w:space="0"/>
              <w:bottom w:val="single" w:color="000000" w:sz="4" w:space="0"/>
              <w:right w:val="single" w:color="000000" w:sz="4" w:space="0"/>
            </w:tcBorders>
          </w:tcPr>
          <w:p>
            <w:pPr>
              <w:spacing w:after="0" w:line="240" w:lineRule="auto"/>
              <w:jc w:val="center"/>
              <w:rPr>
                <w:rFonts w:hint="eastAsia" w:ascii="宋体" w:hAnsi="宋体" w:eastAsia="宋体" w:cs="宋体"/>
                <w:sz w:val="24"/>
                <w:szCs w:val="24"/>
              </w:rPr>
            </w:pPr>
            <w:r>
              <w:rPr>
                <w:rFonts w:hint="eastAsia" w:ascii="宋体" w:hAnsi="宋体" w:eastAsia="宋体" w:cs="宋体"/>
                <w:sz w:val="24"/>
                <w:szCs w:val="24"/>
              </w:rPr>
              <w:t>设计生产能力</w:t>
            </w:r>
          </w:p>
        </w:tc>
        <w:tc>
          <w:tcPr>
            <w:tcW w:w="6749" w:type="dxa"/>
            <w:gridSpan w:val="5"/>
            <w:tcBorders>
              <w:top w:val="single" w:color="000000" w:sz="4" w:space="0"/>
              <w:left w:val="single" w:color="000000" w:sz="4" w:space="0"/>
              <w:bottom w:val="single" w:color="000000" w:sz="4" w:space="0"/>
              <w:right w:val="single" w:color="000000" w:sz="8" w:space="0"/>
            </w:tcBorders>
            <w:vAlign w:val="center"/>
          </w:tcPr>
          <w:p>
            <w:pPr>
              <w:spacing w:after="0" w:line="240" w:lineRule="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年产</w:t>
            </w:r>
            <w:r>
              <w:rPr>
                <w:rFonts w:hint="eastAsia" w:ascii="Times New Roman" w:hAnsi="Times New Roman" w:eastAsia="宋体" w:cs="Times New Roman"/>
                <w:sz w:val="24"/>
                <w:szCs w:val="24"/>
                <w:lang w:val="en-GB" w:eastAsia="zh-CN"/>
              </w:rPr>
              <w:t>2000套灯光雕刻、标示标牌，</w:t>
            </w:r>
            <w:r>
              <w:rPr>
                <w:rFonts w:hint="eastAsia" w:ascii="Times New Roman" w:hAnsi="Times New Roman" w:eastAsia="宋体" w:cs="Times New Roman"/>
                <w:sz w:val="24"/>
                <w:szCs w:val="24"/>
                <w:lang w:val="en-US" w:eastAsia="zh-CN"/>
              </w:rPr>
              <w:t>并对</w:t>
            </w:r>
            <w:r>
              <w:rPr>
                <w:rFonts w:hint="eastAsia" w:ascii="Times New Roman" w:hAnsi="Times New Roman" w:eastAsia="宋体" w:cs="Times New Roman"/>
                <w:sz w:val="24"/>
                <w:szCs w:val="24"/>
                <w:lang w:val="en-GB" w:eastAsia="zh-CN"/>
              </w:rPr>
              <w:t>2000套</w:t>
            </w:r>
            <w:r>
              <w:rPr>
                <w:rFonts w:hint="eastAsia" w:ascii="Times New Roman" w:hAnsi="Times New Roman" w:eastAsia="宋体" w:cs="Times New Roman"/>
                <w:sz w:val="24"/>
                <w:szCs w:val="24"/>
                <w:lang w:val="en-US" w:eastAsia="zh-CN"/>
              </w:rPr>
              <w:t>产品</w:t>
            </w:r>
            <w:r>
              <w:rPr>
                <w:rFonts w:hint="eastAsia" w:ascii="Times New Roman" w:hAnsi="Times New Roman" w:eastAsia="宋体" w:cs="Times New Roman"/>
                <w:sz w:val="24"/>
                <w:szCs w:val="24"/>
                <w:lang w:val="en-GB" w:eastAsia="zh-CN"/>
              </w:rPr>
              <w:t>喷漆</w:t>
            </w:r>
            <w:r>
              <w:rPr>
                <w:rFonts w:hint="eastAsia" w:ascii="Times New Roman" w:hAnsi="Times New Roman" w:eastAsia="宋体" w:cs="Times New Roman"/>
                <w:sz w:val="24"/>
                <w:szCs w:val="24"/>
                <w:lang w:val="en-US" w:eastAsia="zh-CN"/>
              </w:rPr>
              <w:t>或</w:t>
            </w:r>
            <w:r>
              <w:rPr>
                <w:rFonts w:hint="eastAsia" w:ascii="Times New Roman" w:hAnsi="Times New Roman" w:eastAsia="宋体" w:cs="Times New Roman"/>
                <w:sz w:val="24"/>
                <w:szCs w:val="24"/>
                <w:lang w:val="en-GB" w:eastAsia="zh-CN"/>
              </w:rPr>
              <w:t>喷塑</w:t>
            </w:r>
          </w:p>
        </w:tc>
      </w:tr>
      <w:tr>
        <w:tblPrEx>
          <w:tblCellMar>
            <w:top w:w="37" w:type="dxa"/>
            <w:left w:w="107" w:type="dxa"/>
            <w:bottom w:w="0" w:type="dxa"/>
            <w:right w:w="108" w:type="dxa"/>
          </w:tblCellMar>
        </w:tblPrEx>
        <w:trPr>
          <w:trHeight w:val="372" w:hRule="atLeast"/>
          <w:jc w:val="center"/>
        </w:trPr>
        <w:tc>
          <w:tcPr>
            <w:tcW w:w="1773" w:type="dxa"/>
            <w:tcBorders>
              <w:top w:val="single" w:color="000000" w:sz="4" w:space="0"/>
              <w:left w:val="single" w:color="000000" w:sz="8" w:space="0"/>
              <w:bottom w:val="single" w:color="000000" w:sz="4" w:space="0"/>
              <w:right w:val="single" w:color="000000" w:sz="4" w:space="0"/>
            </w:tcBorders>
          </w:tcPr>
          <w:p>
            <w:pPr>
              <w:spacing w:after="0" w:line="240" w:lineRule="auto"/>
              <w:jc w:val="center"/>
              <w:rPr>
                <w:rFonts w:hint="eastAsia" w:ascii="宋体" w:hAnsi="宋体" w:eastAsia="宋体" w:cs="宋体"/>
                <w:sz w:val="24"/>
                <w:szCs w:val="24"/>
              </w:rPr>
            </w:pPr>
            <w:r>
              <w:rPr>
                <w:rFonts w:hint="eastAsia" w:ascii="宋体" w:hAnsi="宋体" w:eastAsia="宋体" w:cs="宋体"/>
                <w:sz w:val="24"/>
                <w:szCs w:val="24"/>
              </w:rPr>
              <w:t>实际生产能力</w:t>
            </w:r>
          </w:p>
        </w:tc>
        <w:tc>
          <w:tcPr>
            <w:tcW w:w="6749" w:type="dxa"/>
            <w:gridSpan w:val="5"/>
            <w:tcBorders>
              <w:top w:val="single" w:color="000000" w:sz="4" w:space="0"/>
              <w:left w:val="single" w:color="000000" w:sz="4" w:space="0"/>
              <w:bottom w:val="single" w:color="000000" w:sz="4" w:space="0"/>
              <w:right w:val="single" w:color="000000" w:sz="8" w:space="0"/>
            </w:tcBorders>
            <w:vAlign w:val="center"/>
          </w:tcPr>
          <w:p>
            <w:pPr>
              <w:spacing w:after="0" w:line="240" w:lineRule="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年产</w:t>
            </w:r>
            <w:r>
              <w:rPr>
                <w:rFonts w:hint="eastAsia" w:ascii="Times New Roman" w:hAnsi="Times New Roman" w:eastAsia="宋体" w:cs="Times New Roman"/>
                <w:sz w:val="24"/>
                <w:szCs w:val="24"/>
                <w:lang w:val="en-GB" w:eastAsia="zh-CN"/>
              </w:rPr>
              <w:t>2000套灯光雕刻、标示标牌，</w:t>
            </w:r>
            <w:r>
              <w:rPr>
                <w:rFonts w:hint="eastAsia" w:ascii="Times New Roman" w:hAnsi="Times New Roman" w:eastAsia="宋体" w:cs="Times New Roman"/>
                <w:sz w:val="24"/>
                <w:szCs w:val="24"/>
                <w:lang w:val="en-US" w:eastAsia="zh-CN"/>
              </w:rPr>
              <w:t>并对</w:t>
            </w:r>
            <w:r>
              <w:rPr>
                <w:rFonts w:hint="eastAsia" w:ascii="Times New Roman" w:hAnsi="Times New Roman" w:eastAsia="宋体" w:cs="Times New Roman"/>
                <w:sz w:val="24"/>
                <w:szCs w:val="24"/>
                <w:lang w:val="en-GB" w:eastAsia="zh-CN"/>
              </w:rPr>
              <w:t>2000套</w:t>
            </w:r>
            <w:r>
              <w:rPr>
                <w:rFonts w:hint="eastAsia" w:ascii="Times New Roman" w:hAnsi="Times New Roman" w:eastAsia="宋体" w:cs="Times New Roman"/>
                <w:sz w:val="24"/>
                <w:szCs w:val="24"/>
                <w:lang w:val="en-US" w:eastAsia="zh-CN"/>
              </w:rPr>
              <w:t>产品</w:t>
            </w:r>
            <w:r>
              <w:rPr>
                <w:rFonts w:hint="eastAsia" w:ascii="Times New Roman" w:hAnsi="Times New Roman" w:eastAsia="宋体" w:cs="Times New Roman"/>
                <w:sz w:val="24"/>
                <w:szCs w:val="24"/>
                <w:lang w:val="en-GB" w:eastAsia="zh-CN"/>
              </w:rPr>
              <w:t>喷漆</w:t>
            </w:r>
            <w:r>
              <w:rPr>
                <w:rFonts w:hint="eastAsia" w:ascii="Times New Roman" w:hAnsi="Times New Roman" w:eastAsia="宋体" w:cs="Times New Roman"/>
                <w:sz w:val="24"/>
                <w:szCs w:val="24"/>
                <w:lang w:val="en-US" w:eastAsia="zh-CN"/>
              </w:rPr>
              <w:t>或</w:t>
            </w:r>
            <w:r>
              <w:rPr>
                <w:rFonts w:hint="eastAsia" w:ascii="Times New Roman" w:hAnsi="Times New Roman" w:eastAsia="宋体" w:cs="Times New Roman"/>
                <w:sz w:val="24"/>
                <w:szCs w:val="24"/>
                <w:lang w:val="en-GB" w:eastAsia="zh-CN"/>
              </w:rPr>
              <w:t>喷塑</w:t>
            </w:r>
          </w:p>
        </w:tc>
      </w:tr>
      <w:tr>
        <w:tblPrEx>
          <w:tblCellMar>
            <w:top w:w="37" w:type="dxa"/>
            <w:left w:w="107" w:type="dxa"/>
            <w:bottom w:w="0" w:type="dxa"/>
            <w:right w:w="108" w:type="dxa"/>
          </w:tblCellMar>
        </w:tblPrEx>
        <w:trPr>
          <w:trHeight w:val="632" w:hRule="atLeast"/>
          <w:jc w:val="center"/>
        </w:trPr>
        <w:tc>
          <w:tcPr>
            <w:tcW w:w="1773" w:type="dxa"/>
            <w:tcBorders>
              <w:top w:val="single" w:color="000000" w:sz="4" w:space="0"/>
              <w:left w:val="single" w:color="000000" w:sz="8" w:space="0"/>
              <w:bottom w:val="single" w:color="000000" w:sz="4" w:space="0"/>
              <w:right w:val="single" w:color="000000" w:sz="4" w:space="0"/>
            </w:tcBorders>
          </w:tcPr>
          <w:p>
            <w:pPr>
              <w:spacing w:after="0" w:line="240" w:lineRule="auto"/>
              <w:jc w:val="center"/>
              <w:rPr>
                <w:rFonts w:hint="eastAsia" w:ascii="宋体" w:hAnsi="宋体" w:eastAsia="宋体" w:cs="宋体"/>
                <w:sz w:val="24"/>
                <w:szCs w:val="24"/>
              </w:rPr>
            </w:pPr>
            <w:r>
              <w:rPr>
                <w:rFonts w:hint="eastAsia" w:ascii="宋体" w:hAnsi="宋体" w:eastAsia="宋体" w:cs="宋体"/>
                <w:sz w:val="24"/>
                <w:szCs w:val="24"/>
              </w:rPr>
              <w:t>建设项目环评时间</w:t>
            </w:r>
          </w:p>
        </w:tc>
        <w:tc>
          <w:tcPr>
            <w:tcW w:w="2027" w:type="dxa"/>
            <w:tcBorders>
              <w:top w:val="single" w:color="000000" w:sz="4" w:space="0"/>
              <w:left w:val="single" w:color="000000" w:sz="4" w:space="0"/>
              <w:bottom w:val="single" w:color="000000" w:sz="4" w:space="0"/>
              <w:right w:val="single" w:color="000000" w:sz="4" w:space="0"/>
            </w:tcBorders>
            <w:vAlign w:val="center"/>
          </w:tcPr>
          <w:p>
            <w:pPr>
              <w:spacing w:after="0" w:line="240" w:lineRule="auto"/>
              <w:ind w:left="1"/>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20</w:t>
            </w:r>
            <w:r>
              <w:rPr>
                <w:rFonts w:hint="eastAsia" w:ascii="宋体" w:hAnsi="宋体" w:eastAsia="宋体" w:cs="宋体"/>
                <w:sz w:val="24"/>
                <w:szCs w:val="24"/>
                <w:lang w:val="en-US" w:eastAsia="zh-CN"/>
              </w:rPr>
              <w:t>21</w:t>
            </w:r>
            <w:r>
              <w:rPr>
                <w:rFonts w:hint="eastAsia" w:ascii="宋体" w:hAnsi="宋体" w:eastAsia="宋体" w:cs="宋体"/>
                <w:sz w:val="24"/>
                <w:szCs w:val="24"/>
                <w:lang w:eastAsia="zh-CN"/>
              </w:rPr>
              <w:t>-0</w:t>
            </w:r>
            <w:r>
              <w:rPr>
                <w:rFonts w:hint="eastAsia" w:ascii="宋体" w:hAnsi="宋体" w:eastAsia="宋体" w:cs="宋体"/>
                <w:sz w:val="24"/>
                <w:szCs w:val="24"/>
                <w:lang w:val="en-US" w:eastAsia="zh-CN"/>
              </w:rPr>
              <w:t>6</w:t>
            </w:r>
          </w:p>
        </w:tc>
        <w:tc>
          <w:tcPr>
            <w:tcW w:w="2008" w:type="dxa"/>
            <w:tcBorders>
              <w:top w:val="single" w:color="000000" w:sz="4" w:space="0"/>
              <w:left w:val="single" w:color="000000" w:sz="4" w:space="0"/>
              <w:bottom w:val="single" w:color="000000" w:sz="4" w:space="0"/>
              <w:right w:val="single" w:color="000000" w:sz="4" w:space="0"/>
            </w:tcBorders>
            <w:vAlign w:val="center"/>
          </w:tcPr>
          <w:p>
            <w:pPr>
              <w:spacing w:after="0" w:line="240" w:lineRule="auto"/>
              <w:ind w:left="178"/>
              <w:rPr>
                <w:rFonts w:hint="eastAsia" w:ascii="宋体" w:hAnsi="宋体" w:eastAsia="宋体" w:cs="宋体"/>
                <w:sz w:val="24"/>
                <w:szCs w:val="24"/>
              </w:rPr>
            </w:pPr>
            <w:r>
              <w:rPr>
                <w:rFonts w:hint="eastAsia" w:ascii="宋体" w:hAnsi="宋体" w:eastAsia="宋体" w:cs="宋体"/>
                <w:sz w:val="24"/>
                <w:szCs w:val="24"/>
              </w:rPr>
              <w:t>开工建设时间</w:t>
            </w:r>
          </w:p>
        </w:tc>
        <w:tc>
          <w:tcPr>
            <w:tcW w:w="2714" w:type="dxa"/>
            <w:gridSpan w:val="3"/>
            <w:tcBorders>
              <w:top w:val="single" w:color="000000" w:sz="4" w:space="0"/>
              <w:left w:val="single" w:color="000000" w:sz="4" w:space="0"/>
              <w:bottom w:val="single" w:color="000000" w:sz="4" w:space="0"/>
              <w:right w:val="single" w:color="000000" w:sz="8" w:space="0"/>
            </w:tcBorders>
            <w:vAlign w:val="center"/>
          </w:tcPr>
          <w:p>
            <w:pPr>
              <w:spacing w:after="0" w:line="240" w:lineRule="auto"/>
              <w:ind w:left="1"/>
              <w:jc w:val="center"/>
              <w:rPr>
                <w:rFonts w:hint="default" w:ascii="宋体" w:hAnsi="宋体" w:eastAsia="宋体" w:cs="宋体"/>
                <w:sz w:val="24"/>
                <w:szCs w:val="24"/>
                <w:lang w:val="en-US" w:eastAsia="zh-CN"/>
              </w:rPr>
            </w:pPr>
            <w:r>
              <w:rPr>
                <w:rFonts w:hint="eastAsia" w:ascii="宋体" w:hAnsi="宋体" w:eastAsia="宋体" w:cs="宋体"/>
                <w:color w:val="auto"/>
                <w:kern w:val="2"/>
                <w:sz w:val="24"/>
                <w:szCs w:val="24"/>
                <w:lang w:val="en-US" w:eastAsia="zh-CN" w:bidi="ar-SA"/>
              </w:rPr>
              <w:t>2021-8</w:t>
            </w:r>
          </w:p>
        </w:tc>
      </w:tr>
      <w:tr>
        <w:tblPrEx>
          <w:tblCellMar>
            <w:top w:w="37" w:type="dxa"/>
            <w:left w:w="107" w:type="dxa"/>
            <w:bottom w:w="0" w:type="dxa"/>
            <w:right w:w="108" w:type="dxa"/>
          </w:tblCellMar>
        </w:tblPrEx>
        <w:trPr>
          <w:trHeight w:val="633" w:hRule="atLeast"/>
          <w:jc w:val="center"/>
        </w:trPr>
        <w:tc>
          <w:tcPr>
            <w:tcW w:w="1773" w:type="dxa"/>
            <w:tcBorders>
              <w:top w:val="single" w:color="000000" w:sz="4" w:space="0"/>
              <w:left w:val="single" w:color="000000" w:sz="8" w:space="0"/>
              <w:bottom w:val="single" w:color="000000" w:sz="4" w:space="0"/>
              <w:right w:val="single" w:color="000000" w:sz="4" w:space="0"/>
            </w:tcBorders>
            <w:vAlign w:val="center"/>
          </w:tcPr>
          <w:p>
            <w:pPr>
              <w:spacing w:after="0" w:line="240" w:lineRule="auto"/>
              <w:ind w:left="35"/>
              <w:jc w:val="both"/>
              <w:rPr>
                <w:rFonts w:hint="eastAsia" w:ascii="宋体" w:hAnsi="宋体" w:eastAsia="宋体" w:cs="宋体"/>
                <w:sz w:val="24"/>
                <w:szCs w:val="24"/>
              </w:rPr>
            </w:pPr>
            <w:r>
              <w:rPr>
                <w:rFonts w:hint="eastAsia" w:ascii="宋体" w:hAnsi="宋体" w:eastAsia="宋体" w:cs="宋体"/>
                <w:sz w:val="24"/>
                <w:szCs w:val="24"/>
              </w:rPr>
              <w:t>调试时间</w:t>
            </w:r>
          </w:p>
        </w:tc>
        <w:tc>
          <w:tcPr>
            <w:tcW w:w="2027" w:type="dxa"/>
            <w:tcBorders>
              <w:top w:val="single" w:color="000000" w:sz="4" w:space="0"/>
              <w:left w:val="single" w:color="000000" w:sz="4" w:space="0"/>
              <w:bottom w:val="single" w:color="000000" w:sz="4" w:space="0"/>
              <w:right w:val="single" w:color="000000" w:sz="4" w:space="0"/>
            </w:tcBorders>
            <w:vAlign w:val="center"/>
          </w:tcPr>
          <w:p>
            <w:pPr>
              <w:spacing w:after="0" w:line="240" w:lineRule="auto"/>
              <w:ind w:left="1"/>
              <w:jc w:val="center"/>
              <w:rPr>
                <w:rFonts w:hint="default" w:ascii="宋体" w:hAnsi="宋体" w:eastAsia="宋体" w:cs="宋体"/>
                <w:sz w:val="24"/>
                <w:szCs w:val="24"/>
                <w:lang w:val="en-US" w:eastAsia="zh-CN"/>
              </w:rPr>
            </w:pPr>
            <w:r>
              <w:rPr>
                <w:rFonts w:hint="eastAsia" w:ascii="宋体" w:hAnsi="宋体" w:eastAsia="宋体" w:cs="宋体"/>
                <w:color w:val="auto"/>
                <w:kern w:val="2"/>
                <w:sz w:val="24"/>
                <w:szCs w:val="24"/>
                <w:lang w:val="en-US" w:eastAsia="zh-CN" w:bidi="ar-SA"/>
              </w:rPr>
              <w:t>2021-11-26</w:t>
            </w:r>
          </w:p>
        </w:tc>
        <w:tc>
          <w:tcPr>
            <w:tcW w:w="2008"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hint="eastAsia" w:ascii="宋体" w:hAnsi="宋体" w:eastAsia="宋体" w:cs="宋体"/>
                <w:sz w:val="24"/>
                <w:szCs w:val="24"/>
              </w:rPr>
            </w:pPr>
            <w:r>
              <w:rPr>
                <w:rFonts w:hint="eastAsia" w:ascii="宋体" w:hAnsi="宋体" w:eastAsia="宋体" w:cs="宋体"/>
                <w:sz w:val="24"/>
                <w:szCs w:val="24"/>
              </w:rPr>
              <w:t>验收现场监测时间</w:t>
            </w:r>
          </w:p>
        </w:tc>
        <w:tc>
          <w:tcPr>
            <w:tcW w:w="2714" w:type="dxa"/>
            <w:gridSpan w:val="3"/>
            <w:tcBorders>
              <w:top w:val="single" w:color="000000" w:sz="4" w:space="0"/>
              <w:left w:val="single" w:color="000000" w:sz="4" w:space="0"/>
              <w:bottom w:val="single" w:color="000000" w:sz="4" w:space="0"/>
              <w:right w:val="single" w:color="000000" w:sz="8" w:space="0"/>
            </w:tcBorders>
            <w:vAlign w:val="center"/>
          </w:tcPr>
          <w:p>
            <w:pPr>
              <w:spacing w:after="0" w:line="240" w:lineRule="auto"/>
              <w:ind w:left="1"/>
              <w:jc w:val="center"/>
              <w:rPr>
                <w:rFonts w:hint="default" w:ascii="宋体" w:hAnsi="宋体" w:eastAsia="宋体" w:cs="宋体"/>
                <w:sz w:val="24"/>
                <w:szCs w:val="24"/>
                <w:lang w:val="en-US" w:eastAsia="zh-CN"/>
              </w:rPr>
            </w:pPr>
            <w:r>
              <w:rPr>
                <w:rFonts w:hint="eastAsia" w:ascii="宋体" w:hAnsi="宋体" w:eastAsia="宋体" w:cs="宋体"/>
                <w:color w:val="auto"/>
                <w:sz w:val="24"/>
                <w:szCs w:val="24"/>
                <w:lang w:eastAsia="zh-CN"/>
              </w:rPr>
              <w:t>20</w:t>
            </w:r>
            <w:r>
              <w:rPr>
                <w:rFonts w:hint="eastAsia" w:ascii="宋体" w:hAnsi="宋体" w:eastAsia="宋体" w:cs="宋体"/>
                <w:color w:val="auto"/>
                <w:sz w:val="24"/>
                <w:szCs w:val="24"/>
                <w:lang w:val="en-US" w:eastAsia="zh-CN"/>
              </w:rPr>
              <w:t>21</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lang w:val="en-US" w:eastAsia="zh-CN"/>
              </w:rPr>
              <w:t>12月15日-16日</w:t>
            </w:r>
          </w:p>
        </w:tc>
      </w:tr>
      <w:tr>
        <w:tblPrEx>
          <w:tblCellMar>
            <w:top w:w="37" w:type="dxa"/>
            <w:left w:w="107" w:type="dxa"/>
            <w:bottom w:w="0" w:type="dxa"/>
            <w:right w:w="108" w:type="dxa"/>
          </w:tblCellMar>
        </w:tblPrEx>
        <w:trPr>
          <w:trHeight w:val="943" w:hRule="atLeast"/>
          <w:jc w:val="center"/>
        </w:trPr>
        <w:tc>
          <w:tcPr>
            <w:tcW w:w="1773" w:type="dxa"/>
            <w:tcBorders>
              <w:top w:val="single" w:color="000000" w:sz="4" w:space="0"/>
              <w:left w:val="single" w:color="000000" w:sz="8" w:space="0"/>
              <w:bottom w:val="single" w:color="000000" w:sz="4" w:space="0"/>
              <w:right w:val="single" w:color="000000" w:sz="4" w:space="0"/>
            </w:tcBorders>
          </w:tcPr>
          <w:p>
            <w:pPr>
              <w:spacing w:after="0" w:line="240" w:lineRule="auto"/>
              <w:jc w:val="center"/>
              <w:rPr>
                <w:rFonts w:hint="eastAsia" w:ascii="宋体" w:hAnsi="宋体" w:eastAsia="宋体" w:cs="宋体"/>
                <w:sz w:val="24"/>
                <w:szCs w:val="24"/>
              </w:rPr>
            </w:pPr>
            <w:r>
              <w:rPr>
                <w:rFonts w:hint="eastAsia" w:ascii="宋体" w:hAnsi="宋体" w:eastAsia="宋体" w:cs="宋体"/>
                <w:sz w:val="24"/>
                <w:szCs w:val="24"/>
              </w:rPr>
              <w:t>环评报告</w:t>
            </w:r>
            <w:r>
              <w:rPr>
                <w:rFonts w:hint="eastAsia" w:ascii="宋体" w:hAnsi="宋体" w:eastAsia="宋体" w:cs="宋体"/>
                <w:sz w:val="24"/>
                <w:szCs w:val="24"/>
                <w:lang w:val="en-US" w:eastAsia="zh-CN"/>
              </w:rPr>
              <w:t>书</w:t>
            </w:r>
            <w:r>
              <w:rPr>
                <w:rFonts w:hint="eastAsia" w:ascii="宋体" w:hAnsi="宋体" w:eastAsia="宋体" w:cs="宋体"/>
                <w:sz w:val="24"/>
                <w:szCs w:val="24"/>
              </w:rPr>
              <w:t>审批部门</w:t>
            </w:r>
          </w:p>
        </w:tc>
        <w:tc>
          <w:tcPr>
            <w:tcW w:w="2027" w:type="dxa"/>
            <w:tcBorders>
              <w:top w:val="single" w:color="000000" w:sz="4" w:space="0"/>
              <w:left w:val="single" w:color="000000" w:sz="4" w:space="0"/>
              <w:bottom w:val="single" w:color="000000" w:sz="4" w:space="0"/>
              <w:right w:val="single" w:color="000000" w:sz="4" w:space="0"/>
            </w:tcBorders>
            <w:vAlign w:val="center"/>
          </w:tcPr>
          <w:p>
            <w:pPr>
              <w:spacing w:after="0"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鹤壁市生态环境</w:t>
            </w:r>
            <w:r>
              <w:rPr>
                <w:rFonts w:hint="eastAsia" w:ascii="宋体" w:hAnsi="宋体" w:eastAsia="宋体" w:cs="宋体"/>
                <w:sz w:val="24"/>
                <w:szCs w:val="24"/>
                <w:lang w:eastAsia="zh-CN"/>
              </w:rPr>
              <w:t>局</w:t>
            </w:r>
          </w:p>
        </w:tc>
        <w:tc>
          <w:tcPr>
            <w:tcW w:w="2008" w:type="dxa"/>
            <w:tcBorders>
              <w:top w:val="single" w:color="000000" w:sz="4" w:space="0"/>
              <w:left w:val="single" w:color="000000" w:sz="4" w:space="0"/>
              <w:bottom w:val="single" w:color="000000" w:sz="4" w:space="0"/>
              <w:right w:val="single" w:color="000000" w:sz="4" w:space="0"/>
            </w:tcBorders>
            <w:vAlign w:val="center"/>
          </w:tcPr>
          <w:p>
            <w:pPr>
              <w:spacing w:after="0" w:line="240" w:lineRule="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环评报告表编制单位</w:t>
            </w:r>
          </w:p>
        </w:tc>
        <w:tc>
          <w:tcPr>
            <w:tcW w:w="2714" w:type="dxa"/>
            <w:gridSpan w:val="3"/>
            <w:tcBorders>
              <w:top w:val="single" w:color="000000" w:sz="4" w:space="0"/>
              <w:left w:val="single" w:color="000000" w:sz="4" w:space="0"/>
              <w:bottom w:val="single" w:color="000000" w:sz="4" w:space="0"/>
              <w:right w:val="single" w:color="000000" w:sz="8" w:space="0"/>
            </w:tcBorders>
          </w:tcPr>
          <w:p>
            <w:pPr>
              <w:spacing w:after="0" w:line="240" w:lineRule="auto"/>
              <w:rPr>
                <w:rFonts w:hint="eastAsia" w:ascii="宋体" w:hAnsi="宋体" w:eastAsia="宋体" w:cs="宋体"/>
                <w:color w:val="000000"/>
                <w:kern w:val="2"/>
                <w:sz w:val="24"/>
                <w:szCs w:val="24"/>
                <w:lang w:val="en-US" w:eastAsia="zh-CN" w:bidi="ar-SA"/>
              </w:rPr>
            </w:pPr>
            <w:r>
              <w:rPr>
                <w:rFonts w:hint="eastAsia" w:ascii="Times New Roman" w:hAnsi="Times New Roman" w:eastAsia="宋体" w:cs="Times New Roman"/>
                <w:sz w:val="24"/>
                <w:szCs w:val="24"/>
                <w:lang w:val="en-US" w:eastAsia="zh-CN"/>
              </w:rPr>
              <w:t>河南省欣耀盈环保科技有限公司</w:t>
            </w:r>
          </w:p>
        </w:tc>
      </w:tr>
      <w:tr>
        <w:tblPrEx>
          <w:tblCellMar>
            <w:top w:w="37" w:type="dxa"/>
            <w:left w:w="107" w:type="dxa"/>
            <w:bottom w:w="0" w:type="dxa"/>
            <w:right w:w="108" w:type="dxa"/>
          </w:tblCellMar>
        </w:tblPrEx>
        <w:trPr>
          <w:trHeight w:val="647" w:hRule="atLeast"/>
          <w:jc w:val="center"/>
        </w:trPr>
        <w:tc>
          <w:tcPr>
            <w:tcW w:w="1773" w:type="dxa"/>
            <w:tcBorders>
              <w:top w:val="single" w:color="000000" w:sz="4" w:space="0"/>
              <w:left w:val="single" w:color="000000" w:sz="8" w:space="0"/>
              <w:bottom w:val="single" w:color="000000" w:sz="4" w:space="0"/>
              <w:right w:val="single" w:color="000000" w:sz="4" w:space="0"/>
            </w:tcBorders>
          </w:tcPr>
          <w:p>
            <w:pPr>
              <w:spacing w:after="0" w:line="240" w:lineRule="auto"/>
              <w:jc w:val="center"/>
              <w:rPr>
                <w:rFonts w:hint="eastAsia" w:ascii="宋体" w:hAnsi="宋体" w:eastAsia="宋体" w:cs="宋体"/>
                <w:sz w:val="24"/>
                <w:szCs w:val="24"/>
              </w:rPr>
            </w:pPr>
            <w:r>
              <w:rPr>
                <w:rFonts w:hint="eastAsia" w:ascii="宋体" w:hAnsi="宋体" w:eastAsia="宋体" w:cs="宋体"/>
                <w:sz w:val="24"/>
                <w:szCs w:val="24"/>
              </w:rPr>
              <w:t>环保设施设计单位</w:t>
            </w:r>
          </w:p>
        </w:tc>
        <w:tc>
          <w:tcPr>
            <w:tcW w:w="2027" w:type="dxa"/>
            <w:tcBorders>
              <w:top w:val="single" w:color="000000" w:sz="4" w:space="0"/>
              <w:left w:val="single" w:color="000000" w:sz="4" w:space="0"/>
              <w:bottom w:val="single" w:color="000000" w:sz="4" w:space="0"/>
              <w:right w:val="single" w:color="000000" w:sz="4" w:space="0"/>
            </w:tcBorders>
            <w:vAlign w:val="center"/>
          </w:tcPr>
          <w:p>
            <w:pPr>
              <w:spacing w:after="0" w:line="240" w:lineRule="auto"/>
              <w:rPr>
                <w:rFonts w:hint="eastAsia" w:ascii="Times New Roman" w:hAnsi="Times New Roman" w:eastAsia="宋体" w:cs="Times New Roman"/>
                <w:color w:val="000000"/>
                <w:kern w:val="2"/>
                <w:sz w:val="24"/>
                <w:szCs w:val="24"/>
                <w:lang w:val="en-GB" w:eastAsia="zh-CN" w:bidi="ar-SA"/>
              </w:rPr>
            </w:pPr>
            <w:r>
              <w:rPr>
                <w:rFonts w:hint="eastAsia" w:ascii="Times New Roman" w:hAnsi="Times New Roman" w:eastAsia="宋体" w:cs="Times New Roman"/>
                <w:sz w:val="24"/>
                <w:szCs w:val="24"/>
                <w:lang w:val="en-GB" w:eastAsia="zh-CN"/>
              </w:rPr>
              <w:t>鹤壁市广睿科技有限公司</w:t>
            </w:r>
          </w:p>
        </w:tc>
        <w:tc>
          <w:tcPr>
            <w:tcW w:w="2008" w:type="dxa"/>
            <w:tcBorders>
              <w:top w:val="single" w:color="000000" w:sz="4" w:space="0"/>
              <w:left w:val="single" w:color="000000" w:sz="4" w:space="0"/>
              <w:bottom w:val="single" w:color="000000" w:sz="4" w:space="0"/>
              <w:right w:val="single" w:color="000000" w:sz="4" w:space="0"/>
            </w:tcBorders>
          </w:tcPr>
          <w:p>
            <w:pPr>
              <w:spacing w:after="0" w:line="240" w:lineRule="auto"/>
              <w:ind w:left="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环保设施施工单位</w:t>
            </w:r>
          </w:p>
        </w:tc>
        <w:tc>
          <w:tcPr>
            <w:tcW w:w="2714" w:type="dxa"/>
            <w:gridSpan w:val="3"/>
            <w:tcBorders>
              <w:top w:val="single" w:color="000000" w:sz="4" w:space="0"/>
              <w:left w:val="single" w:color="000000" w:sz="4" w:space="0"/>
              <w:bottom w:val="single" w:color="000000" w:sz="4" w:space="0"/>
              <w:right w:val="single" w:color="000000" w:sz="8" w:space="0"/>
            </w:tcBorders>
            <w:vAlign w:val="center"/>
          </w:tcPr>
          <w:p>
            <w:pPr>
              <w:spacing w:after="0" w:line="240" w:lineRule="auto"/>
              <w:rPr>
                <w:rFonts w:hint="eastAsia" w:ascii="Times New Roman" w:hAnsi="Times New Roman" w:eastAsia="宋体" w:cs="Times New Roman"/>
                <w:color w:val="000000"/>
                <w:kern w:val="2"/>
                <w:sz w:val="24"/>
                <w:szCs w:val="24"/>
                <w:lang w:val="en-GB" w:eastAsia="zh-CN" w:bidi="ar-SA"/>
              </w:rPr>
            </w:pPr>
            <w:r>
              <w:rPr>
                <w:rFonts w:hint="eastAsia" w:ascii="Times New Roman" w:hAnsi="Times New Roman" w:eastAsia="宋体" w:cs="Times New Roman"/>
                <w:sz w:val="24"/>
                <w:szCs w:val="24"/>
                <w:lang w:val="en-GB" w:eastAsia="zh-CN"/>
              </w:rPr>
              <w:t>鹤壁市广睿科技有限公司</w:t>
            </w:r>
          </w:p>
        </w:tc>
      </w:tr>
      <w:tr>
        <w:tblPrEx>
          <w:tblCellMar>
            <w:top w:w="37" w:type="dxa"/>
            <w:left w:w="107" w:type="dxa"/>
            <w:bottom w:w="0" w:type="dxa"/>
            <w:right w:w="108" w:type="dxa"/>
          </w:tblCellMar>
        </w:tblPrEx>
        <w:trPr>
          <w:trHeight w:val="632" w:hRule="atLeast"/>
          <w:jc w:val="center"/>
        </w:trPr>
        <w:tc>
          <w:tcPr>
            <w:tcW w:w="1773" w:type="dxa"/>
            <w:tcBorders>
              <w:top w:val="single" w:color="000000" w:sz="4" w:space="0"/>
              <w:left w:val="single" w:color="000000" w:sz="8" w:space="0"/>
              <w:bottom w:val="single" w:color="000000" w:sz="4" w:space="0"/>
              <w:right w:val="single" w:color="000000" w:sz="4" w:space="0"/>
            </w:tcBorders>
          </w:tcPr>
          <w:p>
            <w:pPr>
              <w:spacing w:after="0" w:line="240" w:lineRule="auto"/>
              <w:jc w:val="center"/>
              <w:rPr>
                <w:rFonts w:hint="eastAsia" w:ascii="宋体" w:hAnsi="宋体" w:eastAsia="宋体" w:cs="宋体"/>
                <w:sz w:val="24"/>
                <w:szCs w:val="24"/>
              </w:rPr>
            </w:pPr>
            <w:r>
              <w:rPr>
                <w:rFonts w:hint="eastAsia" w:ascii="宋体" w:hAnsi="宋体" w:eastAsia="宋体" w:cs="宋体"/>
                <w:sz w:val="24"/>
                <w:szCs w:val="24"/>
              </w:rPr>
              <w:t>投资总概算</w:t>
            </w:r>
          </w:p>
        </w:tc>
        <w:tc>
          <w:tcPr>
            <w:tcW w:w="2027" w:type="dxa"/>
            <w:tcBorders>
              <w:top w:val="single" w:color="000000" w:sz="4" w:space="0"/>
              <w:left w:val="single" w:color="000000" w:sz="4" w:space="0"/>
              <w:bottom w:val="single" w:color="000000" w:sz="4" w:space="0"/>
              <w:right w:val="single" w:color="000000" w:sz="4" w:space="0"/>
            </w:tcBorders>
            <w:vAlign w:val="center"/>
          </w:tcPr>
          <w:p>
            <w:pPr>
              <w:spacing w:after="0" w:line="240" w:lineRule="auto"/>
              <w:ind w:right="1"/>
              <w:jc w:val="center"/>
              <w:rPr>
                <w:rFonts w:hint="eastAsia" w:ascii="宋体" w:hAnsi="宋体" w:eastAsia="宋体" w:cs="宋体"/>
                <w:sz w:val="24"/>
                <w:szCs w:val="24"/>
              </w:rPr>
            </w:pPr>
            <w:r>
              <w:rPr>
                <w:rFonts w:hint="eastAsia" w:ascii="宋体" w:hAnsi="宋体" w:eastAsia="宋体" w:cs="宋体"/>
                <w:color w:val="000000"/>
                <w:kern w:val="2"/>
                <w:sz w:val="24"/>
                <w:szCs w:val="24"/>
                <w:lang w:val="en-US" w:eastAsia="zh-CN" w:bidi="ar-SA"/>
              </w:rPr>
              <w:t>224万元</w:t>
            </w:r>
          </w:p>
        </w:tc>
        <w:tc>
          <w:tcPr>
            <w:tcW w:w="2008" w:type="dxa"/>
            <w:tcBorders>
              <w:top w:val="single" w:color="000000" w:sz="4" w:space="0"/>
              <w:left w:val="single" w:color="000000" w:sz="4" w:space="0"/>
              <w:bottom w:val="single" w:color="000000" w:sz="4" w:space="0"/>
              <w:right w:val="single" w:color="000000" w:sz="4" w:space="0"/>
            </w:tcBorders>
            <w:vAlign w:val="center"/>
          </w:tcPr>
          <w:p>
            <w:pPr>
              <w:spacing w:after="0" w:line="240" w:lineRule="auto"/>
              <w:ind w:left="58"/>
              <w:jc w:val="both"/>
              <w:rPr>
                <w:rFonts w:hint="eastAsia" w:ascii="宋体" w:hAnsi="宋体" w:eastAsia="宋体" w:cs="宋体"/>
                <w:sz w:val="24"/>
                <w:szCs w:val="24"/>
              </w:rPr>
            </w:pPr>
            <w:r>
              <w:rPr>
                <w:rFonts w:hint="eastAsia" w:ascii="宋体" w:hAnsi="宋体" w:eastAsia="宋体" w:cs="宋体"/>
                <w:sz w:val="24"/>
                <w:szCs w:val="24"/>
              </w:rPr>
              <w:t>环保投资总概算</w:t>
            </w:r>
          </w:p>
        </w:tc>
        <w:tc>
          <w:tcPr>
            <w:tcW w:w="956" w:type="dxa"/>
            <w:tcBorders>
              <w:top w:val="single" w:color="000000" w:sz="4" w:space="0"/>
              <w:left w:val="single" w:color="000000" w:sz="4" w:space="0"/>
              <w:bottom w:val="single" w:color="000000" w:sz="4" w:space="0"/>
              <w:right w:val="single" w:color="000000" w:sz="4" w:space="0"/>
            </w:tcBorders>
            <w:vAlign w:val="center"/>
          </w:tcPr>
          <w:p>
            <w:pPr>
              <w:spacing w:after="0" w:line="240" w:lineRule="auto"/>
              <w:ind w:right="1"/>
              <w:jc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76</w:t>
            </w:r>
          </w:p>
        </w:tc>
        <w:tc>
          <w:tcPr>
            <w:tcW w:w="742" w:type="dxa"/>
            <w:tcBorders>
              <w:top w:val="single" w:color="000000" w:sz="4" w:space="0"/>
              <w:left w:val="single" w:color="000000" w:sz="4" w:space="0"/>
              <w:bottom w:val="single" w:color="000000" w:sz="4" w:space="0"/>
              <w:right w:val="single" w:color="000000" w:sz="4" w:space="0"/>
            </w:tcBorders>
            <w:vAlign w:val="center"/>
          </w:tcPr>
          <w:p>
            <w:pPr>
              <w:spacing w:after="0" w:line="240" w:lineRule="auto"/>
              <w:ind w:left="24"/>
              <w:jc w:val="both"/>
              <w:rPr>
                <w:rFonts w:hint="eastAsia" w:ascii="宋体" w:hAnsi="宋体" w:eastAsia="宋体" w:cs="宋体"/>
                <w:sz w:val="24"/>
                <w:szCs w:val="24"/>
              </w:rPr>
            </w:pPr>
            <w:r>
              <w:rPr>
                <w:rFonts w:hint="eastAsia" w:ascii="宋体" w:hAnsi="宋体" w:eastAsia="宋体" w:cs="宋体"/>
                <w:sz w:val="24"/>
                <w:szCs w:val="24"/>
              </w:rPr>
              <w:t>比例</w:t>
            </w:r>
          </w:p>
        </w:tc>
        <w:tc>
          <w:tcPr>
            <w:tcW w:w="1016" w:type="dxa"/>
            <w:tcBorders>
              <w:top w:val="single" w:color="000000" w:sz="4" w:space="0"/>
              <w:left w:val="single" w:color="000000" w:sz="4" w:space="0"/>
              <w:bottom w:val="single" w:color="000000" w:sz="4" w:space="0"/>
              <w:right w:val="single" w:color="000000" w:sz="8" w:space="0"/>
            </w:tcBorders>
            <w:vAlign w:val="center"/>
          </w:tcPr>
          <w:p>
            <w:pPr>
              <w:spacing w:after="0" w:line="240" w:lineRule="auto"/>
              <w:ind w:right="2"/>
              <w:jc w:val="center"/>
              <w:rPr>
                <w:rFonts w:hint="eastAsia" w:ascii="宋体" w:hAnsi="宋体" w:eastAsia="宋体" w:cs="宋体"/>
                <w:sz w:val="24"/>
                <w:szCs w:val="24"/>
              </w:rPr>
            </w:pPr>
            <w:r>
              <w:rPr>
                <w:rFonts w:hint="eastAsia" w:ascii="宋体" w:hAnsi="宋体" w:eastAsia="宋体" w:cs="宋体"/>
                <w:sz w:val="24"/>
                <w:szCs w:val="24"/>
                <w:lang w:val="en-US" w:eastAsia="zh-CN"/>
              </w:rPr>
              <w:t>33.93</w:t>
            </w:r>
            <w:r>
              <w:rPr>
                <w:rFonts w:hint="eastAsia" w:ascii="宋体" w:hAnsi="宋体" w:eastAsia="宋体" w:cs="宋体"/>
                <w:sz w:val="24"/>
                <w:szCs w:val="24"/>
              </w:rPr>
              <w:t>%</w:t>
            </w:r>
          </w:p>
        </w:tc>
      </w:tr>
      <w:tr>
        <w:tblPrEx>
          <w:tblCellMar>
            <w:top w:w="37" w:type="dxa"/>
            <w:left w:w="107" w:type="dxa"/>
            <w:bottom w:w="0" w:type="dxa"/>
            <w:right w:w="108" w:type="dxa"/>
          </w:tblCellMar>
        </w:tblPrEx>
        <w:trPr>
          <w:trHeight w:val="633" w:hRule="atLeast"/>
          <w:jc w:val="center"/>
        </w:trPr>
        <w:tc>
          <w:tcPr>
            <w:tcW w:w="1773" w:type="dxa"/>
            <w:tcBorders>
              <w:top w:val="single" w:color="000000" w:sz="4" w:space="0"/>
              <w:left w:val="single" w:color="000000" w:sz="8" w:space="0"/>
              <w:bottom w:val="single" w:color="000000" w:sz="4" w:space="0"/>
              <w:right w:val="single" w:color="000000" w:sz="4" w:space="0"/>
            </w:tcBorders>
          </w:tcPr>
          <w:p>
            <w:pPr>
              <w:spacing w:after="0" w:line="240" w:lineRule="auto"/>
              <w:jc w:val="center"/>
              <w:rPr>
                <w:rFonts w:hint="eastAsia" w:ascii="宋体" w:hAnsi="宋体" w:eastAsia="宋体" w:cs="宋体"/>
                <w:sz w:val="24"/>
                <w:szCs w:val="24"/>
              </w:rPr>
            </w:pPr>
            <w:r>
              <w:rPr>
                <w:rFonts w:hint="eastAsia" w:ascii="宋体" w:hAnsi="宋体" w:eastAsia="宋体" w:cs="宋体"/>
                <w:sz w:val="24"/>
                <w:szCs w:val="24"/>
              </w:rPr>
              <w:t>实际总概算</w:t>
            </w:r>
          </w:p>
        </w:tc>
        <w:tc>
          <w:tcPr>
            <w:tcW w:w="2027" w:type="dxa"/>
            <w:tcBorders>
              <w:top w:val="single" w:color="000000" w:sz="4" w:space="0"/>
              <w:left w:val="single" w:color="000000" w:sz="4" w:space="0"/>
              <w:bottom w:val="single" w:color="000000" w:sz="4" w:space="0"/>
              <w:right w:val="single" w:color="000000" w:sz="4" w:space="0"/>
            </w:tcBorders>
            <w:vAlign w:val="center"/>
          </w:tcPr>
          <w:p>
            <w:pPr>
              <w:spacing w:after="0" w:line="240" w:lineRule="auto"/>
              <w:ind w:right="1"/>
              <w:jc w:val="center"/>
              <w:rPr>
                <w:rFonts w:hint="eastAsia" w:ascii="宋体" w:hAnsi="宋体" w:eastAsia="宋体" w:cs="宋体"/>
                <w:sz w:val="24"/>
                <w:szCs w:val="24"/>
              </w:rPr>
            </w:pPr>
            <w:r>
              <w:rPr>
                <w:rFonts w:hint="eastAsia" w:ascii="宋体" w:hAnsi="宋体" w:eastAsia="宋体" w:cs="宋体"/>
                <w:color w:val="000000"/>
                <w:kern w:val="2"/>
                <w:sz w:val="24"/>
                <w:szCs w:val="24"/>
                <w:lang w:val="en-US" w:eastAsia="zh-CN" w:bidi="ar-SA"/>
              </w:rPr>
              <w:t>224万元</w:t>
            </w:r>
          </w:p>
        </w:tc>
        <w:tc>
          <w:tcPr>
            <w:tcW w:w="2008" w:type="dxa"/>
            <w:tcBorders>
              <w:top w:val="single" w:color="000000" w:sz="4" w:space="0"/>
              <w:left w:val="single" w:color="000000" w:sz="4" w:space="0"/>
              <w:bottom w:val="single" w:color="000000" w:sz="4" w:space="0"/>
              <w:right w:val="single" w:color="000000" w:sz="4" w:space="0"/>
            </w:tcBorders>
            <w:vAlign w:val="center"/>
          </w:tcPr>
          <w:p>
            <w:pPr>
              <w:spacing w:after="0" w:line="240" w:lineRule="auto"/>
              <w:ind w:left="2"/>
              <w:jc w:val="center"/>
              <w:rPr>
                <w:rFonts w:hint="eastAsia" w:ascii="宋体" w:hAnsi="宋体" w:eastAsia="宋体" w:cs="宋体"/>
                <w:sz w:val="24"/>
                <w:szCs w:val="24"/>
              </w:rPr>
            </w:pPr>
            <w:r>
              <w:rPr>
                <w:rFonts w:hint="eastAsia" w:ascii="宋体" w:hAnsi="宋体" w:eastAsia="宋体" w:cs="宋体"/>
                <w:sz w:val="24"/>
                <w:szCs w:val="24"/>
              </w:rPr>
              <w:t>环保投资</w:t>
            </w:r>
          </w:p>
        </w:tc>
        <w:tc>
          <w:tcPr>
            <w:tcW w:w="956" w:type="dxa"/>
            <w:tcBorders>
              <w:top w:val="single" w:color="000000" w:sz="4" w:space="0"/>
              <w:left w:val="single" w:color="000000" w:sz="4" w:space="0"/>
              <w:bottom w:val="single" w:color="000000" w:sz="4" w:space="0"/>
              <w:right w:val="single" w:color="000000" w:sz="4" w:space="0"/>
            </w:tcBorders>
            <w:vAlign w:val="center"/>
          </w:tcPr>
          <w:p>
            <w:pPr>
              <w:spacing w:after="0" w:line="240" w:lineRule="auto"/>
              <w:ind w:right="1"/>
              <w:jc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76</w:t>
            </w:r>
          </w:p>
        </w:tc>
        <w:tc>
          <w:tcPr>
            <w:tcW w:w="742" w:type="dxa"/>
            <w:tcBorders>
              <w:top w:val="single" w:color="000000" w:sz="4" w:space="0"/>
              <w:left w:val="single" w:color="000000" w:sz="4" w:space="0"/>
              <w:bottom w:val="single" w:color="000000" w:sz="4" w:space="0"/>
              <w:right w:val="single" w:color="000000" w:sz="4" w:space="0"/>
            </w:tcBorders>
            <w:vAlign w:val="center"/>
          </w:tcPr>
          <w:p>
            <w:pPr>
              <w:spacing w:after="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比例</w:t>
            </w:r>
          </w:p>
        </w:tc>
        <w:tc>
          <w:tcPr>
            <w:tcW w:w="1016" w:type="dxa"/>
            <w:tcBorders>
              <w:top w:val="single" w:color="000000" w:sz="4" w:space="0"/>
              <w:left w:val="single" w:color="000000" w:sz="4" w:space="0"/>
              <w:bottom w:val="single" w:color="000000" w:sz="4" w:space="0"/>
              <w:right w:val="single" w:color="000000" w:sz="8" w:space="0"/>
            </w:tcBorders>
            <w:vAlign w:val="center"/>
          </w:tcPr>
          <w:p>
            <w:pPr>
              <w:spacing w:after="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33.93%</w:t>
            </w:r>
          </w:p>
        </w:tc>
      </w:tr>
      <w:tr>
        <w:tblPrEx>
          <w:tblCellMar>
            <w:top w:w="37" w:type="dxa"/>
            <w:left w:w="107" w:type="dxa"/>
            <w:bottom w:w="0" w:type="dxa"/>
            <w:right w:w="108" w:type="dxa"/>
          </w:tblCellMar>
        </w:tblPrEx>
        <w:trPr>
          <w:trHeight w:val="4239" w:hRule="atLeast"/>
          <w:jc w:val="center"/>
        </w:trPr>
        <w:tc>
          <w:tcPr>
            <w:tcW w:w="1773" w:type="dxa"/>
            <w:tcBorders>
              <w:top w:val="single" w:color="000000" w:sz="4" w:space="0"/>
              <w:left w:val="single" w:color="000000" w:sz="8" w:space="0"/>
              <w:bottom w:val="single" w:color="000000" w:sz="8" w:space="0"/>
              <w:right w:val="single" w:color="000000" w:sz="4" w:space="0"/>
            </w:tcBorders>
            <w:vAlign w:val="center"/>
          </w:tcPr>
          <w:p>
            <w:pPr>
              <w:spacing w:after="0" w:line="360" w:lineRule="auto"/>
              <w:jc w:val="center"/>
              <w:rPr>
                <w:rFonts w:hint="eastAsia" w:ascii="宋体" w:hAnsi="宋体" w:eastAsia="宋体" w:cs="宋体"/>
                <w:sz w:val="24"/>
                <w:szCs w:val="24"/>
              </w:rPr>
            </w:pPr>
            <w:r>
              <w:rPr>
                <w:rFonts w:hint="eastAsia" w:ascii="宋体" w:hAnsi="宋体" w:eastAsia="宋体" w:cs="宋体"/>
                <w:sz w:val="24"/>
                <w:szCs w:val="24"/>
              </w:rPr>
              <w:t>验收监测依据</w:t>
            </w:r>
          </w:p>
        </w:tc>
        <w:tc>
          <w:tcPr>
            <w:tcW w:w="6749" w:type="dxa"/>
            <w:gridSpan w:val="5"/>
            <w:tcBorders>
              <w:top w:val="single" w:color="000000" w:sz="4" w:space="0"/>
              <w:left w:val="single" w:color="000000" w:sz="4" w:space="0"/>
              <w:bottom w:val="single" w:color="000000" w:sz="8" w:space="0"/>
              <w:right w:val="single" w:color="000000" w:sz="8" w:space="0"/>
            </w:tcBorders>
          </w:tcPr>
          <w:p>
            <w:pPr>
              <w:numPr>
                <w:ilvl w:val="0"/>
                <w:numId w:val="0"/>
              </w:numPr>
              <w:spacing w:after="0" w:line="360" w:lineRule="auto"/>
              <w:rPr>
                <w:rFonts w:hint="eastAsia" w:ascii="宋体" w:hAnsi="宋体" w:eastAsia="宋体" w:cs="宋体"/>
                <w:color w:val="auto"/>
                <w:kern w:val="0"/>
                <w:sz w:val="24"/>
                <w:szCs w:val="20"/>
              </w:rPr>
            </w:pPr>
            <w:r>
              <w:rPr>
                <w:rFonts w:hint="eastAsia" w:ascii="宋体" w:hAnsi="宋体" w:eastAsia="宋体" w:cs="宋体"/>
                <w:color w:val="auto"/>
                <w:kern w:val="0"/>
                <w:sz w:val="24"/>
                <w:szCs w:val="20"/>
                <w:lang w:val="en-US" w:eastAsia="zh-CN"/>
              </w:rPr>
              <w:t>1、</w:t>
            </w:r>
            <w:r>
              <w:rPr>
                <w:rFonts w:hint="eastAsia" w:ascii="宋体" w:hAnsi="宋体" w:eastAsia="宋体" w:cs="宋体"/>
                <w:color w:val="auto"/>
                <w:kern w:val="0"/>
                <w:sz w:val="24"/>
                <w:szCs w:val="20"/>
              </w:rPr>
              <w:t>《中华人民共和国环境保护法》（2015年1月1日起施行）；</w:t>
            </w:r>
          </w:p>
          <w:p>
            <w:pPr>
              <w:numPr>
                <w:ilvl w:val="0"/>
                <w:numId w:val="0"/>
              </w:numPr>
              <w:spacing w:after="0" w:line="360" w:lineRule="auto"/>
              <w:rPr>
                <w:rFonts w:hint="eastAsia" w:ascii="宋体" w:hAnsi="宋体" w:eastAsia="宋体" w:cs="宋体"/>
                <w:color w:val="auto"/>
                <w:kern w:val="0"/>
                <w:sz w:val="24"/>
                <w:szCs w:val="20"/>
              </w:rPr>
            </w:pPr>
            <w:r>
              <w:rPr>
                <w:rFonts w:hint="eastAsia" w:ascii="宋体" w:hAnsi="宋体" w:eastAsia="宋体" w:cs="宋体"/>
                <w:color w:val="auto"/>
                <w:kern w:val="0"/>
                <w:sz w:val="24"/>
                <w:szCs w:val="20"/>
                <w:lang w:val="en-US" w:eastAsia="zh-CN"/>
              </w:rPr>
              <w:t>2、</w:t>
            </w:r>
            <w:r>
              <w:rPr>
                <w:rFonts w:hint="eastAsia" w:ascii="宋体" w:hAnsi="宋体" w:eastAsia="宋体" w:cs="宋体"/>
                <w:color w:val="auto"/>
                <w:kern w:val="0"/>
                <w:sz w:val="24"/>
                <w:szCs w:val="20"/>
              </w:rPr>
              <w:t>《中华人民共和国大气污染防治法》（201</w:t>
            </w:r>
            <w:r>
              <w:rPr>
                <w:rFonts w:hint="eastAsia" w:ascii="宋体" w:hAnsi="宋体" w:eastAsia="宋体" w:cs="宋体"/>
                <w:color w:val="auto"/>
                <w:kern w:val="0"/>
                <w:sz w:val="24"/>
                <w:szCs w:val="20"/>
                <w:lang w:val="en-US" w:eastAsia="zh-CN"/>
              </w:rPr>
              <w:t>8</w:t>
            </w:r>
            <w:r>
              <w:rPr>
                <w:rFonts w:hint="eastAsia" w:ascii="宋体" w:hAnsi="宋体" w:eastAsia="宋体" w:cs="宋体"/>
                <w:color w:val="auto"/>
                <w:kern w:val="0"/>
                <w:sz w:val="24"/>
                <w:szCs w:val="20"/>
              </w:rPr>
              <w:t>年10月26日起施行）；</w:t>
            </w:r>
          </w:p>
          <w:p>
            <w:pPr>
              <w:numPr>
                <w:ilvl w:val="0"/>
                <w:numId w:val="0"/>
              </w:numPr>
              <w:spacing w:after="0" w:line="360" w:lineRule="auto"/>
              <w:rPr>
                <w:rFonts w:hint="eastAsia" w:ascii="宋体" w:hAnsi="宋体" w:eastAsia="宋体" w:cs="宋体"/>
                <w:color w:val="auto"/>
                <w:kern w:val="0"/>
                <w:sz w:val="24"/>
                <w:szCs w:val="20"/>
              </w:rPr>
            </w:pPr>
            <w:r>
              <w:rPr>
                <w:rFonts w:hint="eastAsia" w:ascii="宋体" w:hAnsi="宋体" w:eastAsia="宋体" w:cs="宋体"/>
                <w:color w:val="auto"/>
                <w:kern w:val="0"/>
                <w:sz w:val="24"/>
                <w:szCs w:val="20"/>
                <w:lang w:val="en-US" w:eastAsia="zh-CN"/>
              </w:rPr>
              <w:t>3、</w:t>
            </w:r>
            <w:r>
              <w:rPr>
                <w:rFonts w:hint="eastAsia" w:ascii="宋体" w:hAnsi="宋体" w:eastAsia="宋体" w:cs="宋体"/>
                <w:color w:val="auto"/>
                <w:kern w:val="0"/>
                <w:sz w:val="24"/>
                <w:szCs w:val="20"/>
              </w:rPr>
              <w:t>《中华人民共和国环境影响评价法》（2018年12月29日，第十三届全国人民代表大会常务委员会第七次会议做出修改）；</w:t>
            </w:r>
          </w:p>
          <w:p>
            <w:pPr>
              <w:numPr>
                <w:ilvl w:val="0"/>
                <w:numId w:val="0"/>
              </w:numPr>
              <w:spacing w:after="0" w:line="360" w:lineRule="auto"/>
              <w:rPr>
                <w:rFonts w:hint="eastAsia" w:ascii="宋体" w:hAnsi="宋体" w:eastAsia="宋体" w:cs="宋体"/>
                <w:color w:val="auto"/>
                <w:kern w:val="0"/>
                <w:sz w:val="24"/>
                <w:szCs w:val="20"/>
              </w:rPr>
            </w:pPr>
            <w:r>
              <w:rPr>
                <w:rFonts w:hint="eastAsia" w:ascii="宋体" w:hAnsi="宋体" w:eastAsia="宋体" w:cs="宋体"/>
                <w:color w:val="auto"/>
                <w:kern w:val="0"/>
                <w:sz w:val="24"/>
                <w:szCs w:val="20"/>
                <w:lang w:val="en-US" w:eastAsia="zh-CN"/>
              </w:rPr>
              <w:t>4、</w:t>
            </w:r>
            <w:r>
              <w:rPr>
                <w:rFonts w:hint="eastAsia" w:ascii="宋体" w:hAnsi="宋体" w:eastAsia="宋体" w:cs="宋体"/>
                <w:color w:val="auto"/>
                <w:kern w:val="0"/>
                <w:sz w:val="24"/>
                <w:szCs w:val="20"/>
              </w:rPr>
              <w:t>《中华人民共和国水污染防治法》（2018年1月1日起施行）；</w:t>
            </w:r>
          </w:p>
          <w:p>
            <w:pPr>
              <w:numPr>
                <w:ilvl w:val="0"/>
                <w:numId w:val="0"/>
              </w:numPr>
              <w:spacing w:after="0" w:line="360" w:lineRule="auto"/>
              <w:rPr>
                <w:rFonts w:hint="eastAsia" w:ascii="宋体" w:hAnsi="宋体" w:eastAsia="宋体" w:cs="宋体"/>
                <w:color w:val="auto"/>
                <w:sz w:val="24"/>
                <w:szCs w:val="24"/>
              </w:rPr>
            </w:pPr>
            <w:r>
              <w:rPr>
                <w:rFonts w:hint="eastAsia" w:ascii="宋体" w:hAnsi="宋体" w:eastAsia="宋体" w:cs="宋体"/>
                <w:color w:val="auto"/>
                <w:kern w:val="0"/>
                <w:sz w:val="24"/>
                <w:szCs w:val="20"/>
                <w:lang w:val="en-US" w:eastAsia="zh-CN"/>
              </w:rPr>
              <w:t>5、</w:t>
            </w:r>
            <w:r>
              <w:rPr>
                <w:rFonts w:hint="eastAsia" w:ascii="宋体" w:hAnsi="宋体" w:eastAsia="宋体" w:cs="宋体"/>
                <w:color w:val="auto"/>
                <w:kern w:val="0"/>
                <w:sz w:val="24"/>
                <w:szCs w:val="20"/>
              </w:rPr>
              <w:t>《中华人民共和国环境噪声污染防治法》（2018年12月29日起施行）</w:t>
            </w:r>
            <w:r>
              <w:rPr>
                <w:rFonts w:hint="eastAsia" w:ascii="宋体" w:hAnsi="宋体" w:eastAsia="宋体" w:cs="宋体"/>
                <w:color w:val="auto"/>
                <w:kern w:val="0"/>
                <w:sz w:val="24"/>
                <w:szCs w:val="20"/>
                <w:lang w:eastAsia="zh-CN"/>
              </w:rPr>
              <w:t>；</w:t>
            </w:r>
          </w:p>
          <w:p>
            <w:pPr>
              <w:numPr>
                <w:ilvl w:val="0"/>
                <w:numId w:val="0"/>
              </w:numPr>
              <w:spacing w:after="0" w:line="360" w:lineRule="auto"/>
              <w:rPr>
                <w:rFonts w:hint="eastAsia" w:ascii="宋体" w:hAnsi="宋体" w:eastAsia="宋体" w:cs="宋体"/>
                <w:color w:val="auto"/>
                <w:kern w:val="0"/>
                <w:sz w:val="24"/>
                <w:szCs w:val="20"/>
              </w:rPr>
            </w:pPr>
            <w:r>
              <w:rPr>
                <w:rFonts w:hint="eastAsia" w:ascii="宋体" w:hAnsi="宋体" w:eastAsia="宋体" w:cs="宋体"/>
                <w:color w:val="auto"/>
                <w:kern w:val="0"/>
                <w:sz w:val="24"/>
                <w:szCs w:val="20"/>
                <w:lang w:val="en-US" w:eastAsia="zh-CN"/>
              </w:rPr>
              <w:t>6、</w:t>
            </w:r>
            <w:r>
              <w:rPr>
                <w:rFonts w:hint="eastAsia" w:ascii="宋体" w:hAnsi="宋体" w:eastAsia="宋体" w:cs="宋体"/>
                <w:color w:val="auto"/>
                <w:kern w:val="0"/>
                <w:sz w:val="24"/>
                <w:szCs w:val="20"/>
              </w:rPr>
              <w:t>《中华人民共和国固体废物污染环境防治法》（20</w:t>
            </w:r>
            <w:r>
              <w:rPr>
                <w:rFonts w:hint="eastAsia" w:ascii="宋体" w:hAnsi="宋体" w:eastAsia="宋体" w:cs="宋体"/>
                <w:color w:val="auto"/>
                <w:kern w:val="0"/>
                <w:sz w:val="24"/>
                <w:szCs w:val="20"/>
                <w:lang w:val="en-US" w:eastAsia="zh-CN"/>
              </w:rPr>
              <w:t>20</w:t>
            </w:r>
            <w:r>
              <w:rPr>
                <w:rFonts w:hint="eastAsia" w:ascii="宋体" w:hAnsi="宋体" w:eastAsia="宋体" w:cs="宋体"/>
                <w:color w:val="auto"/>
                <w:kern w:val="0"/>
                <w:sz w:val="24"/>
                <w:szCs w:val="20"/>
              </w:rPr>
              <w:t>年</w:t>
            </w:r>
            <w:r>
              <w:rPr>
                <w:rFonts w:hint="eastAsia" w:ascii="宋体" w:hAnsi="宋体" w:eastAsia="宋体" w:cs="宋体"/>
                <w:color w:val="auto"/>
                <w:kern w:val="0"/>
                <w:sz w:val="24"/>
                <w:szCs w:val="20"/>
                <w:lang w:val="en-US" w:eastAsia="zh-CN"/>
              </w:rPr>
              <w:t>9</w:t>
            </w:r>
            <w:r>
              <w:rPr>
                <w:rFonts w:hint="eastAsia" w:ascii="宋体" w:hAnsi="宋体" w:eastAsia="宋体" w:cs="宋体"/>
                <w:color w:val="auto"/>
                <w:kern w:val="0"/>
                <w:sz w:val="24"/>
                <w:szCs w:val="20"/>
              </w:rPr>
              <w:t>月</w:t>
            </w:r>
            <w:r>
              <w:rPr>
                <w:rFonts w:hint="eastAsia" w:ascii="宋体" w:hAnsi="宋体" w:eastAsia="宋体" w:cs="宋体"/>
                <w:color w:val="auto"/>
                <w:kern w:val="0"/>
                <w:sz w:val="24"/>
                <w:szCs w:val="20"/>
                <w:lang w:val="en-US" w:eastAsia="zh-CN"/>
              </w:rPr>
              <w:t>1</w:t>
            </w:r>
            <w:r>
              <w:rPr>
                <w:rFonts w:hint="eastAsia" w:ascii="宋体" w:hAnsi="宋体" w:eastAsia="宋体" w:cs="宋体"/>
                <w:color w:val="auto"/>
                <w:kern w:val="0"/>
                <w:sz w:val="24"/>
                <w:szCs w:val="20"/>
              </w:rPr>
              <w:t>日起施行）</w:t>
            </w:r>
            <w:r>
              <w:rPr>
                <w:rFonts w:hint="eastAsia" w:ascii="宋体" w:hAnsi="宋体" w:eastAsia="宋体" w:cs="宋体"/>
                <w:color w:val="auto"/>
                <w:kern w:val="0"/>
                <w:sz w:val="24"/>
                <w:szCs w:val="20"/>
                <w:lang w:eastAsia="zh-CN"/>
              </w:rPr>
              <w:t>；</w:t>
            </w:r>
          </w:p>
          <w:p>
            <w:pPr>
              <w:numPr>
                <w:ilvl w:val="0"/>
                <w:numId w:val="0"/>
              </w:numPr>
              <w:spacing w:after="0" w:line="360" w:lineRule="auto"/>
              <w:rPr>
                <w:rFonts w:hint="eastAsia" w:ascii="宋体" w:hAnsi="宋体" w:eastAsia="宋体" w:cs="宋体"/>
                <w:color w:val="auto"/>
                <w:kern w:val="0"/>
                <w:sz w:val="24"/>
                <w:szCs w:val="20"/>
              </w:rPr>
            </w:pPr>
            <w:r>
              <w:rPr>
                <w:rFonts w:hint="eastAsia" w:ascii="宋体" w:hAnsi="宋体" w:eastAsia="宋体" w:cs="宋体"/>
                <w:color w:val="auto"/>
                <w:kern w:val="0"/>
                <w:sz w:val="24"/>
                <w:szCs w:val="20"/>
                <w:lang w:val="en-US" w:eastAsia="zh-CN"/>
              </w:rPr>
              <w:t>7、</w:t>
            </w:r>
            <w:r>
              <w:rPr>
                <w:rFonts w:hint="eastAsia" w:ascii="宋体" w:hAnsi="宋体" w:eastAsia="宋体" w:cs="宋体"/>
                <w:color w:val="auto"/>
                <w:kern w:val="0"/>
                <w:sz w:val="24"/>
                <w:szCs w:val="20"/>
              </w:rPr>
              <w:t>《建设项目环境保护管理条例（2017年修订）》（中华人民共和国国务院令第682号，2017.10.1施行）；</w:t>
            </w:r>
          </w:p>
          <w:p>
            <w:pPr>
              <w:numPr>
                <w:ilvl w:val="0"/>
                <w:numId w:val="0"/>
              </w:numPr>
              <w:spacing w:after="0" w:line="360" w:lineRule="auto"/>
              <w:rPr>
                <w:rFonts w:hint="eastAsia" w:ascii="宋体" w:hAnsi="宋体" w:eastAsia="宋体" w:cs="宋体"/>
                <w:color w:val="auto"/>
                <w:kern w:val="0"/>
                <w:sz w:val="24"/>
                <w:szCs w:val="20"/>
              </w:rPr>
            </w:pPr>
            <w:r>
              <w:rPr>
                <w:rFonts w:hint="eastAsia" w:ascii="宋体" w:hAnsi="宋体" w:eastAsia="宋体" w:cs="宋体"/>
                <w:color w:val="auto"/>
                <w:kern w:val="0"/>
                <w:sz w:val="24"/>
                <w:szCs w:val="20"/>
                <w:lang w:val="en-US" w:eastAsia="zh-CN"/>
              </w:rPr>
              <w:t>8、</w:t>
            </w:r>
            <w:r>
              <w:rPr>
                <w:rFonts w:hint="eastAsia" w:ascii="宋体" w:hAnsi="宋体" w:eastAsia="宋体" w:cs="宋体"/>
                <w:color w:val="auto"/>
                <w:kern w:val="0"/>
                <w:sz w:val="24"/>
                <w:szCs w:val="20"/>
              </w:rPr>
              <w:t>《关于发布建设项目竣工环境保护验收暂行办法的公告》（环境保护部，国环规环评[2017]4号）；</w:t>
            </w:r>
          </w:p>
          <w:p>
            <w:pPr>
              <w:numPr>
                <w:ilvl w:val="0"/>
                <w:numId w:val="0"/>
              </w:numPr>
              <w:spacing w:after="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kern w:val="0"/>
                <w:sz w:val="24"/>
                <w:szCs w:val="20"/>
                <w:lang w:val="en-US" w:eastAsia="zh-CN"/>
              </w:rPr>
              <w:t>9、</w:t>
            </w:r>
            <w:r>
              <w:rPr>
                <w:rFonts w:hint="eastAsia" w:ascii="宋体" w:hAnsi="宋体" w:eastAsia="宋体" w:cs="宋体"/>
                <w:color w:val="auto"/>
                <w:kern w:val="0"/>
                <w:sz w:val="24"/>
                <w:szCs w:val="20"/>
              </w:rPr>
              <w:t>《建设项目竣工环境保护验收技术指南</w:t>
            </w:r>
            <w:r>
              <w:rPr>
                <w:rFonts w:hint="eastAsia" w:ascii="宋体" w:hAnsi="宋体" w:eastAsia="宋体" w:cs="宋体"/>
                <w:color w:val="auto"/>
                <w:kern w:val="0"/>
                <w:sz w:val="24"/>
                <w:szCs w:val="20"/>
                <w:lang w:val="en-US" w:eastAsia="zh-CN"/>
              </w:rPr>
              <w:t xml:space="preserve"> </w:t>
            </w:r>
            <w:r>
              <w:rPr>
                <w:rFonts w:hint="eastAsia" w:ascii="宋体" w:hAnsi="宋体" w:eastAsia="宋体" w:cs="宋体"/>
                <w:color w:val="auto"/>
                <w:kern w:val="0"/>
                <w:sz w:val="24"/>
                <w:szCs w:val="20"/>
              </w:rPr>
              <w:t>污染影响类》（生</w:t>
            </w:r>
            <w:r>
              <w:rPr>
                <w:rFonts w:hint="eastAsia" w:ascii="宋体" w:hAnsi="宋体" w:eastAsia="宋体" w:cs="宋体"/>
                <w:color w:val="auto"/>
                <w:sz w:val="24"/>
                <w:szCs w:val="24"/>
                <w:lang w:val="en-US" w:eastAsia="zh-CN"/>
              </w:rPr>
              <w:t>态环境部公告，2018年9号）；</w:t>
            </w:r>
          </w:p>
          <w:p>
            <w:pPr>
              <w:numPr>
                <w:ilvl w:val="0"/>
                <w:numId w:val="0"/>
              </w:numPr>
              <w:spacing w:after="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10、《关于印发环评管理中部分行业建设 项目重大变动清单的通知》（环办[2015]52号）；</w:t>
            </w:r>
          </w:p>
          <w:p>
            <w:pPr>
              <w:numPr>
                <w:ilvl w:val="0"/>
                <w:numId w:val="0"/>
              </w:numPr>
              <w:spacing w:after="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11、《关于印发制浆造纸等十四个行业建设项目重大变动清单的通知》环办环评[2018]6号；</w:t>
            </w:r>
          </w:p>
          <w:p>
            <w:pPr>
              <w:numPr>
                <w:ilvl w:val="0"/>
                <w:numId w:val="0"/>
              </w:numPr>
              <w:spacing w:after="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12、《关于印发淀粉等五个行业建设项目重大变动清单的通知》（环办环评函〔2019〕934号）；</w:t>
            </w:r>
          </w:p>
          <w:p>
            <w:pPr>
              <w:numPr>
                <w:ilvl w:val="0"/>
                <w:numId w:val="0"/>
              </w:numPr>
              <w:spacing w:after="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13、《河南省关于全省开展工业企业挥发性有机物专项治理工作中排放建议值的通知》（豫环攻坚办[2017]162号）；</w:t>
            </w:r>
          </w:p>
          <w:p>
            <w:pPr>
              <w:numPr>
                <w:ilvl w:val="0"/>
                <w:numId w:val="0"/>
              </w:numPr>
              <w:spacing w:after="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14、《大气污染物综合排放标准》（GB16297-1996）；</w:t>
            </w:r>
          </w:p>
          <w:p>
            <w:pPr>
              <w:numPr>
                <w:ilvl w:val="0"/>
                <w:numId w:val="0"/>
              </w:numPr>
              <w:spacing w:after="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15、《工业涂装工序挥发性有机物排放标准》</w:t>
            </w:r>
            <w:r>
              <w:rPr>
                <w:rFonts w:hint="eastAsia" w:ascii="宋体" w:hAnsi="宋体" w:eastAsia="宋体" w:cs="宋体"/>
                <w:color w:val="auto"/>
                <w:sz w:val="24"/>
                <w:szCs w:val="24"/>
                <w:lang w:val="en-US" w:eastAsia="zh-CN"/>
              </w:rPr>
              <w:fldChar w:fldCharType="begin"/>
            </w:r>
            <w:r>
              <w:rPr>
                <w:rFonts w:hint="eastAsia" w:ascii="宋体" w:hAnsi="宋体" w:eastAsia="宋体" w:cs="宋体"/>
                <w:color w:val="auto"/>
                <w:sz w:val="24"/>
                <w:szCs w:val="24"/>
                <w:lang w:val="en-US" w:eastAsia="zh-CN"/>
              </w:rPr>
              <w:instrText xml:space="preserve"> HYPERLINK "http://kjs.mee.gov.cn/hjbhbz/bzwb/dqhjbh/dqgdwrywrwpfbz/201906/W020190606587693632696.pdf" </w:instrText>
            </w:r>
            <w:r>
              <w:rPr>
                <w:rFonts w:hint="eastAsia" w:ascii="宋体" w:hAnsi="宋体" w:eastAsia="宋体" w:cs="宋体"/>
                <w:color w:val="auto"/>
                <w:sz w:val="24"/>
                <w:szCs w:val="24"/>
                <w:lang w:val="en-US" w:eastAsia="zh-CN"/>
              </w:rPr>
              <w:fldChar w:fldCharType="separate"/>
            </w:r>
            <w:r>
              <w:rPr>
                <w:rFonts w:hint="eastAsia" w:ascii="宋体" w:hAnsi="宋体" w:eastAsia="宋体" w:cs="宋体"/>
                <w:color w:val="auto"/>
                <w:sz w:val="24"/>
                <w:szCs w:val="24"/>
                <w:lang w:val="en-US" w:eastAsia="zh-CN"/>
              </w:rPr>
              <w:t>（DB41/1951—2020）</w:t>
            </w:r>
            <w:r>
              <w:rPr>
                <w:rFonts w:hint="eastAsia" w:ascii="宋体" w:hAnsi="宋体" w:eastAsia="宋体" w:cs="宋体"/>
                <w:color w:val="auto"/>
                <w:sz w:val="24"/>
                <w:szCs w:val="24"/>
                <w:lang w:val="en-US" w:eastAsia="zh-CN"/>
              </w:rPr>
              <w:fldChar w:fldCharType="end"/>
            </w:r>
            <w:r>
              <w:rPr>
                <w:rFonts w:hint="eastAsia" w:ascii="宋体" w:hAnsi="宋体" w:eastAsia="宋体" w:cs="宋体"/>
                <w:color w:val="auto"/>
                <w:sz w:val="24"/>
                <w:szCs w:val="24"/>
                <w:lang w:val="en-US" w:eastAsia="zh-CN"/>
              </w:rPr>
              <w:t>；</w:t>
            </w:r>
          </w:p>
          <w:p>
            <w:pPr>
              <w:numPr>
                <w:ilvl w:val="0"/>
                <w:numId w:val="0"/>
              </w:numPr>
              <w:spacing w:after="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16、《挥发性有机物无组织排放控制标准》</w:t>
            </w:r>
            <w:r>
              <w:rPr>
                <w:rFonts w:hint="eastAsia" w:ascii="宋体" w:hAnsi="宋体" w:eastAsia="宋体" w:cs="宋体"/>
                <w:color w:val="auto"/>
                <w:sz w:val="24"/>
                <w:szCs w:val="24"/>
                <w:lang w:val="en-US" w:eastAsia="zh-CN"/>
              </w:rPr>
              <w:fldChar w:fldCharType="begin"/>
            </w:r>
            <w:r>
              <w:rPr>
                <w:rFonts w:hint="eastAsia" w:ascii="宋体" w:hAnsi="宋体" w:eastAsia="宋体" w:cs="宋体"/>
                <w:color w:val="auto"/>
                <w:sz w:val="24"/>
                <w:szCs w:val="24"/>
                <w:lang w:val="en-US" w:eastAsia="zh-CN"/>
              </w:rPr>
              <w:instrText xml:space="preserve"> HYPERLINK "http://kjs.mee.gov.cn/hjbhbz/bzwb/dqhjbh/dqgdwrywrwpfbz/201906/W020190606587693632696.pdf" </w:instrText>
            </w:r>
            <w:r>
              <w:rPr>
                <w:rFonts w:hint="eastAsia" w:ascii="宋体" w:hAnsi="宋体" w:eastAsia="宋体" w:cs="宋体"/>
                <w:color w:val="auto"/>
                <w:sz w:val="24"/>
                <w:szCs w:val="24"/>
                <w:lang w:val="en-US" w:eastAsia="zh-CN"/>
              </w:rPr>
              <w:fldChar w:fldCharType="separate"/>
            </w:r>
            <w:r>
              <w:rPr>
                <w:rFonts w:hint="eastAsia" w:ascii="宋体" w:hAnsi="宋体" w:eastAsia="宋体" w:cs="宋体"/>
                <w:color w:val="auto"/>
                <w:sz w:val="24"/>
                <w:szCs w:val="24"/>
                <w:lang w:val="en-US" w:eastAsia="zh-CN"/>
              </w:rPr>
              <w:t>（GB37822-2019）</w:t>
            </w:r>
            <w:r>
              <w:rPr>
                <w:rFonts w:hint="eastAsia" w:ascii="宋体" w:hAnsi="宋体" w:eastAsia="宋体" w:cs="宋体"/>
                <w:color w:val="auto"/>
                <w:sz w:val="24"/>
                <w:szCs w:val="24"/>
                <w:lang w:val="en-US" w:eastAsia="zh-CN"/>
              </w:rPr>
              <w:fldChar w:fldCharType="end"/>
            </w:r>
            <w:r>
              <w:rPr>
                <w:rFonts w:hint="eastAsia" w:ascii="宋体" w:hAnsi="宋体" w:eastAsia="宋体" w:cs="宋体"/>
                <w:color w:val="auto"/>
                <w:sz w:val="24"/>
                <w:szCs w:val="24"/>
                <w:lang w:val="en-US" w:eastAsia="zh-CN"/>
              </w:rPr>
              <w:t>；</w:t>
            </w:r>
          </w:p>
          <w:p>
            <w:pPr>
              <w:numPr>
                <w:ilvl w:val="0"/>
                <w:numId w:val="0"/>
              </w:numPr>
              <w:spacing w:after="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17、</w:t>
            </w:r>
            <w:r>
              <w:rPr>
                <w:rFonts w:hint="default" w:ascii="宋体" w:hAnsi="宋体" w:eastAsia="宋体" w:cs="宋体"/>
                <w:color w:val="auto"/>
                <w:sz w:val="24"/>
                <w:szCs w:val="24"/>
                <w:lang w:val="en-US" w:eastAsia="zh-CN"/>
              </w:rPr>
              <w:t>《</w:t>
            </w:r>
            <w:r>
              <w:rPr>
                <w:rFonts w:hint="eastAsia" w:ascii="宋体" w:hAnsi="宋体" w:eastAsia="宋体" w:cs="宋体"/>
                <w:color w:val="auto"/>
                <w:sz w:val="24"/>
                <w:szCs w:val="24"/>
                <w:lang w:val="en-GB" w:eastAsia="zh-CN"/>
              </w:rPr>
              <w:t>鹤壁市广睿科技有限公司年产2000套灯光雕刻、标示标牌</w:t>
            </w:r>
            <w:r>
              <w:rPr>
                <w:rFonts w:hint="eastAsia" w:ascii="宋体" w:hAnsi="宋体" w:eastAsia="宋体" w:cs="宋体"/>
                <w:color w:val="auto"/>
                <w:sz w:val="24"/>
                <w:szCs w:val="24"/>
                <w:lang w:val="en-US" w:eastAsia="zh-CN"/>
              </w:rPr>
              <w:t>项目环境影响报告表</w:t>
            </w:r>
            <w:r>
              <w:rPr>
                <w:rFonts w:hint="default" w:ascii="宋体" w:hAnsi="宋体" w:eastAsia="宋体" w:cs="宋体"/>
                <w:color w:val="auto"/>
                <w:sz w:val="24"/>
                <w:szCs w:val="24"/>
                <w:lang w:val="en-US" w:eastAsia="zh-CN"/>
              </w:rPr>
              <w:t>》</w:t>
            </w:r>
            <w:r>
              <w:rPr>
                <w:rFonts w:hint="eastAsia" w:ascii="宋体" w:hAnsi="宋体" w:eastAsia="宋体" w:cs="宋体"/>
                <w:color w:val="auto"/>
                <w:sz w:val="24"/>
                <w:szCs w:val="24"/>
                <w:lang w:val="en-US" w:eastAsia="zh-CN"/>
              </w:rPr>
              <w:t>；</w:t>
            </w:r>
          </w:p>
          <w:p>
            <w:pPr>
              <w:numPr>
                <w:ilvl w:val="0"/>
                <w:numId w:val="0"/>
              </w:numPr>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18、</w:t>
            </w:r>
            <w:r>
              <w:rPr>
                <w:rFonts w:hint="default" w:ascii="宋体" w:hAnsi="宋体" w:eastAsia="宋体" w:cs="宋体"/>
                <w:sz w:val="24"/>
                <w:szCs w:val="24"/>
                <w:lang w:val="en-US" w:eastAsia="zh-CN"/>
              </w:rPr>
              <w:t>《</w:t>
            </w:r>
            <w:r>
              <w:rPr>
                <w:rFonts w:hint="eastAsia" w:ascii="宋体" w:hAnsi="宋体" w:eastAsia="宋体" w:cs="宋体"/>
                <w:sz w:val="24"/>
                <w:szCs w:val="24"/>
                <w:lang w:val="en-GB"/>
              </w:rPr>
              <w:t>鹤壁市广睿科技有限公司</w:t>
            </w:r>
            <w:r>
              <w:rPr>
                <w:rFonts w:hint="eastAsia" w:ascii="宋体" w:hAnsi="宋体" w:eastAsia="宋体" w:cs="宋体"/>
                <w:sz w:val="24"/>
                <w:szCs w:val="24"/>
                <w:lang w:val="en-GB" w:eastAsia="zh-CN"/>
              </w:rPr>
              <w:t>年产2000套灯光雕刻、标示标牌喷漆喷塑生产线建设项目</w:t>
            </w:r>
            <w:r>
              <w:rPr>
                <w:rFonts w:hint="eastAsia" w:ascii="宋体" w:hAnsi="宋体" w:eastAsia="宋体" w:cs="宋体"/>
                <w:sz w:val="24"/>
                <w:szCs w:val="24"/>
                <w:lang w:val="en-GB"/>
              </w:rPr>
              <w:t>环境影响报告表</w:t>
            </w:r>
            <w:r>
              <w:rPr>
                <w:rFonts w:hint="default" w:ascii="宋体" w:hAnsi="宋体" w:eastAsia="宋体" w:cs="宋体"/>
                <w:sz w:val="24"/>
                <w:szCs w:val="24"/>
                <w:lang w:val="en-US" w:eastAsia="zh-CN"/>
              </w:rPr>
              <w:t>》</w:t>
            </w:r>
            <w:r>
              <w:rPr>
                <w:rFonts w:hint="eastAsia" w:ascii="宋体" w:hAnsi="宋体" w:eastAsia="宋体" w:cs="宋体"/>
                <w:sz w:val="24"/>
                <w:szCs w:val="24"/>
                <w:lang w:val="en-US" w:eastAsia="zh-CN"/>
              </w:rPr>
              <w:t>；</w:t>
            </w:r>
          </w:p>
          <w:p>
            <w:pPr>
              <w:numPr>
                <w:ilvl w:val="0"/>
                <w:numId w:val="0"/>
              </w:numPr>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19、鹤壁市生态环境局关于《</w:t>
            </w:r>
            <w:r>
              <w:rPr>
                <w:rFonts w:hint="eastAsia" w:ascii="宋体" w:hAnsi="宋体" w:eastAsia="宋体" w:cs="宋体"/>
                <w:sz w:val="24"/>
                <w:szCs w:val="24"/>
                <w:lang w:val="en-GB"/>
              </w:rPr>
              <w:t>鹤壁市广睿科技有限公司年产2000套灯光雕刻、标示标牌项目环境影响报告表</w:t>
            </w:r>
            <w:r>
              <w:rPr>
                <w:rFonts w:hint="eastAsia" w:ascii="宋体" w:hAnsi="宋体" w:eastAsia="宋体" w:cs="宋体"/>
                <w:sz w:val="24"/>
                <w:szCs w:val="24"/>
                <w:lang w:val="en-US" w:eastAsia="zh-CN"/>
              </w:rPr>
              <w:t>的批复》（</w:t>
            </w:r>
            <w:r>
              <w:rPr>
                <w:rFonts w:hint="eastAsia" w:ascii="宋体" w:hAnsi="宋体" w:eastAsia="宋体" w:cs="宋体"/>
                <w:sz w:val="24"/>
                <w:szCs w:val="24"/>
                <w:lang w:val="en-GB"/>
              </w:rPr>
              <w:t>鹤环监表（2019）026号</w:t>
            </w:r>
            <w:r>
              <w:rPr>
                <w:rFonts w:hint="eastAsia" w:ascii="宋体" w:hAnsi="宋体" w:eastAsia="宋体" w:cs="宋体"/>
                <w:sz w:val="24"/>
                <w:szCs w:val="24"/>
                <w:lang w:val="en-US" w:eastAsia="zh-CN"/>
              </w:rPr>
              <w:t>）；</w:t>
            </w:r>
          </w:p>
          <w:p>
            <w:pPr>
              <w:numPr>
                <w:ilvl w:val="0"/>
                <w:numId w:val="0"/>
              </w:numPr>
              <w:spacing w:after="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20、鹤壁市生态环境局关于《</w:t>
            </w:r>
            <w:r>
              <w:rPr>
                <w:rFonts w:hint="eastAsia" w:ascii="宋体" w:hAnsi="宋体" w:eastAsia="宋体" w:cs="宋体"/>
                <w:sz w:val="24"/>
                <w:szCs w:val="24"/>
                <w:lang w:val="en-GB"/>
              </w:rPr>
              <w:t>鹤壁市广睿科技有限公司</w:t>
            </w:r>
            <w:r>
              <w:rPr>
                <w:rFonts w:hint="eastAsia" w:ascii="宋体" w:hAnsi="宋体" w:eastAsia="宋体" w:cs="宋体"/>
                <w:sz w:val="24"/>
                <w:szCs w:val="24"/>
                <w:lang w:val="en-GB" w:eastAsia="zh-CN"/>
              </w:rPr>
              <w:t>年产2000套灯光雕刻、标示标牌喷漆喷塑生产线建设项目</w:t>
            </w:r>
            <w:r>
              <w:rPr>
                <w:rFonts w:hint="eastAsia" w:ascii="宋体" w:hAnsi="宋体" w:eastAsia="宋体" w:cs="宋体"/>
                <w:sz w:val="24"/>
                <w:szCs w:val="24"/>
              </w:rPr>
              <w:t>环境影响报告表</w:t>
            </w:r>
            <w:r>
              <w:rPr>
                <w:rFonts w:hint="eastAsia" w:ascii="宋体" w:hAnsi="宋体" w:eastAsia="宋体" w:cs="宋体"/>
                <w:sz w:val="24"/>
                <w:szCs w:val="24"/>
                <w:lang w:val="en-US" w:eastAsia="zh-CN"/>
              </w:rPr>
              <w:t>的批复</w:t>
            </w:r>
            <w:r>
              <w:rPr>
                <w:rFonts w:hint="eastAsia" w:ascii="宋体" w:hAnsi="宋体" w:eastAsia="宋体" w:cs="宋体"/>
                <w:color w:val="auto"/>
                <w:sz w:val="24"/>
                <w:szCs w:val="24"/>
                <w:lang w:val="en-US" w:eastAsia="zh-CN"/>
              </w:rPr>
              <w:t>》（</w:t>
            </w:r>
            <w:r>
              <w:rPr>
                <w:rFonts w:hint="eastAsia" w:ascii="宋体" w:hAnsi="宋体" w:eastAsia="宋体" w:cs="宋体"/>
                <w:sz w:val="24"/>
                <w:szCs w:val="24"/>
              </w:rPr>
              <w:t>鹤环监表（20</w:t>
            </w:r>
            <w:r>
              <w:rPr>
                <w:rFonts w:hint="eastAsia" w:ascii="宋体" w:hAnsi="宋体" w:eastAsia="宋体" w:cs="宋体"/>
                <w:sz w:val="24"/>
                <w:szCs w:val="24"/>
                <w:lang w:val="en-US" w:eastAsia="zh-CN"/>
              </w:rPr>
              <w:t>21</w:t>
            </w:r>
            <w:r>
              <w:rPr>
                <w:rFonts w:hint="eastAsia" w:ascii="宋体" w:hAnsi="宋体" w:eastAsia="宋体" w:cs="宋体"/>
                <w:sz w:val="24"/>
                <w:szCs w:val="24"/>
              </w:rPr>
              <w:t>）0</w:t>
            </w:r>
            <w:r>
              <w:rPr>
                <w:rFonts w:hint="eastAsia" w:ascii="宋体" w:hAnsi="宋体" w:eastAsia="宋体" w:cs="宋体"/>
                <w:sz w:val="24"/>
                <w:szCs w:val="24"/>
                <w:lang w:val="en-US" w:eastAsia="zh-CN"/>
              </w:rPr>
              <w:t>53</w:t>
            </w:r>
            <w:r>
              <w:rPr>
                <w:rFonts w:hint="eastAsia" w:ascii="宋体" w:hAnsi="宋体" w:eastAsia="宋体" w:cs="宋体"/>
                <w:sz w:val="24"/>
                <w:szCs w:val="24"/>
              </w:rPr>
              <w:t>号</w:t>
            </w:r>
            <w:r>
              <w:rPr>
                <w:rFonts w:hint="eastAsia" w:ascii="宋体" w:hAnsi="宋体" w:eastAsia="宋体" w:cs="宋体"/>
                <w:color w:val="auto"/>
                <w:sz w:val="24"/>
                <w:szCs w:val="24"/>
                <w:lang w:val="en-US" w:eastAsia="zh-CN"/>
              </w:rPr>
              <w:t>）；</w:t>
            </w:r>
          </w:p>
          <w:p>
            <w:pPr>
              <w:numPr>
                <w:ilvl w:val="0"/>
                <w:numId w:val="0"/>
              </w:numPr>
              <w:spacing w:after="0" w:line="360" w:lineRule="auto"/>
              <w:rPr>
                <w:rFonts w:hint="eastAsia" w:ascii="宋体" w:hAnsi="宋体" w:cs="宋体" w:eastAsiaTheme="minorEastAsia"/>
                <w:sz w:val="24"/>
                <w:szCs w:val="24"/>
                <w:lang w:val="en-US" w:eastAsia="zh-CN"/>
              </w:rPr>
            </w:pPr>
            <w:r>
              <w:rPr>
                <w:rFonts w:hint="eastAsia" w:ascii="宋体" w:hAnsi="宋体" w:eastAsia="宋体" w:cs="宋体"/>
                <w:color w:val="auto"/>
                <w:sz w:val="24"/>
                <w:szCs w:val="24"/>
                <w:lang w:val="en-US" w:eastAsia="zh-CN"/>
              </w:rPr>
              <w:t>21、</w:t>
            </w:r>
            <w:r>
              <w:rPr>
                <w:rFonts w:hint="eastAsia" w:ascii="宋体" w:hAnsi="宋体" w:eastAsia="宋体" w:cs="宋体"/>
                <w:sz w:val="24"/>
                <w:szCs w:val="24"/>
                <w:lang w:val="en-GB"/>
              </w:rPr>
              <w:t>鹤壁市广睿科技有限公司</w:t>
            </w:r>
            <w:r>
              <w:rPr>
                <w:rFonts w:hint="eastAsia" w:ascii="宋体" w:hAnsi="宋体" w:eastAsia="宋体" w:cs="宋体"/>
                <w:color w:val="auto"/>
                <w:sz w:val="24"/>
                <w:szCs w:val="24"/>
                <w:lang w:val="en-GB" w:eastAsia="zh-CN"/>
              </w:rPr>
              <w:t>提供的相关资料。</w:t>
            </w:r>
          </w:p>
        </w:tc>
      </w:tr>
    </w:tbl>
    <w:p>
      <w:pPr>
        <w:spacing w:after="0"/>
        <w:ind w:left="-1800" w:right="10080"/>
      </w:pPr>
    </w:p>
    <w:tbl>
      <w:tblPr>
        <w:tblStyle w:val="17"/>
        <w:tblW w:w="8160" w:type="dxa"/>
        <w:jc w:val="center"/>
        <w:tblLayout w:type="fixed"/>
        <w:tblCellMar>
          <w:top w:w="45" w:type="dxa"/>
          <w:left w:w="107" w:type="dxa"/>
          <w:bottom w:w="0" w:type="dxa"/>
          <w:right w:w="103" w:type="dxa"/>
        </w:tblCellMar>
      </w:tblPr>
      <w:tblGrid>
        <w:gridCol w:w="1179"/>
        <w:gridCol w:w="6981"/>
      </w:tblGrid>
      <w:tr>
        <w:tblPrEx>
          <w:tblCellMar>
            <w:top w:w="45" w:type="dxa"/>
            <w:left w:w="107" w:type="dxa"/>
            <w:bottom w:w="0" w:type="dxa"/>
            <w:right w:w="103" w:type="dxa"/>
          </w:tblCellMar>
        </w:tblPrEx>
        <w:trPr>
          <w:trHeight w:val="13859" w:hRule="atLeast"/>
          <w:jc w:val="center"/>
        </w:trPr>
        <w:tc>
          <w:tcPr>
            <w:tcW w:w="1179" w:type="dxa"/>
            <w:tcBorders>
              <w:top w:val="single" w:color="000000" w:sz="8" w:space="0"/>
              <w:left w:val="single" w:color="000000" w:sz="8" w:space="0"/>
              <w:bottom w:val="single" w:color="000000" w:sz="8" w:space="0"/>
              <w:right w:val="single" w:color="000000" w:sz="4" w:space="0"/>
            </w:tcBorders>
            <w:vAlign w:val="center"/>
          </w:tcPr>
          <w:p>
            <w:pPr>
              <w:spacing w:after="0"/>
              <w:ind w:left="1"/>
              <w:rPr>
                <w:rFonts w:hint="eastAsia" w:ascii="宋体" w:hAnsi="宋体" w:eastAsia="宋体" w:cs="宋体"/>
                <w:sz w:val="24"/>
                <w:szCs w:val="24"/>
              </w:rPr>
            </w:pPr>
            <w:r>
              <w:rPr>
                <w:rFonts w:hint="eastAsia" w:ascii="宋体" w:hAnsi="宋体" w:eastAsia="宋体" w:cs="宋体"/>
                <w:sz w:val="24"/>
                <w:szCs w:val="24"/>
              </w:rPr>
              <w:t>验收监测评价标准、标号、级别、限值</w:t>
            </w:r>
          </w:p>
        </w:tc>
        <w:tc>
          <w:tcPr>
            <w:tcW w:w="6981" w:type="dxa"/>
            <w:tcBorders>
              <w:top w:val="single" w:color="000000" w:sz="8" w:space="0"/>
              <w:left w:val="single" w:color="000000" w:sz="4" w:space="0"/>
              <w:bottom w:val="single" w:color="000000" w:sz="8" w:space="0"/>
              <w:right w:val="single" w:color="000000" w:sz="8" w:space="0"/>
            </w:tcBorders>
          </w:tcPr>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1、废气</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经现场踏勘，项目焊接过程会产生焊接烟尘；喷塑过程会产生粉尘；喷塑固化过程会产生非甲烷总烃；喷漆、固化过程中会产生漆雾、非甲烷总烃、甲苯和二甲苯的污染物，排放标准见表1-1。</w:t>
            </w:r>
          </w:p>
          <w:tbl>
            <w:tblPr>
              <w:tblStyle w:val="12"/>
              <w:tblpPr w:leftFromText="180" w:rightFromText="180" w:vertAnchor="text" w:horzAnchor="page" w:tblpX="164" w:tblpY="487"/>
              <w:tblOverlap w:val="never"/>
              <w:tblW w:w="4911"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785"/>
              <w:gridCol w:w="2366"/>
              <w:gridCol w:w="1165"/>
              <w:gridCol w:w="2329"/>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89" w:hRule="atLeast"/>
              </w:trPr>
              <w:tc>
                <w:tcPr>
                  <w:tcW w:w="590" w:type="pct"/>
                  <w:noWrap w:val="0"/>
                  <w:vAlign w:val="center"/>
                </w:tcPr>
                <w:p>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环境要素</w:t>
                  </w:r>
                </w:p>
              </w:tc>
              <w:tc>
                <w:tcPr>
                  <w:tcW w:w="1780" w:type="pct"/>
                  <w:noWrap w:val="0"/>
                  <w:vAlign w:val="center"/>
                </w:tcPr>
                <w:p>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标准名称</w:t>
                  </w:r>
                </w:p>
              </w:tc>
              <w:tc>
                <w:tcPr>
                  <w:tcW w:w="876" w:type="pct"/>
                  <w:noWrap w:val="0"/>
                  <w:vAlign w:val="center"/>
                </w:tcPr>
                <w:p>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执行级别（类别）</w:t>
                  </w:r>
                </w:p>
              </w:tc>
              <w:tc>
                <w:tcPr>
                  <w:tcW w:w="1752" w:type="pct"/>
                  <w:noWrap w:val="0"/>
                  <w:vAlign w:val="center"/>
                </w:tcPr>
                <w:p>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标准限值</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693" w:hRule="atLeast"/>
              </w:trPr>
              <w:tc>
                <w:tcPr>
                  <w:tcW w:w="590" w:type="pct"/>
                  <w:vMerge w:val="restart"/>
                  <w:noWrap w:val="0"/>
                  <w:vAlign w:val="center"/>
                </w:tcPr>
                <w:p>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大气</w:t>
                  </w:r>
                </w:p>
              </w:tc>
              <w:tc>
                <w:tcPr>
                  <w:tcW w:w="1780" w:type="pct"/>
                  <w:vMerge w:val="restart"/>
                  <w:noWrap w:val="0"/>
                  <w:vAlign w:val="center"/>
                </w:tcPr>
                <w:p>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《大气污染物综合排放标准》（GB16297-1996）</w:t>
                  </w:r>
                </w:p>
              </w:tc>
              <w:tc>
                <w:tcPr>
                  <w:tcW w:w="876" w:type="pct"/>
                  <w:noWrap w:val="0"/>
                  <w:vAlign w:val="center"/>
                </w:tcPr>
                <w:p>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表2有组织排放（排气筒15m）</w:t>
                  </w:r>
                </w:p>
              </w:tc>
              <w:tc>
                <w:tcPr>
                  <w:tcW w:w="1752" w:type="pct"/>
                  <w:noWrap w:val="0"/>
                  <w:vAlign w:val="center"/>
                </w:tcPr>
                <w:p>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颗粒物≤120mg/m</w:t>
                  </w:r>
                  <w:r>
                    <w:rPr>
                      <w:rFonts w:hint="eastAsia" w:ascii="宋体" w:hAnsi="宋体" w:eastAsia="宋体" w:cs="宋体"/>
                      <w:sz w:val="21"/>
                      <w:szCs w:val="21"/>
                      <w:vertAlign w:val="superscript"/>
                    </w:rPr>
                    <w:t>3</w:t>
                  </w:r>
                  <w:r>
                    <w:rPr>
                      <w:rFonts w:hint="eastAsia" w:ascii="宋体" w:hAnsi="宋体" w:eastAsia="宋体" w:cs="宋体"/>
                      <w:sz w:val="21"/>
                      <w:szCs w:val="21"/>
                    </w:rPr>
                    <w:t>，排放速率≤3.5kg/h</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49" w:hRule="atLeast"/>
              </w:trPr>
              <w:tc>
                <w:tcPr>
                  <w:tcW w:w="590" w:type="pct"/>
                  <w:vMerge w:val="continue"/>
                  <w:noWrap w:val="0"/>
                  <w:vAlign w:val="center"/>
                </w:tcPr>
                <w:p>
                  <w:pPr>
                    <w:spacing w:line="240" w:lineRule="auto"/>
                    <w:ind w:firstLine="0" w:firstLineChars="0"/>
                    <w:jc w:val="center"/>
                    <w:rPr>
                      <w:rFonts w:hint="eastAsia" w:ascii="宋体" w:hAnsi="宋体" w:eastAsia="宋体" w:cs="宋体"/>
                      <w:sz w:val="21"/>
                      <w:szCs w:val="21"/>
                    </w:rPr>
                  </w:pPr>
                </w:p>
              </w:tc>
              <w:tc>
                <w:tcPr>
                  <w:tcW w:w="1780" w:type="pct"/>
                  <w:vMerge w:val="continue"/>
                  <w:noWrap w:val="0"/>
                  <w:vAlign w:val="center"/>
                </w:tcPr>
                <w:p>
                  <w:pPr>
                    <w:spacing w:line="240" w:lineRule="auto"/>
                    <w:ind w:firstLine="0" w:firstLineChars="0"/>
                    <w:jc w:val="center"/>
                    <w:rPr>
                      <w:rFonts w:hint="eastAsia" w:ascii="宋体" w:hAnsi="宋体" w:eastAsia="宋体" w:cs="宋体"/>
                      <w:sz w:val="21"/>
                      <w:szCs w:val="21"/>
                    </w:rPr>
                  </w:pPr>
                </w:p>
              </w:tc>
              <w:tc>
                <w:tcPr>
                  <w:tcW w:w="876" w:type="pct"/>
                  <w:noWrap w:val="0"/>
                  <w:vAlign w:val="center"/>
                </w:tcPr>
                <w:p>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表2无组织排放</w:t>
                  </w:r>
                </w:p>
              </w:tc>
              <w:tc>
                <w:tcPr>
                  <w:tcW w:w="1752" w:type="pct"/>
                  <w:noWrap w:val="0"/>
                  <w:vAlign w:val="center"/>
                </w:tcPr>
                <w:p>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颗粒物≤1.0mg/m</w:t>
                  </w:r>
                  <w:r>
                    <w:rPr>
                      <w:rFonts w:hint="eastAsia" w:ascii="宋体" w:hAnsi="宋体" w:eastAsia="宋体" w:cs="宋体"/>
                      <w:sz w:val="21"/>
                      <w:szCs w:val="21"/>
                      <w:vertAlign w:val="superscript"/>
                    </w:rPr>
                    <w:t>3</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09" w:hRule="atLeast"/>
              </w:trPr>
              <w:tc>
                <w:tcPr>
                  <w:tcW w:w="590" w:type="pct"/>
                  <w:vMerge w:val="continue"/>
                  <w:noWrap w:val="0"/>
                  <w:vAlign w:val="center"/>
                </w:tcPr>
                <w:p>
                  <w:pPr>
                    <w:spacing w:line="240" w:lineRule="auto"/>
                    <w:ind w:firstLine="0" w:firstLineChars="0"/>
                    <w:jc w:val="center"/>
                    <w:rPr>
                      <w:rFonts w:hint="eastAsia" w:ascii="宋体" w:hAnsi="宋体" w:eastAsia="宋体" w:cs="宋体"/>
                      <w:sz w:val="21"/>
                      <w:szCs w:val="21"/>
                    </w:rPr>
                  </w:pPr>
                </w:p>
              </w:tc>
              <w:tc>
                <w:tcPr>
                  <w:tcW w:w="1780" w:type="pct"/>
                  <w:vMerge w:val="restart"/>
                  <w:noWrap w:val="0"/>
                  <w:vAlign w:val="center"/>
                </w:tcPr>
                <w:p>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《河南省关于全省开展工业企业挥发性有机物专项治理工作中排放建议值的通知》（豫环攻坚办 [2017]162号）表面涂装业</w:t>
                  </w:r>
                </w:p>
              </w:tc>
              <w:tc>
                <w:tcPr>
                  <w:tcW w:w="876" w:type="pct"/>
                  <w:tcBorders>
                    <w:bottom w:val="single" w:color="auto" w:sz="4" w:space="0"/>
                  </w:tcBorders>
                  <w:noWrap w:val="0"/>
                  <w:vAlign w:val="center"/>
                </w:tcPr>
                <w:p>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有组织排放</w:t>
                  </w:r>
                </w:p>
              </w:tc>
              <w:tc>
                <w:tcPr>
                  <w:tcW w:w="1752" w:type="pct"/>
                  <w:tcBorders>
                    <w:bottom w:val="single" w:color="auto" w:sz="4" w:space="0"/>
                  </w:tcBorders>
                  <w:noWrap w:val="0"/>
                  <w:vAlign w:val="center"/>
                </w:tcPr>
                <w:p>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非甲烷总烃≤60mg/m</w:t>
                  </w:r>
                  <w:r>
                    <w:rPr>
                      <w:rFonts w:hint="eastAsia" w:ascii="宋体" w:hAnsi="宋体" w:eastAsia="宋体" w:cs="宋体"/>
                      <w:sz w:val="21"/>
                      <w:szCs w:val="21"/>
                      <w:vertAlign w:val="superscript"/>
                    </w:rPr>
                    <w:t>3</w:t>
                  </w:r>
                  <w:r>
                    <w:rPr>
                      <w:rFonts w:hint="eastAsia" w:ascii="宋体" w:hAnsi="宋体" w:eastAsia="宋体" w:cs="宋体"/>
                      <w:sz w:val="21"/>
                      <w:szCs w:val="21"/>
                    </w:rPr>
                    <w:t>， 最低去除效率70%</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18" w:hRule="atLeast"/>
              </w:trPr>
              <w:tc>
                <w:tcPr>
                  <w:tcW w:w="590" w:type="pct"/>
                  <w:vMerge w:val="continue"/>
                  <w:noWrap w:val="0"/>
                  <w:vAlign w:val="center"/>
                </w:tcPr>
                <w:p>
                  <w:pPr>
                    <w:spacing w:line="240" w:lineRule="auto"/>
                    <w:ind w:firstLine="0" w:firstLineChars="0"/>
                    <w:jc w:val="center"/>
                    <w:rPr>
                      <w:rFonts w:hint="eastAsia" w:ascii="宋体" w:hAnsi="宋体" w:eastAsia="宋体" w:cs="宋体"/>
                      <w:sz w:val="21"/>
                      <w:szCs w:val="21"/>
                    </w:rPr>
                  </w:pPr>
                </w:p>
              </w:tc>
              <w:tc>
                <w:tcPr>
                  <w:tcW w:w="1780" w:type="pct"/>
                  <w:vMerge w:val="continue"/>
                  <w:noWrap w:val="0"/>
                  <w:vAlign w:val="center"/>
                </w:tcPr>
                <w:p>
                  <w:pPr>
                    <w:spacing w:line="240" w:lineRule="auto"/>
                    <w:ind w:firstLine="0" w:firstLineChars="0"/>
                    <w:jc w:val="center"/>
                    <w:rPr>
                      <w:rFonts w:hint="eastAsia" w:ascii="宋体" w:hAnsi="宋体" w:eastAsia="宋体" w:cs="宋体"/>
                      <w:sz w:val="21"/>
                      <w:szCs w:val="21"/>
                    </w:rPr>
                  </w:pPr>
                </w:p>
              </w:tc>
              <w:tc>
                <w:tcPr>
                  <w:tcW w:w="876" w:type="pct"/>
                  <w:tcBorders>
                    <w:top w:val="single" w:color="auto" w:sz="4" w:space="0"/>
                    <w:bottom w:val="single" w:color="auto" w:sz="4" w:space="0"/>
                  </w:tcBorders>
                  <w:noWrap w:val="0"/>
                  <w:vAlign w:val="center"/>
                </w:tcPr>
                <w:p>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无组织排放</w:t>
                  </w:r>
                </w:p>
              </w:tc>
              <w:tc>
                <w:tcPr>
                  <w:tcW w:w="1752" w:type="pct"/>
                  <w:tcBorders>
                    <w:top w:val="single" w:color="auto" w:sz="4" w:space="0"/>
                    <w:bottom w:val="single" w:color="auto" w:sz="4" w:space="0"/>
                  </w:tcBorders>
                  <w:noWrap w:val="0"/>
                  <w:vAlign w:val="center"/>
                </w:tcPr>
                <w:p>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非甲烷总烃≤2.0mg/m</w:t>
                  </w:r>
                  <w:r>
                    <w:rPr>
                      <w:rFonts w:hint="eastAsia" w:ascii="宋体" w:hAnsi="宋体" w:eastAsia="宋体" w:cs="宋体"/>
                      <w:sz w:val="21"/>
                      <w:szCs w:val="21"/>
                      <w:vertAlign w:val="superscript"/>
                    </w:rPr>
                    <w:t>3</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34" w:hRule="atLeast"/>
              </w:trPr>
              <w:tc>
                <w:tcPr>
                  <w:tcW w:w="590" w:type="pct"/>
                  <w:vMerge w:val="continue"/>
                  <w:noWrap w:val="0"/>
                  <w:vAlign w:val="center"/>
                </w:tcPr>
                <w:p>
                  <w:pPr>
                    <w:spacing w:line="240" w:lineRule="auto"/>
                    <w:ind w:firstLine="0" w:firstLineChars="0"/>
                    <w:jc w:val="center"/>
                    <w:rPr>
                      <w:rFonts w:hint="eastAsia" w:ascii="宋体" w:hAnsi="宋体" w:eastAsia="宋体" w:cs="宋体"/>
                      <w:sz w:val="21"/>
                      <w:szCs w:val="21"/>
                    </w:rPr>
                  </w:pPr>
                </w:p>
              </w:tc>
              <w:tc>
                <w:tcPr>
                  <w:tcW w:w="1780" w:type="pct"/>
                  <w:vMerge w:val="continue"/>
                  <w:noWrap w:val="0"/>
                  <w:vAlign w:val="center"/>
                </w:tcPr>
                <w:p>
                  <w:pPr>
                    <w:spacing w:line="240" w:lineRule="auto"/>
                    <w:ind w:firstLine="0" w:firstLineChars="0"/>
                    <w:jc w:val="center"/>
                    <w:rPr>
                      <w:rFonts w:hint="eastAsia" w:ascii="宋体" w:hAnsi="宋体" w:eastAsia="宋体" w:cs="宋体"/>
                      <w:sz w:val="21"/>
                      <w:szCs w:val="21"/>
                    </w:rPr>
                  </w:pPr>
                </w:p>
              </w:tc>
              <w:tc>
                <w:tcPr>
                  <w:tcW w:w="876" w:type="pct"/>
                  <w:tcBorders>
                    <w:top w:val="single" w:color="auto" w:sz="4" w:space="0"/>
                    <w:bottom w:val="single" w:color="auto" w:sz="4" w:space="0"/>
                  </w:tcBorders>
                  <w:noWrap w:val="0"/>
                  <w:vAlign w:val="center"/>
                </w:tcPr>
                <w:p>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有组织排放</w:t>
                  </w:r>
                </w:p>
              </w:tc>
              <w:tc>
                <w:tcPr>
                  <w:tcW w:w="1752" w:type="pct"/>
                  <w:tcBorders>
                    <w:top w:val="single" w:color="auto" w:sz="4" w:space="0"/>
                    <w:bottom w:val="single" w:color="auto" w:sz="4" w:space="0"/>
                  </w:tcBorders>
                  <w:noWrap w:val="0"/>
                  <w:vAlign w:val="center"/>
                </w:tcPr>
                <w:p>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bCs w:val="0"/>
                      <w:sz w:val="21"/>
                      <w:szCs w:val="21"/>
                    </w:rPr>
                    <w:t>甲苯二甲苯合计20</w:t>
                  </w:r>
                  <w:r>
                    <w:rPr>
                      <w:rFonts w:hint="eastAsia" w:ascii="宋体" w:hAnsi="宋体" w:eastAsia="宋体" w:cs="宋体"/>
                      <w:sz w:val="21"/>
                      <w:szCs w:val="21"/>
                    </w:rPr>
                    <w:t>mg/m</w:t>
                  </w:r>
                  <w:r>
                    <w:rPr>
                      <w:rFonts w:hint="eastAsia" w:ascii="宋体" w:hAnsi="宋体" w:eastAsia="宋体" w:cs="宋体"/>
                      <w:sz w:val="21"/>
                      <w:szCs w:val="21"/>
                      <w:vertAlign w:val="superscript"/>
                    </w:rPr>
                    <w:t>3</w:t>
                  </w:r>
                  <w:r>
                    <w:rPr>
                      <w:rFonts w:hint="eastAsia" w:ascii="宋体" w:hAnsi="宋体" w:eastAsia="宋体" w:cs="宋体"/>
                      <w:sz w:val="21"/>
                      <w:szCs w:val="21"/>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82" w:hRule="atLeast"/>
              </w:trPr>
              <w:tc>
                <w:tcPr>
                  <w:tcW w:w="590" w:type="pct"/>
                  <w:vMerge w:val="continue"/>
                  <w:noWrap w:val="0"/>
                  <w:vAlign w:val="center"/>
                </w:tcPr>
                <w:p>
                  <w:pPr>
                    <w:spacing w:line="240" w:lineRule="auto"/>
                    <w:ind w:firstLine="0" w:firstLineChars="0"/>
                    <w:jc w:val="center"/>
                    <w:rPr>
                      <w:rFonts w:hint="eastAsia" w:ascii="宋体" w:hAnsi="宋体" w:eastAsia="宋体" w:cs="宋体"/>
                      <w:sz w:val="21"/>
                      <w:szCs w:val="21"/>
                    </w:rPr>
                  </w:pPr>
                </w:p>
              </w:tc>
              <w:tc>
                <w:tcPr>
                  <w:tcW w:w="1780" w:type="pct"/>
                  <w:vMerge w:val="continue"/>
                  <w:noWrap w:val="0"/>
                  <w:vAlign w:val="center"/>
                </w:tcPr>
                <w:p>
                  <w:pPr>
                    <w:spacing w:line="240" w:lineRule="auto"/>
                    <w:ind w:firstLine="0" w:firstLineChars="0"/>
                    <w:jc w:val="center"/>
                    <w:rPr>
                      <w:rFonts w:hint="eastAsia" w:ascii="宋体" w:hAnsi="宋体" w:eastAsia="宋体" w:cs="宋体"/>
                      <w:sz w:val="21"/>
                      <w:szCs w:val="21"/>
                    </w:rPr>
                  </w:pPr>
                </w:p>
              </w:tc>
              <w:tc>
                <w:tcPr>
                  <w:tcW w:w="876" w:type="pct"/>
                  <w:tcBorders>
                    <w:top w:val="single" w:color="auto" w:sz="4" w:space="0"/>
                  </w:tcBorders>
                  <w:noWrap w:val="0"/>
                  <w:vAlign w:val="center"/>
                </w:tcPr>
                <w:p>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无组织排放</w:t>
                  </w:r>
                </w:p>
              </w:tc>
              <w:tc>
                <w:tcPr>
                  <w:tcW w:w="1752" w:type="pct"/>
                  <w:tcBorders>
                    <w:top w:val="single" w:color="auto" w:sz="4" w:space="0"/>
                  </w:tcBorders>
                  <w:noWrap w:val="0"/>
                  <w:vAlign w:val="center"/>
                </w:tcPr>
                <w:p>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bCs w:val="0"/>
                      <w:sz w:val="21"/>
                      <w:szCs w:val="21"/>
                    </w:rPr>
                    <w:t>甲苯</w:t>
                  </w:r>
                  <w:r>
                    <w:rPr>
                      <w:rFonts w:hint="eastAsia" w:ascii="宋体" w:hAnsi="宋体" w:eastAsia="宋体" w:cs="宋体"/>
                      <w:sz w:val="21"/>
                      <w:szCs w:val="21"/>
                    </w:rPr>
                    <w:t>≤0.6mg/m</w:t>
                  </w:r>
                  <w:r>
                    <w:rPr>
                      <w:rFonts w:hint="eastAsia" w:ascii="宋体" w:hAnsi="宋体" w:eastAsia="宋体" w:cs="宋体"/>
                      <w:sz w:val="21"/>
                      <w:szCs w:val="21"/>
                      <w:vertAlign w:val="superscript"/>
                    </w:rPr>
                    <w:t>3</w:t>
                  </w:r>
                  <w:r>
                    <w:rPr>
                      <w:rFonts w:hint="eastAsia" w:ascii="宋体" w:hAnsi="宋体" w:eastAsia="宋体" w:cs="宋体"/>
                      <w:bCs w:val="0"/>
                      <w:sz w:val="21"/>
                      <w:szCs w:val="21"/>
                    </w:rPr>
                    <w:t>，二甲苯</w:t>
                  </w:r>
                  <w:r>
                    <w:rPr>
                      <w:rFonts w:hint="eastAsia" w:ascii="宋体" w:hAnsi="宋体" w:eastAsia="宋体" w:cs="宋体"/>
                      <w:sz w:val="21"/>
                      <w:szCs w:val="21"/>
                    </w:rPr>
                    <w:t>≤</w:t>
                  </w:r>
                  <w:r>
                    <w:rPr>
                      <w:rFonts w:hint="eastAsia" w:ascii="宋体" w:hAnsi="宋体" w:eastAsia="宋体" w:cs="宋体"/>
                      <w:bCs w:val="0"/>
                      <w:sz w:val="21"/>
                      <w:szCs w:val="21"/>
                    </w:rPr>
                    <w:t>0.2</w:t>
                  </w:r>
                  <w:r>
                    <w:rPr>
                      <w:rFonts w:hint="eastAsia" w:ascii="宋体" w:hAnsi="宋体" w:eastAsia="宋体" w:cs="宋体"/>
                      <w:sz w:val="21"/>
                      <w:szCs w:val="21"/>
                    </w:rPr>
                    <w:t>mg/m</w:t>
                  </w:r>
                  <w:r>
                    <w:rPr>
                      <w:rFonts w:hint="eastAsia" w:ascii="宋体" w:hAnsi="宋体" w:eastAsia="宋体" w:cs="宋体"/>
                      <w:sz w:val="21"/>
                      <w:szCs w:val="21"/>
                      <w:vertAlign w:val="superscript"/>
                    </w:rPr>
                    <w:t>3</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18" w:hRule="atLeast"/>
              </w:trPr>
              <w:tc>
                <w:tcPr>
                  <w:tcW w:w="590" w:type="pct"/>
                  <w:vMerge w:val="continue"/>
                  <w:noWrap w:val="0"/>
                  <w:vAlign w:val="center"/>
                </w:tcPr>
                <w:p>
                  <w:pPr>
                    <w:spacing w:line="240" w:lineRule="auto"/>
                    <w:ind w:firstLine="0" w:firstLineChars="0"/>
                    <w:jc w:val="center"/>
                    <w:rPr>
                      <w:rFonts w:hint="eastAsia" w:ascii="宋体" w:hAnsi="宋体" w:eastAsia="宋体" w:cs="宋体"/>
                      <w:sz w:val="21"/>
                      <w:szCs w:val="21"/>
                    </w:rPr>
                  </w:pPr>
                </w:p>
              </w:tc>
              <w:tc>
                <w:tcPr>
                  <w:tcW w:w="1780" w:type="pct"/>
                  <w:vMerge w:val="restart"/>
                  <w:noWrap w:val="0"/>
                  <w:vAlign w:val="center"/>
                </w:tcPr>
                <w:p>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《工业涂装工序挥发性有机物排放标准》</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"http://kjs.mee.gov.cn/hjbhbz/bzwb/dqhjbh/dqgdwrywrwpfbz/201906/W020190606587693632696.pdf" </w:instrText>
                  </w:r>
                  <w:r>
                    <w:rPr>
                      <w:rFonts w:hint="eastAsia" w:ascii="宋体" w:hAnsi="宋体" w:eastAsia="宋体" w:cs="宋体"/>
                      <w:sz w:val="21"/>
                      <w:szCs w:val="21"/>
                    </w:rPr>
                    <w:fldChar w:fldCharType="separate"/>
                  </w:r>
                  <w:r>
                    <w:rPr>
                      <w:rFonts w:hint="eastAsia" w:ascii="宋体" w:hAnsi="宋体" w:eastAsia="宋体" w:cs="宋体"/>
                      <w:sz w:val="21"/>
                      <w:szCs w:val="21"/>
                    </w:rPr>
                    <w:t>（DB41/ 1951—2020）</w:t>
                  </w:r>
                  <w:r>
                    <w:rPr>
                      <w:rFonts w:hint="eastAsia" w:ascii="宋体" w:hAnsi="宋体" w:eastAsia="宋体" w:cs="宋体"/>
                      <w:sz w:val="21"/>
                      <w:szCs w:val="21"/>
                    </w:rPr>
                    <w:fldChar w:fldCharType="end"/>
                  </w:r>
                </w:p>
              </w:tc>
              <w:tc>
                <w:tcPr>
                  <w:tcW w:w="876" w:type="pct"/>
                  <w:vMerge w:val="restart"/>
                  <w:tcBorders>
                    <w:top w:val="single" w:color="auto" w:sz="4" w:space="0"/>
                  </w:tcBorders>
                  <w:noWrap w:val="0"/>
                  <w:vAlign w:val="center"/>
                </w:tcPr>
                <w:p>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表1有组织排放（排气筒15m）</w:t>
                  </w:r>
                </w:p>
              </w:tc>
              <w:tc>
                <w:tcPr>
                  <w:tcW w:w="1752" w:type="pct"/>
                  <w:tcBorders>
                    <w:top w:val="single" w:color="auto" w:sz="4" w:space="0"/>
                  </w:tcBorders>
                  <w:noWrap w:val="0"/>
                  <w:vAlign w:val="center"/>
                </w:tcPr>
                <w:p>
                  <w:pPr>
                    <w:spacing w:line="240" w:lineRule="auto"/>
                    <w:ind w:firstLine="0" w:firstLineChars="0"/>
                    <w:jc w:val="center"/>
                    <w:rPr>
                      <w:rFonts w:hint="eastAsia" w:ascii="宋体" w:hAnsi="宋体" w:eastAsia="宋体" w:cs="宋体"/>
                      <w:bCs w:val="0"/>
                      <w:sz w:val="21"/>
                      <w:szCs w:val="21"/>
                    </w:rPr>
                  </w:pPr>
                  <w:r>
                    <w:rPr>
                      <w:rFonts w:hint="eastAsia" w:ascii="宋体" w:hAnsi="宋体" w:eastAsia="宋体" w:cs="宋体"/>
                      <w:sz w:val="21"/>
                      <w:szCs w:val="21"/>
                    </w:rPr>
                    <w:t>非甲烷总烃≤50mg/m</w:t>
                  </w:r>
                  <w:r>
                    <w:rPr>
                      <w:rFonts w:hint="eastAsia" w:ascii="宋体" w:hAnsi="宋体" w:eastAsia="宋体" w:cs="宋体"/>
                      <w:sz w:val="21"/>
                      <w:szCs w:val="21"/>
                      <w:vertAlign w:val="superscript"/>
                    </w:rPr>
                    <w:t>3</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34" w:hRule="atLeast"/>
              </w:trPr>
              <w:tc>
                <w:tcPr>
                  <w:tcW w:w="590" w:type="pct"/>
                  <w:vMerge w:val="continue"/>
                  <w:noWrap w:val="0"/>
                  <w:vAlign w:val="center"/>
                </w:tcPr>
                <w:p>
                  <w:pPr>
                    <w:spacing w:line="240" w:lineRule="auto"/>
                    <w:ind w:firstLine="0" w:firstLineChars="0"/>
                    <w:jc w:val="center"/>
                    <w:rPr>
                      <w:rFonts w:hint="eastAsia" w:ascii="宋体" w:hAnsi="宋体" w:eastAsia="宋体" w:cs="宋体"/>
                      <w:sz w:val="21"/>
                      <w:szCs w:val="21"/>
                    </w:rPr>
                  </w:pPr>
                </w:p>
              </w:tc>
              <w:tc>
                <w:tcPr>
                  <w:tcW w:w="1780" w:type="pct"/>
                  <w:vMerge w:val="continue"/>
                  <w:noWrap w:val="0"/>
                  <w:vAlign w:val="center"/>
                </w:tcPr>
                <w:p>
                  <w:pPr>
                    <w:spacing w:line="240" w:lineRule="auto"/>
                    <w:ind w:firstLine="0" w:firstLineChars="0"/>
                    <w:jc w:val="center"/>
                    <w:rPr>
                      <w:rFonts w:hint="eastAsia" w:ascii="宋体" w:hAnsi="宋体" w:eastAsia="宋体" w:cs="宋体"/>
                      <w:sz w:val="21"/>
                      <w:szCs w:val="21"/>
                    </w:rPr>
                  </w:pPr>
                </w:p>
              </w:tc>
              <w:tc>
                <w:tcPr>
                  <w:tcW w:w="876" w:type="pct"/>
                  <w:vMerge w:val="continue"/>
                  <w:noWrap w:val="0"/>
                  <w:vAlign w:val="center"/>
                </w:tcPr>
                <w:p>
                  <w:pPr>
                    <w:spacing w:line="240" w:lineRule="auto"/>
                    <w:ind w:firstLine="0" w:firstLineChars="0"/>
                    <w:jc w:val="center"/>
                    <w:rPr>
                      <w:rFonts w:hint="eastAsia" w:ascii="宋体" w:hAnsi="宋体" w:eastAsia="宋体" w:cs="宋体"/>
                      <w:sz w:val="21"/>
                      <w:szCs w:val="21"/>
                    </w:rPr>
                  </w:pPr>
                </w:p>
              </w:tc>
              <w:tc>
                <w:tcPr>
                  <w:tcW w:w="1752" w:type="pct"/>
                  <w:tcBorders>
                    <w:top w:val="single" w:color="auto" w:sz="4" w:space="0"/>
                  </w:tcBorders>
                  <w:noWrap w:val="0"/>
                  <w:vAlign w:val="center"/>
                </w:tcPr>
                <w:p>
                  <w:pPr>
                    <w:spacing w:line="240" w:lineRule="auto"/>
                    <w:ind w:firstLine="0" w:firstLineChars="0"/>
                    <w:jc w:val="center"/>
                    <w:rPr>
                      <w:rFonts w:hint="eastAsia" w:ascii="宋体" w:hAnsi="宋体" w:eastAsia="宋体" w:cs="宋体"/>
                      <w:bCs w:val="0"/>
                      <w:sz w:val="21"/>
                      <w:szCs w:val="21"/>
                    </w:rPr>
                  </w:pPr>
                  <w:r>
                    <w:rPr>
                      <w:rFonts w:hint="eastAsia" w:ascii="宋体" w:hAnsi="宋体" w:eastAsia="宋体" w:cs="宋体"/>
                      <w:sz w:val="21"/>
                      <w:szCs w:val="21"/>
                    </w:rPr>
                    <w:t>苯≤1mg/m</w:t>
                  </w:r>
                  <w:r>
                    <w:rPr>
                      <w:rFonts w:hint="eastAsia" w:ascii="宋体" w:hAnsi="宋体" w:eastAsia="宋体" w:cs="宋体"/>
                      <w:sz w:val="21"/>
                      <w:szCs w:val="21"/>
                      <w:vertAlign w:val="superscript"/>
                    </w:rPr>
                    <w:t>3</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30" w:hRule="atLeast"/>
              </w:trPr>
              <w:tc>
                <w:tcPr>
                  <w:tcW w:w="590" w:type="pct"/>
                  <w:vMerge w:val="continue"/>
                  <w:noWrap w:val="0"/>
                  <w:vAlign w:val="center"/>
                </w:tcPr>
                <w:p>
                  <w:pPr>
                    <w:spacing w:line="240" w:lineRule="auto"/>
                    <w:ind w:firstLine="0" w:firstLineChars="0"/>
                    <w:jc w:val="center"/>
                    <w:rPr>
                      <w:rFonts w:hint="eastAsia" w:ascii="宋体" w:hAnsi="宋体" w:eastAsia="宋体" w:cs="宋体"/>
                      <w:sz w:val="21"/>
                      <w:szCs w:val="21"/>
                    </w:rPr>
                  </w:pPr>
                </w:p>
              </w:tc>
              <w:tc>
                <w:tcPr>
                  <w:tcW w:w="1780" w:type="pct"/>
                  <w:vMerge w:val="continue"/>
                  <w:noWrap w:val="0"/>
                  <w:vAlign w:val="center"/>
                </w:tcPr>
                <w:p>
                  <w:pPr>
                    <w:spacing w:line="240" w:lineRule="auto"/>
                    <w:ind w:firstLine="0" w:firstLineChars="0"/>
                    <w:jc w:val="center"/>
                    <w:rPr>
                      <w:rFonts w:hint="eastAsia" w:ascii="宋体" w:hAnsi="宋体" w:eastAsia="宋体" w:cs="宋体"/>
                      <w:sz w:val="21"/>
                      <w:szCs w:val="21"/>
                    </w:rPr>
                  </w:pPr>
                </w:p>
              </w:tc>
              <w:tc>
                <w:tcPr>
                  <w:tcW w:w="876" w:type="pct"/>
                  <w:vMerge w:val="continue"/>
                  <w:noWrap w:val="0"/>
                  <w:vAlign w:val="center"/>
                </w:tcPr>
                <w:p>
                  <w:pPr>
                    <w:spacing w:line="240" w:lineRule="auto"/>
                    <w:ind w:firstLine="0" w:firstLineChars="0"/>
                    <w:jc w:val="center"/>
                    <w:rPr>
                      <w:rFonts w:hint="eastAsia" w:ascii="宋体" w:hAnsi="宋体" w:eastAsia="宋体" w:cs="宋体"/>
                      <w:sz w:val="21"/>
                      <w:szCs w:val="21"/>
                    </w:rPr>
                  </w:pPr>
                </w:p>
              </w:tc>
              <w:tc>
                <w:tcPr>
                  <w:tcW w:w="1752" w:type="pct"/>
                  <w:tcBorders>
                    <w:top w:val="single" w:color="auto" w:sz="4" w:space="0"/>
                  </w:tcBorders>
                  <w:noWrap w:val="0"/>
                  <w:vAlign w:val="center"/>
                </w:tcPr>
                <w:p>
                  <w:pPr>
                    <w:spacing w:line="240" w:lineRule="auto"/>
                    <w:ind w:firstLine="0" w:firstLineChars="0"/>
                    <w:jc w:val="center"/>
                    <w:rPr>
                      <w:rFonts w:hint="eastAsia" w:ascii="宋体" w:hAnsi="宋体" w:eastAsia="宋体" w:cs="宋体"/>
                      <w:bCs w:val="0"/>
                      <w:sz w:val="21"/>
                      <w:szCs w:val="21"/>
                    </w:rPr>
                  </w:pPr>
                  <w:r>
                    <w:rPr>
                      <w:rFonts w:hint="eastAsia" w:ascii="宋体" w:hAnsi="宋体" w:eastAsia="宋体" w:cs="宋体"/>
                      <w:bCs w:val="0"/>
                      <w:sz w:val="21"/>
                      <w:szCs w:val="21"/>
                    </w:rPr>
                    <w:t>甲苯二甲苯合计20</w:t>
                  </w:r>
                  <w:r>
                    <w:rPr>
                      <w:rFonts w:hint="eastAsia" w:ascii="宋体" w:hAnsi="宋体" w:eastAsia="宋体" w:cs="宋体"/>
                      <w:sz w:val="21"/>
                      <w:szCs w:val="21"/>
                    </w:rPr>
                    <w:t>mg/m</w:t>
                  </w:r>
                  <w:r>
                    <w:rPr>
                      <w:rFonts w:hint="eastAsia" w:ascii="宋体" w:hAnsi="宋体" w:eastAsia="宋体" w:cs="宋体"/>
                      <w:sz w:val="21"/>
                      <w:szCs w:val="21"/>
                      <w:vertAlign w:val="superscript"/>
                    </w:rPr>
                    <w:t>3</w:t>
                  </w:r>
                  <w:r>
                    <w:rPr>
                      <w:rFonts w:hint="eastAsia" w:ascii="宋体" w:hAnsi="宋体" w:eastAsia="宋体" w:cs="宋体"/>
                      <w:sz w:val="21"/>
                      <w:szCs w:val="21"/>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42" w:hRule="atLeast"/>
              </w:trPr>
              <w:tc>
                <w:tcPr>
                  <w:tcW w:w="590" w:type="pct"/>
                  <w:vMerge w:val="continue"/>
                  <w:noWrap w:val="0"/>
                  <w:vAlign w:val="center"/>
                </w:tcPr>
                <w:p>
                  <w:pPr>
                    <w:spacing w:line="240" w:lineRule="auto"/>
                    <w:ind w:firstLine="0" w:firstLineChars="0"/>
                    <w:jc w:val="center"/>
                    <w:rPr>
                      <w:rFonts w:hint="eastAsia" w:ascii="宋体" w:hAnsi="宋体" w:eastAsia="宋体" w:cs="宋体"/>
                      <w:sz w:val="21"/>
                      <w:szCs w:val="21"/>
                    </w:rPr>
                  </w:pPr>
                </w:p>
              </w:tc>
              <w:tc>
                <w:tcPr>
                  <w:tcW w:w="1780" w:type="pct"/>
                  <w:vMerge w:val="restart"/>
                  <w:noWrap w:val="0"/>
                  <w:vAlign w:val="center"/>
                </w:tcPr>
                <w:p>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color w:val="000000"/>
                      <w:sz w:val="21"/>
                      <w:szCs w:val="21"/>
                    </w:rPr>
                    <w:t>挥发性有机物无组织排放控制标准</w:t>
                  </w:r>
                  <w:r>
                    <w:rPr>
                      <w:rFonts w:hint="eastAsia" w:ascii="宋体" w:hAnsi="宋体" w:eastAsia="宋体" w:cs="宋体"/>
                      <w:sz w:val="21"/>
                      <w:szCs w:val="21"/>
                    </w:rPr>
                    <w:t>》</w:t>
                  </w: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HYPERLINK "http://kjs.mee.gov.cn/hjbhbz/bzwb/dqhjbh/dqgdwrywrwpfbz/201906/W020190606587693632696.pdf" </w:instrText>
                  </w:r>
                  <w:r>
                    <w:rPr>
                      <w:rFonts w:hint="eastAsia" w:ascii="宋体" w:hAnsi="宋体" w:eastAsia="宋体" w:cs="宋体"/>
                      <w:color w:val="000000"/>
                      <w:sz w:val="21"/>
                      <w:szCs w:val="21"/>
                    </w:rPr>
                    <w:fldChar w:fldCharType="separate"/>
                  </w:r>
                  <w:r>
                    <w:rPr>
                      <w:rFonts w:hint="eastAsia" w:ascii="宋体" w:hAnsi="宋体" w:eastAsia="宋体" w:cs="宋体"/>
                      <w:color w:val="000000"/>
                      <w:sz w:val="21"/>
                      <w:szCs w:val="21"/>
                    </w:rPr>
                    <w:t>（GB 37822-2019）</w:t>
                  </w:r>
                  <w:r>
                    <w:rPr>
                      <w:rFonts w:hint="eastAsia" w:ascii="宋体" w:hAnsi="宋体" w:eastAsia="宋体" w:cs="宋体"/>
                      <w:color w:val="000000"/>
                      <w:sz w:val="21"/>
                      <w:szCs w:val="21"/>
                    </w:rPr>
                    <w:fldChar w:fldCharType="end"/>
                  </w:r>
                </w:p>
              </w:tc>
              <w:tc>
                <w:tcPr>
                  <w:tcW w:w="876" w:type="pct"/>
                  <w:vMerge w:val="restart"/>
                  <w:noWrap w:val="0"/>
                  <w:vAlign w:val="center"/>
                </w:tcPr>
                <w:p>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厂区内无组织排放</w:t>
                  </w:r>
                </w:p>
              </w:tc>
              <w:tc>
                <w:tcPr>
                  <w:tcW w:w="1752" w:type="pct"/>
                  <w:tcBorders>
                    <w:top w:val="single" w:color="auto" w:sz="4" w:space="0"/>
                  </w:tcBorders>
                  <w:noWrap w:val="0"/>
                  <w:vAlign w:val="center"/>
                </w:tcPr>
                <w:p>
                  <w:pPr>
                    <w:spacing w:line="240" w:lineRule="auto"/>
                    <w:ind w:firstLine="0" w:firstLineChars="0"/>
                    <w:jc w:val="center"/>
                    <w:rPr>
                      <w:rFonts w:hint="eastAsia" w:ascii="宋体" w:hAnsi="宋体" w:eastAsia="宋体" w:cs="宋体"/>
                      <w:bCs w:val="0"/>
                      <w:sz w:val="21"/>
                      <w:szCs w:val="21"/>
                    </w:rPr>
                  </w:pPr>
                  <w:r>
                    <w:rPr>
                      <w:rFonts w:hint="eastAsia" w:ascii="宋体" w:hAnsi="宋体" w:eastAsia="宋体" w:cs="宋体"/>
                      <w:sz w:val="21"/>
                      <w:szCs w:val="21"/>
                    </w:rPr>
                    <w:t>1h平均浓度值非甲烷总烃≤10mg/m</w:t>
                  </w:r>
                  <w:r>
                    <w:rPr>
                      <w:rFonts w:hint="eastAsia" w:ascii="宋体" w:hAnsi="宋体" w:eastAsia="宋体" w:cs="宋体"/>
                      <w:sz w:val="21"/>
                      <w:szCs w:val="21"/>
                      <w:vertAlign w:val="superscript"/>
                    </w:rPr>
                    <w:t>3</w:t>
                  </w:r>
                  <w:r>
                    <w:rPr>
                      <w:rFonts w:hint="eastAsia" w:ascii="宋体" w:hAnsi="宋体" w:eastAsia="宋体" w:cs="宋体"/>
                      <w:sz w:val="21"/>
                      <w:szCs w:val="21"/>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23" w:hRule="atLeast"/>
              </w:trPr>
              <w:tc>
                <w:tcPr>
                  <w:tcW w:w="590" w:type="pct"/>
                  <w:vMerge w:val="continue"/>
                  <w:noWrap w:val="0"/>
                  <w:vAlign w:val="center"/>
                </w:tcPr>
                <w:p>
                  <w:pPr>
                    <w:spacing w:line="240" w:lineRule="auto"/>
                    <w:ind w:firstLine="0" w:firstLineChars="0"/>
                    <w:jc w:val="center"/>
                    <w:rPr>
                      <w:rFonts w:hint="eastAsia" w:ascii="宋体" w:hAnsi="宋体" w:eastAsia="宋体" w:cs="宋体"/>
                      <w:sz w:val="21"/>
                      <w:szCs w:val="21"/>
                    </w:rPr>
                  </w:pPr>
                </w:p>
              </w:tc>
              <w:tc>
                <w:tcPr>
                  <w:tcW w:w="1780" w:type="pct"/>
                  <w:vMerge w:val="continue"/>
                  <w:noWrap w:val="0"/>
                  <w:vAlign w:val="center"/>
                </w:tcPr>
                <w:p>
                  <w:pPr>
                    <w:spacing w:line="240" w:lineRule="auto"/>
                    <w:ind w:firstLine="0" w:firstLineChars="0"/>
                    <w:jc w:val="center"/>
                    <w:rPr>
                      <w:rFonts w:hint="eastAsia" w:ascii="宋体" w:hAnsi="宋体" w:eastAsia="宋体" w:cs="宋体"/>
                      <w:sz w:val="21"/>
                      <w:szCs w:val="21"/>
                    </w:rPr>
                  </w:pPr>
                </w:p>
              </w:tc>
              <w:tc>
                <w:tcPr>
                  <w:tcW w:w="876" w:type="pct"/>
                  <w:vMerge w:val="continue"/>
                  <w:noWrap w:val="0"/>
                  <w:vAlign w:val="center"/>
                </w:tcPr>
                <w:p>
                  <w:pPr>
                    <w:spacing w:line="240" w:lineRule="auto"/>
                    <w:ind w:firstLine="0" w:firstLineChars="0"/>
                    <w:jc w:val="center"/>
                    <w:rPr>
                      <w:rFonts w:hint="eastAsia" w:ascii="宋体" w:hAnsi="宋体" w:eastAsia="宋体" w:cs="宋体"/>
                      <w:sz w:val="21"/>
                      <w:szCs w:val="21"/>
                    </w:rPr>
                  </w:pPr>
                </w:p>
              </w:tc>
              <w:tc>
                <w:tcPr>
                  <w:tcW w:w="1752" w:type="pct"/>
                  <w:tcBorders>
                    <w:top w:val="single" w:color="auto" w:sz="4" w:space="0"/>
                  </w:tcBorders>
                  <w:noWrap w:val="0"/>
                  <w:vAlign w:val="center"/>
                </w:tcPr>
                <w:p>
                  <w:pPr>
                    <w:spacing w:line="240" w:lineRule="auto"/>
                    <w:ind w:firstLine="0" w:firstLineChars="0"/>
                    <w:jc w:val="center"/>
                    <w:rPr>
                      <w:rFonts w:hint="eastAsia" w:ascii="宋体" w:hAnsi="宋体" w:eastAsia="宋体" w:cs="宋体"/>
                      <w:bCs w:val="0"/>
                      <w:sz w:val="21"/>
                      <w:szCs w:val="21"/>
                    </w:rPr>
                  </w:pPr>
                  <w:r>
                    <w:rPr>
                      <w:rFonts w:hint="eastAsia" w:ascii="宋体" w:hAnsi="宋体" w:eastAsia="宋体" w:cs="宋体"/>
                      <w:sz w:val="21"/>
                      <w:szCs w:val="21"/>
                    </w:rPr>
                    <w:t>任意一次浓度值非甲烷总烃≤30mg/m</w:t>
                  </w:r>
                  <w:r>
                    <w:rPr>
                      <w:rFonts w:hint="eastAsia" w:ascii="宋体" w:hAnsi="宋体" w:eastAsia="宋体" w:cs="宋体"/>
                      <w:sz w:val="21"/>
                      <w:szCs w:val="21"/>
                      <w:vertAlign w:val="superscript"/>
                    </w:rPr>
                    <w:t>3</w:t>
                  </w:r>
                  <w:r>
                    <w:rPr>
                      <w:rFonts w:hint="eastAsia" w:ascii="宋体" w:hAnsi="宋体" w:eastAsia="宋体" w:cs="宋体"/>
                      <w:sz w:val="21"/>
                      <w:szCs w:val="21"/>
                    </w:rPr>
                    <w:t>，</w:t>
                  </w:r>
                </w:p>
              </w:tc>
            </w:tr>
          </w:tbl>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center"/>
              <w:rPr>
                <w:rFonts w:hint="eastAsia" w:ascii="宋体" w:hAnsi="宋体" w:eastAsia="宋体" w:cs="宋体"/>
                <w:b w:val="0"/>
                <w:bCs w:val="0"/>
                <w:color w:val="auto"/>
                <w:sz w:val="24"/>
                <w:szCs w:val="24"/>
                <w:lang w:val="en-US" w:eastAsia="zh-CN"/>
              </w:rPr>
            </w:pPr>
            <w:r>
              <w:rPr>
                <w:rFonts w:hint="eastAsia" w:ascii="宋体" w:hAnsi="宋体" w:eastAsia="宋体" w:cs="宋体"/>
                <w:sz w:val="24"/>
                <w:szCs w:val="24"/>
                <w:lang w:val="en-US" w:eastAsia="zh-CN"/>
              </w:rPr>
              <w:t>表1-1 大气污染物排放标准</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2、废水</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项目水帘柜除漆雾循环</w:t>
            </w:r>
            <w:r>
              <w:rPr>
                <w:rFonts w:hint="default" w:ascii="宋体" w:hAnsi="宋体" w:eastAsia="宋体" w:cs="宋体"/>
                <w:b w:val="0"/>
                <w:bCs w:val="0"/>
                <w:color w:val="auto"/>
                <w:sz w:val="24"/>
                <w:szCs w:val="24"/>
                <w:lang w:val="en-US" w:eastAsia="zh-CN"/>
              </w:rPr>
              <w:t>废水</w:t>
            </w:r>
            <w:r>
              <w:rPr>
                <w:rFonts w:hint="eastAsia" w:ascii="宋体" w:hAnsi="宋体" w:eastAsia="宋体" w:cs="宋体"/>
                <w:b w:val="0"/>
                <w:bCs w:val="0"/>
                <w:color w:val="auto"/>
                <w:sz w:val="24"/>
                <w:szCs w:val="24"/>
                <w:lang w:val="en-US" w:eastAsia="zh-CN"/>
              </w:rPr>
              <w:t>属于危险废物，定期由资质单位清运和处理处置</w:t>
            </w:r>
            <w:r>
              <w:rPr>
                <w:rFonts w:hint="default" w:ascii="宋体" w:hAnsi="宋体" w:eastAsia="宋体" w:cs="宋体"/>
                <w:b w:val="0"/>
                <w:bCs w:val="0"/>
                <w:color w:val="auto"/>
                <w:sz w:val="24"/>
                <w:szCs w:val="24"/>
                <w:lang w:val="en-US" w:eastAsia="zh-CN"/>
              </w:rPr>
              <w:t>；</w:t>
            </w:r>
            <w:r>
              <w:rPr>
                <w:rFonts w:hint="eastAsia" w:ascii="宋体" w:hAnsi="宋体" w:eastAsia="宋体" w:cs="宋体"/>
                <w:b w:val="0"/>
                <w:bCs w:val="0"/>
                <w:color w:val="auto"/>
                <w:sz w:val="24"/>
                <w:szCs w:val="24"/>
                <w:lang w:val="en-US" w:eastAsia="zh-CN"/>
              </w:rPr>
              <w:t>项目污水经过厂区化粪池预处理后，沤做农家肥，定期清掏，用于周边农田施肥。</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3、噪声</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运营期厂界噪声执行《工业企业厂界环境噪声排放标准》（GB12348-2008）中2类标准。具体标准限值见表1-3。</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表 1-3 项目边界环境噪声排放部分限值单位：Leq[dB(A)]</w:t>
            </w:r>
          </w:p>
          <w:tbl>
            <w:tblPr>
              <w:tblStyle w:val="17"/>
              <w:tblW w:w="6780" w:type="dxa"/>
              <w:tblInd w:w="1" w:type="dxa"/>
              <w:tblLayout w:type="fixed"/>
              <w:tblCellMar>
                <w:top w:w="28" w:type="dxa"/>
                <w:left w:w="115" w:type="dxa"/>
                <w:bottom w:w="0" w:type="dxa"/>
                <w:right w:w="115" w:type="dxa"/>
              </w:tblCellMar>
            </w:tblPr>
            <w:tblGrid>
              <w:gridCol w:w="2260"/>
              <w:gridCol w:w="2260"/>
              <w:gridCol w:w="2260"/>
            </w:tblGrid>
            <w:tr>
              <w:tblPrEx>
                <w:tblCellMar>
                  <w:top w:w="28" w:type="dxa"/>
                  <w:left w:w="115" w:type="dxa"/>
                  <w:bottom w:w="0" w:type="dxa"/>
                  <w:right w:w="115" w:type="dxa"/>
                </w:tblCellMar>
              </w:tblPrEx>
              <w:trPr>
                <w:trHeight w:val="295" w:hRule="atLeast"/>
              </w:trPr>
              <w:tc>
                <w:tcPr>
                  <w:tcW w:w="2260" w:type="dxa"/>
                  <w:tcBorders>
                    <w:top w:val="single" w:color="000000" w:sz="4" w:space="0"/>
                    <w:left w:val="single" w:color="000000" w:sz="4" w:space="0"/>
                    <w:bottom w:val="single" w:color="000000" w:sz="4" w:space="0"/>
                    <w:right w:val="single" w:color="000000" w:sz="4" w:space="0"/>
                  </w:tcBorders>
                </w:tcPr>
                <w:p>
                  <w:pPr>
                    <w:spacing w:after="0"/>
                    <w:ind w:right="3"/>
                    <w:jc w:val="center"/>
                    <w:rPr>
                      <w:rFonts w:hint="eastAsia" w:ascii="宋体" w:hAnsi="宋体" w:eastAsia="宋体" w:cs="宋体"/>
                      <w:sz w:val="21"/>
                      <w:szCs w:val="21"/>
                    </w:rPr>
                  </w:pPr>
                  <w:r>
                    <w:rPr>
                      <w:rFonts w:hint="eastAsia" w:ascii="宋体" w:hAnsi="宋体" w:eastAsia="宋体" w:cs="宋体"/>
                      <w:sz w:val="21"/>
                      <w:szCs w:val="21"/>
                    </w:rPr>
                    <w:t>类别</w:t>
                  </w:r>
                </w:p>
              </w:tc>
              <w:tc>
                <w:tcPr>
                  <w:tcW w:w="2260" w:type="dxa"/>
                  <w:tcBorders>
                    <w:top w:val="single" w:color="000000" w:sz="4" w:space="0"/>
                    <w:left w:val="single" w:color="000000" w:sz="4" w:space="0"/>
                    <w:bottom w:val="single" w:color="000000" w:sz="4" w:space="0"/>
                    <w:right w:val="single" w:color="000000" w:sz="4" w:space="0"/>
                  </w:tcBorders>
                </w:tcPr>
                <w:p>
                  <w:pPr>
                    <w:spacing w:after="0"/>
                    <w:ind w:left="2"/>
                    <w:jc w:val="center"/>
                    <w:rPr>
                      <w:rFonts w:hint="eastAsia" w:ascii="宋体" w:hAnsi="宋体" w:eastAsia="宋体" w:cs="宋体"/>
                      <w:sz w:val="21"/>
                      <w:szCs w:val="21"/>
                    </w:rPr>
                  </w:pPr>
                  <w:r>
                    <w:rPr>
                      <w:rFonts w:hint="eastAsia" w:ascii="宋体" w:hAnsi="宋体" w:eastAsia="宋体" w:cs="宋体"/>
                      <w:sz w:val="21"/>
                      <w:szCs w:val="21"/>
                    </w:rPr>
                    <w:t>昼间</w:t>
                  </w:r>
                </w:p>
              </w:tc>
              <w:tc>
                <w:tcPr>
                  <w:tcW w:w="2260" w:type="dxa"/>
                  <w:tcBorders>
                    <w:top w:val="single" w:color="000000" w:sz="4" w:space="0"/>
                    <w:left w:val="single" w:color="000000" w:sz="4" w:space="0"/>
                    <w:bottom w:val="single" w:color="000000" w:sz="4" w:space="0"/>
                    <w:right w:val="single" w:color="000000" w:sz="4" w:space="0"/>
                  </w:tcBorders>
                </w:tcPr>
                <w:p>
                  <w:pPr>
                    <w:spacing w:after="0"/>
                    <w:ind w:right="3"/>
                    <w:jc w:val="center"/>
                    <w:rPr>
                      <w:rFonts w:hint="eastAsia" w:ascii="宋体" w:hAnsi="宋体" w:eastAsia="宋体" w:cs="宋体"/>
                      <w:sz w:val="21"/>
                      <w:szCs w:val="21"/>
                    </w:rPr>
                  </w:pPr>
                  <w:r>
                    <w:rPr>
                      <w:rFonts w:hint="eastAsia" w:ascii="宋体" w:hAnsi="宋体" w:eastAsia="宋体" w:cs="宋体"/>
                      <w:sz w:val="21"/>
                      <w:szCs w:val="21"/>
                    </w:rPr>
                    <w:t>夜间</w:t>
                  </w:r>
                </w:p>
              </w:tc>
            </w:tr>
            <w:tr>
              <w:tblPrEx>
                <w:tblCellMar>
                  <w:top w:w="28" w:type="dxa"/>
                  <w:left w:w="115" w:type="dxa"/>
                  <w:bottom w:w="0" w:type="dxa"/>
                  <w:right w:w="115" w:type="dxa"/>
                </w:tblCellMar>
              </w:tblPrEx>
              <w:trPr>
                <w:trHeight w:val="303" w:hRule="atLeast"/>
              </w:trPr>
              <w:tc>
                <w:tcPr>
                  <w:tcW w:w="2260" w:type="dxa"/>
                  <w:tcBorders>
                    <w:top w:val="single" w:color="000000" w:sz="4" w:space="0"/>
                    <w:left w:val="single" w:color="000000" w:sz="4" w:space="0"/>
                    <w:bottom w:val="single" w:color="000000" w:sz="4" w:space="0"/>
                    <w:right w:val="single" w:color="000000" w:sz="4" w:space="0"/>
                  </w:tcBorders>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2类</w:t>
                  </w:r>
                </w:p>
              </w:tc>
              <w:tc>
                <w:tcPr>
                  <w:tcW w:w="2260" w:type="dxa"/>
                  <w:tcBorders>
                    <w:top w:val="single" w:color="000000" w:sz="4" w:space="0"/>
                    <w:left w:val="single" w:color="000000" w:sz="4" w:space="0"/>
                    <w:bottom w:val="single" w:color="000000" w:sz="4" w:space="0"/>
                    <w:right w:val="single" w:color="000000" w:sz="4" w:space="0"/>
                  </w:tcBorders>
                  <w:vAlign w:val="center"/>
                </w:tcPr>
                <w:p>
                  <w:pPr>
                    <w:spacing w:after="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60</w:t>
                  </w:r>
                </w:p>
              </w:tc>
              <w:tc>
                <w:tcPr>
                  <w:tcW w:w="2260" w:type="dxa"/>
                  <w:tcBorders>
                    <w:top w:val="single" w:color="000000" w:sz="4" w:space="0"/>
                    <w:left w:val="single" w:color="000000" w:sz="4" w:space="0"/>
                    <w:bottom w:val="single" w:color="000000" w:sz="4" w:space="0"/>
                    <w:right w:val="single" w:color="000000" w:sz="4" w:space="0"/>
                  </w:tcBorders>
                  <w:vAlign w:val="center"/>
                </w:tcPr>
                <w:p>
                  <w:pPr>
                    <w:spacing w:after="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50</w:t>
                  </w:r>
                </w:p>
              </w:tc>
            </w:tr>
          </w:tbl>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4、固体废物</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《一般工业固体废物贮存和填埋污染控制标准》（GB18599-2020）；</w:t>
            </w:r>
            <w:r>
              <w:rPr>
                <w:rFonts w:hint="default" w:ascii="宋体" w:hAnsi="宋体" w:eastAsia="宋体" w:cs="宋体"/>
                <w:b w:val="0"/>
                <w:bCs w:val="0"/>
                <w:color w:val="auto"/>
                <w:sz w:val="24"/>
                <w:szCs w:val="24"/>
                <w:lang w:val="en-US" w:eastAsia="zh-CN"/>
              </w:rPr>
              <w:t>《危险废物贮存污染控制标准》（GB18597-2001）及其修改单</w:t>
            </w:r>
            <w:r>
              <w:rPr>
                <w:rFonts w:hint="eastAsia" w:ascii="宋体" w:hAnsi="宋体" w:eastAsia="宋体" w:cs="宋体"/>
                <w:b w:val="0"/>
                <w:bCs w:val="0"/>
                <w:color w:val="auto"/>
                <w:sz w:val="24"/>
                <w:szCs w:val="24"/>
                <w:lang w:val="en-US" w:eastAsia="zh-CN"/>
              </w:rPr>
              <w:t>。</w:t>
            </w:r>
          </w:p>
          <w:p>
            <w:pPr>
              <w:spacing w:after="0"/>
              <w:ind w:right="5" w:firstLine="480"/>
              <w:jc w:val="both"/>
              <w:rPr>
                <w:rFonts w:hint="eastAsia" w:ascii="宋体" w:hAnsi="宋体" w:eastAsia="宋体" w:cs="宋体"/>
                <w:sz w:val="24"/>
                <w:szCs w:val="24"/>
              </w:rPr>
            </w:pPr>
          </w:p>
          <w:p>
            <w:pPr>
              <w:spacing w:after="0"/>
              <w:ind w:right="5" w:firstLine="480"/>
              <w:jc w:val="both"/>
              <w:rPr>
                <w:rFonts w:hint="eastAsia" w:ascii="宋体" w:hAnsi="宋体" w:eastAsia="宋体" w:cs="宋体"/>
                <w:sz w:val="24"/>
                <w:szCs w:val="24"/>
              </w:rPr>
            </w:pPr>
          </w:p>
          <w:p>
            <w:pPr>
              <w:spacing w:after="0"/>
              <w:ind w:right="5" w:firstLine="480"/>
              <w:jc w:val="both"/>
              <w:rPr>
                <w:rFonts w:hint="eastAsia" w:ascii="宋体" w:hAnsi="宋体" w:eastAsia="宋体" w:cs="宋体"/>
                <w:sz w:val="24"/>
                <w:szCs w:val="24"/>
              </w:rPr>
            </w:pPr>
          </w:p>
          <w:p>
            <w:pPr>
              <w:spacing w:after="0"/>
              <w:ind w:right="5" w:firstLine="480"/>
              <w:jc w:val="both"/>
              <w:rPr>
                <w:rFonts w:hint="eastAsia" w:ascii="宋体" w:hAnsi="宋体" w:eastAsia="宋体" w:cs="宋体"/>
                <w:sz w:val="24"/>
                <w:szCs w:val="24"/>
              </w:rPr>
            </w:pPr>
          </w:p>
          <w:p>
            <w:pPr>
              <w:spacing w:after="0"/>
              <w:ind w:right="5" w:firstLine="480"/>
              <w:jc w:val="both"/>
              <w:rPr>
                <w:rFonts w:hint="eastAsia" w:ascii="宋体" w:hAnsi="宋体" w:eastAsia="宋体" w:cs="宋体"/>
                <w:sz w:val="24"/>
                <w:szCs w:val="24"/>
              </w:rPr>
            </w:pPr>
          </w:p>
          <w:p>
            <w:pPr>
              <w:spacing w:after="0"/>
              <w:ind w:right="5" w:firstLine="480"/>
              <w:jc w:val="both"/>
              <w:rPr>
                <w:rFonts w:hint="eastAsia" w:ascii="宋体" w:hAnsi="宋体" w:eastAsia="宋体" w:cs="宋体"/>
                <w:sz w:val="24"/>
                <w:szCs w:val="24"/>
              </w:rPr>
            </w:pPr>
          </w:p>
          <w:p>
            <w:pPr>
              <w:spacing w:after="0"/>
              <w:ind w:right="5" w:firstLine="480"/>
              <w:jc w:val="both"/>
              <w:rPr>
                <w:rFonts w:hint="eastAsia" w:ascii="宋体" w:hAnsi="宋体" w:eastAsia="宋体" w:cs="宋体"/>
                <w:sz w:val="24"/>
                <w:szCs w:val="24"/>
              </w:rPr>
            </w:pPr>
          </w:p>
          <w:p>
            <w:pPr>
              <w:spacing w:after="0"/>
              <w:ind w:right="5" w:firstLine="480"/>
              <w:jc w:val="both"/>
              <w:rPr>
                <w:rFonts w:hint="eastAsia" w:ascii="宋体" w:hAnsi="宋体" w:eastAsia="宋体" w:cs="宋体"/>
                <w:sz w:val="24"/>
                <w:szCs w:val="24"/>
              </w:rPr>
            </w:pPr>
          </w:p>
          <w:p>
            <w:pPr>
              <w:spacing w:after="0"/>
              <w:ind w:right="5" w:firstLine="480"/>
              <w:jc w:val="both"/>
              <w:rPr>
                <w:rFonts w:hint="eastAsia" w:ascii="宋体" w:hAnsi="宋体" w:eastAsia="宋体" w:cs="宋体"/>
                <w:sz w:val="24"/>
                <w:szCs w:val="24"/>
              </w:rPr>
            </w:pPr>
          </w:p>
          <w:p>
            <w:pPr>
              <w:spacing w:after="0"/>
              <w:ind w:right="5" w:firstLine="480"/>
              <w:jc w:val="both"/>
              <w:rPr>
                <w:rFonts w:hint="eastAsia" w:ascii="宋体" w:hAnsi="宋体" w:eastAsia="宋体" w:cs="宋体"/>
                <w:sz w:val="24"/>
                <w:szCs w:val="24"/>
              </w:rPr>
            </w:pPr>
          </w:p>
          <w:p>
            <w:pPr>
              <w:spacing w:after="0"/>
              <w:ind w:right="5" w:firstLine="480"/>
              <w:jc w:val="both"/>
              <w:rPr>
                <w:rFonts w:hint="eastAsia" w:ascii="宋体" w:hAnsi="宋体" w:eastAsia="宋体" w:cs="宋体"/>
                <w:sz w:val="24"/>
                <w:szCs w:val="24"/>
              </w:rPr>
            </w:pPr>
          </w:p>
          <w:p>
            <w:pPr>
              <w:spacing w:after="0"/>
              <w:ind w:right="5" w:firstLine="480"/>
              <w:jc w:val="both"/>
              <w:rPr>
                <w:rFonts w:hint="eastAsia" w:ascii="宋体" w:hAnsi="宋体" w:eastAsia="宋体" w:cs="宋体"/>
                <w:sz w:val="24"/>
                <w:szCs w:val="24"/>
              </w:rPr>
            </w:pPr>
          </w:p>
          <w:p>
            <w:pPr>
              <w:spacing w:after="0"/>
              <w:ind w:right="5" w:firstLine="480"/>
              <w:jc w:val="both"/>
              <w:rPr>
                <w:rFonts w:hint="eastAsia" w:ascii="宋体" w:hAnsi="宋体" w:eastAsia="宋体" w:cs="宋体"/>
                <w:sz w:val="24"/>
                <w:szCs w:val="24"/>
              </w:rPr>
            </w:pPr>
          </w:p>
          <w:p>
            <w:pPr>
              <w:spacing w:after="0"/>
              <w:ind w:right="5" w:firstLine="480"/>
              <w:jc w:val="both"/>
              <w:rPr>
                <w:rFonts w:hint="eastAsia" w:ascii="宋体" w:hAnsi="宋体" w:eastAsia="宋体" w:cs="宋体"/>
                <w:sz w:val="24"/>
                <w:szCs w:val="24"/>
              </w:rPr>
            </w:pPr>
          </w:p>
          <w:p>
            <w:pPr>
              <w:spacing w:after="0"/>
              <w:ind w:right="5" w:firstLine="480"/>
              <w:jc w:val="both"/>
              <w:rPr>
                <w:rFonts w:hint="eastAsia" w:ascii="宋体" w:hAnsi="宋体" w:eastAsia="宋体" w:cs="宋体"/>
                <w:sz w:val="24"/>
                <w:szCs w:val="24"/>
              </w:rPr>
            </w:pPr>
          </w:p>
          <w:p>
            <w:pPr>
              <w:spacing w:after="0"/>
              <w:ind w:right="5" w:firstLine="480"/>
              <w:jc w:val="both"/>
              <w:rPr>
                <w:rFonts w:hint="eastAsia" w:ascii="宋体" w:hAnsi="宋体" w:eastAsia="宋体" w:cs="宋体"/>
                <w:sz w:val="24"/>
                <w:szCs w:val="24"/>
              </w:rPr>
            </w:pPr>
          </w:p>
          <w:p>
            <w:pPr>
              <w:spacing w:after="0"/>
              <w:ind w:right="5" w:firstLine="480"/>
              <w:jc w:val="both"/>
              <w:rPr>
                <w:rFonts w:hint="eastAsia" w:ascii="宋体" w:hAnsi="宋体" w:eastAsia="宋体" w:cs="宋体"/>
                <w:sz w:val="24"/>
                <w:szCs w:val="24"/>
              </w:rPr>
            </w:pPr>
          </w:p>
          <w:p>
            <w:pPr>
              <w:spacing w:after="0"/>
              <w:ind w:right="5" w:firstLine="480"/>
              <w:jc w:val="both"/>
              <w:rPr>
                <w:rFonts w:hint="eastAsia" w:ascii="宋体" w:hAnsi="宋体" w:eastAsia="宋体" w:cs="宋体"/>
                <w:sz w:val="24"/>
                <w:szCs w:val="24"/>
              </w:rPr>
            </w:pPr>
          </w:p>
          <w:p>
            <w:pPr>
              <w:spacing w:after="0"/>
              <w:ind w:right="5" w:firstLine="480"/>
              <w:jc w:val="both"/>
              <w:rPr>
                <w:rFonts w:hint="eastAsia" w:ascii="宋体" w:hAnsi="宋体" w:eastAsia="宋体" w:cs="宋体"/>
                <w:sz w:val="24"/>
                <w:szCs w:val="24"/>
              </w:rPr>
            </w:pPr>
          </w:p>
          <w:p>
            <w:pPr>
              <w:spacing w:after="0"/>
              <w:ind w:right="5" w:firstLine="480"/>
              <w:jc w:val="both"/>
              <w:rPr>
                <w:rFonts w:hint="eastAsia" w:ascii="宋体" w:hAnsi="宋体" w:eastAsia="宋体" w:cs="宋体"/>
                <w:sz w:val="24"/>
                <w:szCs w:val="24"/>
              </w:rPr>
            </w:pPr>
          </w:p>
          <w:p>
            <w:pPr>
              <w:spacing w:after="0"/>
              <w:ind w:right="5" w:firstLine="480"/>
              <w:jc w:val="both"/>
              <w:rPr>
                <w:rFonts w:hint="eastAsia" w:ascii="宋体" w:hAnsi="宋体" w:eastAsia="宋体" w:cs="宋体"/>
                <w:sz w:val="24"/>
                <w:szCs w:val="24"/>
              </w:rPr>
            </w:pPr>
          </w:p>
        </w:tc>
      </w:tr>
    </w:tbl>
    <w:p>
      <w:pPr>
        <w:adjustRightInd w:val="0"/>
        <w:snapToGrid w:val="0"/>
        <w:spacing w:after="0" w:afterLines="0" w:line="360" w:lineRule="auto"/>
        <w:rPr>
          <w:rFonts w:ascii="Tahoma" w:hAnsi="Tahoma" w:eastAsia="仿宋_GB2312" w:cs="Times New Roman"/>
          <w:b/>
          <w:color w:val="000000"/>
          <w:kern w:val="0"/>
          <w:sz w:val="21"/>
          <w:szCs w:val="21"/>
        </w:rPr>
      </w:pPr>
      <w:r>
        <w:rPr>
          <w:rFonts w:ascii="Tahoma" w:hAnsi="Tahoma" w:eastAsia="仿宋_GB2312" w:cs="Times New Roman"/>
          <w:b/>
          <w:color w:val="000000"/>
          <w:kern w:val="0"/>
          <w:sz w:val="21"/>
          <w:szCs w:val="21"/>
        </w:rPr>
        <w:t>表二</w:t>
      </w:r>
    </w:p>
    <w:tbl>
      <w:tblPr>
        <w:tblStyle w:val="13"/>
        <w:tblW w:w="8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20" w:type="dxa"/>
          </w:tcPr>
          <w:p>
            <w:pPr>
              <w:keepNext w:val="0"/>
              <w:keepLines w:val="0"/>
              <w:pageBreakBefore w:val="0"/>
              <w:widowControl w:val="0"/>
              <w:tabs>
                <w:tab w:val="left" w:pos="3585"/>
              </w:tabs>
              <w:kinsoku/>
              <w:wordWrap/>
              <w:overflowPunct/>
              <w:topLinePunct w:val="0"/>
              <w:bidi w:val="0"/>
              <w:adjustRightInd/>
              <w:snapToGrid/>
              <w:spacing w:after="0" w:line="360" w:lineRule="auto"/>
              <w:contextualSpacing/>
              <w:jc w:val="both"/>
              <w:rPr>
                <w:rFonts w:hint="eastAsia" w:ascii="Times New Roman" w:hAnsi="Times New Roman" w:eastAsia="宋体" w:cs="Times New Roman"/>
                <w:b/>
                <w:bCs/>
                <w:color w:val="auto"/>
                <w:sz w:val="24"/>
                <w:szCs w:val="24"/>
                <w:lang w:val="en-US" w:eastAsia="zh-CN"/>
              </w:rPr>
            </w:pPr>
            <w:r>
              <w:rPr>
                <w:rFonts w:hint="eastAsia" w:ascii="Times New Roman" w:hAnsi="Times New Roman" w:eastAsia="宋体" w:cs="Times New Roman"/>
                <w:b/>
                <w:bCs/>
                <w:color w:val="auto"/>
                <w:sz w:val="24"/>
                <w:szCs w:val="24"/>
                <w:lang w:val="en-US" w:eastAsia="zh-CN"/>
              </w:rPr>
              <w:t>工程建设内容：</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1、地理位置及平面布置</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本项目位于</w:t>
            </w:r>
            <w:r>
              <w:rPr>
                <w:rFonts w:hint="eastAsia" w:ascii="宋体" w:hAnsi="宋体" w:eastAsia="宋体" w:cs="宋体"/>
                <w:b w:val="0"/>
                <w:bCs w:val="0"/>
                <w:color w:val="auto"/>
                <w:sz w:val="24"/>
                <w:szCs w:val="24"/>
                <w:lang w:val="en-GB" w:eastAsia="zh-CN"/>
              </w:rPr>
              <w:t>鹤壁市淇滨区锯桥镇冢儿章村原宏光节能建材厂内</w:t>
            </w:r>
            <w:r>
              <w:rPr>
                <w:rFonts w:hint="eastAsia" w:ascii="宋体" w:hAnsi="宋体" w:eastAsia="宋体" w:cs="宋体"/>
                <w:b w:val="0"/>
                <w:bCs w:val="0"/>
                <w:color w:val="auto"/>
                <w:sz w:val="24"/>
                <w:szCs w:val="24"/>
                <w:lang w:val="en-US" w:eastAsia="zh-CN"/>
              </w:rPr>
              <w:t>，厂房占地面积3800m</w:t>
            </w:r>
            <w:r>
              <w:rPr>
                <w:rFonts w:hint="eastAsia" w:ascii="宋体" w:hAnsi="宋体" w:eastAsia="宋体" w:cs="宋体"/>
                <w:b w:val="0"/>
                <w:bCs w:val="0"/>
                <w:color w:val="auto"/>
                <w:sz w:val="24"/>
                <w:szCs w:val="24"/>
                <w:vertAlign w:val="superscript"/>
                <w:lang w:val="en-US" w:eastAsia="zh-CN"/>
              </w:rPr>
              <w:t>2</w:t>
            </w:r>
            <w:r>
              <w:rPr>
                <w:rFonts w:hint="eastAsia" w:ascii="宋体" w:hAnsi="宋体" w:eastAsia="宋体" w:cs="宋体"/>
                <w:b w:val="0"/>
                <w:bCs w:val="0"/>
                <w:color w:val="auto"/>
                <w:sz w:val="24"/>
                <w:szCs w:val="24"/>
                <w:lang w:val="en-US" w:eastAsia="zh-CN"/>
              </w:rPr>
              <w:t>，用地性质为工业用地。项目东侧为耕地，项目南侧215m处为冢儿章村，项目西南处971m耿屯村，项目西侧454m处为南海社区，项目北侧257m处为聂下务村。离项目最近的敏感点为南侧215m处为冢儿章村。</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项目周边主要环境保护目标见下表2-1。项目环评至验收监测期间无新增环境敏感保护目标。项目地理位置详见附图1，环境保护目标及周边环境示意图详见附图2，总平面布置示意图详见附图3，照片现状图详见附图5。</w:t>
            </w:r>
          </w:p>
          <w:p>
            <w:pPr>
              <w:keepNext w:val="0"/>
              <w:keepLines w:val="0"/>
              <w:pageBreakBefore w:val="0"/>
              <w:widowControl w:val="0"/>
              <w:tabs>
                <w:tab w:val="left" w:pos="3585"/>
              </w:tabs>
              <w:kinsoku/>
              <w:wordWrap/>
              <w:overflowPunct/>
              <w:topLinePunct w:val="0"/>
              <w:bidi w:val="0"/>
              <w:adjustRightInd/>
              <w:snapToGrid/>
              <w:spacing w:after="0" w:line="360" w:lineRule="auto"/>
              <w:contextualSpacing/>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表2-1本项目周边环境保护目标情况一览表</w:t>
            </w:r>
          </w:p>
          <w:tbl>
            <w:tblPr>
              <w:tblStyle w:val="12"/>
              <w:tblW w:w="8178"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648"/>
              <w:gridCol w:w="652"/>
              <w:gridCol w:w="1253"/>
              <w:gridCol w:w="1090"/>
              <w:gridCol w:w="1073"/>
              <w:gridCol w:w="1073"/>
              <w:gridCol w:w="2389"/>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86" w:hRule="atLeast"/>
                <w:jc w:val="center"/>
              </w:trPr>
              <w:tc>
                <w:tcPr>
                  <w:tcW w:w="396" w:type="pct"/>
                  <w:noWrap w:val="0"/>
                  <w:vAlign w:val="center"/>
                </w:tcPr>
                <w:p>
                  <w:pPr>
                    <w:spacing w:line="240" w:lineRule="auto"/>
                    <w:ind w:firstLine="0" w:firstLineChars="0"/>
                    <w:jc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类别</w:t>
                  </w:r>
                </w:p>
              </w:tc>
              <w:tc>
                <w:tcPr>
                  <w:tcW w:w="398" w:type="pct"/>
                  <w:noWrap w:val="0"/>
                  <w:vAlign w:val="center"/>
                </w:tcPr>
                <w:p>
                  <w:pPr>
                    <w:spacing w:line="240" w:lineRule="auto"/>
                    <w:ind w:firstLine="0" w:firstLineChars="0"/>
                    <w:jc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序号</w:t>
                  </w:r>
                </w:p>
              </w:tc>
              <w:tc>
                <w:tcPr>
                  <w:tcW w:w="766" w:type="pct"/>
                  <w:noWrap w:val="0"/>
                  <w:vAlign w:val="center"/>
                </w:tcPr>
                <w:p>
                  <w:pPr>
                    <w:spacing w:line="240" w:lineRule="auto"/>
                    <w:ind w:firstLine="0" w:firstLineChars="0"/>
                    <w:jc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保护目标</w:t>
                  </w:r>
                </w:p>
              </w:tc>
              <w:tc>
                <w:tcPr>
                  <w:tcW w:w="666" w:type="pct"/>
                  <w:noWrap w:val="0"/>
                  <w:vAlign w:val="center"/>
                </w:tcPr>
                <w:p>
                  <w:pPr>
                    <w:spacing w:line="240" w:lineRule="auto"/>
                    <w:ind w:firstLine="0" w:firstLineChars="0"/>
                    <w:jc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相对方位</w:t>
                  </w:r>
                </w:p>
              </w:tc>
              <w:tc>
                <w:tcPr>
                  <w:tcW w:w="656" w:type="pct"/>
                  <w:noWrap w:val="0"/>
                  <w:vAlign w:val="center"/>
                </w:tcPr>
                <w:p>
                  <w:pPr>
                    <w:spacing w:line="240" w:lineRule="auto"/>
                    <w:ind w:firstLine="0" w:firstLineChars="0"/>
                    <w:jc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距离（m）</w:t>
                  </w:r>
                </w:p>
              </w:tc>
              <w:tc>
                <w:tcPr>
                  <w:tcW w:w="656" w:type="pct"/>
                  <w:noWrap w:val="0"/>
                  <w:vAlign w:val="center"/>
                </w:tcPr>
                <w:p>
                  <w:pPr>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保护对象</w:t>
                  </w:r>
                </w:p>
              </w:tc>
              <w:tc>
                <w:tcPr>
                  <w:tcW w:w="1460" w:type="pct"/>
                  <w:noWrap w:val="0"/>
                  <w:vAlign w:val="center"/>
                </w:tcPr>
                <w:p>
                  <w:pPr>
                    <w:spacing w:line="240" w:lineRule="auto"/>
                    <w:ind w:firstLine="420"/>
                    <w:jc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环境功能区</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35" w:hRule="atLeast"/>
                <w:jc w:val="center"/>
              </w:trPr>
              <w:tc>
                <w:tcPr>
                  <w:tcW w:w="396" w:type="pct"/>
                  <w:vMerge w:val="restart"/>
                  <w:noWrap w:val="0"/>
                  <w:vAlign w:val="center"/>
                </w:tcPr>
                <w:p>
                  <w:pPr>
                    <w:spacing w:line="240" w:lineRule="auto"/>
                    <w:ind w:firstLine="0" w:firstLineChars="0"/>
                    <w:jc w:val="center"/>
                    <w:rPr>
                      <w:rFonts w:hint="eastAsia" w:ascii="宋体" w:hAnsi="宋体" w:eastAsia="宋体" w:cs="宋体"/>
                      <w:color w:val="000000"/>
                      <w:sz w:val="21"/>
                      <w:szCs w:val="21"/>
                    </w:rPr>
                  </w:pPr>
                  <w:bookmarkStart w:id="0" w:name="OLE_LINK11" w:colFirst="1" w:colLast="4"/>
                  <w:bookmarkStart w:id="1" w:name="OLE_LINK10" w:colFirst="1" w:colLast="4"/>
                  <w:bookmarkStart w:id="2" w:name="_Hlk374461870"/>
                  <w:r>
                    <w:rPr>
                      <w:rFonts w:hint="eastAsia" w:ascii="宋体" w:hAnsi="宋体" w:eastAsia="宋体" w:cs="宋体"/>
                      <w:color w:val="000000"/>
                      <w:sz w:val="21"/>
                      <w:szCs w:val="21"/>
                    </w:rPr>
                    <w:t>环境空气</w:t>
                  </w:r>
                </w:p>
              </w:tc>
              <w:tc>
                <w:tcPr>
                  <w:tcW w:w="398" w:type="pct"/>
                  <w:noWrap w:val="0"/>
                  <w:vAlign w:val="center"/>
                </w:tcPr>
                <w:p>
                  <w:pPr>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766" w:type="pct"/>
                  <w:noWrap w:val="0"/>
                  <w:vAlign w:val="center"/>
                </w:tcPr>
                <w:p>
                  <w:pPr>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聂下务村</w:t>
                  </w:r>
                </w:p>
              </w:tc>
              <w:tc>
                <w:tcPr>
                  <w:tcW w:w="666" w:type="pct"/>
                  <w:noWrap w:val="0"/>
                  <w:vAlign w:val="center"/>
                </w:tcPr>
                <w:p>
                  <w:pPr>
                    <w:spacing w:line="240" w:lineRule="auto"/>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北</w:t>
                  </w:r>
                </w:p>
              </w:tc>
              <w:tc>
                <w:tcPr>
                  <w:tcW w:w="656" w:type="pct"/>
                  <w:noWrap w:val="0"/>
                  <w:vAlign w:val="center"/>
                </w:tcPr>
                <w:p>
                  <w:pPr>
                    <w:spacing w:line="240" w:lineRule="auto"/>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257m</w:t>
                  </w:r>
                </w:p>
              </w:tc>
              <w:tc>
                <w:tcPr>
                  <w:tcW w:w="656" w:type="pct"/>
                  <w:noWrap w:val="0"/>
                  <w:vAlign w:val="center"/>
                </w:tcPr>
                <w:p>
                  <w:pPr>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居民区</w:t>
                  </w:r>
                </w:p>
              </w:tc>
              <w:tc>
                <w:tcPr>
                  <w:tcW w:w="1460" w:type="pct"/>
                  <w:vMerge w:val="restart"/>
                  <w:noWrap w:val="0"/>
                  <w:vAlign w:val="center"/>
                </w:tcPr>
                <w:p>
                  <w:pPr>
                    <w:spacing w:line="240" w:lineRule="auto"/>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二类功能区</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35" w:hRule="atLeast"/>
                <w:jc w:val="center"/>
              </w:trPr>
              <w:tc>
                <w:tcPr>
                  <w:tcW w:w="396" w:type="pct"/>
                  <w:vMerge w:val="continue"/>
                  <w:noWrap w:val="0"/>
                  <w:vAlign w:val="center"/>
                </w:tcPr>
                <w:p>
                  <w:pPr>
                    <w:spacing w:line="240" w:lineRule="auto"/>
                    <w:ind w:firstLine="420"/>
                    <w:jc w:val="center"/>
                    <w:rPr>
                      <w:rFonts w:hint="eastAsia" w:ascii="宋体" w:hAnsi="宋体" w:eastAsia="宋体" w:cs="宋体"/>
                      <w:color w:val="000000"/>
                      <w:sz w:val="21"/>
                      <w:szCs w:val="21"/>
                    </w:rPr>
                  </w:pPr>
                </w:p>
              </w:tc>
              <w:tc>
                <w:tcPr>
                  <w:tcW w:w="398" w:type="pct"/>
                  <w:noWrap w:val="0"/>
                  <w:vAlign w:val="center"/>
                </w:tcPr>
                <w:p>
                  <w:pPr>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766" w:type="pct"/>
                  <w:noWrap w:val="0"/>
                  <w:vAlign w:val="center"/>
                </w:tcPr>
                <w:p>
                  <w:pPr>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冢儿章村</w:t>
                  </w:r>
                </w:p>
              </w:tc>
              <w:tc>
                <w:tcPr>
                  <w:tcW w:w="666" w:type="pct"/>
                  <w:noWrap w:val="0"/>
                  <w:vAlign w:val="center"/>
                </w:tcPr>
                <w:p>
                  <w:pPr>
                    <w:spacing w:line="240" w:lineRule="auto"/>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南</w:t>
                  </w:r>
                </w:p>
              </w:tc>
              <w:tc>
                <w:tcPr>
                  <w:tcW w:w="656" w:type="pct"/>
                  <w:noWrap w:val="0"/>
                  <w:vAlign w:val="center"/>
                </w:tcPr>
                <w:p>
                  <w:pPr>
                    <w:spacing w:line="240" w:lineRule="auto"/>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251m</w:t>
                  </w:r>
                </w:p>
              </w:tc>
              <w:tc>
                <w:tcPr>
                  <w:tcW w:w="656" w:type="pct"/>
                  <w:noWrap w:val="0"/>
                  <w:vAlign w:val="center"/>
                </w:tcPr>
                <w:p>
                  <w:pPr>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居民区</w:t>
                  </w:r>
                </w:p>
              </w:tc>
              <w:tc>
                <w:tcPr>
                  <w:tcW w:w="1460" w:type="pct"/>
                  <w:vMerge w:val="continue"/>
                  <w:noWrap w:val="0"/>
                  <w:vAlign w:val="center"/>
                </w:tcPr>
                <w:p>
                  <w:pPr>
                    <w:spacing w:line="240" w:lineRule="auto"/>
                    <w:ind w:firstLine="420"/>
                    <w:jc w:val="center"/>
                    <w:rPr>
                      <w:rFonts w:hint="eastAsia" w:ascii="宋体" w:hAnsi="宋体" w:eastAsia="宋体" w:cs="宋体"/>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35" w:hRule="atLeast"/>
                <w:jc w:val="center"/>
              </w:trPr>
              <w:tc>
                <w:tcPr>
                  <w:tcW w:w="396" w:type="pct"/>
                  <w:vMerge w:val="continue"/>
                  <w:noWrap w:val="0"/>
                  <w:vAlign w:val="center"/>
                </w:tcPr>
                <w:p>
                  <w:pPr>
                    <w:spacing w:line="240" w:lineRule="auto"/>
                    <w:ind w:firstLine="420"/>
                    <w:jc w:val="center"/>
                    <w:rPr>
                      <w:rFonts w:hint="eastAsia" w:ascii="宋体" w:hAnsi="宋体" w:eastAsia="宋体" w:cs="宋体"/>
                      <w:color w:val="000000"/>
                      <w:sz w:val="21"/>
                      <w:szCs w:val="21"/>
                    </w:rPr>
                  </w:pPr>
                </w:p>
              </w:tc>
              <w:tc>
                <w:tcPr>
                  <w:tcW w:w="398" w:type="pct"/>
                  <w:noWrap w:val="0"/>
                  <w:vAlign w:val="center"/>
                </w:tcPr>
                <w:p>
                  <w:pPr>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766" w:type="pct"/>
                  <w:noWrap w:val="0"/>
                  <w:vAlign w:val="center"/>
                </w:tcPr>
                <w:p>
                  <w:pPr>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南海社区</w:t>
                  </w:r>
                </w:p>
              </w:tc>
              <w:tc>
                <w:tcPr>
                  <w:tcW w:w="666" w:type="pct"/>
                  <w:noWrap w:val="0"/>
                  <w:vAlign w:val="center"/>
                </w:tcPr>
                <w:p>
                  <w:pPr>
                    <w:spacing w:line="240" w:lineRule="auto"/>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西</w:t>
                  </w:r>
                </w:p>
              </w:tc>
              <w:tc>
                <w:tcPr>
                  <w:tcW w:w="656" w:type="pct"/>
                  <w:noWrap w:val="0"/>
                  <w:vAlign w:val="center"/>
                </w:tcPr>
                <w:p>
                  <w:pPr>
                    <w:spacing w:line="240" w:lineRule="auto"/>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454m</w:t>
                  </w:r>
                </w:p>
              </w:tc>
              <w:tc>
                <w:tcPr>
                  <w:tcW w:w="656" w:type="pct"/>
                  <w:noWrap w:val="0"/>
                  <w:vAlign w:val="center"/>
                </w:tcPr>
                <w:p>
                  <w:pPr>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居民区</w:t>
                  </w:r>
                </w:p>
              </w:tc>
              <w:tc>
                <w:tcPr>
                  <w:tcW w:w="1460" w:type="pct"/>
                  <w:vMerge w:val="continue"/>
                  <w:noWrap w:val="0"/>
                  <w:vAlign w:val="center"/>
                </w:tcPr>
                <w:p>
                  <w:pPr>
                    <w:spacing w:line="240" w:lineRule="auto"/>
                    <w:ind w:firstLine="420"/>
                    <w:jc w:val="center"/>
                    <w:rPr>
                      <w:rFonts w:hint="eastAsia" w:ascii="宋体" w:hAnsi="宋体" w:eastAsia="宋体" w:cs="宋体"/>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35" w:hRule="atLeast"/>
                <w:jc w:val="center"/>
              </w:trPr>
              <w:tc>
                <w:tcPr>
                  <w:tcW w:w="396" w:type="pct"/>
                  <w:vMerge w:val="continue"/>
                  <w:noWrap w:val="0"/>
                  <w:vAlign w:val="center"/>
                </w:tcPr>
                <w:p>
                  <w:pPr>
                    <w:spacing w:line="240" w:lineRule="auto"/>
                    <w:ind w:firstLine="420"/>
                    <w:jc w:val="center"/>
                    <w:rPr>
                      <w:rFonts w:hint="eastAsia" w:ascii="宋体" w:hAnsi="宋体" w:eastAsia="宋体" w:cs="宋体"/>
                      <w:color w:val="000000"/>
                      <w:sz w:val="21"/>
                      <w:szCs w:val="21"/>
                    </w:rPr>
                  </w:pPr>
                </w:p>
              </w:tc>
              <w:tc>
                <w:tcPr>
                  <w:tcW w:w="398" w:type="pct"/>
                  <w:noWrap w:val="0"/>
                  <w:vAlign w:val="center"/>
                </w:tcPr>
                <w:p>
                  <w:pPr>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766" w:type="pct"/>
                  <w:noWrap w:val="0"/>
                  <w:vAlign w:val="center"/>
                </w:tcPr>
                <w:p>
                  <w:pPr>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耿屯村</w:t>
                  </w:r>
                </w:p>
              </w:tc>
              <w:tc>
                <w:tcPr>
                  <w:tcW w:w="666" w:type="pct"/>
                  <w:noWrap w:val="0"/>
                  <w:vAlign w:val="center"/>
                </w:tcPr>
                <w:p>
                  <w:pPr>
                    <w:spacing w:line="240" w:lineRule="auto"/>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西南</w:t>
                  </w:r>
                </w:p>
              </w:tc>
              <w:tc>
                <w:tcPr>
                  <w:tcW w:w="656" w:type="pct"/>
                  <w:noWrap w:val="0"/>
                  <w:vAlign w:val="center"/>
                </w:tcPr>
                <w:p>
                  <w:pPr>
                    <w:spacing w:line="240" w:lineRule="auto"/>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971m</w:t>
                  </w:r>
                </w:p>
              </w:tc>
              <w:tc>
                <w:tcPr>
                  <w:tcW w:w="656" w:type="pct"/>
                  <w:noWrap w:val="0"/>
                  <w:vAlign w:val="center"/>
                </w:tcPr>
                <w:p>
                  <w:pPr>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居民区</w:t>
                  </w:r>
                </w:p>
              </w:tc>
              <w:tc>
                <w:tcPr>
                  <w:tcW w:w="1460" w:type="pct"/>
                  <w:vMerge w:val="continue"/>
                  <w:noWrap w:val="0"/>
                  <w:vAlign w:val="center"/>
                </w:tcPr>
                <w:p>
                  <w:pPr>
                    <w:spacing w:line="240" w:lineRule="auto"/>
                    <w:ind w:firstLine="420"/>
                    <w:jc w:val="center"/>
                    <w:rPr>
                      <w:rFonts w:hint="eastAsia" w:ascii="宋体" w:hAnsi="宋体" w:eastAsia="宋体" w:cs="宋体"/>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35" w:hRule="atLeast"/>
                <w:jc w:val="center"/>
              </w:trPr>
              <w:tc>
                <w:tcPr>
                  <w:tcW w:w="396" w:type="pct"/>
                  <w:vMerge w:val="restart"/>
                  <w:noWrap w:val="0"/>
                  <w:vAlign w:val="center"/>
                </w:tcPr>
                <w:p>
                  <w:pPr>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水环境</w:t>
                  </w:r>
                </w:p>
              </w:tc>
              <w:tc>
                <w:tcPr>
                  <w:tcW w:w="398" w:type="pct"/>
                  <w:noWrap w:val="0"/>
                  <w:vAlign w:val="center"/>
                </w:tcPr>
                <w:p>
                  <w:pPr>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766" w:type="pct"/>
                  <w:noWrap w:val="0"/>
                  <w:vAlign w:val="center"/>
                </w:tcPr>
                <w:p>
                  <w:pPr>
                    <w:spacing w:line="240" w:lineRule="auto"/>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淇河</w:t>
                  </w:r>
                </w:p>
              </w:tc>
              <w:tc>
                <w:tcPr>
                  <w:tcW w:w="666" w:type="pct"/>
                  <w:noWrap w:val="0"/>
                  <w:vAlign w:val="center"/>
                </w:tcPr>
                <w:p>
                  <w:pPr>
                    <w:spacing w:line="240" w:lineRule="auto"/>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西南</w:t>
                  </w:r>
                </w:p>
              </w:tc>
              <w:tc>
                <w:tcPr>
                  <w:tcW w:w="656" w:type="pct"/>
                  <w:noWrap w:val="0"/>
                  <w:vAlign w:val="center"/>
                </w:tcPr>
                <w:p>
                  <w:pPr>
                    <w:spacing w:line="240" w:lineRule="auto"/>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4292</w:t>
                  </w:r>
                </w:p>
              </w:tc>
              <w:tc>
                <w:tcPr>
                  <w:tcW w:w="656" w:type="pct"/>
                  <w:noWrap w:val="0"/>
                  <w:vAlign w:val="center"/>
                </w:tcPr>
                <w:p>
                  <w:pPr>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地表水</w:t>
                  </w:r>
                </w:p>
              </w:tc>
              <w:tc>
                <w:tcPr>
                  <w:tcW w:w="1460" w:type="pct"/>
                  <w:vMerge w:val="restart"/>
                  <w:noWrap w:val="0"/>
                  <w:vAlign w:val="center"/>
                </w:tcPr>
                <w:p>
                  <w:pPr>
                    <w:spacing w:line="240" w:lineRule="auto"/>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Ⅱ类</w:t>
                  </w:r>
                </w:p>
                <w:p>
                  <w:pPr>
                    <w:spacing w:line="240" w:lineRule="auto"/>
                    <w:ind w:firstLine="420"/>
                    <w:jc w:val="center"/>
                    <w:rPr>
                      <w:rFonts w:hint="eastAsia" w:ascii="宋体" w:hAnsi="宋体" w:eastAsia="宋体" w:cs="宋体"/>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713" w:hRule="atLeast"/>
                <w:jc w:val="center"/>
              </w:trPr>
              <w:tc>
                <w:tcPr>
                  <w:tcW w:w="396" w:type="pct"/>
                  <w:vMerge w:val="continue"/>
                  <w:noWrap w:val="0"/>
                  <w:vAlign w:val="center"/>
                </w:tcPr>
                <w:p>
                  <w:pPr>
                    <w:spacing w:line="240" w:lineRule="auto"/>
                    <w:ind w:firstLine="420"/>
                    <w:jc w:val="center"/>
                    <w:rPr>
                      <w:rFonts w:hint="eastAsia" w:ascii="宋体" w:hAnsi="宋体" w:eastAsia="宋体" w:cs="宋体"/>
                      <w:color w:val="000000"/>
                      <w:sz w:val="21"/>
                      <w:szCs w:val="21"/>
                    </w:rPr>
                  </w:pPr>
                </w:p>
              </w:tc>
              <w:tc>
                <w:tcPr>
                  <w:tcW w:w="398" w:type="pct"/>
                  <w:noWrap w:val="0"/>
                  <w:vAlign w:val="center"/>
                </w:tcPr>
                <w:p>
                  <w:pPr>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766" w:type="pct"/>
                  <w:noWrap w:val="0"/>
                  <w:vAlign w:val="center"/>
                </w:tcPr>
                <w:p>
                  <w:pPr>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南水北调中线干渠</w:t>
                  </w:r>
                </w:p>
              </w:tc>
              <w:tc>
                <w:tcPr>
                  <w:tcW w:w="666" w:type="pct"/>
                  <w:noWrap w:val="0"/>
                  <w:vAlign w:val="center"/>
                </w:tcPr>
                <w:p>
                  <w:pPr>
                    <w:spacing w:line="240" w:lineRule="auto"/>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西北</w:t>
                  </w:r>
                </w:p>
              </w:tc>
              <w:tc>
                <w:tcPr>
                  <w:tcW w:w="656" w:type="pct"/>
                  <w:noWrap w:val="0"/>
                  <w:vAlign w:val="center"/>
                </w:tcPr>
                <w:p>
                  <w:pPr>
                    <w:spacing w:line="240" w:lineRule="auto"/>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2630</w:t>
                  </w:r>
                </w:p>
              </w:tc>
              <w:tc>
                <w:tcPr>
                  <w:tcW w:w="656" w:type="pct"/>
                  <w:noWrap w:val="0"/>
                  <w:vAlign w:val="center"/>
                </w:tcPr>
                <w:p>
                  <w:pPr>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地表水</w:t>
                  </w:r>
                </w:p>
              </w:tc>
              <w:tc>
                <w:tcPr>
                  <w:tcW w:w="1460" w:type="pct"/>
                  <w:vMerge w:val="continue"/>
                  <w:noWrap w:val="0"/>
                  <w:vAlign w:val="center"/>
                </w:tcPr>
                <w:p>
                  <w:pPr>
                    <w:spacing w:line="240" w:lineRule="auto"/>
                    <w:ind w:firstLine="420"/>
                    <w:jc w:val="center"/>
                    <w:rPr>
                      <w:rFonts w:hint="eastAsia" w:ascii="宋体" w:hAnsi="宋体" w:eastAsia="宋体" w:cs="宋体"/>
                      <w:color w:val="000000"/>
                      <w:sz w:val="21"/>
                      <w:szCs w:val="21"/>
                    </w:rPr>
                  </w:pPr>
                </w:p>
              </w:tc>
            </w:tr>
            <w:bookmarkEnd w:id="0"/>
            <w:bookmarkEnd w:id="1"/>
            <w:bookmarkEnd w:id="2"/>
          </w:tbl>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2、建设内容</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项目组成及工程内容见表2-2。</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表 2-2 项目组成及工程内容</w:t>
            </w:r>
          </w:p>
          <w:tbl>
            <w:tblPr>
              <w:tblStyle w:val="13"/>
              <w:tblW w:w="8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766"/>
              <w:gridCol w:w="2401"/>
              <w:gridCol w:w="2568"/>
              <w:gridCol w:w="15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72" w:type="dxa"/>
                </w:tcPr>
                <w:p>
                  <w:pPr>
                    <w:widowControl w:val="0"/>
                    <w:spacing w:after="0" w:line="240" w:lineRule="auto"/>
                    <w:ind w:right="8" w:rightChars="0"/>
                    <w:jc w:val="center"/>
                    <w:rPr>
                      <w:rFonts w:hint="eastAsia" w:ascii="宋体" w:hAnsi="宋体" w:eastAsia="宋体" w:cs="宋体"/>
                      <w:sz w:val="21"/>
                      <w:szCs w:val="21"/>
                    </w:rPr>
                  </w:pPr>
                  <w:r>
                    <w:rPr>
                      <w:rFonts w:hint="eastAsia" w:ascii="宋体" w:hAnsi="宋体" w:eastAsia="宋体" w:cs="宋体"/>
                      <w:sz w:val="21"/>
                      <w:szCs w:val="21"/>
                    </w:rPr>
                    <w:t>项目组成</w:t>
                  </w:r>
                </w:p>
              </w:tc>
              <w:tc>
                <w:tcPr>
                  <w:tcW w:w="3167" w:type="dxa"/>
                  <w:gridSpan w:val="2"/>
                </w:tcPr>
                <w:p>
                  <w:pPr>
                    <w:widowControl w:val="0"/>
                    <w:spacing w:after="0" w:line="240" w:lineRule="auto"/>
                    <w:ind w:right="8" w:rightChars="0"/>
                    <w:jc w:val="center"/>
                    <w:rPr>
                      <w:rFonts w:hint="eastAsia" w:ascii="宋体" w:hAnsi="宋体" w:eastAsia="宋体" w:cs="宋体"/>
                      <w:sz w:val="21"/>
                      <w:szCs w:val="21"/>
                    </w:rPr>
                  </w:pPr>
                  <w:r>
                    <w:rPr>
                      <w:rFonts w:hint="eastAsia" w:ascii="宋体" w:hAnsi="宋体" w:eastAsia="宋体" w:cs="宋体"/>
                      <w:sz w:val="21"/>
                      <w:szCs w:val="21"/>
                    </w:rPr>
                    <w:t>环评及环评批复内容</w:t>
                  </w:r>
                </w:p>
              </w:tc>
              <w:tc>
                <w:tcPr>
                  <w:tcW w:w="2568" w:type="dxa"/>
                  <w:vAlign w:val="center"/>
                </w:tcPr>
                <w:p>
                  <w:pPr>
                    <w:widowControl w:val="0"/>
                    <w:spacing w:after="0" w:line="240" w:lineRule="auto"/>
                    <w:ind w:right="8" w:rightChars="0"/>
                    <w:jc w:val="center"/>
                    <w:rPr>
                      <w:rFonts w:hint="eastAsia" w:ascii="宋体" w:hAnsi="宋体" w:eastAsia="宋体" w:cs="宋体"/>
                      <w:sz w:val="21"/>
                      <w:szCs w:val="21"/>
                    </w:rPr>
                  </w:pPr>
                  <w:r>
                    <w:rPr>
                      <w:rFonts w:hint="eastAsia" w:ascii="宋体" w:hAnsi="宋体" w:eastAsia="宋体" w:cs="宋体"/>
                      <w:sz w:val="21"/>
                      <w:szCs w:val="21"/>
                    </w:rPr>
                    <w:t>实际建设内容</w:t>
                  </w:r>
                </w:p>
              </w:tc>
              <w:tc>
                <w:tcPr>
                  <w:tcW w:w="1597" w:type="dxa"/>
                  <w:vAlign w:val="top"/>
                </w:tcPr>
                <w:p>
                  <w:pPr>
                    <w:widowControl w:val="0"/>
                    <w:spacing w:after="0" w:line="240" w:lineRule="auto"/>
                    <w:ind w:right="8" w:rightChars="0"/>
                    <w:jc w:val="center"/>
                    <w:rPr>
                      <w:rFonts w:hint="eastAsia" w:ascii="宋体" w:hAnsi="宋体" w:eastAsia="宋体" w:cs="宋体"/>
                      <w:sz w:val="21"/>
                      <w:szCs w:val="21"/>
                    </w:rPr>
                  </w:pPr>
                  <w:r>
                    <w:rPr>
                      <w:rFonts w:hint="eastAsia" w:ascii="宋体" w:hAnsi="宋体" w:eastAsia="宋体" w:cs="宋体"/>
                      <w:sz w:val="21"/>
                      <w:szCs w:val="21"/>
                    </w:rPr>
                    <w:t>建设内容变化情况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72" w:type="dxa"/>
                  <w:vAlign w:val="top"/>
                </w:tcPr>
                <w:p>
                  <w:pPr>
                    <w:widowControl w:val="0"/>
                    <w:spacing w:after="0" w:line="240" w:lineRule="auto"/>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建设规模</w:t>
                  </w:r>
                </w:p>
              </w:tc>
              <w:tc>
                <w:tcPr>
                  <w:tcW w:w="3167" w:type="dxa"/>
                  <w:gridSpan w:val="2"/>
                  <w:vAlign w:val="center"/>
                </w:tcPr>
                <w:p>
                  <w:pPr>
                    <w:widowControl w:val="0"/>
                    <w:spacing w:after="0" w:line="240" w:lineRule="auto"/>
                    <w:jc w:val="both"/>
                    <w:rPr>
                      <w:rFonts w:hint="eastAsia" w:ascii="宋体" w:hAnsi="宋体" w:eastAsia="宋体" w:cs="宋体"/>
                      <w:color w:val="auto"/>
                      <w:kern w:val="2"/>
                      <w:sz w:val="21"/>
                      <w:szCs w:val="21"/>
                      <w:lang w:val="en-US" w:eastAsia="zh-CN" w:bidi="ar-SA"/>
                    </w:rPr>
                  </w:pPr>
                  <w:r>
                    <w:rPr>
                      <w:rFonts w:hint="eastAsia" w:ascii="宋体" w:hAnsi="宋体" w:eastAsia="宋体" w:cs="宋体"/>
                      <w:sz w:val="21"/>
                      <w:szCs w:val="21"/>
                      <w:lang w:val="en-US" w:eastAsia="zh-CN"/>
                    </w:rPr>
                    <w:t>年产</w:t>
                  </w:r>
                  <w:r>
                    <w:rPr>
                      <w:rFonts w:hint="eastAsia" w:ascii="宋体" w:hAnsi="宋体" w:eastAsia="宋体" w:cs="宋体"/>
                      <w:sz w:val="21"/>
                      <w:szCs w:val="21"/>
                      <w:lang w:val="en-GB" w:eastAsia="zh-CN"/>
                    </w:rPr>
                    <w:t>2000套灯光雕刻、标示标牌，</w:t>
                  </w:r>
                  <w:r>
                    <w:rPr>
                      <w:rFonts w:hint="eastAsia" w:ascii="宋体" w:hAnsi="宋体" w:eastAsia="宋体" w:cs="宋体"/>
                      <w:sz w:val="21"/>
                      <w:szCs w:val="21"/>
                      <w:lang w:val="en-US" w:eastAsia="zh-CN"/>
                    </w:rPr>
                    <w:t>并对</w:t>
                  </w:r>
                  <w:r>
                    <w:rPr>
                      <w:rFonts w:hint="eastAsia" w:ascii="宋体" w:hAnsi="宋体" w:eastAsia="宋体" w:cs="宋体"/>
                      <w:sz w:val="21"/>
                      <w:szCs w:val="21"/>
                      <w:lang w:val="en-GB" w:eastAsia="zh-CN"/>
                    </w:rPr>
                    <w:t>2000套</w:t>
                  </w:r>
                  <w:r>
                    <w:rPr>
                      <w:rFonts w:hint="eastAsia" w:ascii="宋体" w:hAnsi="宋体" w:eastAsia="宋体" w:cs="宋体"/>
                      <w:sz w:val="21"/>
                      <w:szCs w:val="21"/>
                      <w:lang w:val="en-US" w:eastAsia="zh-CN"/>
                    </w:rPr>
                    <w:t>产品</w:t>
                  </w:r>
                  <w:r>
                    <w:rPr>
                      <w:rFonts w:hint="eastAsia" w:ascii="宋体" w:hAnsi="宋体" w:eastAsia="宋体" w:cs="宋体"/>
                      <w:sz w:val="21"/>
                      <w:szCs w:val="21"/>
                      <w:lang w:val="en-GB" w:eastAsia="zh-CN"/>
                    </w:rPr>
                    <w:t>喷漆</w:t>
                  </w:r>
                  <w:r>
                    <w:rPr>
                      <w:rFonts w:hint="eastAsia" w:ascii="宋体" w:hAnsi="宋体" w:eastAsia="宋体" w:cs="宋体"/>
                      <w:sz w:val="21"/>
                      <w:szCs w:val="21"/>
                      <w:lang w:val="en-US" w:eastAsia="zh-CN"/>
                    </w:rPr>
                    <w:t>或</w:t>
                  </w:r>
                  <w:r>
                    <w:rPr>
                      <w:rFonts w:hint="eastAsia" w:ascii="宋体" w:hAnsi="宋体" w:eastAsia="宋体" w:cs="宋体"/>
                      <w:sz w:val="21"/>
                      <w:szCs w:val="21"/>
                      <w:lang w:val="en-GB" w:eastAsia="zh-CN"/>
                    </w:rPr>
                    <w:t>喷塑</w:t>
                  </w:r>
                </w:p>
              </w:tc>
              <w:tc>
                <w:tcPr>
                  <w:tcW w:w="2568" w:type="dxa"/>
                  <w:vAlign w:val="center"/>
                </w:tcPr>
                <w:p>
                  <w:pPr>
                    <w:widowControl w:val="0"/>
                    <w:spacing w:after="0" w:line="240" w:lineRule="auto"/>
                    <w:jc w:val="both"/>
                    <w:rPr>
                      <w:rFonts w:hint="eastAsia" w:ascii="宋体" w:hAnsi="宋体" w:eastAsia="宋体" w:cs="宋体"/>
                      <w:color w:val="auto"/>
                      <w:kern w:val="2"/>
                      <w:sz w:val="21"/>
                      <w:szCs w:val="21"/>
                      <w:lang w:val="en-US" w:eastAsia="zh-CN" w:bidi="ar-SA"/>
                    </w:rPr>
                  </w:pPr>
                  <w:r>
                    <w:rPr>
                      <w:rFonts w:hint="eastAsia" w:ascii="宋体" w:hAnsi="宋体" w:eastAsia="宋体" w:cs="宋体"/>
                      <w:sz w:val="21"/>
                      <w:szCs w:val="21"/>
                      <w:lang w:val="en-US" w:eastAsia="zh-CN"/>
                    </w:rPr>
                    <w:t>年产</w:t>
                  </w:r>
                  <w:r>
                    <w:rPr>
                      <w:rFonts w:hint="eastAsia" w:ascii="宋体" w:hAnsi="宋体" w:eastAsia="宋体" w:cs="宋体"/>
                      <w:sz w:val="21"/>
                      <w:szCs w:val="21"/>
                      <w:lang w:val="en-GB" w:eastAsia="zh-CN"/>
                    </w:rPr>
                    <w:t>2000套灯光雕刻、标示标牌，</w:t>
                  </w:r>
                  <w:r>
                    <w:rPr>
                      <w:rFonts w:hint="eastAsia" w:ascii="宋体" w:hAnsi="宋体" w:eastAsia="宋体" w:cs="宋体"/>
                      <w:sz w:val="21"/>
                      <w:szCs w:val="21"/>
                      <w:lang w:val="en-US" w:eastAsia="zh-CN"/>
                    </w:rPr>
                    <w:t>并对</w:t>
                  </w:r>
                  <w:r>
                    <w:rPr>
                      <w:rFonts w:hint="eastAsia" w:ascii="宋体" w:hAnsi="宋体" w:eastAsia="宋体" w:cs="宋体"/>
                      <w:sz w:val="21"/>
                      <w:szCs w:val="21"/>
                      <w:lang w:val="en-GB" w:eastAsia="zh-CN"/>
                    </w:rPr>
                    <w:t>2000套</w:t>
                  </w:r>
                  <w:r>
                    <w:rPr>
                      <w:rFonts w:hint="eastAsia" w:ascii="宋体" w:hAnsi="宋体" w:eastAsia="宋体" w:cs="宋体"/>
                      <w:sz w:val="21"/>
                      <w:szCs w:val="21"/>
                      <w:lang w:val="en-US" w:eastAsia="zh-CN"/>
                    </w:rPr>
                    <w:t>产品</w:t>
                  </w:r>
                  <w:r>
                    <w:rPr>
                      <w:rFonts w:hint="eastAsia" w:ascii="宋体" w:hAnsi="宋体" w:eastAsia="宋体" w:cs="宋体"/>
                      <w:sz w:val="21"/>
                      <w:szCs w:val="21"/>
                      <w:lang w:val="en-GB" w:eastAsia="zh-CN"/>
                    </w:rPr>
                    <w:t>喷漆</w:t>
                  </w:r>
                  <w:r>
                    <w:rPr>
                      <w:rFonts w:hint="eastAsia" w:ascii="宋体" w:hAnsi="宋体" w:eastAsia="宋体" w:cs="宋体"/>
                      <w:sz w:val="21"/>
                      <w:szCs w:val="21"/>
                      <w:lang w:val="en-US" w:eastAsia="zh-CN"/>
                    </w:rPr>
                    <w:t>或</w:t>
                  </w:r>
                  <w:r>
                    <w:rPr>
                      <w:rFonts w:hint="eastAsia" w:ascii="宋体" w:hAnsi="宋体" w:eastAsia="宋体" w:cs="宋体"/>
                      <w:sz w:val="21"/>
                      <w:szCs w:val="21"/>
                      <w:lang w:val="en-GB" w:eastAsia="zh-CN"/>
                    </w:rPr>
                    <w:t>喷塑</w:t>
                  </w:r>
                </w:p>
              </w:tc>
              <w:tc>
                <w:tcPr>
                  <w:tcW w:w="1597" w:type="dxa"/>
                  <w:vAlign w:val="top"/>
                </w:tcPr>
                <w:p>
                  <w:pPr>
                    <w:widowControl w:val="0"/>
                    <w:spacing w:after="0" w:line="240" w:lineRule="auto"/>
                    <w:ind w:right="8" w:rightChars="0"/>
                    <w:jc w:val="center"/>
                    <w:rPr>
                      <w:rFonts w:hint="eastAsia" w:ascii="宋体" w:hAnsi="宋体" w:eastAsia="宋体" w:cs="宋体"/>
                      <w:sz w:val="21"/>
                      <w:szCs w:val="21"/>
                      <w:lang w:val="en-US" w:eastAsia="zh-CN"/>
                    </w:rPr>
                  </w:pPr>
                  <w:r>
                    <w:rPr>
                      <w:rFonts w:hint="eastAsia" w:ascii="宋体" w:hAnsi="宋体" w:eastAsia="宋体" w:cs="宋体"/>
                      <w:color w:val="000000"/>
                      <w:kern w:val="2"/>
                      <w:sz w:val="21"/>
                      <w:szCs w:val="21"/>
                      <w:lang w:val="en-US" w:eastAsia="zh-CN" w:bidi="ar-SA"/>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772" w:type="dxa"/>
                  <w:vMerge w:val="restart"/>
                  <w:vAlign w:val="top"/>
                </w:tcPr>
                <w:p>
                  <w:pPr>
                    <w:widowControl w:val="0"/>
                    <w:spacing w:after="0" w:line="240" w:lineRule="auto"/>
                    <w:jc w:val="center"/>
                    <w:rPr>
                      <w:rFonts w:hint="eastAsia" w:ascii="宋体" w:hAnsi="宋体" w:eastAsia="宋体" w:cs="宋体"/>
                      <w:sz w:val="21"/>
                      <w:szCs w:val="21"/>
                    </w:rPr>
                  </w:pPr>
                </w:p>
                <w:p>
                  <w:pPr>
                    <w:widowControl w:val="0"/>
                    <w:spacing w:after="0" w:line="240" w:lineRule="auto"/>
                    <w:jc w:val="center"/>
                    <w:rPr>
                      <w:rFonts w:hint="eastAsia" w:ascii="宋体" w:hAnsi="宋体" w:eastAsia="宋体" w:cs="宋体"/>
                      <w:sz w:val="21"/>
                      <w:szCs w:val="21"/>
                    </w:rPr>
                  </w:pPr>
                </w:p>
                <w:p>
                  <w:pPr>
                    <w:widowControl w:val="0"/>
                    <w:spacing w:after="0" w:line="240" w:lineRule="auto"/>
                    <w:jc w:val="center"/>
                    <w:rPr>
                      <w:rFonts w:hint="eastAsia" w:ascii="宋体" w:hAnsi="宋体" w:eastAsia="宋体" w:cs="宋体"/>
                      <w:sz w:val="21"/>
                      <w:szCs w:val="21"/>
                    </w:rPr>
                  </w:pPr>
                </w:p>
                <w:p>
                  <w:pPr>
                    <w:widowControl w:val="0"/>
                    <w:spacing w:after="0" w:line="240" w:lineRule="auto"/>
                    <w:jc w:val="center"/>
                    <w:rPr>
                      <w:rFonts w:hint="eastAsia" w:ascii="宋体" w:hAnsi="宋体" w:eastAsia="宋体" w:cs="宋体"/>
                      <w:sz w:val="21"/>
                      <w:szCs w:val="21"/>
                      <w:vertAlign w:val="baseline"/>
                    </w:rPr>
                  </w:pPr>
                  <w:r>
                    <w:rPr>
                      <w:rFonts w:hint="eastAsia" w:ascii="宋体" w:hAnsi="宋体" w:eastAsia="宋体" w:cs="宋体"/>
                      <w:sz w:val="21"/>
                      <w:szCs w:val="21"/>
                    </w:rPr>
                    <w:t>主辅工程</w:t>
                  </w:r>
                </w:p>
              </w:tc>
              <w:tc>
                <w:tcPr>
                  <w:tcW w:w="766" w:type="dxa"/>
                </w:tcPr>
                <w:p>
                  <w:pPr>
                    <w:widowControl w:val="0"/>
                    <w:spacing w:after="0" w:line="240" w:lineRule="auto"/>
                    <w:jc w:val="both"/>
                    <w:rPr>
                      <w:rFonts w:hint="eastAsia" w:ascii="宋体" w:hAnsi="宋体" w:eastAsia="宋体" w:cs="宋体"/>
                      <w:bCs/>
                      <w:sz w:val="21"/>
                      <w:szCs w:val="21"/>
                      <w:lang w:val="en-US" w:eastAsia="zh-CN"/>
                    </w:rPr>
                  </w:pPr>
                  <w:r>
                    <w:rPr>
                      <w:rFonts w:hint="eastAsia" w:ascii="宋体" w:hAnsi="宋体" w:eastAsia="宋体" w:cs="宋体"/>
                      <w:sz w:val="21"/>
                      <w:szCs w:val="21"/>
                    </w:rPr>
                    <w:t>喷涂车间</w:t>
                  </w:r>
                </w:p>
              </w:tc>
              <w:tc>
                <w:tcPr>
                  <w:tcW w:w="2401" w:type="dxa"/>
                  <w:vAlign w:val="top"/>
                </w:tcPr>
                <w:p>
                  <w:pPr>
                    <w:widowControl w:val="0"/>
                    <w:spacing w:after="0" w:line="240" w:lineRule="auto"/>
                    <w:jc w:val="both"/>
                    <w:rPr>
                      <w:rFonts w:hint="eastAsia" w:ascii="宋体" w:hAnsi="宋体" w:eastAsia="宋体" w:cs="宋体"/>
                      <w:bCs/>
                      <w:sz w:val="21"/>
                      <w:szCs w:val="21"/>
                      <w:lang w:val="en-US" w:eastAsia="zh-CN"/>
                    </w:rPr>
                  </w:pPr>
                  <w:r>
                    <w:rPr>
                      <w:rFonts w:hint="eastAsia" w:ascii="宋体" w:hAnsi="宋体" w:eastAsia="宋体" w:cs="宋体"/>
                      <w:sz w:val="21"/>
                      <w:szCs w:val="21"/>
                    </w:rPr>
                    <w:t>喷涂车间767m</w:t>
                  </w:r>
                  <w:r>
                    <w:rPr>
                      <w:rFonts w:hint="eastAsia" w:ascii="宋体" w:hAnsi="宋体" w:eastAsia="宋体" w:cs="宋体"/>
                      <w:sz w:val="21"/>
                      <w:szCs w:val="21"/>
                      <w:vertAlign w:val="superscript"/>
                    </w:rPr>
                    <w:t>2</w:t>
                  </w:r>
                  <w:r>
                    <w:rPr>
                      <w:rFonts w:hint="eastAsia" w:ascii="宋体" w:hAnsi="宋体" w:eastAsia="宋体" w:cs="宋体"/>
                      <w:sz w:val="21"/>
                      <w:szCs w:val="21"/>
                    </w:rPr>
                    <w:t>，高10m</w:t>
                  </w:r>
                  <w:r>
                    <w:rPr>
                      <w:rFonts w:hint="eastAsia" w:ascii="宋体" w:hAnsi="宋体" w:eastAsia="宋体" w:cs="宋体"/>
                      <w:sz w:val="21"/>
                      <w:szCs w:val="21"/>
                      <w:lang w:eastAsia="zh-CN"/>
                    </w:rPr>
                    <w:t>；</w:t>
                  </w:r>
                  <w:r>
                    <w:rPr>
                      <w:rFonts w:hint="eastAsia" w:ascii="宋体" w:hAnsi="宋体" w:eastAsia="宋体" w:cs="宋体"/>
                      <w:sz w:val="21"/>
                      <w:szCs w:val="21"/>
                    </w:rPr>
                    <w:t>喷漆房为50m</w:t>
                  </w:r>
                  <w:r>
                    <w:rPr>
                      <w:rFonts w:hint="eastAsia" w:ascii="宋体" w:hAnsi="宋体" w:eastAsia="宋体" w:cs="宋体"/>
                      <w:sz w:val="21"/>
                      <w:szCs w:val="21"/>
                      <w:vertAlign w:val="superscript"/>
                    </w:rPr>
                    <w:t>2</w:t>
                  </w:r>
                  <w:r>
                    <w:rPr>
                      <w:rFonts w:hint="eastAsia" w:ascii="宋体" w:hAnsi="宋体" w:eastAsia="宋体" w:cs="宋体"/>
                      <w:sz w:val="21"/>
                      <w:szCs w:val="21"/>
                    </w:rPr>
                    <w:t>，喷塑房为18m</w:t>
                  </w:r>
                  <w:r>
                    <w:rPr>
                      <w:rFonts w:hint="eastAsia" w:ascii="宋体" w:hAnsi="宋体" w:eastAsia="宋体" w:cs="宋体"/>
                      <w:sz w:val="21"/>
                      <w:szCs w:val="21"/>
                      <w:vertAlign w:val="superscript"/>
                    </w:rPr>
                    <w:t>2</w:t>
                  </w:r>
                  <w:r>
                    <w:rPr>
                      <w:rFonts w:hint="eastAsia" w:ascii="宋体" w:hAnsi="宋体" w:eastAsia="宋体" w:cs="宋体"/>
                      <w:sz w:val="21"/>
                      <w:szCs w:val="21"/>
                    </w:rPr>
                    <w:t>，固化房为35m</w:t>
                  </w:r>
                  <w:r>
                    <w:rPr>
                      <w:rFonts w:hint="eastAsia" w:ascii="宋体" w:hAnsi="宋体" w:eastAsia="宋体" w:cs="宋体"/>
                      <w:sz w:val="21"/>
                      <w:szCs w:val="21"/>
                      <w:vertAlign w:val="superscript"/>
                    </w:rPr>
                    <w:t>2</w:t>
                  </w:r>
                  <w:r>
                    <w:rPr>
                      <w:rFonts w:hint="eastAsia" w:ascii="宋体" w:hAnsi="宋体" w:eastAsia="宋体" w:cs="宋体"/>
                      <w:sz w:val="21"/>
                      <w:szCs w:val="21"/>
                    </w:rPr>
                    <w:t>，油漆和塑粉仓库为30m</w:t>
                  </w:r>
                  <w:r>
                    <w:rPr>
                      <w:rFonts w:hint="eastAsia" w:ascii="宋体" w:hAnsi="宋体" w:eastAsia="宋体" w:cs="宋体"/>
                      <w:sz w:val="21"/>
                      <w:szCs w:val="21"/>
                      <w:vertAlign w:val="superscript"/>
                    </w:rPr>
                    <w:t>2</w:t>
                  </w:r>
                  <w:r>
                    <w:rPr>
                      <w:rFonts w:hint="eastAsia" w:ascii="宋体" w:hAnsi="宋体" w:eastAsia="宋体" w:cs="宋体"/>
                      <w:sz w:val="21"/>
                      <w:szCs w:val="21"/>
                    </w:rPr>
                    <w:t>，危废间为20m</w:t>
                  </w:r>
                  <w:r>
                    <w:rPr>
                      <w:rFonts w:hint="eastAsia" w:ascii="宋体" w:hAnsi="宋体" w:eastAsia="宋体" w:cs="宋体"/>
                      <w:sz w:val="21"/>
                      <w:szCs w:val="21"/>
                      <w:vertAlign w:val="superscript"/>
                    </w:rPr>
                    <w:t>2</w:t>
                  </w:r>
                </w:p>
              </w:tc>
              <w:tc>
                <w:tcPr>
                  <w:tcW w:w="2568" w:type="dxa"/>
                  <w:vAlign w:val="top"/>
                </w:tcPr>
                <w:p>
                  <w:pPr>
                    <w:widowControl w:val="0"/>
                    <w:spacing w:after="0" w:line="240" w:lineRule="auto"/>
                    <w:jc w:val="both"/>
                    <w:rPr>
                      <w:rFonts w:hint="eastAsia" w:ascii="宋体" w:hAnsi="宋体" w:eastAsia="宋体" w:cs="宋体"/>
                      <w:bCs/>
                      <w:sz w:val="21"/>
                      <w:szCs w:val="21"/>
                      <w:lang w:val="en-US" w:eastAsia="zh-CN"/>
                    </w:rPr>
                  </w:pPr>
                  <w:r>
                    <w:rPr>
                      <w:rFonts w:hint="eastAsia" w:ascii="宋体" w:hAnsi="宋体" w:eastAsia="宋体" w:cs="宋体"/>
                      <w:sz w:val="21"/>
                      <w:szCs w:val="21"/>
                      <w:lang w:val="en-US" w:eastAsia="zh-CN"/>
                    </w:rPr>
                    <w:t>建设</w:t>
                  </w:r>
                  <w:r>
                    <w:rPr>
                      <w:rFonts w:hint="eastAsia" w:ascii="宋体" w:hAnsi="宋体" w:eastAsia="宋体" w:cs="宋体"/>
                      <w:sz w:val="21"/>
                      <w:szCs w:val="21"/>
                    </w:rPr>
                    <w:t>喷涂车间767m</w:t>
                  </w:r>
                  <w:r>
                    <w:rPr>
                      <w:rFonts w:hint="eastAsia" w:ascii="宋体" w:hAnsi="宋体" w:eastAsia="宋体" w:cs="宋体"/>
                      <w:sz w:val="21"/>
                      <w:szCs w:val="21"/>
                      <w:vertAlign w:val="superscript"/>
                    </w:rPr>
                    <w:t>2</w:t>
                  </w:r>
                  <w:r>
                    <w:rPr>
                      <w:rFonts w:hint="eastAsia" w:ascii="宋体" w:hAnsi="宋体" w:eastAsia="宋体" w:cs="宋体"/>
                      <w:sz w:val="21"/>
                      <w:szCs w:val="21"/>
                    </w:rPr>
                    <w:t>，高10m</w:t>
                  </w:r>
                  <w:r>
                    <w:rPr>
                      <w:rFonts w:hint="eastAsia" w:ascii="宋体" w:hAnsi="宋体" w:eastAsia="宋体" w:cs="宋体"/>
                      <w:sz w:val="21"/>
                      <w:szCs w:val="21"/>
                      <w:lang w:eastAsia="zh-CN"/>
                    </w:rPr>
                    <w:t>；</w:t>
                  </w:r>
                  <w:r>
                    <w:rPr>
                      <w:rFonts w:hint="eastAsia" w:ascii="宋体" w:hAnsi="宋体" w:eastAsia="宋体" w:cs="宋体"/>
                      <w:sz w:val="21"/>
                      <w:szCs w:val="21"/>
                    </w:rPr>
                    <w:t>喷漆房为50m</w:t>
                  </w:r>
                  <w:r>
                    <w:rPr>
                      <w:rFonts w:hint="eastAsia" w:ascii="宋体" w:hAnsi="宋体" w:eastAsia="宋体" w:cs="宋体"/>
                      <w:sz w:val="21"/>
                      <w:szCs w:val="21"/>
                      <w:vertAlign w:val="superscript"/>
                    </w:rPr>
                    <w:t>2</w:t>
                  </w:r>
                  <w:r>
                    <w:rPr>
                      <w:rFonts w:hint="eastAsia" w:ascii="宋体" w:hAnsi="宋体" w:eastAsia="宋体" w:cs="宋体"/>
                      <w:sz w:val="21"/>
                      <w:szCs w:val="21"/>
                    </w:rPr>
                    <w:t>，喷塑房为18m</w:t>
                  </w:r>
                  <w:r>
                    <w:rPr>
                      <w:rFonts w:hint="eastAsia" w:ascii="宋体" w:hAnsi="宋体" w:eastAsia="宋体" w:cs="宋体"/>
                      <w:sz w:val="21"/>
                      <w:szCs w:val="21"/>
                      <w:vertAlign w:val="superscript"/>
                    </w:rPr>
                    <w:t>2</w:t>
                  </w:r>
                  <w:r>
                    <w:rPr>
                      <w:rFonts w:hint="eastAsia" w:ascii="宋体" w:hAnsi="宋体" w:eastAsia="宋体" w:cs="宋体"/>
                      <w:sz w:val="21"/>
                      <w:szCs w:val="21"/>
                    </w:rPr>
                    <w:t>，固化房为35m</w:t>
                  </w:r>
                  <w:r>
                    <w:rPr>
                      <w:rFonts w:hint="eastAsia" w:ascii="宋体" w:hAnsi="宋体" w:eastAsia="宋体" w:cs="宋体"/>
                      <w:sz w:val="21"/>
                      <w:szCs w:val="21"/>
                      <w:vertAlign w:val="superscript"/>
                    </w:rPr>
                    <w:t>2</w:t>
                  </w:r>
                  <w:r>
                    <w:rPr>
                      <w:rFonts w:hint="eastAsia" w:ascii="宋体" w:hAnsi="宋体" w:eastAsia="宋体" w:cs="宋体"/>
                      <w:sz w:val="21"/>
                      <w:szCs w:val="21"/>
                    </w:rPr>
                    <w:t>，油漆和塑粉仓库为30m</w:t>
                  </w:r>
                  <w:r>
                    <w:rPr>
                      <w:rFonts w:hint="eastAsia" w:ascii="宋体" w:hAnsi="宋体" w:eastAsia="宋体" w:cs="宋体"/>
                      <w:sz w:val="21"/>
                      <w:szCs w:val="21"/>
                      <w:vertAlign w:val="superscript"/>
                    </w:rPr>
                    <w:t>2</w:t>
                  </w:r>
                  <w:r>
                    <w:rPr>
                      <w:rFonts w:hint="eastAsia" w:ascii="宋体" w:hAnsi="宋体" w:eastAsia="宋体" w:cs="宋体"/>
                      <w:sz w:val="21"/>
                      <w:szCs w:val="21"/>
                    </w:rPr>
                    <w:t>，危废间为20m</w:t>
                  </w:r>
                  <w:r>
                    <w:rPr>
                      <w:rFonts w:hint="eastAsia" w:ascii="宋体" w:hAnsi="宋体" w:eastAsia="宋体" w:cs="宋体"/>
                      <w:sz w:val="21"/>
                      <w:szCs w:val="21"/>
                      <w:vertAlign w:val="superscript"/>
                    </w:rPr>
                    <w:t>2</w:t>
                  </w:r>
                </w:p>
              </w:tc>
              <w:tc>
                <w:tcPr>
                  <w:tcW w:w="1597" w:type="dxa"/>
                  <w:vAlign w:val="top"/>
                </w:tcPr>
                <w:p>
                  <w:pPr>
                    <w:widowControl w:val="0"/>
                    <w:spacing w:after="0" w:line="240" w:lineRule="auto"/>
                    <w:jc w:val="both"/>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72" w:type="dxa"/>
                  <w:vMerge w:val="continue"/>
                  <w:vAlign w:val="top"/>
                </w:tcPr>
                <w:p>
                  <w:pPr>
                    <w:widowControl w:val="0"/>
                    <w:spacing w:after="0" w:line="240" w:lineRule="auto"/>
                    <w:jc w:val="center"/>
                    <w:rPr>
                      <w:rFonts w:hint="eastAsia" w:ascii="宋体" w:hAnsi="宋体" w:eastAsia="宋体" w:cs="宋体"/>
                      <w:sz w:val="21"/>
                      <w:szCs w:val="21"/>
                      <w:vertAlign w:val="baseline"/>
                    </w:rPr>
                  </w:pPr>
                </w:p>
              </w:tc>
              <w:tc>
                <w:tcPr>
                  <w:tcW w:w="766" w:type="dxa"/>
                </w:tcPr>
                <w:p>
                  <w:pPr>
                    <w:widowControl w:val="0"/>
                    <w:spacing w:after="0" w:line="240" w:lineRule="auto"/>
                    <w:jc w:val="both"/>
                    <w:rPr>
                      <w:rFonts w:hint="eastAsia" w:ascii="宋体" w:hAnsi="宋体" w:eastAsia="宋体" w:cs="宋体"/>
                      <w:bCs/>
                      <w:sz w:val="21"/>
                      <w:szCs w:val="21"/>
                      <w:lang w:val="en-US" w:eastAsia="zh-CN"/>
                    </w:rPr>
                  </w:pPr>
                  <w:r>
                    <w:rPr>
                      <w:rFonts w:hint="eastAsia" w:ascii="宋体" w:hAnsi="宋体" w:eastAsia="宋体" w:cs="宋体"/>
                      <w:sz w:val="21"/>
                      <w:szCs w:val="21"/>
                    </w:rPr>
                    <w:t>机加工车间</w:t>
                  </w:r>
                </w:p>
              </w:tc>
              <w:tc>
                <w:tcPr>
                  <w:tcW w:w="2401" w:type="dxa"/>
                </w:tcPr>
                <w:p>
                  <w:pPr>
                    <w:widowControl w:val="0"/>
                    <w:spacing w:after="0" w:line="240" w:lineRule="auto"/>
                    <w:jc w:val="both"/>
                    <w:rPr>
                      <w:rFonts w:hint="eastAsia" w:ascii="宋体" w:hAnsi="宋体" w:eastAsia="宋体" w:cs="宋体"/>
                      <w:bCs/>
                      <w:sz w:val="21"/>
                      <w:szCs w:val="21"/>
                      <w:lang w:val="en-US" w:eastAsia="zh-CN"/>
                    </w:rPr>
                  </w:pPr>
                  <w:r>
                    <w:rPr>
                      <w:rFonts w:hint="eastAsia" w:ascii="宋体" w:hAnsi="宋体" w:eastAsia="宋体" w:cs="宋体"/>
                      <w:sz w:val="21"/>
                      <w:szCs w:val="21"/>
                    </w:rPr>
                    <w:t>机加工车间1</w:t>
                  </w:r>
                  <w:r>
                    <w:rPr>
                      <w:rFonts w:hint="eastAsia" w:ascii="宋体" w:hAnsi="宋体" w:eastAsia="宋体" w:cs="宋体"/>
                      <w:sz w:val="21"/>
                      <w:szCs w:val="21"/>
                      <w:lang w:val="en-US" w:eastAsia="zh-CN"/>
                    </w:rPr>
                    <w:t>5</w:t>
                  </w:r>
                  <w:r>
                    <w:rPr>
                      <w:rFonts w:hint="eastAsia" w:ascii="宋体" w:hAnsi="宋体" w:eastAsia="宋体" w:cs="宋体"/>
                      <w:sz w:val="21"/>
                      <w:szCs w:val="21"/>
                    </w:rPr>
                    <w:t>00m</w:t>
                  </w:r>
                  <w:r>
                    <w:rPr>
                      <w:rFonts w:hint="eastAsia" w:ascii="宋体" w:hAnsi="宋体" w:eastAsia="宋体" w:cs="宋体"/>
                      <w:sz w:val="21"/>
                      <w:szCs w:val="21"/>
                      <w:vertAlign w:val="superscript"/>
                    </w:rPr>
                    <w:t>2</w:t>
                  </w:r>
                  <w:r>
                    <w:rPr>
                      <w:rFonts w:hint="eastAsia" w:ascii="宋体" w:hAnsi="宋体" w:eastAsia="宋体" w:cs="宋体"/>
                      <w:sz w:val="21"/>
                      <w:szCs w:val="21"/>
                    </w:rPr>
                    <w:t>，高10m</w:t>
                  </w:r>
                  <w:r>
                    <w:rPr>
                      <w:rFonts w:hint="eastAsia" w:ascii="宋体" w:hAnsi="宋体" w:eastAsia="宋体" w:cs="宋体"/>
                      <w:sz w:val="21"/>
                      <w:szCs w:val="21"/>
                      <w:lang w:eastAsia="zh-CN"/>
                    </w:rPr>
                    <w:t>，</w:t>
                  </w:r>
                  <w:r>
                    <w:rPr>
                      <w:rFonts w:hint="eastAsia" w:ascii="宋体" w:hAnsi="宋体" w:eastAsia="宋体" w:cs="宋体"/>
                      <w:sz w:val="21"/>
                      <w:szCs w:val="21"/>
                    </w:rPr>
                    <w:t>有1个原材料区，1个展厅，其余均为机加工</w:t>
                  </w:r>
                </w:p>
              </w:tc>
              <w:tc>
                <w:tcPr>
                  <w:tcW w:w="2568" w:type="dxa"/>
                  <w:vAlign w:val="top"/>
                </w:tcPr>
                <w:p>
                  <w:pPr>
                    <w:widowControl w:val="0"/>
                    <w:spacing w:after="0" w:line="240" w:lineRule="auto"/>
                    <w:jc w:val="both"/>
                    <w:rPr>
                      <w:rFonts w:hint="eastAsia" w:ascii="宋体" w:hAnsi="宋体" w:eastAsia="宋体" w:cs="宋体"/>
                      <w:bCs/>
                      <w:sz w:val="21"/>
                      <w:szCs w:val="21"/>
                      <w:lang w:val="en-US" w:eastAsia="zh-CN"/>
                    </w:rPr>
                  </w:pPr>
                  <w:r>
                    <w:rPr>
                      <w:rFonts w:hint="eastAsia" w:ascii="宋体" w:hAnsi="宋体" w:eastAsia="宋体" w:cs="宋体"/>
                      <w:sz w:val="21"/>
                      <w:szCs w:val="21"/>
                      <w:lang w:val="en-US" w:eastAsia="zh-CN"/>
                    </w:rPr>
                    <w:t>建设</w:t>
                  </w:r>
                  <w:r>
                    <w:rPr>
                      <w:rFonts w:hint="eastAsia" w:ascii="宋体" w:hAnsi="宋体" w:eastAsia="宋体" w:cs="宋体"/>
                      <w:sz w:val="21"/>
                      <w:szCs w:val="21"/>
                    </w:rPr>
                    <w:t>机加工车间1</w:t>
                  </w:r>
                  <w:r>
                    <w:rPr>
                      <w:rFonts w:hint="eastAsia" w:ascii="宋体" w:hAnsi="宋体" w:eastAsia="宋体" w:cs="宋体"/>
                      <w:sz w:val="21"/>
                      <w:szCs w:val="21"/>
                      <w:lang w:val="en-US" w:eastAsia="zh-CN"/>
                    </w:rPr>
                    <w:t>5</w:t>
                  </w:r>
                  <w:r>
                    <w:rPr>
                      <w:rFonts w:hint="eastAsia" w:ascii="宋体" w:hAnsi="宋体" w:eastAsia="宋体" w:cs="宋体"/>
                      <w:sz w:val="21"/>
                      <w:szCs w:val="21"/>
                    </w:rPr>
                    <w:t>00m</w:t>
                  </w:r>
                  <w:r>
                    <w:rPr>
                      <w:rFonts w:hint="eastAsia" w:ascii="宋体" w:hAnsi="宋体" w:eastAsia="宋体" w:cs="宋体"/>
                      <w:sz w:val="21"/>
                      <w:szCs w:val="21"/>
                      <w:vertAlign w:val="superscript"/>
                    </w:rPr>
                    <w:t>2</w:t>
                  </w:r>
                  <w:r>
                    <w:rPr>
                      <w:rFonts w:hint="eastAsia" w:ascii="宋体" w:hAnsi="宋体" w:eastAsia="宋体" w:cs="宋体"/>
                      <w:sz w:val="21"/>
                      <w:szCs w:val="21"/>
                    </w:rPr>
                    <w:t>，高10m</w:t>
                  </w:r>
                  <w:r>
                    <w:rPr>
                      <w:rFonts w:hint="eastAsia" w:ascii="宋体" w:hAnsi="宋体" w:eastAsia="宋体" w:cs="宋体"/>
                      <w:sz w:val="21"/>
                      <w:szCs w:val="21"/>
                      <w:lang w:eastAsia="zh-CN"/>
                    </w:rPr>
                    <w:t>，</w:t>
                  </w:r>
                  <w:r>
                    <w:rPr>
                      <w:rFonts w:hint="eastAsia" w:ascii="宋体" w:hAnsi="宋体" w:eastAsia="宋体" w:cs="宋体"/>
                      <w:sz w:val="21"/>
                      <w:szCs w:val="21"/>
                    </w:rPr>
                    <w:t>有1个原材料区，1个展厅，其余均为机加工</w:t>
                  </w:r>
                </w:p>
              </w:tc>
              <w:tc>
                <w:tcPr>
                  <w:tcW w:w="1597" w:type="dxa"/>
                </w:tcPr>
                <w:p>
                  <w:pPr>
                    <w:widowControl w:val="0"/>
                    <w:spacing w:after="0" w:line="240" w:lineRule="auto"/>
                    <w:jc w:val="both"/>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72" w:type="dxa"/>
                  <w:vMerge w:val="continue"/>
                  <w:vAlign w:val="top"/>
                </w:tcPr>
                <w:p>
                  <w:pPr>
                    <w:widowControl w:val="0"/>
                    <w:spacing w:after="0" w:line="240" w:lineRule="auto"/>
                    <w:jc w:val="center"/>
                    <w:rPr>
                      <w:rFonts w:hint="eastAsia" w:ascii="宋体" w:hAnsi="宋体" w:eastAsia="宋体" w:cs="宋体"/>
                      <w:sz w:val="21"/>
                      <w:szCs w:val="21"/>
                      <w:vertAlign w:val="baseline"/>
                    </w:rPr>
                  </w:pPr>
                </w:p>
              </w:tc>
              <w:tc>
                <w:tcPr>
                  <w:tcW w:w="766" w:type="dxa"/>
                </w:tcPr>
                <w:p>
                  <w:pPr>
                    <w:widowControl w:val="0"/>
                    <w:spacing w:after="0" w:line="240" w:lineRule="auto"/>
                    <w:jc w:val="both"/>
                    <w:rPr>
                      <w:rFonts w:hint="eastAsia" w:ascii="宋体" w:hAnsi="宋体" w:eastAsia="宋体" w:cs="宋体"/>
                      <w:bCs/>
                      <w:sz w:val="21"/>
                      <w:szCs w:val="21"/>
                      <w:lang w:val="en-US" w:eastAsia="zh-CN"/>
                    </w:rPr>
                  </w:pPr>
                  <w:r>
                    <w:rPr>
                      <w:rFonts w:hint="eastAsia" w:ascii="宋体" w:hAnsi="宋体" w:eastAsia="宋体" w:cs="宋体"/>
                      <w:sz w:val="21"/>
                      <w:szCs w:val="21"/>
                    </w:rPr>
                    <w:t>成品车间</w:t>
                  </w:r>
                </w:p>
              </w:tc>
              <w:tc>
                <w:tcPr>
                  <w:tcW w:w="2401" w:type="dxa"/>
                </w:tcPr>
                <w:p>
                  <w:pPr>
                    <w:widowControl w:val="0"/>
                    <w:spacing w:after="0" w:line="240" w:lineRule="auto"/>
                    <w:jc w:val="both"/>
                    <w:rPr>
                      <w:rFonts w:hint="eastAsia" w:ascii="宋体" w:hAnsi="宋体" w:eastAsia="宋体" w:cs="宋体"/>
                      <w:bCs/>
                      <w:sz w:val="21"/>
                      <w:szCs w:val="21"/>
                      <w:lang w:val="en-US" w:eastAsia="zh-CN"/>
                    </w:rPr>
                  </w:pPr>
                  <w:r>
                    <w:rPr>
                      <w:rFonts w:hint="eastAsia" w:ascii="宋体" w:hAnsi="宋体" w:eastAsia="宋体" w:cs="宋体"/>
                      <w:sz w:val="21"/>
                      <w:szCs w:val="21"/>
                    </w:rPr>
                    <w:t>成品车间767m</w:t>
                  </w:r>
                  <w:r>
                    <w:rPr>
                      <w:rFonts w:hint="eastAsia" w:ascii="宋体" w:hAnsi="宋体" w:eastAsia="宋体" w:cs="宋体"/>
                      <w:sz w:val="21"/>
                      <w:szCs w:val="21"/>
                      <w:vertAlign w:val="superscript"/>
                    </w:rPr>
                    <w:t>2</w:t>
                  </w:r>
                  <w:r>
                    <w:rPr>
                      <w:rFonts w:hint="eastAsia" w:ascii="宋体" w:hAnsi="宋体" w:eastAsia="宋体" w:cs="宋体"/>
                      <w:sz w:val="21"/>
                      <w:szCs w:val="21"/>
                    </w:rPr>
                    <w:t>，高10m</w:t>
                  </w:r>
                  <w:r>
                    <w:rPr>
                      <w:rFonts w:hint="eastAsia" w:ascii="宋体" w:hAnsi="宋体" w:eastAsia="宋体" w:cs="宋体"/>
                      <w:sz w:val="21"/>
                      <w:szCs w:val="21"/>
                      <w:lang w:eastAsia="zh-CN"/>
                    </w:rPr>
                    <w:t>，</w:t>
                  </w:r>
                  <w:r>
                    <w:rPr>
                      <w:rFonts w:hint="eastAsia" w:ascii="宋体" w:hAnsi="宋体" w:eastAsia="宋体" w:cs="宋体"/>
                      <w:sz w:val="21"/>
                      <w:szCs w:val="21"/>
                    </w:rPr>
                    <w:t>成品区和拼装区各占一半</w:t>
                  </w:r>
                </w:p>
              </w:tc>
              <w:tc>
                <w:tcPr>
                  <w:tcW w:w="2568" w:type="dxa"/>
                  <w:vAlign w:val="top"/>
                </w:tcPr>
                <w:p>
                  <w:pPr>
                    <w:widowControl w:val="0"/>
                    <w:spacing w:after="0" w:line="240" w:lineRule="auto"/>
                    <w:jc w:val="both"/>
                    <w:rPr>
                      <w:rFonts w:hint="eastAsia" w:ascii="宋体" w:hAnsi="宋体" w:eastAsia="宋体" w:cs="宋体"/>
                      <w:bCs/>
                      <w:sz w:val="21"/>
                      <w:szCs w:val="21"/>
                      <w:lang w:val="en-US" w:eastAsia="zh-CN"/>
                    </w:rPr>
                  </w:pPr>
                  <w:r>
                    <w:rPr>
                      <w:rFonts w:hint="eastAsia" w:ascii="宋体" w:hAnsi="宋体" w:eastAsia="宋体" w:cs="宋体"/>
                      <w:sz w:val="21"/>
                      <w:szCs w:val="21"/>
                      <w:lang w:val="en-US" w:eastAsia="zh-CN"/>
                    </w:rPr>
                    <w:t>建设</w:t>
                  </w:r>
                  <w:r>
                    <w:rPr>
                      <w:rFonts w:hint="eastAsia" w:ascii="宋体" w:hAnsi="宋体" w:eastAsia="宋体" w:cs="宋体"/>
                      <w:sz w:val="21"/>
                      <w:szCs w:val="21"/>
                    </w:rPr>
                    <w:t>成品车间767m</w:t>
                  </w:r>
                  <w:r>
                    <w:rPr>
                      <w:rFonts w:hint="eastAsia" w:ascii="宋体" w:hAnsi="宋体" w:eastAsia="宋体" w:cs="宋体"/>
                      <w:sz w:val="21"/>
                      <w:szCs w:val="21"/>
                      <w:vertAlign w:val="superscript"/>
                    </w:rPr>
                    <w:t>2</w:t>
                  </w:r>
                  <w:r>
                    <w:rPr>
                      <w:rFonts w:hint="eastAsia" w:ascii="宋体" w:hAnsi="宋体" w:eastAsia="宋体" w:cs="宋体"/>
                      <w:sz w:val="21"/>
                      <w:szCs w:val="21"/>
                    </w:rPr>
                    <w:t>，高10m</w:t>
                  </w:r>
                  <w:r>
                    <w:rPr>
                      <w:rFonts w:hint="eastAsia" w:ascii="宋体" w:hAnsi="宋体" w:eastAsia="宋体" w:cs="宋体"/>
                      <w:sz w:val="21"/>
                      <w:szCs w:val="21"/>
                      <w:lang w:eastAsia="zh-CN"/>
                    </w:rPr>
                    <w:t>，</w:t>
                  </w:r>
                  <w:r>
                    <w:rPr>
                      <w:rFonts w:hint="eastAsia" w:ascii="宋体" w:hAnsi="宋体" w:eastAsia="宋体" w:cs="宋体"/>
                      <w:sz w:val="21"/>
                      <w:szCs w:val="21"/>
                    </w:rPr>
                    <w:t>成品区和拼装区各占一半</w:t>
                  </w:r>
                </w:p>
              </w:tc>
              <w:tc>
                <w:tcPr>
                  <w:tcW w:w="1597" w:type="dxa"/>
                </w:tcPr>
                <w:p>
                  <w:pPr>
                    <w:widowControl w:val="0"/>
                    <w:spacing w:after="0" w:line="240" w:lineRule="auto"/>
                    <w:jc w:val="both"/>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72" w:type="dxa"/>
                  <w:vMerge w:val="continue"/>
                  <w:vAlign w:val="top"/>
                </w:tcPr>
                <w:p>
                  <w:pPr>
                    <w:widowControl w:val="0"/>
                    <w:spacing w:after="0" w:line="240" w:lineRule="auto"/>
                    <w:jc w:val="center"/>
                    <w:rPr>
                      <w:rFonts w:hint="eastAsia" w:ascii="宋体" w:hAnsi="宋体" w:eastAsia="宋体" w:cs="宋体"/>
                      <w:sz w:val="21"/>
                      <w:szCs w:val="21"/>
                      <w:vertAlign w:val="baseline"/>
                    </w:rPr>
                  </w:pPr>
                </w:p>
              </w:tc>
              <w:tc>
                <w:tcPr>
                  <w:tcW w:w="766" w:type="dxa"/>
                </w:tcPr>
                <w:p>
                  <w:pPr>
                    <w:widowControl w:val="0"/>
                    <w:spacing w:after="0" w:line="240" w:lineRule="auto"/>
                    <w:jc w:val="both"/>
                    <w:rPr>
                      <w:rFonts w:hint="eastAsia" w:ascii="宋体" w:hAnsi="宋体" w:eastAsia="宋体" w:cs="宋体"/>
                      <w:bCs/>
                      <w:sz w:val="21"/>
                      <w:szCs w:val="21"/>
                      <w:lang w:val="en-US" w:eastAsia="zh-CN"/>
                    </w:rPr>
                  </w:pPr>
                  <w:r>
                    <w:rPr>
                      <w:rFonts w:hint="eastAsia" w:ascii="宋体" w:hAnsi="宋体" w:eastAsia="宋体" w:cs="宋体"/>
                      <w:sz w:val="21"/>
                      <w:szCs w:val="21"/>
                    </w:rPr>
                    <w:t>闲置车间</w:t>
                  </w:r>
                </w:p>
              </w:tc>
              <w:tc>
                <w:tcPr>
                  <w:tcW w:w="2401" w:type="dxa"/>
                </w:tcPr>
                <w:p>
                  <w:pPr>
                    <w:widowControl w:val="0"/>
                    <w:spacing w:after="0" w:line="240" w:lineRule="auto"/>
                    <w:jc w:val="both"/>
                    <w:rPr>
                      <w:rFonts w:hint="eastAsia" w:ascii="宋体" w:hAnsi="宋体" w:eastAsia="宋体" w:cs="宋体"/>
                      <w:bCs/>
                      <w:sz w:val="21"/>
                      <w:szCs w:val="21"/>
                      <w:lang w:val="en-US" w:eastAsia="zh-CN"/>
                    </w:rPr>
                  </w:pPr>
                  <w:r>
                    <w:rPr>
                      <w:rFonts w:hint="eastAsia" w:ascii="宋体" w:hAnsi="宋体" w:eastAsia="宋体" w:cs="宋体"/>
                      <w:sz w:val="21"/>
                      <w:szCs w:val="21"/>
                    </w:rPr>
                    <w:t>闲置车间767m</w:t>
                  </w:r>
                  <w:r>
                    <w:rPr>
                      <w:rFonts w:hint="eastAsia" w:ascii="宋体" w:hAnsi="宋体" w:eastAsia="宋体" w:cs="宋体"/>
                      <w:sz w:val="21"/>
                      <w:szCs w:val="21"/>
                      <w:vertAlign w:val="superscript"/>
                    </w:rPr>
                    <w:t>2</w:t>
                  </w:r>
                  <w:r>
                    <w:rPr>
                      <w:rFonts w:hint="eastAsia" w:ascii="宋体" w:hAnsi="宋体" w:eastAsia="宋体" w:cs="宋体"/>
                      <w:sz w:val="21"/>
                      <w:szCs w:val="21"/>
                    </w:rPr>
                    <w:t>，高10m</w:t>
                  </w:r>
                </w:p>
              </w:tc>
              <w:tc>
                <w:tcPr>
                  <w:tcW w:w="2568" w:type="dxa"/>
                  <w:vAlign w:val="top"/>
                </w:tcPr>
                <w:p>
                  <w:pPr>
                    <w:widowControl w:val="0"/>
                    <w:spacing w:after="0" w:line="240" w:lineRule="auto"/>
                    <w:jc w:val="both"/>
                    <w:rPr>
                      <w:rFonts w:hint="eastAsia" w:ascii="宋体" w:hAnsi="宋体" w:eastAsia="宋体" w:cs="宋体"/>
                      <w:bCs/>
                      <w:sz w:val="21"/>
                      <w:szCs w:val="21"/>
                      <w:lang w:val="en-US" w:eastAsia="zh-CN"/>
                    </w:rPr>
                  </w:pPr>
                  <w:r>
                    <w:rPr>
                      <w:rFonts w:hint="eastAsia" w:ascii="宋体" w:hAnsi="宋体" w:eastAsia="宋体" w:cs="宋体"/>
                      <w:sz w:val="21"/>
                      <w:szCs w:val="21"/>
                    </w:rPr>
                    <w:t>闲置车间767m</w:t>
                  </w:r>
                  <w:r>
                    <w:rPr>
                      <w:rFonts w:hint="eastAsia" w:ascii="宋体" w:hAnsi="宋体" w:eastAsia="宋体" w:cs="宋体"/>
                      <w:sz w:val="21"/>
                      <w:szCs w:val="21"/>
                      <w:vertAlign w:val="superscript"/>
                    </w:rPr>
                    <w:t>2</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位于成品车间东部</w:t>
                  </w:r>
                </w:p>
              </w:tc>
              <w:tc>
                <w:tcPr>
                  <w:tcW w:w="1597" w:type="dxa"/>
                </w:tcPr>
                <w:p>
                  <w:pPr>
                    <w:widowControl w:val="0"/>
                    <w:spacing w:after="0" w:line="240" w:lineRule="auto"/>
                    <w:jc w:val="both"/>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atLeast"/>
                <w:jc w:val="center"/>
              </w:trPr>
              <w:tc>
                <w:tcPr>
                  <w:tcW w:w="772" w:type="dxa"/>
                  <w:vAlign w:val="top"/>
                </w:tcPr>
                <w:p>
                  <w:pPr>
                    <w:widowControl w:val="0"/>
                    <w:spacing w:after="0" w:line="240" w:lineRule="auto"/>
                    <w:jc w:val="center"/>
                    <w:rPr>
                      <w:rFonts w:hint="eastAsia" w:ascii="宋体" w:hAnsi="宋体" w:eastAsia="宋体" w:cs="宋体"/>
                      <w:sz w:val="21"/>
                      <w:szCs w:val="21"/>
                    </w:rPr>
                  </w:pPr>
                </w:p>
                <w:p>
                  <w:pPr>
                    <w:widowControl w:val="0"/>
                    <w:spacing w:after="0" w:line="240" w:lineRule="auto"/>
                    <w:jc w:val="center"/>
                    <w:rPr>
                      <w:rFonts w:hint="eastAsia" w:ascii="宋体" w:hAnsi="宋体" w:eastAsia="宋体" w:cs="宋体"/>
                      <w:sz w:val="21"/>
                      <w:szCs w:val="21"/>
                    </w:rPr>
                  </w:pPr>
                </w:p>
                <w:p>
                  <w:pPr>
                    <w:widowControl w:val="0"/>
                    <w:spacing w:after="0" w:line="240" w:lineRule="auto"/>
                    <w:jc w:val="center"/>
                    <w:rPr>
                      <w:rFonts w:hint="eastAsia" w:ascii="宋体" w:hAnsi="宋体" w:eastAsia="宋体" w:cs="宋体"/>
                      <w:sz w:val="21"/>
                      <w:szCs w:val="21"/>
                      <w:vertAlign w:val="baseline"/>
                    </w:rPr>
                  </w:pPr>
                  <w:r>
                    <w:rPr>
                      <w:rFonts w:hint="eastAsia" w:ascii="宋体" w:hAnsi="宋体" w:eastAsia="宋体" w:cs="宋体"/>
                      <w:sz w:val="21"/>
                      <w:szCs w:val="21"/>
                    </w:rPr>
                    <w:t>公用工程</w:t>
                  </w:r>
                </w:p>
              </w:tc>
              <w:tc>
                <w:tcPr>
                  <w:tcW w:w="3167" w:type="dxa"/>
                  <w:gridSpan w:val="2"/>
                </w:tcPr>
                <w:p>
                  <w:pPr>
                    <w:widowControl w:val="0"/>
                    <w:spacing w:after="0" w:line="240" w:lineRule="auto"/>
                    <w:jc w:val="both"/>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供水：</w:t>
                  </w:r>
                  <w:r>
                    <w:rPr>
                      <w:rFonts w:hint="eastAsia" w:ascii="宋体" w:hAnsi="宋体" w:eastAsia="宋体" w:cs="宋体"/>
                      <w:sz w:val="21"/>
                      <w:szCs w:val="21"/>
                    </w:rPr>
                    <w:t>由市政供给</w:t>
                  </w:r>
                  <w:r>
                    <w:rPr>
                      <w:rFonts w:hint="eastAsia" w:ascii="宋体" w:hAnsi="宋体" w:eastAsia="宋体" w:cs="宋体"/>
                      <w:bCs/>
                      <w:sz w:val="21"/>
                      <w:szCs w:val="21"/>
                      <w:lang w:val="en-US" w:eastAsia="zh-CN"/>
                    </w:rPr>
                    <w:t>。</w:t>
                  </w:r>
                </w:p>
                <w:p>
                  <w:pPr>
                    <w:widowControl w:val="0"/>
                    <w:spacing w:after="0" w:line="240" w:lineRule="auto"/>
                    <w:jc w:val="both"/>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排水：</w:t>
                  </w:r>
                  <w:r>
                    <w:rPr>
                      <w:rFonts w:hint="eastAsia" w:ascii="宋体" w:hAnsi="宋体" w:eastAsia="宋体" w:cs="宋体"/>
                      <w:sz w:val="21"/>
                      <w:szCs w:val="21"/>
                    </w:rPr>
                    <w:t>职工生活用水经厂区化粪池处理后用抽粪车定期清运，作为农家肥施用于农田；除漆雾循环废水属于危险废物，定期送资质单位处理处置</w:t>
                  </w:r>
                  <w:r>
                    <w:rPr>
                      <w:rFonts w:hint="eastAsia" w:ascii="宋体" w:hAnsi="宋体" w:eastAsia="宋体" w:cs="宋体"/>
                      <w:bCs/>
                      <w:sz w:val="21"/>
                      <w:szCs w:val="21"/>
                      <w:lang w:val="en-US" w:eastAsia="zh-CN"/>
                    </w:rPr>
                    <w:t>。</w:t>
                  </w:r>
                </w:p>
                <w:p>
                  <w:pPr>
                    <w:widowControl w:val="0"/>
                    <w:spacing w:after="0" w:line="24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bCs/>
                      <w:sz w:val="21"/>
                      <w:szCs w:val="21"/>
                      <w:lang w:val="en-US" w:eastAsia="zh-CN"/>
                    </w:rPr>
                    <w:t>供电：</w:t>
                  </w:r>
                  <w:r>
                    <w:rPr>
                      <w:rFonts w:hint="eastAsia" w:ascii="宋体" w:hAnsi="宋体" w:eastAsia="宋体" w:cs="宋体"/>
                      <w:sz w:val="21"/>
                      <w:szCs w:val="21"/>
                      <w:lang w:val="zh-CN"/>
                    </w:rPr>
                    <w:t>由鹤壁市新区220KV灵山变电站</w:t>
                  </w:r>
                  <w:r>
                    <w:rPr>
                      <w:rFonts w:hint="eastAsia" w:ascii="宋体" w:hAnsi="宋体" w:eastAsia="宋体" w:cs="宋体"/>
                      <w:sz w:val="21"/>
                      <w:szCs w:val="21"/>
                    </w:rPr>
                    <w:t>供给</w:t>
                  </w:r>
                  <w:r>
                    <w:rPr>
                      <w:rFonts w:hint="eastAsia" w:ascii="宋体" w:hAnsi="宋体" w:eastAsia="宋体" w:cs="宋体"/>
                      <w:bCs/>
                      <w:sz w:val="21"/>
                      <w:szCs w:val="21"/>
                      <w:lang w:val="en-US" w:eastAsia="zh-CN"/>
                    </w:rPr>
                    <w:t>。</w:t>
                  </w:r>
                </w:p>
              </w:tc>
              <w:tc>
                <w:tcPr>
                  <w:tcW w:w="2568" w:type="dxa"/>
                  <w:vAlign w:val="top"/>
                </w:tcPr>
                <w:p>
                  <w:pPr>
                    <w:widowControl w:val="0"/>
                    <w:spacing w:after="0" w:line="240" w:lineRule="auto"/>
                    <w:jc w:val="both"/>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供水：</w:t>
                  </w:r>
                  <w:r>
                    <w:rPr>
                      <w:rFonts w:hint="eastAsia" w:ascii="宋体" w:hAnsi="宋体" w:eastAsia="宋体" w:cs="宋体"/>
                      <w:sz w:val="21"/>
                      <w:szCs w:val="21"/>
                    </w:rPr>
                    <w:t>由市政供给</w:t>
                  </w:r>
                  <w:r>
                    <w:rPr>
                      <w:rFonts w:hint="eastAsia" w:ascii="宋体" w:hAnsi="宋体" w:eastAsia="宋体" w:cs="宋体"/>
                      <w:bCs/>
                      <w:sz w:val="21"/>
                      <w:szCs w:val="21"/>
                      <w:lang w:val="en-US" w:eastAsia="zh-CN"/>
                    </w:rPr>
                    <w:t>。</w:t>
                  </w:r>
                </w:p>
                <w:p>
                  <w:pPr>
                    <w:widowControl w:val="0"/>
                    <w:spacing w:after="0" w:line="240" w:lineRule="auto"/>
                    <w:jc w:val="both"/>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排水：</w:t>
                  </w:r>
                  <w:r>
                    <w:rPr>
                      <w:rFonts w:hint="eastAsia" w:ascii="宋体" w:hAnsi="宋体" w:eastAsia="宋体" w:cs="宋体"/>
                      <w:sz w:val="21"/>
                      <w:szCs w:val="21"/>
                    </w:rPr>
                    <w:t>职工生活用水经厂区化粪池处理后用抽粪车定期清运，作为农家肥施用于农田；除漆雾循环废水属于危险废物，定期送资质单位处理处置</w:t>
                  </w:r>
                  <w:r>
                    <w:rPr>
                      <w:rFonts w:hint="eastAsia" w:ascii="宋体" w:hAnsi="宋体" w:eastAsia="宋体" w:cs="宋体"/>
                      <w:bCs/>
                      <w:sz w:val="21"/>
                      <w:szCs w:val="21"/>
                      <w:lang w:val="en-US" w:eastAsia="zh-CN"/>
                    </w:rPr>
                    <w:t>。</w:t>
                  </w:r>
                </w:p>
                <w:p>
                  <w:pPr>
                    <w:widowControl w:val="0"/>
                    <w:spacing w:after="0" w:line="24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bCs/>
                      <w:sz w:val="21"/>
                      <w:szCs w:val="21"/>
                      <w:lang w:val="en-US" w:eastAsia="zh-CN"/>
                    </w:rPr>
                    <w:t>供电：</w:t>
                  </w:r>
                  <w:r>
                    <w:rPr>
                      <w:rFonts w:hint="eastAsia" w:ascii="宋体" w:hAnsi="宋体" w:eastAsia="宋体" w:cs="宋体"/>
                      <w:sz w:val="21"/>
                      <w:szCs w:val="21"/>
                      <w:lang w:val="zh-CN"/>
                    </w:rPr>
                    <w:t>由鹤壁市新区220KV灵山变电站</w:t>
                  </w:r>
                  <w:r>
                    <w:rPr>
                      <w:rFonts w:hint="eastAsia" w:ascii="宋体" w:hAnsi="宋体" w:eastAsia="宋体" w:cs="宋体"/>
                      <w:sz w:val="21"/>
                      <w:szCs w:val="21"/>
                    </w:rPr>
                    <w:t>供给</w:t>
                  </w:r>
                  <w:r>
                    <w:rPr>
                      <w:rFonts w:hint="eastAsia" w:ascii="宋体" w:hAnsi="宋体" w:eastAsia="宋体" w:cs="宋体"/>
                      <w:bCs/>
                      <w:sz w:val="21"/>
                      <w:szCs w:val="21"/>
                      <w:lang w:val="en-US" w:eastAsia="zh-CN"/>
                    </w:rPr>
                    <w:t>。</w:t>
                  </w:r>
                </w:p>
              </w:tc>
              <w:tc>
                <w:tcPr>
                  <w:tcW w:w="1597" w:type="dxa"/>
                </w:tcPr>
                <w:p>
                  <w:pPr>
                    <w:widowControl w:val="0"/>
                    <w:spacing w:after="0" w:line="240" w:lineRule="auto"/>
                    <w:jc w:val="both"/>
                    <w:rPr>
                      <w:rFonts w:hint="eastAsia" w:ascii="宋体" w:hAnsi="宋体" w:eastAsia="宋体" w:cs="宋体"/>
                      <w:sz w:val="21"/>
                      <w:szCs w:val="21"/>
                    </w:rPr>
                  </w:pPr>
                </w:p>
                <w:p>
                  <w:pPr>
                    <w:widowControl w:val="0"/>
                    <w:spacing w:after="0" w:line="240" w:lineRule="auto"/>
                    <w:jc w:val="both"/>
                    <w:rPr>
                      <w:rFonts w:hint="eastAsia" w:ascii="宋体" w:hAnsi="宋体" w:eastAsia="宋体" w:cs="宋体"/>
                      <w:sz w:val="21"/>
                      <w:szCs w:val="21"/>
                    </w:rPr>
                  </w:pPr>
                </w:p>
                <w:p>
                  <w:pPr>
                    <w:widowControl w:val="0"/>
                    <w:spacing w:after="0" w:line="240" w:lineRule="auto"/>
                    <w:jc w:val="both"/>
                    <w:rPr>
                      <w:rFonts w:hint="eastAsia" w:ascii="宋体" w:hAnsi="宋体" w:eastAsia="宋体" w:cs="宋体"/>
                      <w:sz w:val="21"/>
                      <w:szCs w:val="21"/>
                    </w:rPr>
                  </w:pPr>
                </w:p>
                <w:p>
                  <w:pPr>
                    <w:widowControl w:val="0"/>
                    <w:spacing w:after="0" w:line="240" w:lineRule="auto"/>
                    <w:jc w:val="both"/>
                    <w:rPr>
                      <w:rFonts w:hint="eastAsia" w:ascii="宋体" w:hAnsi="宋体" w:eastAsia="宋体" w:cs="宋体"/>
                      <w:sz w:val="21"/>
                      <w:szCs w:val="21"/>
                    </w:rPr>
                  </w:pPr>
                </w:p>
                <w:p>
                  <w:pPr>
                    <w:widowControl w:val="0"/>
                    <w:spacing w:after="0" w:line="240" w:lineRule="auto"/>
                    <w:jc w:val="both"/>
                    <w:rPr>
                      <w:rFonts w:hint="eastAsia" w:ascii="宋体" w:hAnsi="宋体" w:eastAsia="宋体" w:cs="宋体"/>
                      <w:sz w:val="21"/>
                      <w:szCs w:val="21"/>
                      <w:vertAlign w:val="baseline"/>
                      <w:lang w:val="en-US" w:eastAsia="zh-CN"/>
                    </w:rPr>
                  </w:pPr>
                  <w:r>
                    <w:rPr>
                      <w:rFonts w:hint="eastAsia" w:ascii="宋体" w:hAnsi="宋体" w:eastAsia="宋体" w:cs="宋体"/>
                      <w:bCs/>
                      <w:sz w:val="21"/>
                      <w:szCs w:val="21"/>
                      <w:lang w:val="en-US" w:eastAsia="zh-CN"/>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72" w:type="dxa"/>
                  <w:vAlign w:val="top"/>
                </w:tcPr>
                <w:p>
                  <w:pPr>
                    <w:widowControl w:val="0"/>
                    <w:spacing w:after="0" w:line="240" w:lineRule="auto"/>
                    <w:jc w:val="center"/>
                    <w:rPr>
                      <w:rFonts w:hint="eastAsia" w:ascii="宋体" w:hAnsi="宋体" w:eastAsia="宋体" w:cs="宋体"/>
                      <w:sz w:val="21"/>
                      <w:szCs w:val="21"/>
                      <w:lang w:eastAsia="zh-CN"/>
                    </w:rPr>
                  </w:pPr>
                </w:p>
                <w:p>
                  <w:pPr>
                    <w:widowControl w:val="0"/>
                    <w:spacing w:after="0" w:line="240" w:lineRule="auto"/>
                    <w:jc w:val="center"/>
                    <w:rPr>
                      <w:rFonts w:hint="eastAsia" w:ascii="宋体" w:hAnsi="宋体" w:eastAsia="宋体" w:cs="宋体"/>
                      <w:sz w:val="21"/>
                      <w:szCs w:val="21"/>
                      <w:lang w:eastAsia="zh-CN"/>
                    </w:rPr>
                  </w:pPr>
                </w:p>
                <w:p>
                  <w:pPr>
                    <w:widowControl w:val="0"/>
                    <w:spacing w:after="0" w:line="240" w:lineRule="auto"/>
                    <w:jc w:val="center"/>
                    <w:rPr>
                      <w:rFonts w:hint="eastAsia" w:ascii="宋体" w:hAnsi="宋体" w:eastAsia="宋体" w:cs="宋体"/>
                      <w:sz w:val="21"/>
                      <w:szCs w:val="21"/>
                      <w:lang w:eastAsia="zh-CN"/>
                    </w:rPr>
                  </w:pPr>
                </w:p>
                <w:p>
                  <w:pPr>
                    <w:widowControl w:val="0"/>
                    <w:spacing w:after="0" w:line="240" w:lineRule="auto"/>
                    <w:jc w:val="center"/>
                    <w:rPr>
                      <w:rFonts w:hint="eastAsia" w:ascii="宋体" w:hAnsi="宋体" w:eastAsia="宋体" w:cs="宋体"/>
                      <w:sz w:val="21"/>
                      <w:szCs w:val="21"/>
                      <w:vertAlign w:val="baseline"/>
                    </w:rPr>
                  </w:pPr>
                  <w:r>
                    <w:rPr>
                      <w:rFonts w:hint="eastAsia" w:ascii="宋体" w:hAnsi="宋体" w:eastAsia="宋体" w:cs="宋体"/>
                      <w:sz w:val="21"/>
                      <w:szCs w:val="21"/>
                      <w:lang w:eastAsia="zh-CN"/>
                    </w:rPr>
                    <w:t>环保</w:t>
                  </w:r>
                  <w:r>
                    <w:rPr>
                      <w:rFonts w:hint="eastAsia" w:ascii="宋体" w:hAnsi="宋体" w:eastAsia="宋体" w:cs="宋体"/>
                      <w:sz w:val="21"/>
                      <w:szCs w:val="21"/>
                    </w:rPr>
                    <w:t>工程</w:t>
                  </w:r>
                </w:p>
              </w:tc>
              <w:tc>
                <w:tcPr>
                  <w:tcW w:w="3167" w:type="dxa"/>
                  <w:gridSpan w:val="2"/>
                </w:tcPr>
                <w:p>
                  <w:pPr>
                    <w:widowControl w:val="0"/>
                    <w:spacing w:after="0" w:line="240" w:lineRule="auto"/>
                    <w:jc w:val="both"/>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废气：焊接烟尘采用集气罩+1台焊烟净化器+1根15m排气筒；喷塑粉尘采用</w:t>
                  </w:r>
                  <w:r>
                    <w:rPr>
                      <w:rFonts w:hint="eastAsia" w:ascii="宋体" w:hAnsi="宋体" w:eastAsia="宋体" w:cs="宋体"/>
                      <w:bCs/>
                      <w:sz w:val="21"/>
                      <w:szCs w:val="21"/>
                      <w:lang w:val="en-GB" w:eastAsia="zh-CN"/>
                    </w:rPr>
                    <w:t>自带有粉末吸入回收系统（呈负压），该回收系统是一套圆筒形的过滤除尘装置</w:t>
                  </w:r>
                  <w:r>
                    <w:rPr>
                      <w:rFonts w:hint="eastAsia" w:ascii="宋体" w:hAnsi="宋体" w:eastAsia="宋体" w:cs="宋体"/>
                      <w:bCs/>
                      <w:sz w:val="21"/>
                      <w:szCs w:val="21"/>
                      <w:lang w:val="en-US" w:eastAsia="zh-CN"/>
                    </w:rPr>
                    <w:t>+1根15m排气筒；</w:t>
                  </w:r>
                  <w:r>
                    <w:rPr>
                      <w:rFonts w:hint="eastAsia" w:ascii="宋体" w:hAnsi="宋体" w:eastAsia="宋体" w:cs="宋体"/>
                      <w:sz w:val="21"/>
                      <w:szCs w:val="21"/>
                      <w:lang w:val="en-GB"/>
                    </w:rPr>
                    <w:t>喷漆废气</w:t>
                  </w:r>
                  <w:r>
                    <w:rPr>
                      <w:rFonts w:hint="eastAsia" w:ascii="宋体" w:hAnsi="宋体" w:eastAsia="宋体" w:cs="宋体"/>
                      <w:sz w:val="21"/>
                      <w:szCs w:val="21"/>
                      <w:lang w:val="en-US" w:eastAsia="zh-CN"/>
                    </w:rPr>
                    <w:t>采用</w:t>
                  </w:r>
                  <w:r>
                    <w:rPr>
                      <w:rFonts w:hint="eastAsia" w:ascii="宋体" w:hAnsi="宋体" w:eastAsia="宋体" w:cs="宋体"/>
                      <w:sz w:val="21"/>
                      <w:szCs w:val="21"/>
                      <w:lang w:val="en-GB"/>
                    </w:rPr>
                    <w:t>1套水帘柜</w:t>
                  </w:r>
                  <w:r>
                    <w:rPr>
                      <w:rFonts w:hint="eastAsia" w:ascii="宋体" w:hAnsi="宋体" w:eastAsia="宋体" w:cs="宋体"/>
                      <w:sz w:val="21"/>
                      <w:szCs w:val="21"/>
                      <w:lang w:val="en-US" w:eastAsia="zh-CN"/>
                    </w:rPr>
                    <w:t>处理后再通过</w:t>
                  </w:r>
                  <w:r>
                    <w:rPr>
                      <w:rFonts w:hint="eastAsia" w:ascii="宋体" w:hAnsi="宋体" w:eastAsia="宋体" w:cs="宋体"/>
                      <w:sz w:val="21"/>
                      <w:szCs w:val="21"/>
                      <w:lang w:val="en-GB"/>
                    </w:rPr>
                    <w:t>1套活性炭吸附+1套UV光解装置</w:t>
                  </w:r>
                  <w:r>
                    <w:rPr>
                      <w:rFonts w:hint="eastAsia" w:ascii="宋体" w:hAnsi="宋体" w:eastAsia="宋体" w:cs="宋体"/>
                      <w:sz w:val="21"/>
                      <w:szCs w:val="21"/>
                      <w:lang w:val="en-US" w:eastAsia="zh-CN"/>
                    </w:rPr>
                    <w:t>进行处理，达标后通过</w:t>
                  </w:r>
                  <w:r>
                    <w:rPr>
                      <w:rFonts w:hint="eastAsia" w:ascii="宋体" w:hAnsi="宋体" w:eastAsia="宋体" w:cs="宋体"/>
                      <w:sz w:val="21"/>
                      <w:szCs w:val="21"/>
                      <w:lang w:val="en-GB"/>
                    </w:rPr>
                    <w:t>1个15m排气筒</w:t>
                  </w:r>
                  <w:r>
                    <w:rPr>
                      <w:rFonts w:hint="eastAsia" w:ascii="宋体" w:hAnsi="宋体" w:eastAsia="宋体" w:cs="宋体"/>
                      <w:sz w:val="21"/>
                      <w:szCs w:val="21"/>
                      <w:lang w:val="en-US" w:eastAsia="zh-CN"/>
                    </w:rPr>
                    <w:t>排放；喷漆</w:t>
                  </w:r>
                  <w:r>
                    <w:rPr>
                      <w:rFonts w:hint="eastAsia" w:ascii="宋体" w:hAnsi="宋体" w:eastAsia="宋体" w:cs="宋体"/>
                      <w:sz w:val="21"/>
                      <w:szCs w:val="21"/>
                      <w:lang w:val="en-GB"/>
                    </w:rPr>
                    <w:t>固化废气</w:t>
                  </w:r>
                  <w:r>
                    <w:rPr>
                      <w:rFonts w:hint="eastAsia" w:ascii="宋体" w:hAnsi="宋体" w:eastAsia="宋体" w:cs="宋体"/>
                      <w:sz w:val="21"/>
                      <w:szCs w:val="21"/>
                      <w:lang w:val="en-US" w:eastAsia="zh-CN"/>
                    </w:rPr>
                    <w:t>和喷塑固化废气采用</w:t>
                  </w:r>
                  <w:r>
                    <w:rPr>
                      <w:rFonts w:hint="eastAsia" w:ascii="宋体" w:hAnsi="宋体" w:eastAsia="宋体" w:cs="宋体"/>
                      <w:sz w:val="21"/>
                      <w:szCs w:val="21"/>
                      <w:lang w:val="en-GB"/>
                    </w:rPr>
                    <w:t>1套活性炭吸附+1套UV光解装置+1个15m排气筒</w:t>
                  </w:r>
                  <w:r>
                    <w:rPr>
                      <w:rFonts w:hint="eastAsia" w:ascii="宋体" w:hAnsi="宋体" w:eastAsia="宋体" w:cs="宋体"/>
                      <w:sz w:val="21"/>
                      <w:szCs w:val="21"/>
                      <w:lang w:val="en-GB" w:eastAsia="zh-CN"/>
                    </w:rPr>
                    <w:t>，（</w:t>
                  </w:r>
                  <w:r>
                    <w:rPr>
                      <w:rFonts w:hint="eastAsia" w:ascii="宋体" w:hAnsi="宋体" w:eastAsia="宋体" w:cs="宋体"/>
                      <w:sz w:val="21"/>
                      <w:szCs w:val="21"/>
                      <w:lang w:val="en-GB"/>
                    </w:rPr>
                    <w:t>与喷漆废气共用1套活性炭吸附+UV光解装置处理排放</w:t>
                  </w:r>
                  <w:r>
                    <w:rPr>
                      <w:rFonts w:hint="eastAsia" w:ascii="宋体" w:hAnsi="宋体" w:eastAsia="宋体" w:cs="宋体"/>
                      <w:sz w:val="21"/>
                      <w:szCs w:val="21"/>
                      <w:lang w:val="en-GB" w:eastAsia="zh-CN"/>
                    </w:rPr>
                    <w:t>）</w:t>
                  </w:r>
                  <w:r>
                    <w:rPr>
                      <w:rFonts w:hint="eastAsia" w:ascii="宋体" w:hAnsi="宋体" w:eastAsia="宋体" w:cs="宋体"/>
                      <w:bCs/>
                      <w:sz w:val="21"/>
                      <w:szCs w:val="21"/>
                      <w:lang w:val="en-US" w:eastAsia="zh-CN"/>
                    </w:rPr>
                    <w:t>。</w:t>
                  </w:r>
                </w:p>
                <w:p>
                  <w:pPr>
                    <w:widowControl w:val="0"/>
                    <w:spacing w:after="0" w:line="240" w:lineRule="auto"/>
                    <w:jc w:val="both"/>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废水：</w:t>
                  </w:r>
                  <w:r>
                    <w:rPr>
                      <w:rFonts w:hint="eastAsia" w:ascii="宋体" w:hAnsi="宋体" w:eastAsia="宋体" w:cs="宋体"/>
                      <w:sz w:val="21"/>
                      <w:szCs w:val="21"/>
                    </w:rPr>
                    <w:t>职工生活用水经厂区化粪池处理后用抽粪车定期清运，作为农家肥施用于农田；除漆雾循环废水属于危险废物，定期送资质单位处理处置</w:t>
                  </w:r>
                  <w:r>
                    <w:rPr>
                      <w:rFonts w:hint="eastAsia" w:ascii="宋体" w:hAnsi="宋体" w:eastAsia="宋体" w:cs="宋体"/>
                      <w:bCs/>
                      <w:sz w:val="21"/>
                      <w:szCs w:val="21"/>
                      <w:lang w:val="en-US" w:eastAsia="zh-CN"/>
                    </w:rPr>
                    <w:t>。</w:t>
                  </w:r>
                </w:p>
                <w:p>
                  <w:pPr>
                    <w:widowControl w:val="0"/>
                    <w:spacing w:after="0" w:line="240" w:lineRule="auto"/>
                    <w:jc w:val="both"/>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噪声：减振、隔声等降噪措施。</w:t>
                  </w:r>
                </w:p>
                <w:p>
                  <w:pPr>
                    <w:widowControl w:val="0"/>
                    <w:spacing w:after="0" w:line="24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bCs/>
                      <w:sz w:val="21"/>
                      <w:szCs w:val="21"/>
                      <w:lang w:val="en-US" w:eastAsia="zh-CN"/>
                    </w:rPr>
                    <w:t>固废：边角料和焊烟净化器收集的粉尘外售给可以回收利用的单位，不外排；生活垃圾采用垃圾桶收集后交由环卫部门统一处理；</w:t>
                  </w:r>
                  <w:r>
                    <w:rPr>
                      <w:rFonts w:hint="eastAsia" w:ascii="宋体" w:hAnsi="宋体" w:eastAsia="宋体" w:cs="宋体"/>
                      <w:sz w:val="21"/>
                      <w:szCs w:val="21"/>
                      <w:lang w:val="en-US" w:eastAsia="zh-CN"/>
                    </w:rPr>
                    <w:t>润滑油</w:t>
                  </w:r>
                  <w:r>
                    <w:rPr>
                      <w:rFonts w:hint="eastAsia" w:ascii="宋体" w:hAnsi="宋体" w:eastAsia="宋体" w:cs="宋体"/>
                      <w:sz w:val="21"/>
                      <w:szCs w:val="21"/>
                      <w:lang w:val="en-GB"/>
                    </w:rPr>
                    <w:t>、</w:t>
                  </w:r>
                  <w:r>
                    <w:rPr>
                      <w:rFonts w:hint="eastAsia" w:ascii="宋体" w:hAnsi="宋体" w:eastAsia="宋体" w:cs="宋体"/>
                      <w:sz w:val="21"/>
                      <w:szCs w:val="21"/>
                      <w:lang w:val="en-US" w:eastAsia="zh-CN"/>
                    </w:rPr>
                    <w:t>切削液</w:t>
                  </w:r>
                  <w:r>
                    <w:rPr>
                      <w:rFonts w:hint="eastAsia" w:ascii="宋体" w:hAnsi="宋体" w:eastAsia="宋体" w:cs="宋体"/>
                      <w:sz w:val="21"/>
                      <w:szCs w:val="21"/>
                      <w:lang w:val="en-GB"/>
                    </w:rPr>
                    <w:t>、废油漆桶、漆渣、废UV灯管、</w:t>
                  </w:r>
                  <w:r>
                    <w:rPr>
                      <w:rFonts w:hint="eastAsia" w:ascii="宋体" w:hAnsi="宋体" w:eastAsia="宋体" w:cs="宋体"/>
                      <w:sz w:val="21"/>
                      <w:szCs w:val="21"/>
                    </w:rPr>
                    <w:t>除漆雾循环水</w:t>
                  </w:r>
                  <w:r>
                    <w:rPr>
                      <w:rFonts w:hint="eastAsia" w:ascii="宋体" w:hAnsi="宋体" w:eastAsia="宋体" w:cs="宋体"/>
                      <w:sz w:val="21"/>
                      <w:szCs w:val="21"/>
                      <w:lang w:val="en-GB"/>
                    </w:rPr>
                    <w:t>及废活性炭</w:t>
                  </w:r>
                  <w:r>
                    <w:rPr>
                      <w:rFonts w:hint="eastAsia" w:ascii="宋体" w:hAnsi="宋体" w:eastAsia="宋体" w:cs="宋体"/>
                      <w:sz w:val="21"/>
                      <w:szCs w:val="21"/>
                      <w:lang w:val="en-US" w:eastAsia="zh-CN"/>
                    </w:rPr>
                    <w:t>在</w:t>
                  </w:r>
                  <w:r>
                    <w:rPr>
                      <w:rFonts w:hint="eastAsia" w:ascii="宋体" w:hAnsi="宋体" w:eastAsia="宋体" w:cs="宋体"/>
                      <w:bCs/>
                      <w:sz w:val="21"/>
                      <w:szCs w:val="21"/>
                      <w:lang w:val="en-US" w:eastAsia="zh-CN"/>
                    </w:rPr>
                    <w:t>在危废暂存间暂存（</w:t>
                  </w:r>
                  <w:r>
                    <w:rPr>
                      <w:rFonts w:hint="eastAsia" w:ascii="宋体" w:hAnsi="宋体" w:eastAsia="宋体" w:cs="宋体"/>
                      <w:sz w:val="21"/>
                      <w:szCs w:val="21"/>
                    </w:rPr>
                    <w:t>20m</w:t>
                  </w:r>
                  <w:r>
                    <w:rPr>
                      <w:rFonts w:hint="eastAsia" w:ascii="宋体" w:hAnsi="宋体" w:eastAsia="宋体" w:cs="宋体"/>
                      <w:sz w:val="21"/>
                      <w:szCs w:val="21"/>
                      <w:vertAlign w:val="superscript"/>
                    </w:rPr>
                    <w:t>2</w:t>
                  </w:r>
                  <w:r>
                    <w:rPr>
                      <w:rFonts w:hint="eastAsia" w:ascii="宋体" w:hAnsi="宋体" w:eastAsia="宋体" w:cs="宋体"/>
                      <w:bCs/>
                      <w:sz w:val="21"/>
                      <w:szCs w:val="21"/>
                      <w:lang w:val="en-US" w:eastAsia="zh-CN"/>
                    </w:rPr>
                    <w:t>）</w:t>
                  </w:r>
                  <w:r>
                    <w:rPr>
                      <w:rFonts w:hint="eastAsia" w:ascii="宋体" w:hAnsi="宋体" w:eastAsia="宋体" w:cs="宋体"/>
                      <w:sz w:val="21"/>
                      <w:szCs w:val="21"/>
                      <w:lang w:val="en-US" w:eastAsia="zh-CN"/>
                    </w:rPr>
                    <w:t>，定期委托危险废物处置单位处置。</w:t>
                  </w:r>
                </w:p>
              </w:tc>
              <w:tc>
                <w:tcPr>
                  <w:tcW w:w="2568" w:type="dxa"/>
                </w:tcPr>
                <w:p>
                  <w:pPr>
                    <w:widowControl w:val="0"/>
                    <w:spacing w:after="0" w:line="240" w:lineRule="auto"/>
                    <w:jc w:val="both"/>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废气：焊接烟尘采用集气罩+1台袋式除尘器+1根15m排气筒；喷塑粉尘采用</w:t>
                  </w:r>
                  <w:r>
                    <w:rPr>
                      <w:rFonts w:hint="eastAsia" w:ascii="宋体" w:hAnsi="宋体" w:eastAsia="宋体" w:cs="宋体"/>
                      <w:bCs/>
                      <w:sz w:val="21"/>
                      <w:szCs w:val="21"/>
                      <w:lang w:val="en-GB" w:eastAsia="zh-CN"/>
                    </w:rPr>
                    <w:t>自带有粉末吸入回收系统（呈负压，该回收系统是一套圆筒形的过滤除尘装置）</w:t>
                  </w:r>
                  <w:r>
                    <w:rPr>
                      <w:rFonts w:hint="eastAsia" w:ascii="宋体" w:hAnsi="宋体" w:eastAsia="宋体" w:cs="宋体"/>
                      <w:bCs/>
                      <w:sz w:val="21"/>
                      <w:szCs w:val="21"/>
                      <w:lang w:val="en-US" w:eastAsia="zh-CN"/>
                    </w:rPr>
                    <w:t>+1台袋式除尘器+1根15m排气筒；</w:t>
                  </w:r>
                  <w:r>
                    <w:rPr>
                      <w:rFonts w:hint="eastAsia" w:ascii="宋体" w:hAnsi="宋体" w:eastAsia="宋体" w:cs="宋体"/>
                      <w:sz w:val="21"/>
                      <w:szCs w:val="21"/>
                      <w:lang w:val="en-GB"/>
                    </w:rPr>
                    <w:t>喷漆废气</w:t>
                  </w:r>
                  <w:r>
                    <w:rPr>
                      <w:rFonts w:hint="eastAsia" w:ascii="宋体" w:hAnsi="宋体" w:eastAsia="宋体" w:cs="宋体"/>
                      <w:sz w:val="21"/>
                      <w:szCs w:val="21"/>
                      <w:lang w:val="en-US" w:eastAsia="zh-CN"/>
                    </w:rPr>
                    <w:t>采用</w:t>
                  </w:r>
                  <w:r>
                    <w:rPr>
                      <w:rFonts w:hint="eastAsia" w:ascii="宋体" w:hAnsi="宋体" w:eastAsia="宋体" w:cs="宋体"/>
                      <w:sz w:val="21"/>
                      <w:szCs w:val="21"/>
                      <w:lang w:val="en-GB"/>
                    </w:rPr>
                    <w:t>1套水帘柜</w:t>
                  </w:r>
                  <w:r>
                    <w:rPr>
                      <w:rFonts w:hint="eastAsia" w:ascii="宋体" w:hAnsi="宋体" w:eastAsia="宋体" w:cs="宋体"/>
                      <w:sz w:val="21"/>
                      <w:szCs w:val="21"/>
                      <w:lang w:val="en-US" w:eastAsia="zh-CN"/>
                    </w:rPr>
                    <w:t>处理后再通过</w:t>
                  </w:r>
                  <w:r>
                    <w:rPr>
                      <w:rFonts w:hint="eastAsia" w:ascii="宋体" w:hAnsi="宋体" w:eastAsia="宋体" w:cs="宋体"/>
                      <w:sz w:val="21"/>
                      <w:szCs w:val="21"/>
                      <w:lang w:val="en-GB"/>
                    </w:rPr>
                    <w:t>1套活性炭吸附+1套UV光解装置</w:t>
                  </w:r>
                  <w:r>
                    <w:rPr>
                      <w:rFonts w:hint="eastAsia" w:ascii="宋体" w:hAnsi="宋体" w:eastAsia="宋体" w:cs="宋体"/>
                      <w:sz w:val="21"/>
                      <w:szCs w:val="21"/>
                      <w:lang w:val="en-US" w:eastAsia="zh-CN"/>
                    </w:rPr>
                    <w:t>进行处理，达标后通过</w:t>
                  </w:r>
                  <w:r>
                    <w:rPr>
                      <w:rFonts w:hint="eastAsia" w:ascii="宋体" w:hAnsi="宋体" w:eastAsia="宋体" w:cs="宋体"/>
                      <w:sz w:val="21"/>
                      <w:szCs w:val="21"/>
                      <w:lang w:val="en-GB"/>
                    </w:rPr>
                    <w:t>1个15m排气筒</w:t>
                  </w:r>
                  <w:r>
                    <w:rPr>
                      <w:rFonts w:hint="eastAsia" w:ascii="宋体" w:hAnsi="宋体" w:eastAsia="宋体" w:cs="宋体"/>
                      <w:sz w:val="21"/>
                      <w:szCs w:val="21"/>
                      <w:lang w:val="en-US" w:eastAsia="zh-CN"/>
                    </w:rPr>
                    <w:t>排放；喷漆</w:t>
                  </w:r>
                  <w:r>
                    <w:rPr>
                      <w:rFonts w:hint="eastAsia" w:ascii="宋体" w:hAnsi="宋体" w:eastAsia="宋体" w:cs="宋体"/>
                      <w:sz w:val="21"/>
                      <w:szCs w:val="21"/>
                      <w:lang w:val="en-GB"/>
                    </w:rPr>
                    <w:t>固化废气</w:t>
                  </w:r>
                  <w:r>
                    <w:rPr>
                      <w:rFonts w:hint="eastAsia" w:ascii="宋体" w:hAnsi="宋体" w:eastAsia="宋体" w:cs="宋体"/>
                      <w:sz w:val="21"/>
                      <w:szCs w:val="21"/>
                      <w:lang w:val="en-US" w:eastAsia="zh-CN"/>
                    </w:rPr>
                    <w:t>和喷塑固化废气采用</w:t>
                  </w:r>
                  <w:r>
                    <w:rPr>
                      <w:rFonts w:hint="eastAsia" w:ascii="宋体" w:hAnsi="宋体" w:eastAsia="宋体" w:cs="宋体"/>
                      <w:sz w:val="21"/>
                      <w:szCs w:val="21"/>
                      <w:lang w:val="en-GB"/>
                    </w:rPr>
                    <w:t>1套活性炭吸附+1套UV光解装置+1个15m排气筒</w:t>
                  </w:r>
                  <w:r>
                    <w:rPr>
                      <w:rFonts w:hint="eastAsia" w:ascii="宋体" w:hAnsi="宋体" w:eastAsia="宋体" w:cs="宋体"/>
                      <w:sz w:val="21"/>
                      <w:szCs w:val="21"/>
                      <w:lang w:val="en-GB" w:eastAsia="zh-CN"/>
                    </w:rPr>
                    <w:t>，（</w:t>
                  </w:r>
                  <w:r>
                    <w:rPr>
                      <w:rFonts w:hint="eastAsia" w:ascii="宋体" w:hAnsi="宋体" w:eastAsia="宋体" w:cs="宋体"/>
                      <w:sz w:val="21"/>
                      <w:szCs w:val="21"/>
                      <w:lang w:val="en-GB"/>
                    </w:rPr>
                    <w:t>与喷漆废气共用1套活性炭吸附+UV光解装置处理排放</w:t>
                  </w:r>
                  <w:r>
                    <w:rPr>
                      <w:rFonts w:hint="eastAsia" w:ascii="宋体" w:hAnsi="宋体" w:eastAsia="宋体" w:cs="宋体"/>
                      <w:sz w:val="21"/>
                      <w:szCs w:val="21"/>
                      <w:lang w:val="en-GB" w:eastAsia="zh-CN"/>
                    </w:rPr>
                    <w:t>）</w:t>
                  </w:r>
                  <w:r>
                    <w:rPr>
                      <w:rFonts w:hint="eastAsia" w:ascii="宋体" w:hAnsi="宋体" w:eastAsia="宋体" w:cs="宋体"/>
                      <w:bCs/>
                      <w:sz w:val="21"/>
                      <w:szCs w:val="21"/>
                      <w:lang w:val="en-US" w:eastAsia="zh-CN"/>
                    </w:rPr>
                    <w:t>。</w:t>
                  </w:r>
                </w:p>
                <w:p>
                  <w:pPr>
                    <w:widowControl w:val="0"/>
                    <w:spacing w:after="0" w:line="240" w:lineRule="auto"/>
                    <w:jc w:val="both"/>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废水：</w:t>
                  </w:r>
                  <w:r>
                    <w:rPr>
                      <w:rFonts w:hint="eastAsia" w:ascii="宋体" w:hAnsi="宋体" w:eastAsia="宋体" w:cs="宋体"/>
                      <w:sz w:val="21"/>
                      <w:szCs w:val="21"/>
                    </w:rPr>
                    <w:t>职工生活用水经厂区化粪池处理后用抽粪车定期清运，作为农家肥施用于农田；除漆雾循环废水属于危险废物，定期送资质单位处理处置</w:t>
                  </w:r>
                  <w:r>
                    <w:rPr>
                      <w:rFonts w:hint="eastAsia" w:ascii="宋体" w:hAnsi="宋体" w:eastAsia="宋体" w:cs="宋体"/>
                      <w:bCs/>
                      <w:sz w:val="21"/>
                      <w:szCs w:val="21"/>
                      <w:lang w:val="en-US" w:eastAsia="zh-CN"/>
                    </w:rPr>
                    <w:t>。</w:t>
                  </w:r>
                </w:p>
                <w:p>
                  <w:pPr>
                    <w:widowControl w:val="0"/>
                    <w:spacing w:after="0" w:line="240" w:lineRule="auto"/>
                    <w:jc w:val="both"/>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噪声：减振、隔声等降噪措施。</w:t>
                  </w:r>
                </w:p>
                <w:p>
                  <w:pPr>
                    <w:widowControl w:val="0"/>
                    <w:spacing w:after="0" w:line="240" w:lineRule="auto"/>
                    <w:jc w:val="both"/>
                    <w:rPr>
                      <w:rFonts w:hint="eastAsia" w:ascii="宋体" w:hAnsi="宋体" w:eastAsia="宋体" w:cs="宋体"/>
                      <w:sz w:val="21"/>
                      <w:szCs w:val="21"/>
                      <w:vertAlign w:val="baseline"/>
                    </w:rPr>
                  </w:pPr>
                  <w:r>
                    <w:rPr>
                      <w:rFonts w:hint="eastAsia" w:ascii="宋体" w:hAnsi="宋体" w:eastAsia="宋体" w:cs="宋体"/>
                      <w:bCs/>
                      <w:sz w:val="21"/>
                      <w:szCs w:val="21"/>
                      <w:lang w:val="en-US" w:eastAsia="zh-CN"/>
                    </w:rPr>
                    <w:t>固废：边角料和焊烟净化器收集的粉尘外售给可以回收利用的单位，不外排；生活垃圾采用垃圾桶收集后交由环卫部门统一处理；</w:t>
                  </w:r>
                  <w:r>
                    <w:rPr>
                      <w:rFonts w:hint="eastAsia" w:ascii="宋体" w:hAnsi="宋体" w:eastAsia="宋体" w:cs="宋体"/>
                      <w:sz w:val="21"/>
                      <w:szCs w:val="21"/>
                      <w:lang w:val="en-US" w:eastAsia="zh-CN"/>
                    </w:rPr>
                    <w:t>润滑油</w:t>
                  </w:r>
                  <w:r>
                    <w:rPr>
                      <w:rFonts w:hint="eastAsia" w:ascii="宋体" w:hAnsi="宋体" w:eastAsia="宋体" w:cs="宋体"/>
                      <w:sz w:val="21"/>
                      <w:szCs w:val="21"/>
                      <w:lang w:val="en-GB"/>
                    </w:rPr>
                    <w:t>、</w:t>
                  </w:r>
                  <w:r>
                    <w:rPr>
                      <w:rFonts w:hint="eastAsia" w:ascii="宋体" w:hAnsi="宋体" w:eastAsia="宋体" w:cs="宋体"/>
                      <w:sz w:val="21"/>
                      <w:szCs w:val="21"/>
                      <w:lang w:val="en-US" w:eastAsia="zh-CN"/>
                    </w:rPr>
                    <w:t>切削液</w:t>
                  </w:r>
                  <w:r>
                    <w:rPr>
                      <w:rFonts w:hint="eastAsia" w:ascii="宋体" w:hAnsi="宋体" w:eastAsia="宋体" w:cs="宋体"/>
                      <w:sz w:val="21"/>
                      <w:szCs w:val="21"/>
                      <w:lang w:val="en-GB"/>
                    </w:rPr>
                    <w:t>、废油漆桶、漆渣、废UV灯管、</w:t>
                  </w:r>
                  <w:r>
                    <w:rPr>
                      <w:rFonts w:hint="eastAsia" w:ascii="宋体" w:hAnsi="宋体" w:eastAsia="宋体" w:cs="宋体"/>
                      <w:sz w:val="21"/>
                      <w:szCs w:val="21"/>
                    </w:rPr>
                    <w:t>除漆雾循环水</w:t>
                  </w:r>
                  <w:r>
                    <w:rPr>
                      <w:rFonts w:hint="eastAsia" w:ascii="宋体" w:hAnsi="宋体" w:eastAsia="宋体" w:cs="宋体"/>
                      <w:sz w:val="21"/>
                      <w:szCs w:val="21"/>
                      <w:lang w:val="en-GB"/>
                    </w:rPr>
                    <w:t>及废活性炭</w:t>
                  </w:r>
                  <w:r>
                    <w:rPr>
                      <w:rFonts w:hint="eastAsia" w:ascii="宋体" w:hAnsi="宋体" w:eastAsia="宋体" w:cs="宋体"/>
                      <w:sz w:val="21"/>
                      <w:szCs w:val="21"/>
                      <w:lang w:val="en-US" w:eastAsia="zh-CN"/>
                    </w:rPr>
                    <w:t>在</w:t>
                  </w:r>
                  <w:r>
                    <w:rPr>
                      <w:rFonts w:hint="eastAsia" w:ascii="宋体" w:hAnsi="宋体" w:eastAsia="宋体" w:cs="宋体"/>
                      <w:bCs/>
                      <w:sz w:val="21"/>
                      <w:szCs w:val="21"/>
                      <w:lang w:val="en-US" w:eastAsia="zh-CN"/>
                    </w:rPr>
                    <w:t>在危废暂存间暂存（</w:t>
                  </w:r>
                  <w:r>
                    <w:rPr>
                      <w:rFonts w:hint="eastAsia" w:ascii="宋体" w:hAnsi="宋体" w:eastAsia="宋体" w:cs="宋体"/>
                      <w:sz w:val="21"/>
                      <w:szCs w:val="21"/>
                    </w:rPr>
                    <w:t>20m</w:t>
                  </w:r>
                  <w:r>
                    <w:rPr>
                      <w:rFonts w:hint="eastAsia" w:ascii="宋体" w:hAnsi="宋体" w:eastAsia="宋体" w:cs="宋体"/>
                      <w:sz w:val="21"/>
                      <w:szCs w:val="21"/>
                      <w:vertAlign w:val="superscript"/>
                    </w:rPr>
                    <w:t>2</w:t>
                  </w:r>
                  <w:r>
                    <w:rPr>
                      <w:rFonts w:hint="eastAsia" w:ascii="宋体" w:hAnsi="宋体" w:eastAsia="宋体" w:cs="宋体"/>
                      <w:bCs/>
                      <w:sz w:val="21"/>
                      <w:szCs w:val="21"/>
                      <w:lang w:val="en-US" w:eastAsia="zh-CN"/>
                    </w:rPr>
                    <w:t>）</w:t>
                  </w:r>
                  <w:r>
                    <w:rPr>
                      <w:rFonts w:hint="eastAsia" w:ascii="宋体" w:hAnsi="宋体" w:eastAsia="宋体" w:cs="宋体"/>
                      <w:sz w:val="21"/>
                      <w:szCs w:val="21"/>
                      <w:lang w:val="en-US" w:eastAsia="zh-CN"/>
                    </w:rPr>
                    <w:t>，定期委托危险废物处置单位处置</w:t>
                  </w:r>
                  <w:r>
                    <w:rPr>
                      <w:rFonts w:hint="eastAsia" w:ascii="宋体" w:hAnsi="宋体" w:eastAsia="宋体" w:cs="宋体"/>
                      <w:bCs/>
                      <w:sz w:val="21"/>
                      <w:szCs w:val="21"/>
                      <w:lang w:val="en-US" w:eastAsia="zh-CN"/>
                    </w:rPr>
                    <w:t>。</w:t>
                  </w:r>
                </w:p>
              </w:tc>
              <w:tc>
                <w:tcPr>
                  <w:tcW w:w="1597" w:type="dxa"/>
                </w:tcPr>
                <w:p>
                  <w:pPr>
                    <w:widowControl w:val="0"/>
                    <w:spacing w:after="0" w:line="240" w:lineRule="auto"/>
                    <w:jc w:val="both"/>
                    <w:rPr>
                      <w:rFonts w:hint="eastAsia" w:ascii="宋体" w:hAnsi="宋体" w:eastAsia="宋体" w:cs="宋体"/>
                      <w:sz w:val="21"/>
                      <w:szCs w:val="21"/>
                      <w:lang w:val="en-US" w:eastAsia="zh-CN"/>
                    </w:rPr>
                  </w:pPr>
                </w:p>
                <w:p>
                  <w:pPr>
                    <w:widowControl w:val="0"/>
                    <w:spacing w:after="0" w:line="240" w:lineRule="auto"/>
                    <w:jc w:val="both"/>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焊接烟尘采用了比</w:t>
                  </w:r>
                  <w:r>
                    <w:rPr>
                      <w:rFonts w:hint="eastAsia" w:ascii="宋体" w:hAnsi="宋体" w:eastAsia="宋体" w:cs="宋体"/>
                      <w:bCs/>
                      <w:sz w:val="21"/>
                      <w:szCs w:val="21"/>
                      <w:lang w:val="en-US" w:eastAsia="zh-CN"/>
                    </w:rPr>
                    <w:t>焊烟净化器处理效率更高的袋式除尘器处理；</w:t>
                  </w:r>
                </w:p>
                <w:p>
                  <w:pPr>
                    <w:widowControl w:val="0"/>
                    <w:spacing w:after="0" w:line="240" w:lineRule="auto"/>
                    <w:jc w:val="both"/>
                    <w:rPr>
                      <w:rFonts w:hint="eastAsia" w:ascii="宋体" w:hAnsi="宋体" w:eastAsia="宋体" w:cs="宋体"/>
                      <w:sz w:val="21"/>
                      <w:szCs w:val="21"/>
                      <w:vertAlign w:val="baseline"/>
                      <w:lang w:eastAsia="zh-CN"/>
                    </w:rPr>
                  </w:pPr>
                  <w:r>
                    <w:rPr>
                      <w:rFonts w:hint="eastAsia" w:ascii="宋体" w:hAnsi="宋体" w:eastAsia="宋体" w:cs="宋体"/>
                      <w:sz w:val="21"/>
                      <w:szCs w:val="21"/>
                      <w:lang w:val="en-US" w:eastAsia="zh-CN"/>
                    </w:rPr>
                    <w:t>喷塑粉尘经</w:t>
                  </w:r>
                  <w:r>
                    <w:rPr>
                      <w:rFonts w:hint="eastAsia" w:ascii="宋体" w:hAnsi="宋体" w:eastAsia="宋体" w:cs="宋体"/>
                      <w:bCs/>
                      <w:sz w:val="21"/>
                      <w:szCs w:val="21"/>
                      <w:lang w:val="en-GB" w:eastAsia="zh-CN"/>
                    </w:rPr>
                    <w:t>回收系统</w:t>
                  </w:r>
                  <w:r>
                    <w:rPr>
                      <w:rFonts w:hint="eastAsia" w:ascii="宋体" w:hAnsi="宋体" w:eastAsia="宋体" w:cs="宋体"/>
                      <w:bCs/>
                      <w:sz w:val="21"/>
                      <w:szCs w:val="21"/>
                      <w:lang w:val="en-US" w:eastAsia="zh-CN"/>
                    </w:rPr>
                    <w:t>处理</w:t>
                  </w:r>
                  <w:r>
                    <w:rPr>
                      <w:rFonts w:hint="eastAsia" w:ascii="宋体" w:hAnsi="宋体" w:eastAsia="宋体" w:cs="宋体"/>
                      <w:sz w:val="21"/>
                      <w:szCs w:val="21"/>
                      <w:lang w:val="en-US" w:eastAsia="zh-CN"/>
                    </w:rPr>
                    <w:t>后再经</w:t>
                  </w:r>
                  <w:r>
                    <w:rPr>
                      <w:rFonts w:hint="eastAsia" w:ascii="宋体" w:hAnsi="宋体" w:eastAsia="宋体" w:cs="宋体"/>
                      <w:bCs/>
                      <w:sz w:val="21"/>
                      <w:szCs w:val="21"/>
                      <w:lang w:val="en-US" w:eastAsia="zh-CN"/>
                    </w:rPr>
                    <w:t>袋式除尘器处理，比</w:t>
                  </w:r>
                  <w:r>
                    <w:rPr>
                      <w:rFonts w:hint="eastAsia" w:ascii="宋体" w:hAnsi="宋体" w:eastAsia="宋体" w:cs="宋体"/>
                      <w:sz w:val="21"/>
                      <w:szCs w:val="21"/>
                      <w:lang w:val="en-US" w:eastAsia="zh-CN"/>
                    </w:rPr>
                    <w:t>只经</w:t>
                  </w:r>
                  <w:r>
                    <w:rPr>
                      <w:rFonts w:hint="eastAsia" w:ascii="宋体" w:hAnsi="宋体" w:eastAsia="宋体" w:cs="宋体"/>
                      <w:bCs/>
                      <w:sz w:val="21"/>
                      <w:szCs w:val="21"/>
                      <w:lang w:val="en-GB" w:eastAsia="zh-CN"/>
                    </w:rPr>
                    <w:t>回收系统</w:t>
                  </w:r>
                  <w:r>
                    <w:rPr>
                      <w:rFonts w:hint="eastAsia" w:ascii="宋体" w:hAnsi="宋体" w:eastAsia="宋体" w:cs="宋体"/>
                      <w:bCs/>
                      <w:sz w:val="21"/>
                      <w:szCs w:val="21"/>
                      <w:lang w:val="en-US" w:eastAsia="zh-CN"/>
                    </w:rPr>
                    <w:t>处理，除尘效率更高；其他</w:t>
                  </w:r>
                  <w:r>
                    <w:rPr>
                      <w:rFonts w:hint="eastAsia" w:ascii="宋体" w:hAnsi="宋体" w:eastAsia="宋体" w:cs="宋体"/>
                      <w:sz w:val="21"/>
                      <w:szCs w:val="21"/>
                      <w:lang w:val="en-US" w:eastAsia="zh-CN"/>
                    </w:rPr>
                    <w:t>一致</w:t>
                  </w:r>
                </w:p>
              </w:tc>
            </w:tr>
          </w:tbl>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由表 2-2 项目工程建设可知，</w:t>
            </w:r>
            <w:r>
              <w:rPr>
                <w:rFonts w:hint="default" w:ascii="宋体" w:hAnsi="宋体" w:eastAsia="宋体" w:cs="宋体"/>
                <w:b w:val="0"/>
                <w:bCs w:val="0"/>
                <w:color w:val="auto"/>
                <w:sz w:val="24"/>
                <w:szCs w:val="24"/>
                <w:lang w:val="en-US" w:eastAsia="zh-CN"/>
              </w:rPr>
              <w:t>对照环办[2015]52 号</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环办环评[2018]6号</w:t>
            </w:r>
            <w:r>
              <w:rPr>
                <w:rFonts w:hint="eastAsia" w:ascii="宋体" w:hAnsi="宋体" w:eastAsia="宋体" w:cs="宋体"/>
                <w:b w:val="0"/>
                <w:bCs w:val="0"/>
                <w:color w:val="auto"/>
                <w:sz w:val="24"/>
                <w:szCs w:val="24"/>
                <w:lang w:val="en-US" w:eastAsia="zh-CN"/>
              </w:rPr>
              <w:t>和环办环评函[2019]934号文中</w:t>
            </w:r>
            <w:r>
              <w:rPr>
                <w:rFonts w:hint="default" w:ascii="宋体" w:hAnsi="宋体" w:eastAsia="宋体" w:cs="宋体"/>
                <w:b w:val="0"/>
                <w:bCs w:val="0"/>
                <w:color w:val="auto"/>
                <w:sz w:val="24"/>
                <w:szCs w:val="24"/>
                <w:lang w:val="en-US" w:eastAsia="zh-CN"/>
              </w:rPr>
              <w:t>文中的具体内容，以上变更不属于重大变更内容。</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3、生产设备</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项目主要设备见表2-3所示。</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表 2-3 主要设备一览表</w:t>
            </w:r>
          </w:p>
          <w:tbl>
            <w:tblPr>
              <w:tblStyle w:val="13"/>
              <w:tblW w:w="8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1466"/>
              <w:gridCol w:w="912"/>
              <w:gridCol w:w="924"/>
              <w:gridCol w:w="1044"/>
              <w:gridCol w:w="864"/>
              <w:gridCol w:w="21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707" w:type="dxa"/>
                  <w:vMerge w:val="restart"/>
                  <w:vAlign w:val="center"/>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序号</w:t>
                  </w:r>
                </w:p>
              </w:tc>
              <w:tc>
                <w:tcPr>
                  <w:tcW w:w="1466" w:type="dxa"/>
                  <w:vMerge w:val="restart"/>
                  <w:vAlign w:val="center"/>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设备名称</w:t>
                  </w:r>
                </w:p>
              </w:tc>
              <w:tc>
                <w:tcPr>
                  <w:tcW w:w="1836" w:type="dxa"/>
                  <w:gridSpan w:val="2"/>
                  <w:vAlign w:val="top"/>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环评时预计数量</w:t>
                  </w:r>
                </w:p>
              </w:tc>
              <w:tc>
                <w:tcPr>
                  <w:tcW w:w="1908" w:type="dxa"/>
                  <w:gridSpan w:val="2"/>
                  <w:vAlign w:val="top"/>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实际投产使用数量</w:t>
                  </w:r>
                </w:p>
              </w:tc>
              <w:tc>
                <w:tcPr>
                  <w:tcW w:w="2183" w:type="dxa"/>
                  <w:vMerge w:val="restart"/>
                  <w:vAlign w:val="top"/>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变化量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 w:hRule="atLeast"/>
                <w:jc w:val="center"/>
              </w:trPr>
              <w:tc>
                <w:tcPr>
                  <w:tcW w:w="707" w:type="dxa"/>
                  <w:vMerge w:val="continue"/>
                  <w:vAlign w:val="center"/>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p>
              </w:tc>
              <w:tc>
                <w:tcPr>
                  <w:tcW w:w="1466" w:type="dxa"/>
                  <w:vMerge w:val="continue"/>
                  <w:vAlign w:val="center"/>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p>
              </w:tc>
              <w:tc>
                <w:tcPr>
                  <w:tcW w:w="912" w:type="dxa"/>
                  <w:vAlign w:val="top"/>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型号或规格</w:t>
                  </w:r>
                </w:p>
              </w:tc>
              <w:tc>
                <w:tcPr>
                  <w:tcW w:w="924" w:type="dxa"/>
                  <w:vAlign w:val="top"/>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数量</w:t>
                  </w:r>
                </w:p>
              </w:tc>
              <w:tc>
                <w:tcPr>
                  <w:tcW w:w="1044" w:type="dxa"/>
                  <w:vAlign w:val="top"/>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型号或规格</w:t>
                  </w:r>
                </w:p>
              </w:tc>
              <w:tc>
                <w:tcPr>
                  <w:tcW w:w="864" w:type="dxa"/>
                  <w:vAlign w:val="top"/>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数量</w:t>
                  </w:r>
                </w:p>
              </w:tc>
              <w:tc>
                <w:tcPr>
                  <w:tcW w:w="2183" w:type="dxa"/>
                  <w:vMerge w:val="continue"/>
                  <w:vAlign w:val="top"/>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707" w:type="dxa"/>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1466"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rPr>
                    <w:t>工作平台</w:t>
                  </w:r>
                </w:p>
              </w:tc>
              <w:tc>
                <w:tcPr>
                  <w:tcW w:w="912"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rPr>
                    <w:t>H65Y</w:t>
                  </w:r>
                </w:p>
              </w:tc>
              <w:tc>
                <w:tcPr>
                  <w:tcW w:w="924" w:type="dxa"/>
                  <w:vAlign w:val="center"/>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12个</w:t>
                  </w:r>
                </w:p>
              </w:tc>
              <w:tc>
                <w:tcPr>
                  <w:tcW w:w="1044"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rPr>
                    <w:t>H65Y</w:t>
                  </w:r>
                </w:p>
              </w:tc>
              <w:tc>
                <w:tcPr>
                  <w:tcW w:w="864" w:type="dxa"/>
                  <w:vAlign w:val="center"/>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12个</w:t>
                  </w:r>
                </w:p>
              </w:tc>
              <w:tc>
                <w:tcPr>
                  <w:tcW w:w="2183" w:type="dxa"/>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707" w:type="dxa"/>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p>
              </w:tc>
              <w:tc>
                <w:tcPr>
                  <w:tcW w:w="1466"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rPr>
                    <w:t>二氧化碳保护焊</w:t>
                  </w:r>
                </w:p>
              </w:tc>
              <w:tc>
                <w:tcPr>
                  <w:tcW w:w="912"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rPr>
                    <w:t>225×145mm</w:t>
                  </w:r>
                </w:p>
              </w:tc>
              <w:tc>
                <w:tcPr>
                  <w:tcW w:w="924" w:type="dxa"/>
                  <w:vAlign w:val="center"/>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4个</w:t>
                  </w:r>
                </w:p>
              </w:tc>
              <w:tc>
                <w:tcPr>
                  <w:tcW w:w="1044"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rPr>
                    <w:t>225×145mm</w:t>
                  </w:r>
                </w:p>
              </w:tc>
              <w:tc>
                <w:tcPr>
                  <w:tcW w:w="864" w:type="dxa"/>
                  <w:vAlign w:val="center"/>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6个</w:t>
                  </w:r>
                </w:p>
              </w:tc>
              <w:tc>
                <w:tcPr>
                  <w:tcW w:w="2183" w:type="dxa"/>
                </w:tcPr>
                <w:p>
                  <w:pPr>
                    <w:keepNext w:val="0"/>
                    <w:keepLines w:val="0"/>
                    <w:widowControl/>
                    <w:suppressLineNumbers w:val="0"/>
                    <w:spacing w:line="240" w:lineRule="auto"/>
                    <w:jc w:val="center"/>
                    <w:textAlignment w:val="bottom"/>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多出的2个设备是备用设备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707" w:type="dxa"/>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p>
              </w:tc>
              <w:tc>
                <w:tcPr>
                  <w:tcW w:w="1466"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rPr>
                    <w:t>氩弧焊机</w:t>
                  </w:r>
                </w:p>
              </w:tc>
              <w:tc>
                <w:tcPr>
                  <w:tcW w:w="912"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rPr>
                    <w:t>E207303RA</w:t>
                  </w:r>
                </w:p>
              </w:tc>
              <w:tc>
                <w:tcPr>
                  <w:tcW w:w="924" w:type="dxa"/>
                  <w:vAlign w:val="center"/>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2个</w:t>
                  </w:r>
                </w:p>
              </w:tc>
              <w:tc>
                <w:tcPr>
                  <w:tcW w:w="1044"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rPr>
                    <w:t>E207303RA</w:t>
                  </w:r>
                </w:p>
              </w:tc>
              <w:tc>
                <w:tcPr>
                  <w:tcW w:w="864" w:type="dxa"/>
                  <w:vAlign w:val="center"/>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2个</w:t>
                  </w:r>
                </w:p>
              </w:tc>
              <w:tc>
                <w:tcPr>
                  <w:tcW w:w="2183" w:type="dxa"/>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707" w:type="dxa"/>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w:t>
                  </w:r>
                </w:p>
              </w:tc>
              <w:tc>
                <w:tcPr>
                  <w:tcW w:w="1466"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rPr>
                    <w:t>水锯切割机</w:t>
                  </w:r>
                </w:p>
              </w:tc>
              <w:tc>
                <w:tcPr>
                  <w:tcW w:w="912"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rPr>
                    <w:t>E101203</w:t>
                  </w:r>
                </w:p>
              </w:tc>
              <w:tc>
                <w:tcPr>
                  <w:tcW w:w="924" w:type="dxa"/>
                  <w:vAlign w:val="center"/>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6个</w:t>
                  </w:r>
                </w:p>
              </w:tc>
              <w:tc>
                <w:tcPr>
                  <w:tcW w:w="1044"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rPr>
                    <w:t>E101203</w:t>
                  </w:r>
                </w:p>
              </w:tc>
              <w:tc>
                <w:tcPr>
                  <w:tcW w:w="864" w:type="dxa"/>
                  <w:vAlign w:val="center"/>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6个</w:t>
                  </w:r>
                </w:p>
              </w:tc>
              <w:tc>
                <w:tcPr>
                  <w:tcW w:w="2183" w:type="dxa"/>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07" w:type="dxa"/>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p>
              </w:tc>
              <w:tc>
                <w:tcPr>
                  <w:tcW w:w="1466"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rPr>
                    <w:t>台钻</w:t>
                  </w:r>
                </w:p>
              </w:tc>
              <w:tc>
                <w:tcPr>
                  <w:tcW w:w="912"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rPr>
                    <w:t>S10M</w:t>
                  </w:r>
                </w:p>
              </w:tc>
              <w:tc>
                <w:tcPr>
                  <w:tcW w:w="924" w:type="dxa"/>
                  <w:vAlign w:val="center"/>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4个</w:t>
                  </w:r>
                </w:p>
              </w:tc>
              <w:tc>
                <w:tcPr>
                  <w:tcW w:w="1044"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rPr>
                    <w:t>S10M</w:t>
                  </w:r>
                </w:p>
              </w:tc>
              <w:tc>
                <w:tcPr>
                  <w:tcW w:w="864" w:type="dxa"/>
                  <w:vAlign w:val="center"/>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4个</w:t>
                  </w:r>
                </w:p>
              </w:tc>
              <w:tc>
                <w:tcPr>
                  <w:tcW w:w="2183" w:type="dxa"/>
                  <w:vAlign w:val="top"/>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07" w:type="dxa"/>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p>
              </w:tc>
              <w:tc>
                <w:tcPr>
                  <w:tcW w:w="1466"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rPr>
                    <w:t>握圆机</w:t>
                  </w:r>
                </w:p>
              </w:tc>
              <w:tc>
                <w:tcPr>
                  <w:tcW w:w="912"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rPr>
                    <w:t>S6M</w:t>
                  </w:r>
                </w:p>
              </w:tc>
              <w:tc>
                <w:tcPr>
                  <w:tcW w:w="924" w:type="dxa"/>
                  <w:vAlign w:val="center"/>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4个</w:t>
                  </w:r>
                </w:p>
              </w:tc>
              <w:tc>
                <w:tcPr>
                  <w:tcW w:w="1044"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rPr>
                    <w:t>S6M</w:t>
                  </w:r>
                </w:p>
              </w:tc>
              <w:tc>
                <w:tcPr>
                  <w:tcW w:w="864" w:type="dxa"/>
                  <w:vAlign w:val="center"/>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4个</w:t>
                  </w:r>
                </w:p>
              </w:tc>
              <w:tc>
                <w:tcPr>
                  <w:tcW w:w="2183" w:type="dxa"/>
                  <w:vAlign w:val="top"/>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07" w:type="dxa"/>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w:t>
                  </w:r>
                </w:p>
              </w:tc>
              <w:tc>
                <w:tcPr>
                  <w:tcW w:w="1466"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rPr>
                    <w:t>数控切割机</w:t>
                  </w:r>
                </w:p>
              </w:tc>
              <w:tc>
                <w:tcPr>
                  <w:tcW w:w="912"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rPr>
                    <w:t>S10M</w:t>
                  </w:r>
                </w:p>
              </w:tc>
              <w:tc>
                <w:tcPr>
                  <w:tcW w:w="924" w:type="dxa"/>
                  <w:vAlign w:val="center"/>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7个</w:t>
                  </w:r>
                </w:p>
              </w:tc>
              <w:tc>
                <w:tcPr>
                  <w:tcW w:w="1044"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rPr>
                    <w:t>S10M</w:t>
                  </w:r>
                </w:p>
              </w:tc>
              <w:tc>
                <w:tcPr>
                  <w:tcW w:w="864" w:type="dxa"/>
                  <w:vAlign w:val="center"/>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7个</w:t>
                  </w:r>
                </w:p>
              </w:tc>
              <w:tc>
                <w:tcPr>
                  <w:tcW w:w="2183" w:type="dxa"/>
                  <w:vAlign w:val="top"/>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07" w:type="dxa"/>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w:t>
                  </w:r>
                </w:p>
              </w:tc>
              <w:tc>
                <w:tcPr>
                  <w:tcW w:w="1466"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rPr>
                    <w:t>数控雕刻机</w:t>
                  </w:r>
                </w:p>
              </w:tc>
              <w:tc>
                <w:tcPr>
                  <w:tcW w:w="912"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rPr>
                    <w:t>H65Y</w:t>
                  </w:r>
                </w:p>
              </w:tc>
              <w:tc>
                <w:tcPr>
                  <w:tcW w:w="924" w:type="dxa"/>
                  <w:vAlign w:val="center"/>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2个</w:t>
                  </w:r>
                </w:p>
              </w:tc>
              <w:tc>
                <w:tcPr>
                  <w:tcW w:w="1044"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rPr>
                    <w:t>H65Y</w:t>
                  </w:r>
                </w:p>
              </w:tc>
              <w:tc>
                <w:tcPr>
                  <w:tcW w:w="864" w:type="dxa"/>
                  <w:vAlign w:val="center"/>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2个</w:t>
                  </w:r>
                </w:p>
              </w:tc>
              <w:tc>
                <w:tcPr>
                  <w:tcW w:w="2183" w:type="dxa"/>
                  <w:vAlign w:val="top"/>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07" w:type="dxa"/>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w:t>
                  </w:r>
                </w:p>
              </w:tc>
              <w:tc>
                <w:tcPr>
                  <w:tcW w:w="1466"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color w:val="000000"/>
                      <w:kern w:val="0"/>
                      <w:sz w:val="21"/>
                      <w:szCs w:val="21"/>
                      <w:lang w:val="en-US" w:eastAsia="zh-CN" w:bidi="ar"/>
                    </w:rPr>
                    <w:t>塑粉喷涂机</w:t>
                  </w:r>
                </w:p>
              </w:tc>
              <w:tc>
                <w:tcPr>
                  <w:tcW w:w="912"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bCs/>
                      <w:sz w:val="21"/>
                      <w:szCs w:val="21"/>
                      <w:lang w:val="en-US" w:eastAsia="zh-CN"/>
                    </w:rPr>
                    <w:t>通用经济款</w:t>
                  </w:r>
                </w:p>
              </w:tc>
              <w:tc>
                <w:tcPr>
                  <w:tcW w:w="924" w:type="dxa"/>
                  <w:vAlign w:val="center"/>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1套</w:t>
                  </w:r>
                </w:p>
              </w:tc>
              <w:tc>
                <w:tcPr>
                  <w:tcW w:w="1044"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bCs/>
                      <w:sz w:val="21"/>
                      <w:szCs w:val="21"/>
                      <w:lang w:val="en-US" w:eastAsia="zh-CN"/>
                    </w:rPr>
                    <w:t>通用经济款</w:t>
                  </w:r>
                </w:p>
              </w:tc>
              <w:tc>
                <w:tcPr>
                  <w:tcW w:w="864" w:type="dxa"/>
                  <w:vAlign w:val="center"/>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1套</w:t>
                  </w:r>
                </w:p>
              </w:tc>
              <w:tc>
                <w:tcPr>
                  <w:tcW w:w="2183" w:type="dxa"/>
                  <w:vAlign w:val="top"/>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07" w:type="dxa"/>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p>
              </w:tc>
              <w:tc>
                <w:tcPr>
                  <w:tcW w:w="1466"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color w:val="000000"/>
                      <w:kern w:val="0"/>
                      <w:sz w:val="21"/>
                      <w:szCs w:val="21"/>
                      <w:lang w:val="en-US" w:eastAsia="zh-CN" w:bidi="ar"/>
                    </w:rPr>
                    <w:t>纳米喷涂机</w:t>
                  </w:r>
                </w:p>
              </w:tc>
              <w:tc>
                <w:tcPr>
                  <w:tcW w:w="912"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bCs/>
                      <w:sz w:val="21"/>
                      <w:szCs w:val="21"/>
                      <w:lang w:val="en-US" w:eastAsia="zh-CN"/>
                    </w:rPr>
                    <w:t>通用经济款</w:t>
                  </w:r>
                </w:p>
              </w:tc>
              <w:tc>
                <w:tcPr>
                  <w:tcW w:w="924" w:type="dxa"/>
                  <w:vAlign w:val="center"/>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1套</w:t>
                  </w:r>
                </w:p>
              </w:tc>
              <w:tc>
                <w:tcPr>
                  <w:tcW w:w="1044"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bCs/>
                      <w:sz w:val="21"/>
                      <w:szCs w:val="21"/>
                      <w:lang w:val="en-US" w:eastAsia="zh-CN"/>
                    </w:rPr>
                    <w:t>通用经济款</w:t>
                  </w:r>
                </w:p>
              </w:tc>
              <w:tc>
                <w:tcPr>
                  <w:tcW w:w="864" w:type="dxa"/>
                  <w:vAlign w:val="center"/>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1套</w:t>
                  </w:r>
                </w:p>
              </w:tc>
              <w:tc>
                <w:tcPr>
                  <w:tcW w:w="2183" w:type="dxa"/>
                  <w:vAlign w:val="top"/>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07" w:type="dxa"/>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1466"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color w:val="000000"/>
                      <w:kern w:val="0"/>
                      <w:sz w:val="21"/>
                      <w:szCs w:val="21"/>
                      <w:lang w:val="en-US" w:eastAsia="zh-CN" w:bidi="ar"/>
                    </w:rPr>
                    <w:t>烤漆柜</w:t>
                  </w:r>
                </w:p>
              </w:tc>
              <w:tc>
                <w:tcPr>
                  <w:tcW w:w="912"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c>
                <w:tcPr>
                  <w:tcW w:w="924" w:type="dxa"/>
                  <w:vAlign w:val="center"/>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1套</w:t>
                  </w:r>
                </w:p>
              </w:tc>
              <w:tc>
                <w:tcPr>
                  <w:tcW w:w="1044"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c>
                <w:tcPr>
                  <w:tcW w:w="864" w:type="dxa"/>
                  <w:vAlign w:val="center"/>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1套</w:t>
                  </w:r>
                </w:p>
              </w:tc>
              <w:tc>
                <w:tcPr>
                  <w:tcW w:w="2183" w:type="dxa"/>
                  <w:vAlign w:val="top"/>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07" w:type="dxa"/>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11</w:t>
                  </w:r>
                </w:p>
              </w:tc>
              <w:tc>
                <w:tcPr>
                  <w:tcW w:w="1466"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color w:val="000000"/>
                      <w:kern w:val="0"/>
                      <w:sz w:val="21"/>
                      <w:szCs w:val="21"/>
                      <w:lang w:val="en-US" w:eastAsia="zh-CN" w:bidi="ar"/>
                    </w:rPr>
                    <w:t>烤塑柜</w:t>
                  </w:r>
                </w:p>
              </w:tc>
              <w:tc>
                <w:tcPr>
                  <w:tcW w:w="912"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c>
                <w:tcPr>
                  <w:tcW w:w="924" w:type="dxa"/>
                  <w:vAlign w:val="center"/>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1套</w:t>
                  </w:r>
                </w:p>
              </w:tc>
              <w:tc>
                <w:tcPr>
                  <w:tcW w:w="1044"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c>
                <w:tcPr>
                  <w:tcW w:w="864" w:type="dxa"/>
                  <w:vAlign w:val="center"/>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1套</w:t>
                  </w:r>
                </w:p>
              </w:tc>
              <w:tc>
                <w:tcPr>
                  <w:tcW w:w="2183" w:type="dxa"/>
                  <w:vAlign w:val="top"/>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07" w:type="dxa"/>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12</w:t>
                  </w:r>
                </w:p>
              </w:tc>
              <w:tc>
                <w:tcPr>
                  <w:tcW w:w="1466"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color w:val="000000"/>
                      <w:kern w:val="0"/>
                      <w:sz w:val="21"/>
                      <w:szCs w:val="21"/>
                      <w:lang w:val="en-US" w:eastAsia="zh-CN" w:bidi="ar"/>
                    </w:rPr>
                    <w:t>喷漆房</w:t>
                  </w:r>
                </w:p>
              </w:tc>
              <w:tc>
                <w:tcPr>
                  <w:tcW w:w="912"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rPr>
                    <w:t>50m</w:t>
                  </w:r>
                  <w:r>
                    <w:rPr>
                      <w:rFonts w:hint="eastAsia" w:ascii="宋体" w:hAnsi="宋体" w:eastAsia="宋体" w:cs="宋体"/>
                      <w:sz w:val="21"/>
                      <w:szCs w:val="21"/>
                      <w:vertAlign w:val="superscript"/>
                    </w:rPr>
                    <w:t>2</w:t>
                  </w:r>
                </w:p>
              </w:tc>
              <w:tc>
                <w:tcPr>
                  <w:tcW w:w="924" w:type="dxa"/>
                  <w:vAlign w:val="center"/>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1个</w:t>
                  </w:r>
                </w:p>
              </w:tc>
              <w:tc>
                <w:tcPr>
                  <w:tcW w:w="1044"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rPr>
                    <w:t>50m</w:t>
                  </w:r>
                  <w:r>
                    <w:rPr>
                      <w:rFonts w:hint="eastAsia" w:ascii="宋体" w:hAnsi="宋体" w:eastAsia="宋体" w:cs="宋体"/>
                      <w:sz w:val="21"/>
                      <w:szCs w:val="21"/>
                      <w:vertAlign w:val="superscript"/>
                    </w:rPr>
                    <w:t>2</w:t>
                  </w:r>
                </w:p>
              </w:tc>
              <w:tc>
                <w:tcPr>
                  <w:tcW w:w="864" w:type="dxa"/>
                  <w:vAlign w:val="center"/>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1个</w:t>
                  </w:r>
                </w:p>
              </w:tc>
              <w:tc>
                <w:tcPr>
                  <w:tcW w:w="2183" w:type="dxa"/>
                  <w:vAlign w:val="top"/>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07" w:type="dxa"/>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13</w:t>
                  </w:r>
                </w:p>
              </w:tc>
              <w:tc>
                <w:tcPr>
                  <w:tcW w:w="1466" w:type="dxa"/>
                  <w:vAlign w:val="bottom"/>
                </w:tcPr>
                <w:p>
                  <w:pPr>
                    <w:keepNext w:val="0"/>
                    <w:keepLines w:val="0"/>
                    <w:widowControl/>
                    <w:suppressLineNumbers w:val="0"/>
                    <w:spacing w:line="240" w:lineRule="auto"/>
                    <w:jc w:val="center"/>
                    <w:textAlignment w:val="bottom"/>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喷塑房</w:t>
                  </w:r>
                </w:p>
              </w:tc>
              <w:tc>
                <w:tcPr>
                  <w:tcW w:w="912"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rPr>
                    <w:t>18m</w:t>
                  </w:r>
                  <w:r>
                    <w:rPr>
                      <w:rFonts w:hint="eastAsia" w:ascii="宋体" w:hAnsi="宋体" w:eastAsia="宋体" w:cs="宋体"/>
                      <w:sz w:val="21"/>
                      <w:szCs w:val="21"/>
                      <w:vertAlign w:val="superscript"/>
                    </w:rPr>
                    <w:t>2</w:t>
                  </w:r>
                </w:p>
              </w:tc>
              <w:tc>
                <w:tcPr>
                  <w:tcW w:w="924" w:type="dxa"/>
                  <w:vAlign w:val="center"/>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1个</w:t>
                  </w:r>
                </w:p>
              </w:tc>
              <w:tc>
                <w:tcPr>
                  <w:tcW w:w="1044"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rPr>
                    <w:t>18m</w:t>
                  </w:r>
                  <w:r>
                    <w:rPr>
                      <w:rFonts w:hint="eastAsia" w:ascii="宋体" w:hAnsi="宋体" w:eastAsia="宋体" w:cs="宋体"/>
                      <w:sz w:val="21"/>
                      <w:szCs w:val="21"/>
                      <w:vertAlign w:val="superscript"/>
                    </w:rPr>
                    <w:t>2</w:t>
                  </w:r>
                </w:p>
              </w:tc>
              <w:tc>
                <w:tcPr>
                  <w:tcW w:w="864" w:type="dxa"/>
                  <w:vAlign w:val="center"/>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1个</w:t>
                  </w:r>
                </w:p>
              </w:tc>
              <w:tc>
                <w:tcPr>
                  <w:tcW w:w="2183" w:type="dxa"/>
                  <w:vAlign w:val="top"/>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07" w:type="dxa"/>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14</w:t>
                  </w:r>
                </w:p>
              </w:tc>
              <w:tc>
                <w:tcPr>
                  <w:tcW w:w="1466" w:type="dxa"/>
                  <w:vAlign w:val="bottom"/>
                </w:tcPr>
                <w:p>
                  <w:pPr>
                    <w:keepNext w:val="0"/>
                    <w:keepLines w:val="0"/>
                    <w:widowControl/>
                    <w:suppressLineNumbers w:val="0"/>
                    <w:spacing w:line="240" w:lineRule="auto"/>
                    <w:jc w:val="center"/>
                    <w:textAlignment w:val="bottom"/>
                    <w:rPr>
                      <w:rFonts w:hint="eastAsia" w:ascii="宋体" w:hAnsi="宋体" w:eastAsia="宋体" w:cs="宋体"/>
                      <w:color w:val="000000"/>
                      <w:kern w:val="0"/>
                      <w:sz w:val="21"/>
                      <w:szCs w:val="21"/>
                      <w:lang w:val="en-US" w:eastAsia="zh-CN" w:bidi="ar"/>
                    </w:rPr>
                  </w:pPr>
                  <w:r>
                    <w:rPr>
                      <w:rFonts w:hint="eastAsia" w:ascii="宋体" w:hAnsi="宋体" w:eastAsia="宋体" w:cs="宋体"/>
                      <w:sz w:val="21"/>
                      <w:szCs w:val="21"/>
                      <w:lang w:val="en-US" w:eastAsia="zh-CN"/>
                    </w:rPr>
                    <w:t>固化间</w:t>
                  </w:r>
                </w:p>
              </w:tc>
              <w:tc>
                <w:tcPr>
                  <w:tcW w:w="912"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rPr>
                    <w:t>35m</w:t>
                  </w:r>
                  <w:r>
                    <w:rPr>
                      <w:rFonts w:hint="eastAsia" w:ascii="宋体" w:hAnsi="宋体" w:eastAsia="宋体" w:cs="宋体"/>
                      <w:sz w:val="21"/>
                      <w:szCs w:val="21"/>
                      <w:vertAlign w:val="superscript"/>
                    </w:rPr>
                    <w:t>2</w:t>
                  </w:r>
                </w:p>
              </w:tc>
              <w:tc>
                <w:tcPr>
                  <w:tcW w:w="924" w:type="dxa"/>
                  <w:vAlign w:val="center"/>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1个</w:t>
                  </w:r>
                </w:p>
              </w:tc>
              <w:tc>
                <w:tcPr>
                  <w:tcW w:w="1044"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rPr>
                    <w:t>35m</w:t>
                  </w:r>
                  <w:r>
                    <w:rPr>
                      <w:rFonts w:hint="eastAsia" w:ascii="宋体" w:hAnsi="宋体" w:eastAsia="宋体" w:cs="宋体"/>
                      <w:sz w:val="21"/>
                      <w:szCs w:val="21"/>
                      <w:vertAlign w:val="superscript"/>
                    </w:rPr>
                    <w:t>2</w:t>
                  </w:r>
                </w:p>
              </w:tc>
              <w:tc>
                <w:tcPr>
                  <w:tcW w:w="864" w:type="dxa"/>
                  <w:vAlign w:val="center"/>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1个</w:t>
                  </w:r>
                </w:p>
              </w:tc>
              <w:tc>
                <w:tcPr>
                  <w:tcW w:w="2183" w:type="dxa"/>
                  <w:vAlign w:val="top"/>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07" w:type="dxa"/>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w:t>
                  </w:r>
                </w:p>
              </w:tc>
              <w:tc>
                <w:tcPr>
                  <w:tcW w:w="1466" w:type="dxa"/>
                  <w:vAlign w:val="bottom"/>
                </w:tcPr>
                <w:p>
                  <w:pPr>
                    <w:keepNext w:val="0"/>
                    <w:keepLines w:val="0"/>
                    <w:widowControl/>
                    <w:suppressLineNumbers w:val="0"/>
                    <w:spacing w:line="240" w:lineRule="auto"/>
                    <w:jc w:val="center"/>
                    <w:textAlignment w:val="bottom"/>
                    <w:rPr>
                      <w:rFonts w:hint="eastAsia" w:ascii="宋体" w:hAnsi="宋体" w:eastAsia="宋体" w:cs="宋体"/>
                      <w:color w:val="000000"/>
                      <w:kern w:val="0"/>
                      <w:sz w:val="21"/>
                      <w:szCs w:val="21"/>
                      <w:lang w:val="en-US" w:eastAsia="zh-CN" w:bidi="ar"/>
                    </w:rPr>
                  </w:pPr>
                  <w:r>
                    <w:rPr>
                      <w:rFonts w:hint="eastAsia" w:ascii="宋体" w:hAnsi="宋体" w:eastAsia="宋体" w:cs="宋体"/>
                      <w:sz w:val="21"/>
                      <w:szCs w:val="21"/>
                      <w:lang w:val="en-US" w:eastAsia="zh-CN"/>
                    </w:rPr>
                    <w:t>电加热固化炉</w:t>
                  </w:r>
                </w:p>
              </w:tc>
              <w:tc>
                <w:tcPr>
                  <w:tcW w:w="912"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c>
                <w:tcPr>
                  <w:tcW w:w="924" w:type="dxa"/>
                  <w:vAlign w:val="center"/>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1个</w:t>
                  </w:r>
                </w:p>
              </w:tc>
              <w:tc>
                <w:tcPr>
                  <w:tcW w:w="1044" w:type="dxa"/>
                  <w:vAlign w:val="bottom"/>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c>
                <w:tcPr>
                  <w:tcW w:w="864" w:type="dxa"/>
                  <w:vAlign w:val="center"/>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1个</w:t>
                  </w:r>
                </w:p>
              </w:tc>
              <w:tc>
                <w:tcPr>
                  <w:tcW w:w="2183" w:type="dxa"/>
                  <w:vAlign w:val="top"/>
                </w:tcPr>
                <w:p>
                  <w:pPr>
                    <w:keepNext w:val="0"/>
                    <w:keepLines w:val="0"/>
                    <w:widowControl/>
                    <w:suppressLineNumbers w:val="0"/>
                    <w:spacing w:line="240" w:lineRule="auto"/>
                    <w:jc w:val="center"/>
                    <w:textAlignment w:val="bottom"/>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0</w:t>
                  </w:r>
                </w:p>
              </w:tc>
            </w:tr>
          </w:tbl>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4、工作制度及劳动定员</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原项目劳动定员15人，实行单班制，每班8小时数，年工作天数300天。本项目不新增人员。</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5、项目变动情况</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本项目实际建设与环评文件相比变动部分具体见表2-4所示。</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表 2-4项目变动情况表</w:t>
            </w:r>
          </w:p>
          <w:tbl>
            <w:tblPr>
              <w:tblStyle w:val="13"/>
              <w:tblW w:w="8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1216"/>
              <w:gridCol w:w="2316"/>
              <w:gridCol w:w="2436"/>
              <w:gridCol w:w="14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07" w:type="dxa"/>
                  <w:vAlign w:val="center"/>
                </w:tcPr>
                <w:p>
                  <w:pPr>
                    <w:widowControl w:val="0"/>
                    <w:spacing w:after="0" w:line="240" w:lineRule="auto"/>
                    <w:jc w:val="center"/>
                    <w:rPr>
                      <w:rFonts w:hint="eastAsia" w:ascii="宋体" w:hAnsi="宋体" w:eastAsia="宋体" w:cs="宋体"/>
                      <w:sz w:val="21"/>
                      <w:szCs w:val="21"/>
                      <w:vertAlign w:val="baseline"/>
                    </w:rPr>
                  </w:pPr>
                  <w:r>
                    <w:rPr>
                      <w:rFonts w:hint="eastAsia" w:ascii="宋体" w:hAnsi="宋体" w:eastAsia="宋体" w:cs="宋体"/>
                      <w:sz w:val="21"/>
                      <w:szCs w:val="21"/>
                    </w:rPr>
                    <w:t>序号</w:t>
                  </w:r>
                </w:p>
              </w:tc>
              <w:tc>
                <w:tcPr>
                  <w:tcW w:w="1216" w:type="dxa"/>
                  <w:vAlign w:val="top"/>
                </w:tcPr>
                <w:p>
                  <w:pPr>
                    <w:widowControl w:val="0"/>
                    <w:spacing w:after="0" w:line="240" w:lineRule="auto"/>
                    <w:jc w:val="center"/>
                    <w:rPr>
                      <w:rFonts w:hint="eastAsia" w:ascii="宋体" w:hAnsi="宋体" w:eastAsia="宋体" w:cs="宋体"/>
                      <w:sz w:val="21"/>
                      <w:szCs w:val="21"/>
                      <w:vertAlign w:val="baseline"/>
                    </w:rPr>
                  </w:pPr>
                  <w:r>
                    <w:rPr>
                      <w:rFonts w:hint="eastAsia" w:ascii="宋体" w:hAnsi="宋体" w:eastAsia="宋体" w:cs="宋体"/>
                      <w:sz w:val="21"/>
                      <w:szCs w:val="21"/>
                    </w:rPr>
                    <w:t>项目名称</w:t>
                  </w:r>
                </w:p>
              </w:tc>
              <w:tc>
                <w:tcPr>
                  <w:tcW w:w="2316" w:type="dxa"/>
                  <w:vAlign w:val="center"/>
                </w:tcPr>
                <w:p>
                  <w:pPr>
                    <w:widowControl w:val="0"/>
                    <w:spacing w:after="0" w:line="240" w:lineRule="auto"/>
                    <w:ind w:left="14" w:leftChars="0"/>
                    <w:jc w:val="center"/>
                    <w:rPr>
                      <w:rFonts w:hint="eastAsia" w:ascii="宋体" w:hAnsi="宋体" w:eastAsia="宋体" w:cs="宋体"/>
                      <w:sz w:val="21"/>
                      <w:szCs w:val="21"/>
                      <w:vertAlign w:val="baseline"/>
                    </w:rPr>
                  </w:pPr>
                  <w:r>
                    <w:rPr>
                      <w:rFonts w:hint="eastAsia" w:ascii="宋体" w:hAnsi="宋体" w:eastAsia="宋体" w:cs="宋体"/>
                      <w:sz w:val="21"/>
                      <w:szCs w:val="21"/>
                    </w:rPr>
                    <w:t>环评文件</w:t>
                  </w:r>
                </w:p>
              </w:tc>
              <w:tc>
                <w:tcPr>
                  <w:tcW w:w="2436" w:type="dxa"/>
                  <w:vAlign w:val="center"/>
                </w:tcPr>
                <w:p>
                  <w:pPr>
                    <w:widowControl w:val="0"/>
                    <w:spacing w:after="0" w:line="240" w:lineRule="auto"/>
                    <w:ind w:left="15" w:leftChars="0"/>
                    <w:jc w:val="center"/>
                    <w:rPr>
                      <w:rFonts w:hint="eastAsia" w:ascii="宋体" w:hAnsi="宋体" w:eastAsia="宋体" w:cs="宋体"/>
                      <w:sz w:val="21"/>
                      <w:szCs w:val="21"/>
                      <w:vertAlign w:val="baseline"/>
                    </w:rPr>
                  </w:pPr>
                  <w:r>
                    <w:rPr>
                      <w:rFonts w:hint="eastAsia" w:ascii="宋体" w:hAnsi="宋体" w:eastAsia="宋体" w:cs="宋体"/>
                      <w:sz w:val="21"/>
                      <w:szCs w:val="21"/>
                    </w:rPr>
                    <w:t>实际情况</w:t>
                  </w:r>
                </w:p>
              </w:tc>
              <w:tc>
                <w:tcPr>
                  <w:tcW w:w="1429" w:type="dxa"/>
                  <w:vAlign w:val="top"/>
                </w:tcPr>
                <w:p>
                  <w:pPr>
                    <w:widowControl w:val="0"/>
                    <w:spacing w:after="0" w:line="24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rPr>
                    <w:t>变更</w:t>
                  </w:r>
                  <w:r>
                    <w:rPr>
                      <w:rFonts w:hint="eastAsia" w:ascii="宋体" w:hAnsi="宋体" w:eastAsia="宋体" w:cs="宋体"/>
                      <w:sz w:val="21"/>
                      <w:szCs w:val="21"/>
                      <w:lang w:val="en-US" w:eastAsia="zh-CN"/>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07" w:type="dxa"/>
                </w:tcPr>
                <w:p>
                  <w:pPr>
                    <w:widowControl w:val="0"/>
                    <w:spacing w:after="0" w:line="240" w:lineRule="auto"/>
                    <w:jc w:val="center"/>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val="en-US" w:eastAsia="zh-CN"/>
                    </w:rPr>
                    <w:t>1</w:t>
                  </w:r>
                </w:p>
              </w:tc>
              <w:tc>
                <w:tcPr>
                  <w:tcW w:w="1216" w:type="dxa"/>
                  <w:vAlign w:val="top"/>
                </w:tcPr>
                <w:p>
                  <w:pPr>
                    <w:widowControl w:val="0"/>
                    <w:spacing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建设规模</w:t>
                  </w:r>
                </w:p>
              </w:tc>
              <w:tc>
                <w:tcPr>
                  <w:tcW w:w="2316" w:type="dxa"/>
                  <w:vAlign w:val="center"/>
                </w:tcPr>
                <w:p>
                  <w:pPr>
                    <w:widowControl w:val="0"/>
                    <w:spacing w:after="0" w:line="240" w:lineRule="auto"/>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年产</w:t>
                  </w:r>
                  <w:r>
                    <w:rPr>
                      <w:rFonts w:hint="eastAsia" w:ascii="宋体" w:hAnsi="宋体" w:eastAsia="宋体" w:cs="宋体"/>
                      <w:sz w:val="21"/>
                      <w:szCs w:val="21"/>
                      <w:lang w:val="en-GB" w:eastAsia="zh-CN"/>
                    </w:rPr>
                    <w:t>2000套灯光雕刻、标示标牌，</w:t>
                  </w:r>
                  <w:r>
                    <w:rPr>
                      <w:rFonts w:hint="eastAsia" w:ascii="宋体" w:hAnsi="宋体" w:eastAsia="宋体" w:cs="宋体"/>
                      <w:sz w:val="21"/>
                      <w:szCs w:val="21"/>
                      <w:lang w:val="en-US" w:eastAsia="zh-CN"/>
                    </w:rPr>
                    <w:t>并对</w:t>
                  </w:r>
                  <w:r>
                    <w:rPr>
                      <w:rFonts w:hint="eastAsia" w:ascii="宋体" w:hAnsi="宋体" w:eastAsia="宋体" w:cs="宋体"/>
                      <w:sz w:val="21"/>
                      <w:szCs w:val="21"/>
                      <w:lang w:val="en-GB" w:eastAsia="zh-CN"/>
                    </w:rPr>
                    <w:t>2000套</w:t>
                  </w:r>
                  <w:r>
                    <w:rPr>
                      <w:rFonts w:hint="eastAsia" w:ascii="宋体" w:hAnsi="宋体" w:eastAsia="宋体" w:cs="宋体"/>
                      <w:sz w:val="21"/>
                      <w:szCs w:val="21"/>
                      <w:lang w:val="en-US" w:eastAsia="zh-CN"/>
                    </w:rPr>
                    <w:t>产品</w:t>
                  </w:r>
                  <w:r>
                    <w:rPr>
                      <w:rFonts w:hint="eastAsia" w:ascii="宋体" w:hAnsi="宋体" w:eastAsia="宋体" w:cs="宋体"/>
                      <w:sz w:val="21"/>
                      <w:szCs w:val="21"/>
                      <w:lang w:val="en-GB" w:eastAsia="zh-CN"/>
                    </w:rPr>
                    <w:t>喷漆</w:t>
                  </w:r>
                  <w:r>
                    <w:rPr>
                      <w:rFonts w:hint="eastAsia" w:ascii="宋体" w:hAnsi="宋体" w:eastAsia="宋体" w:cs="宋体"/>
                      <w:sz w:val="21"/>
                      <w:szCs w:val="21"/>
                      <w:lang w:val="en-US" w:eastAsia="zh-CN"/>
                    </w:rPr>
                    <w:t>或</w:t>
                  </w:r>
                  <w:r>
                    <w:rPr>
                      <w:rFonts w:hint="eastAsia" w:ascii="宋体" w:hAnsi="宋体" w:eastAsia="宋体" w:cs="宋体"/>
                      <w:sz w:val="21"/>
                      <w:szCs w:val="21"/>
                      <w:lang w:val="en-GB" w:eastAsia="zh-CN"/>
                    </w:rPr>
                    <w:t>喷塑</w:t>
                  </w:r>
                </w:p>
              </w:tc>
              <w:tc>
                <w:tcPr>
                  <w:tcW w:w="2436" w:type="dxa"/>
                  <w:vAlign w:val="center"/>
                </w:tcPr>
                <w:p>
                  <w:pPr>
                    <w:widowControl w:val="0"/>
                    <w:spacing w:after="0" w:line="240" w:lineRule="auto"/>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年产</w:t>
                  </w:r>
                  <w:r>
                    <w:rPr>
                      <w:rFonts w:hint="eastAsia" w:ascii="宋体" w:hAnsi="宋体" w:eastAsia="宋体" w:cs="宋体"/>
                      <w:sz w:val="21"/>
                      <w:szCs w:val="21"/>
                      <w:lang w:val="en-GB" w:eastAsia="zh-CN"/>
                    </w:rPr>
                    <w:t>2000套灯光雕刻、标示标牌，</w:t>
                  </w:r>
                  <w:r>
                    <w:rPr>
                      <w:rFonts w:hint="eastAsia" w:ascii="宋体" w:hAnsi="宋体" w:eastAsia="宋体" w:cs="宋体"/>
                      <w:sz w:val="21"/>
                      <w:szCs w:val="21"/>
                      <w:lang w:val="en-US" w:eastAsia="zh-CN"/>
                    </w:rPr>
                    <w:t>并对</w:t>
                  </w:r>
                  <w:r>
                    <w:rPr>
                      <w:rFonts w:hint="eastAsia" w:ascii="宋体" w:hAnsi="宋体" w:eastAsia="宋体" w:cs="宋体"/>
                      <w:sz w:val="21"/>
                      <w:szCs w:val="21"/>
                      <w:lang w:val="en-GB" w:eastAsia="zh-CN"/>
                    </w:rPr>
                    <w:t>2000套</w:t>
                  </w:r>
                  <w:r>
                    <w:rPr>
                      <w:rFonts w:hint="eastAsia" w:ascii="宋体" w:hAnsi="宋体" w:eastAsia="宋体" w:cs="宋体"/>
                      <w:sz w:val="21"/>
                      <w:szCs w:val="21"/>
                      <w:lang w:val="en-US" w:eastAsia="zh-CN"/>
                    </w:rPr>
                    <w:t>产品</w:t>
                  </w:r>
                  <w:r>
                    <w:rPr>
                      <w:rFonts w:hint="eastAsia" w:ascii="宋体" w:hAnsi="宋体" w:eastAsia="宋体" w:cs="宋体"/>
                      <w:sz w:val="21"/>
                      <w:szCs w:val="21"/>
                      <w:lang w:val="en-GB" w:eastAsia="zh-CN"/>
                    </w:rPr>
                    <w:t>喷漆</w:t>
                  </w:r>
                  <w:r>
                    <w:rPr>
                      <w:rFonts w:hint="eastAsia" w:ascii="宋体" w:hAnsi="宋体" w:eastAsia="宋体" w:cs="宋体"/>
                      <w:sz w:val="21"/>
                      <w:szCs w:val="21"/>
                      <w:lang w:val="en-US" w:eastAsia="zh-CN"/>
                    </w:rPr>
                    <w:t>或</w:t>
                  </w:r>
                  <w:r>
                    <w:rPr>
                      <w:rFonts w:hint="eastAsia" w:ascii="宋体" w:hAnsi="宋体" w:eastAsia="宋体" w:cs="宋体"/>
                      <w:sz w:val="21"/>
                      <w:szCs w:val="21"/>
                      <w:lang w:val="en-GB" w:eastAsia="zh-CN"/>
                    </w:rPr>
                    <w:t>喷塑</w:t>
                  </w:r>
                </w:p>
              </w:tc>
              <w:tc>
                <w:tcPr>
                  <w:tcW w:w="1429" w:type="dxa"/>
                  <w:vAlign w:val="top"/>
                </w:tcPr>
                <w:p>
                  <w:pPr>
                    <w:widowControl w:val="0"/>
                    <w:spacing w:after="0" w:line="240" w:lineRule="auto"/>
                    <w:ind w:right="8" w:rightChars="0"/>
                    <w:jc w:val="center"/>
                    <w:rPr>
                      <w:rFonts w:hint="eastAsia" w:ascii="宋体" w:hAnsi="宋体" w:eastAsia="宋体" w:cs="宋体"/>
                      <w:sz w:val="21"/>
                      <w:szCs w:val="21"/>
                      <w:vertAlign w:val="baseline"/>
                      <w:lang w:val="en-US" w:eastAsia="zh-CN"/>
                    </w:rPr>
                  </w:pPr>
                  <w:r>
                    <w:rPr>
                      <w:rFonts w:hint="eastAsia" w:ascii="宋体" w:hAnsi="宋体" w:eastAsia="宋体" w:cs="宋体"/>
                      <w:color w:val="000000"/>
                      <w:kern w:val="2"/>
                      <w:sz w:val="21"/>
                      <w:szCs w:val="21"/>
                      <w:lang w:val="en-US" w:eastAsia="zh-CN" w:bidi="ar-SA"/>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07" w:type="dxa"/>
                </w:tcPr>
                <w:p>
                  <w:pPr>
                    <w:widowControl w:val="0"/>
                    <w:spacing w:after="0" w:line="240" w:lineRule="auto"/>
                    <w:jc w:val="center"/>
                    <w:rPr>
                      <w:rFonts w:hint="eastAsia" w:ascii="宋体" w:hAnsi="宋体" w:eastAsia="宋体" w:cs="宋体"/>
                      <w:sz w:val="21"/>
                      <w:szCs w:val="21"/>
                      <w:vertAlign w:val="baseline"/>
                      <w:lang w:val="en-US" w:eastAsia="zh-CN"/>
                    </w:rPr>
                  </w:pPr>
                </w:p>
                <w:p>
                  <w:pPr>
                    <w:widowControl w:val="0"/>
                    <w:spacing w:after="0" w:line="24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w:t>
                  </w:r>
                </w:p>
              </w:tc>
              <w:tc>
                <w:tcPr>
                  <w:tcW w:w="1216" w:type="dxa"/>
                  <w:vMerge w:val="restart"/>
                  <w:vAlign w:val="top"/>
                </w:tcPr>
                <w:p>
                  <w:pPr>
                    <w:widowControl w:val="0"/>
                    <w:spacing w:after="0" w:line="240" w:lineRule="auto"/>
                    <w:jc w:val="center"/>
                    <w:rPr>
                      <w:rFonts w:hint="eastAsia" w:ascii="宋体" w:hAnsi="宋体" w:eastAsia="宋体" w:cs="宋体"/>
                      <w:sz w:val="21"/>
                      <w:szCs w:val="21"/>
                    </w:rPr>
                  </w:pPr>
                </w:p>
                <w:p>
                  <w:pPr>
                    <w:widowControl w:val="0"/>
                    <w:spacing w:after="0" w:line="240" w:lineRule="auto"/>
                    <w:jc w:val="center"/>
                    <w:rPr>
                      <w:rFonts w:hint="eastAsia" w:ascii="宋体" w:hAnsi="宋体" w:eastAsia="宋体" w:cs="宋体"/>
                      <w:sz w:val="21"/>
                      <w:szCs w:val="21"/>
                    </w:rPr>
                  </w:pPr>
                </w:p>
                <w:p>
                  <w:pPr>
                    <w:widowControl w:val="0"/>
                    <w:spacing w:after="0" w:line="240" w:lineRule="auto"/>
                    <w:jc w:val="center"/>
                    <w:rPr>
                      <w:rFonts w:hint="eastAsia" w:ascii="宋体" w:hAnsi="宋体" w:eastAsia="宋体" w:cs="宋体"/>
                      <w:sz w:val="21"/>
                      <w:szCs w:val="21"/>
                    </w:rPr>
                  </w:pPr>
                </w:p>
                <w:p>
                  <w:pPr>
                    <w:widowControl w:val="0"/>
                    <w:spacing w:after="0" w:line="240" w:lineRule="auto"/>
                    <w:jc w:val="center"/>
                    <w:rPr>
                      <w:rFonts w:hint="eastAsia" w:ascii="宋体" w:hAnsi="宋体" w:eastAsia="宋体" w:cs="宋体"/>
                      <w:sz w:val="21"/>
                      <w:szCs w:val="21"/>
                    </w:rPr>
                  </w:pPr>
                </w:p>
                <w:p>
                  <w:pPr>
                    <w:widowControl w:val="0"/>
                    <w:spacing w:after="0" w:line="240" w:lineRule="auto"/>
                    <w:jc w:val="center"/>
                    <w:rPr>
                      <w:rFonts w:hint="eastAsia" w:ascii="宋体" w:hAnsi="宋体" w:eastAsia="宋体" w:cs="宋体"/>
                      <w:sz w:val="21"/>
                      <w:szCs w:val="21"/>
                    </w:rPr>
                  </w:pPr>
                </w:p>
                <w:p>
                  <w:pPr>
                    <w:widowControl w:val="0"/>
                    <w:spacing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rPr>
                    <w:t>主辅工程</w:t>
                  </w:r>
                </w:p>
              </w:tc>
              <w:tc>
                <w:tcPr>
                  <w:tcW w:w="2316" w:type="dxa"/>
                  <w:vAlign w:val="top"/>
                </w:tcPr>
                <w:p>
                  <w:pPr>
                    <w:widowControl w:val="0"/>
                    <w:spacing w:after="0" w:line="24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sz w:val="21"/>
                      <w:szCs w:val="21"/>
                    </w:rPr>
                    <w:t>喷涂车间767m</w:t>
                  </w:r>
                  <w:r>
                    <w:rPr>
                      <w:rFonts w:hint="eastAsia" w:ascii="宋体" w:hAnsi="宋体" w:eastAsia="宋体" w:cs="宋体"/>
                      <w:sz w:val="21"/>
                      <w:szCs w:val="21"/>
                      <w:vertAlign w:val="superscript"/>
                    </w:rPr>
                    <w:t>2</w:t>
                  </w:r>
                  <w:r>
                    <w:rPr>
                      <w:rFonts w:hint="eastAsia" w:ascii="宋体" w:hAnsi="宋体" w:eastAsia="宋体" w:cs="宋体"/>
                      <w:sz w:val="21"/>
                      <w:szCs w:val="21"/>
                    </w:rPr>
                    <w:t>，高10m</w:t>
                  </w:r>
                  <w:r>
                    <w:rPr>
                      <w:rFonts w:hint="eastAsia" w:ascii="宋体" w:hAnsi="宋体" w:eastAsia="宋体" w:cs="宋体"/>
                      <w:sz w:val="21"/>
                      <w:szCs w:val="21"/>
                      <w:lang w:eastAsia="zh-CN"/>
                    </w:rPr>
                    <w:t>；</w:t>
                  </w:r>
                  <w:r>
                    <w:rPr>
                      <w:rFonts w:hint="eastAsia" w:ascii="宋体" w:hAnsi="宋体" w:eastAsia="宋体" w:cs="宋体"/>
                      <w:sz w:val="21"/>
                      <w:szCs w:val="21"/>
                    </w:rPr>
                    <w:t>喷漆房为50m</w:t>
                  </w:r>
                  <w:r>
                    <w:rPr>
                      <w:rFonts w:hint="eastAsia" w:ascii="宋体" w:hAnsi="宋体" w:eastAsia="宋体" w:cs="宋体"/>
                      <w:sz w:val="21"/>
                      <w:szCs w:val="21"/>
                      <w:vertAlign w:val="superscript"/>
                    </w:rPr>
                    <w:t>2</w:t>
                  </w:r>
                  <w:r>
                    <w:rPr>
                      <w:rFonts w:hint="eastAsia" w:ascii="宋体" w:hAnsi="宋体" w:eastAsia="宋体" w:cs="宋体"/>
                      <w:sz w:val="21"/>
                      <w:szCs w:val="21"/>
                    </w:rPr>
                    <w:t>，喷塑房为18m</w:t>
                  </w:r>
                  <w:r>
                    <w:rPr>
                      <w:rFonts w:hint="eastAsia" w:ascii="宋体" w:hAnsi="宋体" w:eastAsia="宋体" w:cs="宋体"/>
                      <w:sz w:val="21"/>
                      <w:szCs w:val="21"/>
                      <w:vertAlign w:val="superscript"/>
                    </w:rPr>
                    <w:t>2</w:t>
                  </w:r>
                  <w:r>
                    <w:rPr>
                      <w:rFonts w:hint="eastAsia" w:ascii="宋体" w:hAnsi="宋体" w:eastAsia="宋体" w:cs="宋体"/>
                      <w:sz w:val="21"/>
                      <w:szCs w:val="21"/>
                    </w:rPr>
                    <w:t>，固化房为35m</w:t>
                  </w:r>
                  <w:r>
                    <w:rPr>
                      <w:rFonts w:hint="eastAsia" w:ascii="宋体" w:hAnsi="宋体" w:eastAsia="宋体" w:cs="宋体"/>
                      <w:sz w:val="21"/>
                      <w:szCs w:val="21"/>
                      <w:vertAlign w:val="superscript"/>
                    </w:rPr>
                    <w:t>2</w:t>
                  </w:r>
                  <w:r>
                    <w:rPr>
                      <w:rFonts w:hint="eastAsia" w:ascii="宋体" w:hAnsi="宋体" w:eastAsia="宋体" w:cs="宋体"/>
                      <w:sz w:val="21"/>
                      <w:szCs w:val="21"/>
                    </w:rPr>
                    <w:t>，油漆和塑粉仓库为30m</w:t>
                  </w:r>
                  <w:r>
                    <w:rPr>
                      <w:rFonts w:hint="eastAsia" w:ascii="宋体" w:hAnsi="宋体" w:eastAsia="宋体" w:cs="宋体"/>
                      <w:sz w:val="21"/>
                      <w:szCs w:val="21"/>
                      <w:vertAlign w:val="superscript"/>
                    </w:rPr>
                    <w:t>2</w:t>
                  </w:r>
                  <w:r>
                    <w:rPr>
                      <w:rFonts w:hint="eastAsia" w:ascii="宋体" w:hAnsi="宋体" w:eastAsia="宋体" w:cs="宋体"/>
                      <w:sz w:val="21"/>
                      <w:szCs w:val="21"/>
                    </w:rPr>
                    <w:t>，危废间为20m</w:t>
                  </w:r>
                  <w:r>
                    <w:rPr>
                      <w:rFonts w:hint="eastAsia" w:ascii="宋体" w:hAnsi="宋体" w:eastAsia="宋体" w:cs="宋体"/>
                      <w:sz w:val="21"/>
                      <w:szCs w:val="21"/>
                      <w:vertAlign w:val="superscript"/>
                    </w:rPr>
                    <w:t>2</w:t>
                  </w:r>
                </w:p>
              </w:tc>
              <w:tc>
                <w:tcPr>
                  <w:tcW w:w="2436" w:type="dxa"/>
                  <w:vAlign w:val="top"/>
                </w:tcPr>
                <w:p>
                  <w:pPr>
                    <w:widowControl w:val="0"/>
                    <w:spacing w:after="0" w:line="240" w:lineRule="auto"/>
                    <w:jc w:val="both"/>
                    <w:rPr>
                      <w:rFonts w:hint="eastAsia" w:ascii="宋体" w:hAnsi="宋体" w:eastAsia="宋体" w:cs="宋体"/>
                      <w:sz w:val="21"/>
                      <w:szCs w:val="21"/>
                    </w:rPr>
                  </w:pPr>
                  <w:r>
                    <w:rPr>
                      <w:rFonts w:hint="eastAsia" w:ascii="宋体" w:hAnsi="宋体" w:eastAsia="宋体" w:cs="宋体"/>
                      <w:sz w:val="21"/>
                      <w:szCs w:val="21"/>
                      <w:lang w:val="en-US" w:eastAsia="zh-CN"/>
                    </w:rPr>
                    <w:t>建设</w:t>
                  </w:r>
                  <w:r>
                    <w:rPr>
                      <w:rFonts w:hint="eastAsia" w:ascii="宋体" w:hAnsi="宋体" w:eastAsia="宋体" w:cs="宋体"/>
                      <w:sz w:val="21"/>
                      <w:szCs w:val="21"/>
                    </w:rPr>
                    <w:t>喷涂车间767m</w:t>
                  </w:r>
                  <w:r>
                    <w:rPr>
                      <w:rFonts w:hint="eastAsia" w:ascii="宋体" w:hAnsi="宋体" w:eastAsia="宋体" w:cs="宋体"/>
                      <w:sz w:val="21"/>
                      <w:szCs w:val="21"/>
                      <w:vertAlign w:val="superscript"/>
                    </w:rPr>
                    <w:t>2</w:t>
                  </w:r>
                  <w:r>
                    <w:rPr>
                      <w:rFonts w:hint="eastAsia" w:ascii="宋体" w:hAnsi="宋体" w:eastAsia="宋体" w:cs="宋体"/>
                      <w:sz w:val="21"/>
                      <w:szCs w:val="21"/>
                    </w:rPr>
                    <w:t>，高10m</w:t>
                  </w:r>
                  <w:r>
                    <w:rPr>
                      <w:rFonts w:hint="eastAsia" w:ascii="宋体" w:hAnsi="宋体" w:eastAsia="宋体" w:cs="宋体"/>
                      <w:sz w:val="21"/>
                      <w:szCs w:val="21"/>
                      <w:lang w:eastAsia="zh-CN"/>
                    </w:rPr>
                    <w:t>；</w:t>
                  </w:r>
                  <w:r>
                    <w:rPr>
                      <w:rFonts w:hint="eastAsia" w:ascii="宋体" w:hAnsi="宋体" w:eastAsia="宋体" w:cs="宋体"/>
                      <w:sz w:val="21"/>
                      <w:szCs w:val="21"/>
                    </w:rPr>
                    <w:t>喷漆房为50m</w:t>
                  </w:r>
                  <w:r>
                    <w:rPr>
                      <w:rFonts w:hint="eastAsia" w:ascii="宋体" w:hAnsi="宋体" w:eastAsia="宋体" w:cs="宋体"/>
                      <w:sz w:val="21"/>
                      <w:szCs w:val="21"/>
                      <w:vertAlign w:val="superscript"/>
                    </w:rPr>
                    <w:t>2</w:t>
                  </w:r>
                  <w:r>
                    <w:rPr>
                      <w:rFonts w:hint="eastAsia" w:ascii="宋体" w:hAnsi="宋体" w:eastAsia="宋体" w:cs="宋体"/>
                      <w:sz w:val="21"/>
                      <w:szCs w:val="21"/>
                    </w:rPr>
                    <w:t>，喷塑房为18m</w:t>
                  </w:r>
                  <w:r>
                    <w:rPr>
                      <w:rFonts w:hint="eastAsia" w:ascii="宋体" w:hAnsi="宋体" w:eastAsia="宋体" w:cs="宋体"/>
                      <w:sz w:val="21"/>
                      <w:szCs w:val="21"/>
                      <w:vertAlign w:val="superscript"/>
                    </w:rPr>
                    <w:t>2</w:t>
                  </w:r>
                  <w:r>
                    <w:rPr>
                      <w:rFonts w:hint="eastAsia" w:ascii="宋体" w:hAnsi="宋体" w:eastAsia="宋体" w:cs="宋体"/>
                      <w:sz w:val="21"/>
                      <w:szCs w:val="21"/>
                    </w:rPr>
                    <w:t>，固化房为35m</w:t>
                  </w:r>
                  <w:r>
                    <w:rPr>
                      <w:rFonts w:hint="eastAsia" w:ascii="宋体" w:hAnsi="宋体" w:eastAsia="宋体" w:cs="宋体"/>
                      <w:sz w:val="21"/>
                      <w:szCs w:val="21"/>
                      <w:vertAlign w:val="superscript"/>
                    </w:rPr>
                    <w:t>2</w:t>
                  </w:r>
                  <w:r>
                    <w:rPr>
                      <w:rFonts w:hint="eastAsia" w:ascii="宋体" w:hAnsi="宋体" w:eastAsia="宋体" w:cs="宋体"/>
                      <w:sz w:val="21"/>
                      <w:szCs w:val="21"/>
                    </w:rPr>
                    <w:t>，油漆和塑粉仓库为30m</w:t>
                  </w:r>
                  <w:r>
                    <w:rPr>
                      <w:rFonts w:hint="eastAsia" w:ascii="宋体" w:hAnsi="宋体" w:eastAsia="宋体" w:cs="宋体"/>
                      <w:sz w:val="21"/>
                      <w:szCs w:val="21"/>
                      <w:vertAlign w:val="superscript"/>
                    </w:rPr>
                    <w:t>2</w:t>
                  </w:r>
                  <w:r>
                    <w:rPr>
                      <w:rFonts w:hint="eastAsia" w:ascii="宋体" w:hAnsi="宋体" w:eastAsia="宋体" w:cs="宋体"/>
                      <w:sz w:val="21"/>
                      <w:szCs w:val="21"/>
                    </w:rPr>
                    <w:t>，危废间为20m</w:t>
                  </w:r>
                  <w:r>
                    <w:rPr>
                      <w:rFonts w:hint="eastAsia" w:ascii="宋体" w:hAnsi="宋体" w:eastAsia="宋体" w:cs="宋体"/>
                      <w:sz w:val="21"/>
                      <w:szCs w:val="21"/>
                      <w:vertAlign w:val="superscript"/>
                    </w:rPr>
                    <w:t>2</w:t>
                  </w:r>
                </w:p>
              </w:tc>
              <w:tc>
                <w:tcPr>
                  <w:tcW w:w="1429" w:type="dxa"/>
                  <w:vAlign w:val="top"/>
                </w:tcPr>
                <w:p>
                  <w:pPr>
                    <w:widowControl w:val="0"/>
                    <w:spacing w:after="0" w:line="240" w:lineRule="auto"/>
                    <w:ind w:firstLine="210" w:firstLineChars="100"/>
                    <w:jc w:val="center"/>
                    <w:rPr>
                      <w:rFonts w:hint="eastAsia" w:ascii="宋体" w:hAnsi="宋体" w:eastAsia="宋体" w:cs="宋体"/>
                      <w:sz w:val="21"/>
                      <w:szCs w:val="21"/>
                      <w:lang w:val="en-US"/>
                    </w:rPr>
                  </w:pPr>
                  <w:r>
                    <w:rPr>
                      <w:rFonts w:hint="eastAsia" w:ascii="宋体" w:hAnsi="宋体" w:eastAsia="宋体" w:cs="宋体"/>
                      <w:color w:val="000000"/>
                      <w:kern w:val="2"/>
                      <w:sz w:val="21"/>
                      <w:szCs w:val="21"/>
                      <w:lang w:val="en-US" w:eastAsia="zh-CN" w:bidi="ar-SA"/>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07" w:type="dxa"/>
                </w:tcPr>
                <w:p>
                  <w:pPr>
                    <w:widowControl w:val="0"/>
                    <w:spacing w:after="0" w:line="24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w:t>
                  </w:r>
                </w:p>
              </w:tc>
              <w:tc>
                <w:tcPr>
                  <w:tcW w:w="1216" w:type="dxa"/>
                  <w:vMerge w:val="continue"/>
                  <w:vAlign w:val="top"/>
                </w:tcPr>
                <w:p>
                  <w:pPr>
                    <w:widowControl w:val="0"/>
                    <w:spacing w:after="0" w:line="240" w:lineRule="auto"/>
                    <w:jc w:val="center"/>
                    <w:rPr>
                      <w:rFonts w:hint="eastAsia" w:ascii="宋体" w:hAnsi="宋体" w:eastAsia="宋体" w:cs="宋体"/>
                      <w:sz w:val="21"/>
                      <w:szCs w:val="21"/>
                    </w:rPr>
                  </w:pPr>
                </w:p>
              </w:tc>
              <w:tc>
                <w:tcPr>
                  <w:tcW w:w="2316" w:type="dxa"/>
                  <w:vAlign w:val="top"/>
                </w:tcPr>
                <w:p>
                  <w:pPr>
                    <w:widowControl w:val="0"/>
                    <w:spacing w:after="0" w:line="240" w:lineRule="auto"/>
                    <w:jc w:val="both"/>
                    <w:rPr>
                      <w:rFonts w:hint="eastAsia" w:ascii="宋体" w:hAnsi="宋体" w:eastAsia="宋体" w:cs="宋体"/>
                      <w:sz w:val="21"/>
                      <w:szCs w:val="21"/>
                    </w:rPr>
                  </w:pPr>
                  <w:r>
                    <w:rPr>
                      <w:rFonts w:hint="eastAsia" w:ascii="宋体" w:hAnsi="宋体" w:eastAsia="宋体" w:cs="宋体"/>
                      <w:sz w:val="21"/>
                      <w:szCs w:val="21"/>
                    </w:rPr>
                    <w:t>机加工车间1</w:t>
                  </w:r>
                  <w:r>
                    <w:rPr>
                      <w:rFonts w:hint="eastAsia" w:ascii="宋体" w:hAnsi="宋体" w:eastAsia="宋体" w:cs="宋体"/>
                      <w:sz w:val="21"/>
                      <w:szCs w:val="21"/>
                      <w:lang w:val="en-US" w:eastAsia="zh-CN"/>
                    </w:rPr>
                    <w:t>5</w:t>
                  </w:r>
                  <w:r>
                    <w:rPr>
                      <w:rFonts w:hint="eastAsia" w:ascii="宋体" w:hAnsi="宋体" w:eastAsia="宋体" w:cs="宋体"/>
                      <w:sz w:val="21"/>
                      <w:szCs w:val="21"/>
                    </w:rPr>
                    <w:t>00m</w:t>
                  </w:r>
                  <w:r>
                    <w:rPr>
                      <w:rFonts w:hint="eastAsia" w:ascii="宋体" w:hAnsi="宋体" w:eastAsia="宋体" w:cs="宋体"/>
                      <w:sz w:val="21"/>
                      <w:szCs w:val="21"/>
                      <w:vertAlign w:val="superscript"/>
                    </w:rPr>
                    <w:t>2</w:t>
                  </w:r>
                  <w:r>
                    <w:rPr>
                      <w:rFonts w:hint="eastAsia" w:ascii="宋体" w:hAnsi="宋体" w:eastAsia="宋体" w:cs="宋体"/>
                      <w:sz w:val="21"/>
                      <w:szCs w:val="21"/>
                    </w:rPr>
                    <w:t>，高10m</w:t>
                  </w:r>
                  <w:r>
                    <w:rPr>
                      <w:rFonts w:hint="eastAsia" w:ascii="宋体" w:hAnsi="宋体" w:eastAsia="宋体" w:cs="宋体"/>
                      <w:sz w:val="21"/>
                      <w:szCs w:val="21"/>
                      <w:lang w:eastAsia="zh-CN"/>
                    </w:rPr>
                    <w:t>，</w:t>
                  </w:r>
                  <w:r>
                    <w:rPr>
                      <w:rFonts w:hint="eastAsia" w:ascii="宋体" w:hAnsi="宋体" w:eastAsia="宋体" w:cs="宋体"/>
                      <w:sz w:val="21"/>
                      <w:szCs w:val="21"/>
                    </w:rPr>
                    <w:t>有1个原材料区，1个展厅，其余均为机加工</w:t>
                  </w:r>
                </w:p>
              </w:tc>
              <w:tc>
                <w:tcPr>
                  <w:tcW w:w="2436" w:type="dxa"/>
                  <w:vAlign w:val="top"/>
                </w:tcPr>
                <w:p>
                  <w:pPr>
                    <w:widowControl w:val="0"/>
                    <w:spacing w:after="0" w:line="240" w:lineRule="auto"/>
                    <w:jc w:val="both"/>
                    <w:rPr>
                      <w:rFonts w:hint="eastAsia" w:ascii="宋体" w:hAnsi="宋体" w:eastAsia="宋体" w:cs="宋体"/>
                      <w:sz w:val="21"/>
                      <w:szCs w:val="21"/>
                      <w:lang w:val="en-US"/>
                    </w:rPr>
                  </w:pPr>
                  <w:r>
                    <w:rPr>
                      <w:rFonts w:hint="eastAsia" w:ascii="宋体" w:hAnsi="宋体" w:eastAsia="宋体" w:cs="宋体"/>
                      <w:sz w:val="21"/>
                      <w:szCs w:val="21"/>
                      <w:lang w:val="en-US" w:eastAsia="zh-CN"/>
                    </w:rPr>
                    <w:t>建设</w:t>
                  </w:r>
                  <w:r>
                    <w:rPr>
                      <w:rFonts w:hint="eastAsia" w:ascii="宋体" w:hAnsi="宋体" w:eastAsia="宋体" w:cs="宋体"/>
                      <w:sz w:val="21"/>
                      <w:szCs w:val="21"/>
                    </w:rPr>
                    <w:t>机加工车间1</w:t>
                  </w:r>
                  <w:r>
                    <w:rPr>
                      <w:rFonts w:hint="eastAsia" w:ascii="宋体" w:hAnsi="宋体" w:eastAsia="宋体" w:cs="宋体"/>
                      <w:sz w:val="21"/>
                      <w:szCs w:val="21"/>
                      <w:lang w:val="en-US" w:eastAsia="zh-CN"/>
                    </w:rPr>
                    <w:t>5</w:t>
                  </w:r>
                  <w:r>
                    <w:rPr>
                      <w:rFonts w:hint="eastAsia" w:ascii="宋体" w:hAnsi="宋体" w:eastAsia="宋体" w:cs="宋体"/>
                      <w:sz w:val="21"/>
                      <w:szCs w:val="21"/>
                    </w:rPr>
                    <w:t>00m</w:t>
                  </w:r>
                  <w:r>
                    <w:rPr>
                      <w:rFonts w:hint="eastAsia" w:ascii="宋体" w:hAnsi="宋体" w:eastAsia="宋体" w:cs="宋体"/>
                      <w:sz w:val="21"/>
                      <w:szCs w:val="21"/>
                      <w:vertAlign w:val="superscript"/>
                    </w:rPr>
                    <w:t>2</w:t>
                  </w:r>
                  <w:r>
                    <w:rPr>
                      <w:rFonts w:hint="eastAsia" w:ascii="宋体" w:hAnsi="宋体" w:eastAsia="宋体" w:cs="宋体"/>
                      <w:sz w:val="21"/>
                      <w:szCs w:val="21"/>
                    </w:rPr>
                    <w:t>，高10m</w:t>
                  </w:r>
                  <w:r>
                    <w:rPr>
                      <w:rFonts w:hint="eastAsia" w:ascii="宋体" w:hAnsi="宋体" w:eastAsia="宋体" w:cs="宋体"/>
                      <w:sz w:val="21"/>
                      <w:szCs w:val="21"/>
                      <w:lang w:eastAsia="zh-CN"/>
                    </w:rPr>
                    <w:t>，</w:t>
                  </w:r>
                  <w:r>
                    <w:rPr>
                      <w:rFonts w:hint="eastAsia" w:ascii="宋体" w:hAnsi="宋体" w:eastAsia="宋体" w:cs="宋体"/>
                      <w:sz w:val="21"/>
                      <w:szCs w:val="21"/>
                    </w:rPr>
                    <w:t>有1个原材料区，1个展厅，其余均为机加工</w:t>
                  </w:r>
                </w:p>
              </w:tc>
              <w:tc>
                <w:tcPr>
                  <w:tcW w:w="1429" w:type="dxa"/>
                  <w:vAlign w:val="top"/>
                </w:tcPr>
                <w:p>
                  <w:pPr>
                    <w:widowControl w:val="0"/>
                    <w:spacing w:after="0" w:line="240" w:lineRule="auto"/>
                    <w:jc w:val="center"/>
                    <w:rPr>
                      <w:rFonts w:hint="eastAsia" w:ascii="宋体" w:hAnsi="宋体" w:eastAsia="宋体" w:cs="宋体"/>
                      <w:sz w:val="21"/>
                      <w:szCs w:val="21"/>
                      <w:lang w:val="en-US" w:eastAsia="zh-CN"/>
                    </w:rPr>
                  </w:pPr>
                  <w:r>
                    <w:rPr>
                      <w:rFonts w:hint="eastAsia" w:ascii="宋体" w:hAnsi="宋体" w:eastAsia="宋体" w:cs="宋体"/>
                      <w:color w:val="000000"/>
                      <w:kern w:val="2"/>
                      <w:sz w:val="21"/>
                      <w:szCs w:val="21"/>
                      <w:lang w:val="en-US" w:eastAsia="zh-CN" w:bidi="ar-SA"/>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07" w:type="dxa"/>
                </w:tcPr>
                <w:p>
                  <w:pPr>
                    <w:widowControl w:val="0"/>
                    <w:spacing w:after="0" w:line="24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w:t>
                  </w:r>
                </w:p>
              </w:tc>
              <w:tc>
                <w:tcPr>
                  <w:tcW w:w="1216" w:type="dxa"/>
                  <w:vMerge w:val="continue"/>
                  <w:vAlign w:val="top"/>
                </w:tcPr>
                <w:p>
                  <w:pPr>
                    <w:widowControl w:val="0"/>
                    <w:spacing w:after="0" w:line="240" w:lineRule="auto"/>
                    <w:jc w:val="center"/>
                    <w:rPr>
                      <w:rFonts w:hint="eastAsia" w:ascii="宋体" w:hAnsi="宋体" w:eastAsia="宋体" w:cs="宋体"/>
                      <w:sz w:val="21"/>
                      <w:szCs w:val="21"/>
                    </w:rPr>
                  </w:pPr>
                </w:p>
              </w:tc>
              <w:tc>
                <w:tcPr>
                  <w:tcW w:w="2316" w:type="dxa"/>
                  <w:vAlign w:val="top"/>
                </w:tcPr>
                <w:p>
                  <w:pPr>
                    <w:widowControl w:val="0"/>
                    <w:spacing w:after="0" w:line="240" w:lineRule="auto"/>
                    <w:jc w:val="both"/>
                    <w:rPr>
                      <w:rFonts w:hint="eastAsia" w:ascii="宋体" w:hAnsi="宋体" w:eastAsia="宋体" w:cs="宋体"/>
                      <w:sz w:val="21"/>
                      <w:szCs w:val="21"/>
                    </w:rPr>
                  </w:pPr>
                  <w:r>
                    <w:rPr>
                      <w:rFonts w:hint="eastAsia" w:ascii="宋体" w:hAnsi="宋体" w:eastAsia="宋体" w:cs="宋体"/>
                      <w:sz w:val="21"/>
                      <w:szCs w:val="21"/>
                    </w:rPr>
                    <w:t>成品车间767m</w:t>
                  </w:r>
                  <w:r>
                    <w:rPr>
                      <w:rFonts w:hint="eastAsia" w:ascii="宋体" w:hAnsi="宋体" w:eastAsia="宋体" w:cs="宋体"/>
                      <w:sz w:val="21"/>
                      <w:szCs w:val="21"/>
                      <w:vertAlign w:val="superscript"/>
                    </w:rPr>
                    <w:t>2</w:t>
                  </w:r>
                  <w:r>
                    <w:rPr>
                      <w:rFonts w:hint="eastAsia" w:ascii="宋体" w:hAnsi="宋体" w:eastAsia="宋体" w:cs="宋体"/>
                      <w:sz w:val="21"/>
                      <w:szCs w:val="21"/>
                    </w:rPr>
                    <w:t>，高10m</w:t>
                  </w:r>
                  <w:r>
                    <w:rPr>
                      <w:rFonts w:hint="eastAsia" w:ascii="宋体" w:hAnsi="宋体" w:eastAsia="宋体" w:cs="宋体"/>
                      <w:sz w:val="21"/>
                      <w:szCs w:val="21"/>
                      <w:lang w:eastAsia="zh-CN"/>
                    </w:rPr>
                    <w:t>，</w:t>
                  </w:r>
                  <w:r>
                    <w:rPr>
                      <w:rFonts w:hint="eastAsia" w:ascii="宋体" w:hAnsi="宋体" w:eastAsia="宋体" w:cs="宋体"/>
                      <w:sz w:val="21"/>
                      <w:szCs w:val="21"/>
                    </w:rPr>
                    <w:t>成品区和拼装区各占一半</w:t>
                  </w:r>
                </w:p>
              </w:tc>
              <w:tc>
                <w:tcPr>
                  <w:tcW w:w="2436" w:type="dxa"/>
                  <w:vAlign w:val="top"/>
                </w:tcPr>
                <w:p>
                  <w:pPr>
                    <w:widowControl w:val="0"/>
                    <w:spacing w:after="0" w:line="240" w:lineRule="auto"/>
                    <w:jc w:val="both"/>
                    <w:rPr>
                      <w:rFonts w:hint="eastAsia" w:ascii="宋体" w:hAnsi="宋体" w:eastAsia="宋体" w:cs="宋体"/>
                      <w:sz w:val="21"/>
                      <w:szCs w:val="21"/>
                      <w:lang w:val="en-US"/>
                    </w:rPr>
                  </w:pPr>
                  <w:r>
                    <w:rPr>
                      <w:rFonts w:hint="eastAsia" w:ascii="宋体" w:hAnsi="宋体" w:eastAsia="宋体" w:cs="宋体"/>
                      <w:sz w:val="21"/>
                      <w:szCs w:val="21"/>
                      <w:lang w:val="en-US" w:eastAsia="zh-CN"/>
                    </w:rPr>
                    <w:t>建设</w:t>
                  </w:r>
                  <w:r>
                    <w:rPr>
                      <w:rFonts w:hint="eastAsia" w:ascii="宋体" w:hAnsi="宋体" w:eastAsia="宋体" w:cs="宋体"/>
                      <w:sz w:val="21"/>
                      <w:szCs w:val="21"/>
                    </w:rPr>
                    <w:t>成品车间767m</w:t>
                  </w:r>
                  <w:r>
                    <w:rPr>
                      <w:rFonts w:hint="eastAsia" w:ascii="宋体" w:hAnsi="宋体" w:eastAsia="宋体" w:cs="宋体"/>
                      <w:sz w:val="21"/>
                      <w:szCs w:val="21"/>
                      <w:vertAlign w:val="superscript"/>
                    </w:rPr>
                    <w:t>2</w:t>
                  </w:r>
                  <w:r>
                    <w:rPr>
                      <w:rFonts w:hint="eastAsia" w:ascii="宋体" w:hAnsi="宋体" w:eastAsia="宋体" w:cs="宋体"/>
                      <w:sz w:val="21"/>
                      <w:szCs w:val="21"/>
                    </w:rPr>
                    <w:t>，高10m</w:t>
                  </w:r>
                  <w:r>
                    <w:rPr>
                      <w:rFonts w:hint="eastAsia" w:ascii="宋体" w:hAnsi="宋体" w:eastAsia="宋体" w:cs="宋体"/>
                      <w:sz w:val="21"/>
                      <w:szCs w:val="21"/>
                      <w:lang w:eastAsia="zh-CN"/>
                    </w:rPr>
                    <w:t>，</w:t>
                  </w:r>
                  <w:r>
                    <w:rPr>
                      <w:rFonts w:hint="eastAsia" w:ascii="宋体" w:hAnsi="宋体" w:eastAsia="宋体" w:cs="宋体"/>
                      <w:sz w:val="21"/>
                      <w:szCs w:val="21"/>
                    </w:rPr>
                    <w:t>成品区和拼装区各占一半</w:t>
                  </w:r>
                </w:p>
              </w:tc>
              <w:tc>
                <w:tcPr>
                  <w:tcW w:w="1429" w:type="dxa"/>
                  <w:vAlign w:val="top"/>
                </w:tcPr>
                <w:p>
                  <w:pPr>
                    <w:widowControl w:val="0"/>
                    <w:spacing w:after="0" w:line="240" w:lineRule="auto"/>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07" w:type="dxa"/>
                </w:tcPr>
                <w:p>
                  <w:pPr>
                    <w:widowControl w:val="0"/>
                    <w:spacing w:after="0" w:line="24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w:t>
                  </w:r>
                </w:p>
              </w:tc>
              <w:tc>
                <w:tcPr>
                  <w:tcW w:w="1216" w:type="dxa"/>
                  <w:vMerge w:val="continue"/>
                  <w:vAlign w:val="top"/>
                </w:tcPr>
                <w:p>
                  <w:pPr>
                    <w:widowControl w:val="0"/>
                    <w:spacing w:after="0" w:line="240" w:lineRule="auto"/>
                    <w:jc w:val="center"/>
                    <w:rPr>
                      <w:rFonts w:hint="eastAsia" w:ascii="宋体" w:hAnsi="宋体" w:eastAsia="宋体" w:cs="宋体"/>
                      <w:sz w:val="21"/>
                      <w:szCs w:val="21"/>
                    </w:rPr>
                  </w:pPr>
                </w:p>
              </w:tc>
              <w:tc>
                <w:tcPr>
                  <w:tcW w:w="2316" w:type="dxa"/>
                  <w:vAlign w:val="top"/>
                </w:tcPr>
                <w:p>
                  <w:pPr>
                    <w:widowControl w:val="0"/>
                    <w:spacing w:after="0" w:line="240" w:lineRule="auto"/>
                    <w:jc w:val="both"/>
                    <w:rPr>
                      <w:rFonts w:hint="eastAsia" w:ascii="宋体" w:hAnsi="宋体" w:eastAsia="宋体" w:cs="宋体"/>
                      <w:sz w:val="21"/>
                      <w:szCs w:val="21"/>
                    </w:rPr>
                  </w:pPr>
                  <w:r>
                    <w:rPr>
                      <w:rFonts w:hint="eastAsia" w:ascii="宋体" w:hAnsi="宋体" w:eastAsia="宋体" w:cs="宋体"/>
                      <w:sz w:val="21"/>
                      <w:szCs w:val="21"/>
                    </w:rPr>
                    <w:t>闲置车间767m</w:t>
                  </w:r>
                  <w:r>
                    <w:rPr>
                      <w:rFonts w:hint="eastAsia" w:ascii="宋体" w:hAnsi="宋体" w:eastAsia="宋体" w:cs="宋体"/>
                      <w:sz w:val="21"/>
                      <w:szCs w:val="21"/>
                      <w:vertAlign w:val="superscript"/>
                    </w:rPr>
                    <w:t>2</w:t>
                  </w:r>
                  <w:r>
                    <w:rPr>
                      <w:rFonts w:hint="eastAsia" w:ascii="宋体" w:hAnsi="宋体" w:eastAsia="宋体" w:cs="宋体"/>
                      <w:sz w:val="21"/>
                      <w:szCs w:val="21"/>
                    </w:rPr>
                    <w:t>，高10m</w:t>
                  </w:r>
                </w:p>
              </w:tc>
              <w:tc>
                <w:tcPr>
                  <w:tcW w:w="2436" w:type="dxa"/>
                  <w:vAlign w:val="top"/>
                </w:tcPr>
                <w:p>
                  <w:pPr>
                    <w:widowControl w:val="0"/>
                    <w:spacing w:after="0" w:line="240" w:lineRule="auto"/>
                    <w:jc w:val="both"/>
                    <w:rPr>
                      <w:rFonts w:hint="eastAsia" w:ascii="宋体" w:hAnsi="宋体" w:eastAsia="宋体" w:cs="宋体"/>
                      <w:sz w:val="21"/>
                      <w:szCs w:val="21"/>
                    </w:rPr>
                  </w:pPr>
                  <w:r>
                    <w:rPr>
                      <w:rFonts w:hint="eastAsia" w:ascii="宋体" w:hAnsi="宋体" w:eastAsia="宋体" w:cs="宋体"/>
                      <w:sz w:val="21"/>
                      <w:szCs w:val="21"/>
                    </w:rPr>
                    <w:t>闲置车间767m</w:t>
                  </w:r>
                  <w:r>
                    <w:rPr>
                      <w:rFonts w:hint="eastAsia" w:ascii="宋体" w:hAnsi="宋体" w:eastAsia="宋体" w:cs="宋体"/>
                      <w:sz w:val="21"/>
                      <w:szCs w:val="21"/>
                      <w:vertAlign w:val="superscript"/>
                    </w:rPr>
                    <w:t>2</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位于成品车间东部</w:t>
                  </w:r>
                </w:p>
              </w:tc>
              <w:tc>
                <w:tcPr>
                  <w:tcW w:w="1429" w:type="dxa"/>
                  <w:vAlign w:val="top"/>
                </w:tcPr>
                <w:p>
                  <w:pPr>
                    <w:widowControl w:val="0"/>
                    <w:spacing w:after="0" w:line="240" w:lineRule="auto"/>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07" w:type="dxa"/>
                </w:tcPr>
                <w:p>
                  <w:pPr>
                    <w:widowControl w:val="0"/>
                    <w:spacing w:after="0" w:line="24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6</w:t>
                  </w:r>
                </w:p>
              </w:tc>
              <w:tc>
                <w:tcPr>
                  <w:tcW w:w="1216" w:type="dxa"/>
                  <w:vAlign w:val="top"/>
                </w:tcPr>
                <w:p>
                  <w:pPr>
                    <w:widowControl w:val="0"/>
                    <w:spacing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生产设备</w:t>
                  </w:r>
                </w:p>
              </w:tc>
              <w:tc>
                <w:tcPr>
                  <w:tcW w:w="4752" w:type="dxa"/>
                  <w:gridSpan w:val="2"/>
                  <w:vAlign w:val="top"/>
                </w:tcPr>
                <w:p>
                  <w:pPr>
                    <w:widowControl w:val="0"/>
                    <w:spacing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根据主要设备见表2-3，多了2个备用</w:t>
                  </w:r>
                  <w:r>
                    <w:rPr>
                      <w:rFonts w:hint="eastAsia" w:ascii="宋体" w:hAnsi="宋体" w:eastAsia="宋体" w:cs="宋体"/>
                      <w:sz w:val="21"/>
                      <w:szCs w:val="21"/>
                    </w:rPr>
                    <w:t>二氧化碳保护焊</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环评时预计数量与实际投产使用数量一致</w:t>
                  </w:r>
                </w:p>
              </w:tc>
              <w:tc>
                <w:tcPr>
                  <w:tcW w:w="1429" w:type="dxa"/>
                  <w:vAlign w:val="top"/>
                </w:tcPr>
                <w:p>
                  <w:pPr>
                    <w:widowControl w:val="0"/>
                    <w:spacing w:after="0" w:line="24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出的2个设备是备用设备；在设备故障时备用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07" w:type="dxa"/>
                </w:tcPr>
                <w:p>
                  <w:pPr>
                    <w:widowControl w:val="0"/>
                    <w:spacing w:after="0" w:line="24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7</w:t>
                  </w:r>
                </w:p>
              </w:tc>
              <w:tc>
                <w:tcPr>
                  <w:tcW w:w="1216" w:type="dxa"/>
                  <w:vAlign w:val="top"/>
                </w:tcPr>
                <w:p>
                  <w:pPr>
                    <w:widowControl w:val="0"/>
                    <w:spacing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原辅材料</w:t>
                  </w:r>
                </w:p>
              </w:tc>
              <w:tc>
                <w:tcPr>
                  <w:tcW w:w="4752" w:type="dxa"/>
                  <w:gridSpan w:val="2"/>
                  <w:vAlign w:val="center"/>
                </w:tcPr>
                <w:p>
                  <w:pPr>
                    <w:widowControl w:val="0"/>
                    <w:spacing w:after="0"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根据主要原辅材料表2-5，环评时预计</w:t>
                  </w:r>
                  <w:r>
                    <w:rPr>
                      <w:rFonts w:hint="eastAsia" w:ascii="宋体" w:hAnsi="宋体" w:eastAsia="宋体" w:cs="宋体"/>
                      <w:color w:val="000000"/>
                      <w:kern w:val="2"/>
                      <w:sz w:val="21"/>
                      <w:szCs w:val="21"/>
                      <w:lang w:val="en-US" w:eastAsia="zh-CN" w:bidi="ar-SA"/>
                    </w:rPr>
                    <w:t>用材料的消耗量与实际一致</w:t>
                  </w:r>
                </w:p>
              </w:tc>
              <w:tc>
                <w:tcPr>
                  <w:tcW w:w="1429" w:type="dxa"/>
                  <w:vAlign w:val="top"/>
                </w:tcPr>
                <w:p>
                  <w:pPr>
                    <w:widowControl w:val="0"/>
                    <w:spacing w:after="0" w:line="24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bCs/>
                      <w:sz w:val="21"/>
                      <w:szCs w:val="21"/>
                      <w:lang w:val="en-US" w:eastAsia="zh-CN"/>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07" w:type="dxa"/>
                </w:tcPr>
                <w:p>
                  <w:pPr>
                    <w:widowControl w:val="0"/>
                    <w:spacing w:after="0" w:line="240" w:lineRule="auto"/>
                    <w:jc w:val="center"/>
                    <w:rPr>
                      <w:rFonts w:hint="eastAsia" w:ascii="宋体" w:hAnsi="宋体" w:eastAsia="宋体" w:cs="宋体"/>
                      <w:sz w:val="21"/>
                      <w:szCs w:val="21"/>
                      <w:vertAlign w:val="baseline"/>
                      <w:lang w:val="en-US" w:eastAsia="zh-CN"/>
                    </w:rPr>
                  </w:pPr>
                </w:p>
                <w:p>
                  <w:pPr>
                    <w:widowControl w:val="0"/>
                    <w:spacing w:after="0" w:line="24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8</w:t>
                  </w:r>
                </w:p>
              </w:tc>
              <w:tc>
                <w:tcPr>
                  <w:tcW w:w="1216" w:type="dxa"/>
                  <w:vAlign w:val="top"/>
                </w:tcPr>
                <w:p>
                  <w:pPr>
                    <w:widowControl w:val="0"/>
                    <w:spacing w:after="0" w:line="240" w:lineRule="auto"/>
                    <w:jc w:val="center"/>
                    <w:rPr>
                      <w:rFonts w:hint="eastAsia" w:ascii="宋体" w:hAnsi="宋体" w:eastAsia="宋体" w:cs="宋体"/>
                      <w:sz w:val="21"/>
                      <w:szCs w:val="21"/>
                      <w:lang w:eastAsia="zh-CN"/>
                    </w:rPr>
                  </w:pPr>
                </w:p>
                <w:p>
                  <w:pPr>
                    <w:widowControl w:val="0"/>
                    <w:spacing w:after="0" w:line="240" w:lineRule="auto"/>
                    <w:jc w:val="center"/>
                    <w:rPr>
                      <w:rFonts w:hint="eastAsia" w:ascii="宋体" w:hAnsi="宋体" w:eastAsia="宋体" w:cs="宋体"/>
                      <w:sz w:val="21"/>
                      <w:szCs w:val="21"/>
                      <w:lang w:eastAsia="zh-CN"/>
                    </w:rPr>
                  </w:pPr>
                </w:p>
                <w:p>
                  <w:pPr>
                    <w:widowControl w:val="0"/>
                    <w:spacing w:after="0" w:line="240" w:lineRule="auto"/>
                    <w:jc w:val="center"/>
                    <w:rPr>
                      <w:rFonts w:hint="eastAsia" w:ascii="宋体" w:hAnsi="宋体" w:eastAsia="宋体" w:cs="宋体"/>
                      <w:sz w:val="21"/>
                      <w:szCs w:val="21"/>
                      <w:lang w:eastAsia="zh-CN"/>
                    </w:rPr>
                  </w:pPr>
                </w:p>
                <w:p>
                  <w:pPr>
                    <w:widowControl w:val="0"/>
                    <w:spacing w:after="0" w:line="240" w:lineRule="auto"/>
                    <w:jc w:val="center"/>
                    <w:rPr>
                      <w:rFonts w:hint="eastAsia" w:ascii="宋体" w:hAnsi="宋体" w:eastAsia="宋体" w:cs="宋体"/>
                      <w:sz w:val="21"/>
                      <w:szCs w:val="21"/>
                      <w:lang w:eastAsia="zh-CN"/>
                    </w:rPr>
                  </w:pPr>
                </w:p>
                <w:p>
                  <w:pPr>
                    <w:widowControl w:val="0"/>
                    <w:spacing w:after="0" w:line="240" w:lineRule="auto"/>
                    <w:jc w:val="center"/>
                    <w:rPr>
                      <w:rFonts w:hint="eastAsia" w:ascii="宋体" w:hAnsi="宋体" w:eastAsia="宋体" w:cs="宋体"/>
                      <w:sz w:val="21"/>
                      <w:szCs w:val="21"/>
                      <w:lang w:eastAsia="zh-CN"/>
                    </w:rPr>
                  </w:pPr>
                </w:p>
                <w:p>
                  <w:pPr>
                    <w:widowControl w:val="0"/>
                    <w:spacing w:after="0" w:line="240" w:lineRule="auto"/>
                    <w:jc w:val="center"/>
                    <w:rPr>
                      <w:rFonts w:hint="eastAsia" w:ascii="宋体" w:hAnsi="宋体" w:eastAsia="宋体" w:cs="宋体"/>
                      <w:sz w:val="21"/>
                      <w:szCs w:val="21"/>
                      <w:lang w:eastAsia="zh-CN"/>
                    </w:rPr>
                  </w:pPr>
                </w:p>
                <w:p>
                  <w:pPr>
                    <w:widowControl w:val="0"/>
                    <w:spacing w:after="0" w:line="240" w:lineRule="auto"/>
                    <w:jc w:val="center"/>
                    <w:rPr>
                      <w:rFonts w:hint="eastAsia" w:ascii="宋体" w:hAnsi="宋体" w:eastAsia="宋体" w:cs="宋体"/>
                      <w:sz w:val="21"/>
                      <w:szCs w:val="21"/>
                      <w:vertAlign w:val="baseline"/>
                    </w:rPr>
                  </w:pPr>
                  <w:r>
                    <w:rPr>
                      <w:rFonts w:hint="eastAsia" w:ascii="宋体" w:hAnsi="宋体" w:eastAsia="宋体" w:cs="宋体"/>
                      <w:sz w:val="21"/>
                      <w:szCs w:val="21"/>
                      <w:lang w:eastAsia="zh-CN"/>
                    </w:rPr>
                    <w:t>环保</w:t>
                  </w:r>
                  <w:r>
                    <w:rPr>
                      <w:rFonts w:hint="eastAsia" w:ascii="宋体" w:hAnsi="宋体" w:eastAsia="宋体" w:cs="宋体"/>
                      <w:sz w:val="21"/>
                      <w:szCs w:val="21"/>
                    </w:rPr>
                    <w:t>工程</w:t>
                  </w:r>
                </w:p>
              </w:tc>
              <w:tc>
                <w:tcPr>
                  <w:tcW w:w="2316" w:type="dxa"/>
                  <w:vAlign w:val="top"/>
                </w:tcPr>
                <w:p>
                  <w:pPr>
                    <w:widowControl w:val="0"/>
                    <w:spacing w:after="0" w:line="240" w:lineRule="auto"/>
                    <w:jc w:val="both"/>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废气：焊接烟尘采用集气罩+1台焊烟净化器+1根15m排气筒；喷塑粉尘采用</w:t>
                  </w:r>
                  <w:r>
                    <w:rPr>
                      <w:rFonts w:hint="eastAsia" w:ascii="宋体" w:hAnsi="宋体" w:eastAsia="宋体" w:cs="宋体"/>
                      <w:bCs/>
                      <w:sz w:val="21"/>
                      <w:szCs w:val="21"/>
                      <w:lang w:val="en-GB" w:eastAsia="zh-CN"/>
                    </w:rPr>
                    <w:t>自带有粉末吸入回收系统（呈负压），该回收系统是一套圆筒形的过滤除尘装置</w:t>
                  </w:r>
                  <w:r>
                    <w:rPr>
                      <w:rFonts w:hint="eastAsia" w:ascii="宋体" w:hAnsi="宋体" w:eastAsia="宋体" w:cs="宋体"/>
                      <w:bCs/>
                      <w:sz w:val="21"/>
                      <w:szCs w:val="21"/>
                      <w:lang w:val="en-US" w:eastAsia="zh-CN"/>
                    </w:rPr>
                    <w:t>+1根15m排气筒；</w:t>
                  </w:r>
                  <w:r>
                    <w:rPr>
                      <w:rFonts w:hint="eastAsia" w:ascii="宋体" w:hAnsi="宋体" w:eastAsia="宋体" w:cs="宋体"/>
                      <w:sz w:val="21"/>
                      <w:szCs w:val="21"/>
                      <w:lang w:val="en-GB"/>
                    </w:rPr>
                    <w:t>喷漆废气</w:t>
                  </w:r>
                  <w:r>
                    <w:rPr>
                      <w:rFonts w:hint="eastAsia" w:ascii="宋体" w:hAnsi="宋体" w:eastAsia="宋体" w:cs="宋体"/>
                      <w:sz w:val="21"/>
                      <w:szCs w:val="21"/>
                      <w:lang w:val="en-US" w:eastAsia="zh-CN"/>
                    </w:rPr>
                    <w:t>采用</w:t>
                  </w:r>
                  <w:r>
                    <w:rPr>
                      <w:rFonts w:hint="eastAsia" w:ascii="宋体" w:hAnsi="宋体" w:eastAsia="宋体" w:cs="宋体"/>
                      <w:sz w:val="21"/>
                      <w:szCs w:val="21"/>
                      <w:lang w:val="en-GB"/>
                    </w:rPr>
                    <w:t>1套水帘柜</w:t>
                  </w:r>
                  <w:r>
                    <w:rPr>
                      <w:rFonts w:hint="eastAsia" w:ascii="宋体" w:hAnsi="宋体" w:eastAsia="宋体" w:cs="宋体"/>
                      <w:sz w:val="21"/>
                      <w:szCs w:val="21"/>
                      <w:lang w:val="en-US" w:eastAsia="zh-CN"/>
                    </w:rPr>
                    <w:t>处理后再通过</w:t>
                  </w:r>
                  <w:r>
                    <w:rPr>
                      <w:rFonts w:hint="eastAsia" w:ascii="宋体" w:hAnsi="宋体" w:eastAsia="宋体" w:cs="宋体"/>
                      <w:sz w:val="21"/>
                      <w:szCs w:val="21"/>
                      <w:lang w:val="en-GB"/>
                    </w:rPr>
                    <w:t>1套活性炭吸附+1套UV光解装置</w:t>
                  </w:r>
                  <w:r>
                    <w:rPr>
                      <w:rFonts w:hint="eastAsia" w:ascii="宋体" w:hAnsi="宋体" w:eastAsia="宋体" w:cs="宋体"/>
                      <w:sz w:val="21"/>
                      <w:szCs w:val="21"/>
                      <w:lang w:val="en-US" w:eastAsia="zh-CN"/>
                    </w:rPr>
                    <w:t>进行处理，达标后通过</w:t>
                  </w:r>
                  <w:r>
                    <w:rPr>
                      <w:rFonts w:hint="eastAsia" w:ascii="宋体" w:hAnsi="宋体" w:eastAsia="宋体" w:cs="宋体"/>
                      <w:sz w:val="21"/>
                      <w:szCs w:val="21"/>
                      <w:lang w:val="en-GB"/>
                    </w:rPr>
                    <w:t>1个15m排气筒</w:t>
                  </w:r>
                  <w:r>
                    <w:rPr>
                      <w:rFonts w:hint="eastAsia" w:ascii="宋体" w:hAnsi="宋体" w:eastAsia="宋体" w:cs="宋体"/>
                      <w:sz w:val="21"/>
                      <w:szCs w:val="21"/>
                      <w:lang w:val="en-US" w:eastAsia="zh-CN"/>
                    </w:rPr>
                    <w:t>排放；喷漆</w:t>
                  </w:r>
                  <w:r>
                    <w:rPr>
                      <w:rFonts w:hint="eastAsia" w:ascii="宋体" w:hAnsi="宋体" w:eastAsia="宋体" w:cs="宋体"/>
                      <w:sz w:val="21"/>
                      <w:szCs w:val="21"/>
                      <w:lang w:val="en-GB"/>
                    </w:rPr>
                    <w:t>固化废气</w:t>
                  </w:r>
                  <w:r>
                    <w:rPr>
                      <w:rFonts w:hint="eastAsia" w:ascii="宋体" w:hAnsi="宋体" w:eastAsia="宋体" w:cs="宋体"/>
                      <w:sz w:val="21"/>
                      <w:szCs w:val="21"/>
                      <w:lang w:val="en-US" w:eastAsia="zh-CN"/>
                    </w:rPr>
                    <w:t>和喷塑固化废气采用</w:t>
                  </w:r>
                  <w:r>
                    <w:rPr>
                      <w:rFonts w:hint="eastAsia" w:ascii="宋体" w:hAnsi="宋体" w:eastAsia="宋体" w:cs="宋体"/>
                      <w:sz w:val="21"/>
                      <w:szCs w:val="21"/>
                      <w:lang w:val="en-GB"/>
                    </w:rPr>
                    <w:t>1套活性炭吸附+1套UV光解装置+1个15m排气筒</w:t>
                  </w:r>
                  <w:r>
                    <w:rPr>
                      <w:rFonts w:hint="eastAsia" w:ascii="宋体" w:hAnsi="宋体" w:eastAsia="宋体" w:cs="宋体"/>
                      <w:sz w:val="21"/>
                      <w:szCs w:val="21"/>
                      <w:lang w:val="en-GB" w:eastAsia="zh-CN"/>
                    </w:rPr>
                    <w:t>，（</w:t>
                  </w:r>
                  <w:r>
                    <w:rPr>
                      <w:rFonts w:hint="eastAsia" w:ascii="宋体" w:hAnsi="宋体" w:eastAsia="宋体" w:cs="宋体"/>
                      <w:sz w:val="21"/>
                      <w:szCs w:val="21"/>
                      <w:lang w:val="en-GB"/>
                    </w:rPr>
                    <w:t>与喷漆废气共用1套活性炭吸附+UV光解装置处理排放</w:t>
                  </w:r>
                  <w:r>
                    <w:rPr>
                      <w:rFonts w:hint="eastAsia" w:ascii="宋体" w:hAnsi="宋体" w:eastAsia="宋体" w:cs="宋体"/>
                      <w:sz w:val="21"/>
                      <w:szCs w:val="21"/>
                      <w:lang w:val="en-GB" w:eastAsia="zh-CN"/>
                    </w:rPr>
                    <w:t>）</w:t>
                  </w:r>
                  <w:r>
                    <w:rPr>
                      <w:rFonts w:hint="eastAsia" w:ascii="宋体" w:hAnsi="宋体" w:eastAsia="宋体" w:cs="宋体"/>
                      <w:bCs/>
                      <w:sz w:val="21"/>
                      <w:szCs w:val="21"/>
                      <w:lang w:val="en-US" w:eastAsia="zh-CN"/>
                    </w:rPr>
                    <w:t>。</w:t>
                  </w:r>
                </w:p>
                <w:p>
                  <w:pPr>
                    <w:widowControl w:val="0"/>
                    <w:spacing w:after="0" w:line="240" w:lineRule="auto"/>
                    <w:jc w:val="both"/>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废水：</w:t>
                  </w:r>
                  <w:r>
                    <w:rPr>
                      <w:rFonts w:hint="eastAsia" w:ascii="宋体" w:hAnsi="宋体" w:eastAsia="宋体" w:cs="宋体"/>
                      <w:sz w:val="21"/>
                      <w:szCs w:val="21"/>
                    </w:rPr>
                    <w:t>职工生活用水经厂区化粪池处理后用抽粪车定期清运，作为农家肥施用于农田；除漆雾循环废水属于危险废物，定期送资质单位处理处置</w:t>
                  </w:r>
                  <w:r>
                    <w:rPr>
                      <w:rFonts w:hint="eastAsia" w:ascii="宋体" w:hAnsi="宋体" w:eastAsia="宋体" w:cs="宋体"/>
                      <w:bCs/>
                      <w:sz w:val="21"/>
                      <w:szCs w:val="21"/>
                      <w:lang w:val="en-US" w:eastAsia="zh-CN"/>
                    </w:rPr>
                    <w:t>。</w:t>
                  </w:r>
                </w:p>
                <w:p>
                  <w:pPr>
                    <w:widowControl w:val="0"/>
                    <w:spacing w:after="0" w:line="240" w:lineRule="auto"/>
                    <w:jc w:val="both"/>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噪声：减振、隔声等降噪措施。</w:t>
                  </w:r>
                </w:p>
                <w:p>
                  <w:pPr>
                    <w:widowControl w:val="0"/>
                    <w:spacing w:after="0" w:line="240" w:lineRule="auto"/>
                    <w:jc w:val="both"/>
                    <w:rPr>
                      <w:rFonts w:hint="eastAsia" w:ascii="宋体" w:hAnsi="宋体" w:eastAsia="宋体" w:cs="宋体"/>
                      <w:sz w:val="21"/>
                      <w:szCs w:val="21"/>
                      <w:vertAlign w:val="baseline"/>
                      <w:lang w:val="en-US" w:eastAsia="zh-CN"/>
                    </w:rPr>
                  </w:pPr>
                  <w:r>
                    <w:rPr>
                      <w:rFonts w:hint="eastAsia" w:ascii="宋体" w:hAnsi="宋体" w:eastAsia="宋体" w:cs="宋体"/>
                      <w:bCs/>
                      <w:sz w:val="21"/>
                      <w:szCs w:val="21"/>
                      <w:lang w:val="en-US" w:eastAsia="zh-CN"/>
                    </w:rPr>
                    <w:t>固废：边角料和焊烟净化器收集的粉尘外售给可以回收利用的单位，不外排；生活垃圾采用垃圾桶收集后交由环卫部门统一处理；</w:t>
                  </w:r>
                  <w:r>
                    <w:rPr>
                      <w:rFonts w:hint="eastAsia" w:ascii="宋体" w:hAnsi="宋体" w:eastAsia="宋体" w:cs="宋体"/>
                      <w:sz w:val="21"/>
                      <w:szCs w:val="21"/>
                      <w:lang w:val="en-US" w:eastAsia="zh-CN"/>
                    </w:rPr>
                    <w:t>润滑油</w:t>
                  </w:r>
                  <w:r>
                    <w:rPr>
                      <w:rFonts w:hint="eastAsia" w:ascii="宋体" w:hAnsi="宋体" w:eastAsia="宋体" w:cs="宋体"/>
                      <w:sz w:val="21"/>
                      <w:szCs w:val="21"/>
                      <w:lang w:val="en-GB"/>
                    </w:rPr>
                    <w:t>、</w:t>
                  </w:r>
                  <w:r>
                    <w:rPr>
                      <w:rFonts w:hint="eastAsia" w:ascii="宋体" w:hAnsi="宋体" w:eastAsia="宋体" w:cs="宋体"/>
                      <w:sz w:val="21"/>
                      <w:szCs w:val="21"/>
                      <w:lang w:val="en-US" w:eastAsia="zh-CN"/>
                    </w:rPr>
                    <w:t>切削液</w:t>
                  </w:r>
                  <w:r>
                    <w:rPr>
                      <w:rFonts w:hint="eastAsia" w:ascii="宋体" w:hAnsi="宋体" w:eastAsia="宋体" w:cs="宋体"/>
                      <w:sz w:val="21"/>
                      <w:szCs w:val="21"/>
                      <w:lang w:val="en-GB"/>
                    </w:rPr>
                    <w:t>、废油漆桶、漆渣、废UV灯管、</w:t>
                  </w:r>
                  <w:r>
                    <w:rPr>
                      <w:rFonts w:hint="eastAsia" w:ascii="宋体" w:hAnsi="宋体" w:eastAsia="宋体" w:cs="宋体"/>
                      <w:sz w:val="21"/>
                      <w:szCs w:val="21"/>
                    </w:rPr>
                    <w:t>除漆雾循环水</w:t>
                  </w:r>
                  <w:r>
                    <w:rPr>
                      <w:rFonts w:hint="eastAsia" w:ascii="宋体" w:hAnsi="宋体" w:eastAsia="宋体" w:cs="宋体"/>
                      <w:sz w:val="21"/>
                      <w:szCs w:val="21"/>
                      <w:lang w:val="en-GB"/>
                    </w:rPr>
                    <w:t>及废活性炭</w:t>
                  </w:r>
                  <w:r>
                    <w:rPr>
                      <w:rFonts w:hint="eastAsia" w:ascii="宋体" w:hAnsi="宋体" w:eastAsia="宋体" w:cs="宋体"/>
                      <w:sz w:val="21"/>
                      <w:szCs w:val="21"/>
                      <w:lang w:val="en-US" w:eastAsia="zh-CN"/>
                    </w:rPr>
                    <w:t>在</w:t>
                  </w:r>
                  <w:r>
                    <w:rPr>
                      <w:rFonts w:hint="eastAsia" w:ascii="宋体" w:hAnsi="宋体" w:eastAsia="宋体" w:cs="宋体"/>
                      <w:bCs/>
                      <w:sz w:val="21"/>
                      <w:szCs w:val="21"/>
                      <w:lang w:val="en-US" w:eastAsia="zh-CN"/>
                    </w:rPr>
                    <w:t>在危废暂存间暂存（</w:t>
                  </w:r>
                  <w:r>
                    <w:rPr>
                      <w:rFonts w:hint="eastAsia" w:ascii="宋体" w:hAnsi="宋体" w:eastAsia="宋体" w:cs="宋体"/>
                      <w:sz w:val="21"/>
                      <w:szCs w:val="21"/>
                    </w:rPr>
                    <w:t>20m</w:t>
                  </w:r>
                  <w:r>
                    <w:rPr>
                      <w:rFonts w:hint="eastAsia" w:ascii="宋体" w:hAnsi="宋体" w:eastAsia="宋体" w:cs="宋体"/>
                      <w:sz w:val="21"/>
                      <w:szCs w:val="21"/>
                      <w:vertAlign w:val="superscript"/>
                    </w:rPr>
                    <w:t>2</w:t>
                  </w:r>
                  <w:r>
                    <w:rPr>
                      <w:rFonts w:hint="eastAsia" w:ascii="宋体" w:hAnsi="宋体" w:eastAsia="宋体" w:cs="宋体"/>
                      <w:bCs/>
                      <w:sz w:val="21"/>
                      <w:szCs w:val="21"/>
                      <w:lang w:val="en-US" w:eastAsia="zh-CN"/>
                    </w:rPr>
                    <w:t>）</w:t>
                  </w:r>
                  <w:r>
                    <w:rPr>
                      <w:rFonts w:hint="eastAsia" w:ascii="宋体" w:hAnsi="宋体" w:eastAsia="宋体" w:cs="宋体"/>
                      <w:sz w:val="21"/>
                      <w:szCs w:val="21"/>
                      <w:lang w:val="en-US" w:eastAsia="zh-CN"/>
                    </w:rPr>
                    <w:t>，定期委托危险废物处置单位处置</w:t>
                  </w:r>
                  <w:r>
                    <w:rPr>
                      <w:rFonts w:hint="eastAsia" w:ascii="宋体" w:hAnsi="宋体" w:eastAsia="宋体" w:cs="宋体"/>
                      <w:bCs/>
                      <w:sz w:val="21"/>
                      <w:szCs w:val="21"/>
                      <w:lang w:val="en-US" w:eastAsia="zh-CN"/>
                    </w:rPr>
                    <w:t>。</w:t>
                  </w:r>
                </w:p>
              </w:tc>
              <w:tc>
                <w:tcPr>
                  <w:tcW w:w="2436" w:type="dxa"/>
                  <w:vAlign w:val="top"/>
                </w:tcPr>
                <w:p>
                  <w:pPr>
                    <w:widowControl w:val="0"/>
                    <w:spacing w:after="0" w:line="240" w:lineRule="auto"/>
                    <w:jc w:val="both"/>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废气：焊接烟尘采用集气罩+1台袋式除尘器+1根15m排气筒；喷塑粉尘采用</w:t>
                  </w:r>
                  <w:r>
                    <w:rPr>
                      <w:rFonts w:hint="eastAsia" w:ascii="宋体" w:hAnsi="宋体" w:eastAsia="宋体" w:cs="宋体"/>
                      <w:bCs/>
                      <w:sz w:val="21"/>
                      <w:szCs w:val="21"/>
                      <w:lang w:val="en-GB" w:eastAsia="zh-CN"/>
                    </w:rPr>
                    <w:t>自带有粉末吸入回收系统（呈负压，该回收系统是一套圆筒形的过滤除尘装置）</w:t>
                  </w:r>
                  <w:r>
                    <w:rPr>
                      <w:rFonts w:hint="eastAsia" w:ascii="宋体" w:hAnsi="宋体" w:eastAsia="宋体" w:cs="宋体"/>
                      <w:bCs/>
                      <w:sz w:val="21"/>
                      <w:szCs w:val="21"/>
                      <w:lang w:val="en-US" w:eastAsia="zh-CN"/>
                    </w:rPr>
                    <w:t>+1台袋式除尘器+1根15m排气筒；</w:t>
                  </w:r>
                  <w:r>
                    <w:rPr>
                      <w:rFonts w:hint="eastAsia" w:ascii="宋体" w:hAnsi="宋体" w:eastAsia="宋体" w:cs="宋体"/>
                      <w:sz w:val="21"/>
                      <w:szCs w:val="21"/>
                      <w:lang w:val="en-GB"/>
                    </w:rPr>
                    <w:t>喷漆废气</w:t>
                  </w:r>
                  <w:r>
                    <w:rPr>
                      <w:rFonts w:hint="eastAsia" w:ascii="宋体" w:hAnsi="宋体" w:eastAsia="宋体" w:cs="宋体"/>
                      <w:sz w:val="21"/>
                      <w:szCs w:val="21"/>
                      <w:lang w:val="en-US" w:eastAsia="zh-CN"/>
                    </w:rPr>
                    <w:t>采用</w:t>
                  </w:r>
                  <w:r>
                    <w:rPr>
                      <w:rFonts w:hint="eastAsia" w:ascii="宋体" w:hAnsi="宋体" w:eastAsia="宋体" w:cs="宋体"/>
                      <w:sz w:val="21"/>
                      <w:szCs w:val="21"/>
                      <w:lang w:val="en-GB"/>
                    </w:rPr>
                    <w:t>1套水帘柜</w:t>
                  </w:r>
                  <w:r>
                    <w:rPr>
                      <w:rFonts w:hint="eastAsia" w:ascii="宋体" w:hAnsi="宋体" w:eastAsia="宋体" w:cs="宋体"/>
                      <w:sz w:val="21"/>
                      <w:szCs w:val="21"/>
                      <w:lang w:val="en-US" w:eastAsia="zh-CN"/>
                    </w:rPr>
                    <w:t>处理后再通过</w:t>
                  </w:r>
                  <w:r>
                    <w:rPr>
                      <w:rFonts w:hint="eastAsia" w:ascii="宋体" w:hAnsi="宋体" w:eastAsia="宋体" w:cs="宋体"/>
                      <w:sz w:val="21"/>
                      <w:szCs w:val="21"/>
                      <w:lang w:val="en-GB"/>
                    </w:rPr>
                    <w:t>1套活性炭吸附+1套UV光解装置</w:t>
                  </w:r>
                  <w:r>
                    <w:rPr>
                      <w:rFonts w:hint="eastAsia" w:ascii="宋体" w:hAnsi="宋体" w:eastAsia="宋体" w:cs="宋体"/>
                      <w:sz w:val="21"/>
                      <w:szCs w:val="21"/>
                      <w:lang w:val="en-US" w:eastAsia="zh-CN"/>
                    </w:rPr>
                    <w:t>进行处理，达标后通过</w:t>
                  </w:r>
                  <w:r>
                    <w:rPr>
                      <w:rFonts w:hint="eastAsia" w:ascii="宋体" w:hAnsi="宋体" w:eastAsia="宋体" w:cs="宋体"/>
                      <w:sz w:val="21"/>
                      <w:szCs w:val="21"/>
                      <w:lang w:val="en-GB"/>
                    </w:rPr>
                    <w:t>1个15m排气筒</w:t>
                  </w:r>
                  <w:r>
                    <w:rPr>
                      <w:rFonts w:hint="eastAsia" w:ascii="宋体" w:hAnsi="宋体" w:eastAsia="宋体" w:cs="宋体"/>
                      <w:sz w:val="21"/>
                      <w:szCs w:val="21"/>
                      <w:lang w:val="en-US" w:eastAsia="zh-CN"/>
                    </w:rPr>
                    <w:t>排放；喷漆</w:t>
                  </w:r>
                  <w:r>
                    <w:rPr>
                      <w:rFonts w:hint="eastAsia" w:ascii="宋体" w:hAnsi="宋体" w:eastAsia="宋体" w:cs="宋体"/>
                      <w:sz w:val="21"/>
                      <w:szCs w:val="21"/>
                      <w:lang w:val="en-GB"/>
                    </w:rPr>
                    <w:t>固化废气</w:t>
                  </w:r>
                  <w:r>
                    <w:rPr>
                      <w:rFonts w:hint="eastAsia" w:ascii="宋体" w:hAnsi="宋体" w:eastAsia="宋体" w:cs="宋体"/>
                      <w:sz w:val="21"/>
                      <w:szCs w:val="21"/>
                      <w:lang w:val="en-US" w:eastAsia="zh-CN"/>
                    </w:rPr>
                    <w:t>和喷塑固化废气采用</w:t>
                  </w:r>
                  <w:r>
                    <w:rPr>
                      <w:rFonts w:hint="eastAsia" w:ascii="宋体" w:hAnsi="宋体" w:eastAsia="宋体" w:cs="宋体"/>
                      <w:sz w:val="21"/>
                      <w:szCs w:val="21"/>
                      <w:lang w:val="en-GB"/>
                    </w:rPr>
                    <w:t>1套活性炭吸附+1套UV光解装置+1个15m排气筒</w:t>
                  </w:r>
                  <w:r>
                    <w:rPr>
                      <w:rFonts w:hint="eastAsia" w:ascii="宋体" w:hAnsi="宋体" w:eastAsia="宋体" w:cs="宋体"/>
                      <w:sz w:val="21"/>
                      <w:szCs w:val="21"/>
                      <w:lang w:val="en-GB" w:eastAsia="zh-CN"/>
                    </w:rPr>
                    <w:t>，（</w:t>
                  </w:r>
                  <w:r>
                    <w:rPr>
                      <w:rFonts w:hint="eastAsia" w:ascii="宋体" w:hAnsi="宋体" w:eastAsia="宋体" w:cs="宋体"/>
                      <w:sz w:val="21"/>
                      <w:szCs w:val="21"/>
                      <w:lang w:val="en-GB"/>
                    </w:rPr>
                    <w:t>与喷漆废气共用1套活性炭吸附+UV光解装置处理排放</w:t>
                  </w:r>
                  <w:r>
                    <w:rPr>
                      <w:rFonts w:hint="eastAsia" w:ascii="宋体" w:hAnsi="宋体" w:eastAsia="宋体" w:cs="宋体"/>
                      <w:sz w:val="21"/>
                      <w:szCs w:val="21"/>
                      <w:lang w:val="en-GB" w:eastAsia="zh-CN"/>
                    </w:rPr>
                    <w:t>）</w:t>
                  </w:r>
                  <w:r>
                    <w:rPr>
                      <w:rFonts w:hint="eastAsia" w:ascii="宋体" w:hAnsi="宋体" w:eastAsia="宋体" w:cs="宋体"/>
                      <w:bCs/>
                      <w:sz w:val="21"/>
                      <w:szCs w:val="21"/>
                      <w:lang w:val="en-US" w:eastAsia="zh-CN"/>
                    </w:rPr>
                    <w:t>。</w:t>
                  </w:r>
                </w:p>
                <w:p>
                  <w:pPr>
                    <w:widowControl w:val="0"/>
                    <w:spacing w:after="0" w:line="240" w:lineRule="auto"/>
                    <w:jc w:val="both"/>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废水：</w:t>
                  </w:r>
                  <w:r>
                    <w:rPr>
                      <w:rFonts w:hint="eastAsia" w:ascii="宋体" w:hAnsi="宋体" w:eastAsia="宋体" w:cs="宋体"/>
                      <w:sz w:val="21"/>
                      <w:szCs w:val="21"/>
                    </w:rPr>
                    <w:t>职工生活用水经厂区化粪池处理后用抽粪车定期清运，作为农家肥施用于农田；除漆雾循环废水属于危险废物，定期送资质单位处理处置</w:t>
                  </w:r>
                  <w:r>
                    <w:rPr>
                      <w:rFonts w:hint="eastAsia" w:ascii="宋体" w:hAnsi="宋体" w:eastAsia="宋体" w:cs="宋体"/>
                      <w:bCs/>
                      <w:sz w:val="21"/>
                      <w:szCs w:val="21"/>
                      <w:lang w:val="en-US" w:eastAsia="zh-CN"/>
                    </w:rPr>
                    <w:t>。</w:t>
                  </w:r>
                </w:p>
                <w:p>
                  <w:pPr>
                    <w:widowControl w:val="0"/>
                    <w:spacing w:after="0" w:line="240" w:lineRule="auto"/>
                    <w:jc w:val="both"/>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噪声：减振、隔声等降噪措施。</w:t>
                  </w:r>
                </w:p>
                <w:p>
                  <w:pPr>
                    <w:widowControl w:val="0"/>
                    <w:spacing w:after="0" w:line="240" w:lineRule="auto"/>
                    <w:jc w:val="both"/>
                    <w:rPr>
                      <w:rFonts w:hint="eastAsia" w:ascii="宋体" w:hAnsi="宋体" w:eastAsia="宋体" w:cs="宋体"/>
                      <w:sz w:val="21"/>
                      <w:szCs w:val="21"/>
                      <w:vertAlign w:val="baseline"/>
                    </w:rPr>
                  </w:pPr>
                  <w:r>
                    <w:rPr>
                      <w:rFonts w:hint="eastAsia" w:ascii="宋体" w:hAnsi="宋体" w:eastAsia="宋体" w:cs="宋体"/>
                      <w:bCs/>
                      <w:sz w:val="21"/>
                      <w:szCs w:val="21"/>
                      <w:lang w:val="en-US" w:eastAsia="zh-CN"/>
                    </w:rPr>
                    <w:t>固废：边角料和焊烟净化器收集的粉尘外售给可以回收利用的单位，不外排；生活垃圾采用垃圾桶收集后交由环卫部门统一处理；</w:t>
                  </w:r>
                  <w:r>
                    <w:rPr>
                      <w:rFonts w:hint="eastAsia" w:ascii="宋体" w:hAnsi="宋体" w:eastAsia="宋体" w:cs="宋体"/>
                      <w:sz w:val="21"/>
                      <w:szCs w:val="21"/>
                      <w:lang w:val="en-US" w:eastAsia="zh-CN"/>
                    </w:rPr>
                    <w:t>润滑油</w:t>
                  </w:r>
                  <w:r>
                    <w:rPr>
                      <w:rFonts w:hint="eastAsia" w:ascii="宋体" w:hAnsi="宋体" w:eastAsia="宋体" w:cs="宋体"/>
                      <w:sz w:val="21"/>
                      <w:szCs w:val="21"/>
                      <w:lang w:val="en-GB"/>
                    </w:rPr>
                    <w:t>、</w:t>
                  </w:r>
                  <w:r>
                    <w:rPr>
                      <w:rFonts w:hint="eastAsia" w:ascii="宋体" w:hAnsi="宋体" w:eastAsia="宋体" w:cs="宋体"/>
                      <w:sz w:val="21"/>
                      <w:szCs w:val="21"/>
                      <w:lang w:val="en-US" w:eastAsia="zh-CN"/>
                    </w:rPr>
                    <w:t>切削液</w:t>
                  </w:r>
                  <w:r>
                    <w:rPr>
                      <w:rFonts w:hint="eastAsia" w:ascii="宋体" w:hAnsi="宋体" w:eastAsia="宋体" w:cs="宋体"/>
                      <w:sz w:val="21"/>
                      <w:szCs w:val="21"/>
                      <w:lang w:val="en-GB"/>
                    </w:rPr>
                    <w:t>、废油漆桶、漆渣、废UV灯管、</w:t>
                  </w:r>
                  <w:r>
                    <w:rPr>
                      <w:rFonts w:hint="eastAsia" w:ascii="宋体" w:hAnsi="宋体" w:eastAsia="宋体" w:cs="宋体"/>
                      <w:sz w:val="21"/>
                      <w:szCs w:val="21"/>
                    </w:rPr>
                    <w:t>除漆雾循环水</w:t>
                  </w:r>
                  <w:r>
                    <w:rPr>
                      <w:rFonts w:hint="eastAsia" w:ascii="宋体" w:hAnsi="宋体" w:eastAsia="宋体" w:cs="宋体"/>
                      <w:sz w:val="21"/>
                      <w:szCs w:val="21"/>
                      <w:lang w:val="en-GB"/>
                    </w:rPr>
                    <w:t>及废活性炭</w:t>
                  </w:r>
                  <w:r>
                    <w:rPr>
                      <w:rFonts w:hint="eastAsia" w:ascii="宋体" w:hAnsi="宋体" w:eastAsia="宋体" w:cs="宋体"/>
                      <w:sz w:val="21"/>
                      <w:szCs w:val="21"/>
                      <w:lang w:val="en-US" w:eastAsia="zh-CN"/>
                    </w:rPr>
                    <w:t>在</w:t>
                  </w:r>
                  <w:r>
                    <w:rPr>
                      <w:rFonts w:hint="eastAsia" w:ascii="宋体" w:hAnsi="宋体" w:eastAsia="宋体" w:cs="宋体"/>
                      <w:bCs/>
                      <w:sz w:val="21"/>
                      <w:szCs w:val="21"/>
                      <w:lang w:val="en-US" w:eastAsia="zh-CN"/>
                    </w:rPr>
                    <w:t>在危废暂存间暂存（</w:t>
                  </w:r>
                  <w:r>
                    <w:rPr>
                      <w:rFonts w:hint="eastAsia" w:ascii="宋体" w:hAnsi="宋体" w:eastAsia="宋体" w:cs="宋体"/>
                      <w:sz w:val="21"/>
                      <w:szCs w:val="21"/>
                    </w:rPr>
                    <w:t>20m</w:t>
                  </w:r>
                  <w:r>
                    <w:rPr>
                      <w:rFonts w:hint="eastAsia" w:ascii="宋体" w:hAnsi="宋体" w:eastAsia="宋体" w:cs="宋体"/>
                      <w:sz w:val="21"/>
                      <w:szCs w:val="21"/>
                      <w:vertAlign w:val="superscript"/>
                    </w:rPr>
                    <w:t>2</w:t>
                  </w:r>
                  <w:r>
                    <w:rPr>
                      <w:rFonts w:hint="eastAsia" w:ascii="宋体" w:hAnsi="宋体" w:eastAsia="宋体" w:cs="宋体"/>
                      <w:bCs/>
                      <w:sz w:val="21"/>
                      <w:szCs w:val="21"/>
                      <w:lang w:val="en-US" w:eastAsia="zh-CN"/>
                    </w:rPr>
                    <w:t>）</w:t>
                  </w:r>
                  <w:r>
                    <w:rPr>
                      <w:rFonts w:hint="eastAsia" w:ascii="宋体" w:hAnsi="宋体" w:eastAsia="宋体" w:cs="宋体"/>
                      <w:sz w:val="21"/>
                      <w:szCs w:val="21"/>
                      <w:lang w:val="en-US" w:eastAsia="zh-CN"/>
                    </w:rPr>
                    <w:t>，定期委托危险废物处置单位处置</w:t>
                  </w:r>
                  <w:r>
                    <w:rPr>
                      <w:rFonts w:hint="eastAsia" w:ascii="宋体" w:hAnsi="宋体" w:eastAsia="宋体" w:cs="宋体"/>
                      <w:bCs/>
                      <w:sz w:val="21"/>
                      <w:szCs w:val="21"/>
                      <w:lang w:val="en-US" w:eastAsia="zh-CN"/>
                    </w:rPr>
                    <w:t>。</w:t>
                  </w:r>
                </w:p>
              </w:tc>
              <w:tc>
                <w:tcPr>
                  <w:tcW w:w="1429" w:type="dxa"/>
                  <w:vAlign w:val="top"/>
                </w:tcPr>
                <w:p>
                  <w:pPr>
                    <w:widowControl w:val="0"/>
                    <w:spacing w:after="0" w:line="240" w:lineRule="auto"/>
                    <w:jc w:val="both"/>
                    <w:rPr>
                      <w:rFonts w:hint="eastAsia" w:ascii="宋体" w:hAnsi="宋体" w:eastAsia="宋体" w:cs="宋体"/>
                      <w:sz w:val="21"/>
                      <w:szCs w:val="21"/>
                    </w:rPr>
                  </w:pPr>
                </w:p>
                <w:p>
                  <w:pPr>
                    <w:widowControl w:val="0"/>
                    <w:spacing w:after="0" w:line="240" w:lineRule="auto"/>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焊接烟尘采用了比</w:t>
                  </w:r>
                  <w:r>
                    <w:rPr>
                      <w:rFonts w:hint="eastAsia" w:ascii="宋体" w:hAnsi="宋体" w:eastAsia="宋体" w:cs="宋体"/>
                      <w:bCs/>
                      <w:sz w:val="21"/>
                      <w:szCs w:val="21"/>
                      <w:lang w:val="en-US" w:eastAsia="zh-CN"/>
                    </w:rPr>
                    <w:t>焊烟净化器处理效率更高的袋式除尘器处理；</w:t>
                  </w:r>
                </w:p>
                <w:p>
                  <w:pPr>
                    <w:widowControl w:val="0"/>
                    <w:spacing w:after="0" w:line="240" w:lineRule="auto"/>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喷塑粉尘经</w:t>
                  </w:r>
                  <w:r>
                    <w:rPr>
                      <w:rFonts w:hint="eastAsia" w:ascii="宋体" w:hAnsi="宋体" w:eastAsia="宋体" w:cs="宋体"/>
                      <w:bCs/>
                      <w:sz w:val="21"/>
                      <w:szCs w:val="21"/>
                      <w:lang w:val="en-GB" w:eastAsia="zh-CN"/>
                    </w:rPr>
                    <w:t>回收系统</w:t>
                  </w:r>
                  <w:r>
                    <w:rPr>
                      <w:rFonts w:hint="eastAsia" w:ascii="宋体" w:hAnsi="宋体" w:eastAsia="宋体" w:cs="宋体"/>
                      <w:bCs/>
                      <w:sz w:val="21"/>
                      <w:szCs w:val="21"/>
                      <w:lang w:val="en-US" w:eastAsia="zh-CN"/>
                    </w:rPr>
                    <w:t>处理</w:t>
                  </w:r>
                  <w:r>
                    <w:rPr>
                      <w:rFonts w:hint="eastAsia" w:ascii="宋体" w:hAnsi="宋体" w:eastAsia="宋体" w:cs="宋体"/>
                      <w:sz w:val="21"/>
                      <w:szCs w:val="21"/>
                      <w:lang w:val="en-US" w:eastAsia="zh-CN"/>
                    </w:rPr>
                    <w:t>后再经</w:t>
                  </w:r>
                  <w:r>
                    <w:rPr>
                      <w:rFonts w:hint="eastAsia" w:ascii="宋体" w:hAnsi="宋体" w:eastAsia="宋体" w:cs="宋体"/>
                      <w:bCs/>
                      <w:sz w:val="21"/>
                      <w:szCs w:val="21"/>
                      <w:lang w:val="en-US" w:eastAsia="zh-CN"/>
                    </w:rPr>
                    <w:t>袋式除尘器处理，比</w:t>
                  </w:r>
                  <w:r>
                    <w:rPr>
                      <w:rFonts w:hint="eastAsia" w:ascii="宋体" w:hAnsi="宋体" w:eastAsia="宋体" w:cs="宋体"/>
                      <w:sz w:val="21"/>
                      <w:szCs w:val="21"/>
                      <w:lang w:val="en-US" w:eastAsia="zh-CN"/>
                    </w:rPr>
                    <w:t>只经</w:t>
                  </w:r>
                  <w:r>
                    <w:rPr>
                      <w:rFonts w:hint="eastAsia" w:ascii="宋体" w:hAnsi="宋体" w:eastAsia="宋体" w:cs="宋体"/>
                      <w:bCs/>
                      <w:sz w:val="21"/>
                      <w:szCs w:val="21"/>
                      <w:lang w:val="en-GB" w:eastAsia="zh-CN"/>
                    </w:rPr>
                    <w:t>回收系统</w:t>
                  </w:r>
                  <w:r>
                    <w:rPr>
                      <w:rFonts w:hint="eastAsia" w:ascii="宋体" w:hAnsi="宋体" w:eastAsia="宋体" w:cs="宋体"/>
                      <w:bCs/>
                      <w:sz w:val="21"/>
                      <w:szCs w:val="21"/>
                      <w:lang w:val="en-US" w:eastAsia="zh-CN"/>
                    </w:rPr>
                    <w:t>处理，除尘效率更高；其他</w:t>
                  </w:r>
                  <w:r>
                    <w:rPr>
                      <w:rFonts w:hint="eastAsia" w:ascii="宋体" w:hAnsi="宋体" w:eastAsia="宋体" w:cs="宋体"/>
                      <w:sz w:val="21"/>
                      <w:szCs w:val="21"/>
                      <w:lang w:val="en-US" w:eastAsia="zh-CN"/>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07" w:type="dxa"/>
                </w:tcPr>
                <w:p>
                  <w:pPr>
                    <w:widowControl w:val="0"/>
                    <w:spacing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备注</w:t>
                  </w:r>
                </w:p>
              </w:tc>
              <w:tc>
                <w:tcPr>
                  <w:tcW w:w="7397" w:type="dxa"/>
                  <w:gridSpan w:val="4"/>
                </w:tcPr>
                <w:p>
                  <w:pPr>
                    <w:widowControl w:val="0"/>
                    <w:spacing w:after="0" w:line="240" w:lineRule="auto"/>
                    <w:jc w:val="center"/>
                    <w:rPr>
                      <w:rFonts w:hint="eastAsia" w:ascii="宋体" w:hAnsi="宋体" w:eastAsia="宋体" w:cs="宋体"/>
                      <w:sz w:val="21"/>
                      <w:szCs w:val="21"/>
                    </w:rPr>
                  </w:pPr>
                  <w:r>
                    <w:rPr>
                      <w:rFonts w:hint="eastAsia" w:ascii="宋体" w:hAnsi="宋体" w:eastAsia="宋体" w:cs="宋体"/>
                      <w:sz w:val="21"/>
                      <w:szCs w:val="21"/>
                      <w:lang w:eastAsia="zh-CN"/>
                    </w:rPr>
                    <w:t>对照环办[2015]52号</w:t>
                  </w:r>
                  <w:r>
                    <w:rPr>
                      <w:rFonts w:hint="eastAsia" w:ascii="宋体" w:hAnsi="宋体" w:eastAsia="宋体" w:cs="宋体"/>
                      <w:sz w:val="21"/>
                      <w:szCs w:val="21"/>
                      <w:lang w:val="en-US" w:eastAsia="zh-CN"/>
                    </w:rPr>
                    <w:t>、环办环评[2018]6号</w:t>
                  </w:r>
                  <w:r>
                    <w:rPr>
                      <w:rFonts w:hint="eastAsia" w:ascii="宋体" w:hAnsi="宋体" w:eastAsia="宋体" w:cs="宋体"/>
                      <w:sz w:val="21"/>
                      <w:szCs w:val="21"/>
                      <w:lang w:eastAsia="zh-CN"/>
                    </w:rPr>
                    <w:t>和环办环评函[2019]934号文中文中的具体内容，以上变更不属于重大变更内容。</w:t>
                  </w:r>
                </w:p>
              </w:tc>
            </w:tr>
          </w:tbl>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由表2-4项目变动情况表可知，本项目产能、设备、原辅材料、环保设施等均未发生重大（对环境产生较坏影响）变化，没有重大变更。</w:t>
            </w:r>
          </w:p>
          <w:p>
            <w:pPr>
              <w:keepNext w:val="0"/>
              <w:keepLines w:val="0"/>
              <w:pageBreakBefore w:val="0"/>
              <w:widowControl w:val="0"/>
              <w:tabs>
                <w:tab w:val="left" w:pos="3585"/>
              </w:tabs>
              <w:kinsoku/>
              <w:wordWrap/>
              <w:overflowPunct/>
              <w:topLinePunct w:val="0"/>
              <w:bidi w:val="0"/>
              <w:adjustRightInd/>
              <w:snapToGrid/>
              <w:spacing w:after="0" w:line="360" w:lineRule="auto"/>
              <w:contextualSpacing/>
              <w:jc w:val="both"/>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原辅材料消耗及水平衡：</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1、原辅材料用量</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本项目原辅材料消耗情况见表2-5所示。</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表 2-5 主要原辅材料（休闲裤）</w:t>
            </w:r>
          </w:p>
          <w:tbl>
            <w:tblPr>
              <w:tblStyle w:val="12"/>
              <w:tblW w:w="8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826"/>
              <w:gridCol w:w="1178"/>
              <w:gridCol w:w="1377"/>
              <w:gridCol w:w="1377"/>
              <w:gridCol w:w="24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0" w:hRule="atLeast"/>
                <w:jc w:val="center"/>
              </w:trPr>
              <w:tc>
                <w:tcPr>
                  <w:tcW w:w="1826" w:type="dxa"/>
                  <w:shd w:val="clear" w:color="auto" w:fill="auto"/>
                  <w:vAlign w:val="center"/>
                </w:tcPr>
                <w:p>
                  <w:pPr>
                    <w:adjustRightInd w:val="0"/>
                    <w:snapToGrid w:val="0"/>
                    <w:spacing w:line="240" w:lineRule="auto"/>
                    <w:jc w:val="center"/>
                    <w:rPr>
                      <w:rFonts w:hint="eastAsia" w:ascii="宋体" w:hAnsi="宋体" w:eastAsia="宋体" w:cs="宋体"/>
                      <w:b w:val="0"/>
                      <w:bCs/>
                      <w:sz w:val="21"/>
                      <w:szCs w:val="21"/>
                    </w:rPr>
                  </w:pPr>
                  <w:r>
                    <w:rPr>
                      <w:rFonts w:hint="eastAsia" w:ascii="宋体" w:hAnsi="宋体" w:eastAsia="宋体" w:cs="宋体"/>
                      <w:b w:val="0"/>
                      <w:bCs/>
                      <w:sz w:val="21"/>
                      <w:szCs w:val="21"/>
                    </w:rPr>
                    <w:t>名称</w:t>
                  </w:r>
                </w:p>
              </w:tc>
              <w:tc>
                <w:tcPr>
                  <w:tcW w:w="1178" w:type="dxa"/>
                  <w:shd w:val="clear" w:color="auto" w:fill="auto"/>
                  <w:vAlign w:val="center"/>
                </w:tcPr>
                <w:p>
                  <w:pPr>
                    <w:adjustRightInd w:val="0"/>
                    <w:snapToGrid w:val="0"/>
                    <w:spacing w:line="240" w:lineRule="auto"/>
                    <w:jc w:val="center"/>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环评数量</w:t>
                  </w:r>
                </w:p>
              </w:tc>
              <w:tc>
                <w:tcPr>
                  <w:tcW w:w="1377" w:type="dxa"/>
                  <w:shd w:val="clear" w:color="auto" w:fill="auto"/>
                  <w:vAlign w:val="center"/>
                </w:tcPr>
                <w:p>
                  <w:pPr>
                    <w:adjustRightInd w:val="0"/>
                    <w:snapToGrid w:val="0"/>
                    <w:spacing w:line="240" w:lineRule="auto"/>
                    <w:jc w:val="center"/>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实际数量</w:t>
                  </w:r>
                </w:p>
              </w:tc>
              <w:tc>
                <w:tcPr>
                  <w:tcW w:w="1377" w:type="dxa"/>
                  <w:shd w:val="clear" w:color="auto" w:fill="auto"/>
                  <w:vAlign w:val="center"/>
                </w:tcPr>
                <w:p>
                  <w:pPr>
                    <w:adjustRightInd w:val="0"/>
                    <w:snapToGrid w:val="0"/>
                    <w:spacing w:line="240" w:lineRule="auto"/>
                    <w:jc w:val="center"/>
                    <w:rPr>
                      <w:rFonts w:hint="eastAsia" w:ascii="宋体" w:hAnsi="宋体" w:eastAsia="宋体" w:cs="宋体"/>
                      <w:b w:val="0"/>
                      <w:bCs/>
                      <w:sz w:val="21"/>
                      <w:szCs w:val="21"/>
                    </w:rPr>
                  </w:pPr>
                  <w:r>
                    <w:rPr>
                      <w:rFonts w:hint="eastAsia" w:ascii="宋体" w:hAnsi="宋体" w:eastAsia="宋体" w:cs="宋体"/>
                      <w:b w:val="0"/>
                      <w:bCs/>
                      <w:sz w:val="21"/>
                      <w:szCs w:val="21"/>
                    </w:rPr>
                    <w:t>单位</w:t>
                  </w:r>
                </w:p>
              </w:tc>
              <w:tc>
                <w:tcPr>
                  <w:tcW w:w="2402" w:type="dxa"/>
                  <w:shd w:val="clear" w:color="auto" w:fill="auto"/>
                  <w:vAlign w:val="center"/>
                </w:tcPr>
                <w:p>
                  <w:pPr>
                    <w:adjustRightInd w:val="0"/>
                    <w:snapToGrid w:val="0"/>
                    <w:spacing w:line="240" w:lineRule="auto"/>
                    <w:jc w:val="center"/>
                    <w:rPr>
                      <w:rFonts w:hint="eastAsia" w:ascii="宋体" w:hAnsi="宋体" w:eastAsia="宋体" w:cs="宋体"/>
                      <w:b w:val="0"/>
                      <w:bCs/>
                      <w:sz w:val="21"/>
                      <w:szCs w:val="21"/>
                    </w:rPr>
                  </w:pPr>
                  <w:r>
                    <w:rPr>
                      <w:rFonts w:hint="eastAsia" w:ascii="宋体" w:hAnsi="宋体" w:eastAsia="宋体" w:cs="宋体"/>
                      <w:b w:val="0"/>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0" w:hRule="atLeast"/>
                <w:jc w:val="center"/>
              </w:trPr>
              <w:tc>
                <w:tcPr>
                  <w:tcW w:w="1826" w:type="dxa"/>
                  <w:shd w:val="clear" w:color="auto" w:fill="auto"/>
                  <w:vAlign w:val="center"/>
                </w:tcPr>
                <w:p>
                  <w:pPr>
                    <w:adjustRightInd w:val="0"/>
                    <w:snapToGrid w:val="0"/>
                    <w:spacing w:line="240" w:lineRule="auto"/>
                    <w:jc w:val="center"/>
                    <w:rPr>
                      <w:rFonts w:hint="eastAsia" w:ascii="宋体" w:hAnsi="宋体" w:eastAsia="宋体" w:cs="宋体"/>
                      <w:sz w:val="21"/>
                      <w:szCs w:val="21"/>
                    </w:rPr>
                  </w:pPr>
                  <w:r>
                    <w:rPr>
                      <w:rFonts w:hint="eastAsia" w:ascii="宋体" w:hAnsi="宋体" w:eastAsia="宋体" w:cs="宋体"/>
                      <w:sz w:val="21"/>
                      <w:szCs w:val="21"/>
                    </w:rPr>
                    <w:t>成品不锈钢管</w:t>
                  </w:r>
                </w:p>
              </w:tc>
              <w:tc>
                <w:tcPr>
                  <w:tcW w:w="1178" w:type="dxa"/>
                  <w:shd w:val="clear" w:color="auto" w:fill="auto"/>
                  <w:vAlign w:val="center"/>
                </w:tcPr>
                <w:p>
                  <w:pPr>
                    <w:pStyle w:val="24"/>
                    <w:widowControl w:val="0"/>
                    <w:spacing w:line="240" w:lineRule="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3</w:t>
                  </w:r>
                </w:p>
              </w:tc>
              <w:tc>
                <w:tcPr>
                  <w:tcW w:w="1377" w:type="dxa"/>
                  <w:shd w:val="clear" w:color="auto" w:fill="auto"/>
                  <w:vAlign w:val="center"/>
                </w:tcPr>
                <w:p>
                  <w:pPr>
                    <w:pStyle w:val="24"/>
                    <w:widowControl w:val="0"/>
                    <w:spacing w:line="240" w:lineRule="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3</w:t>
                  </w:r>
                </w:p>
              </w:tc>
              <w:tc>
                <w:tcPr>
                  <w:tcW w:w="1377" w:type="dxa"/>
                  <w:shd w:val="clear" w:color="auto" w:fill="auto"/>
                  <w:vAlign w:val="center"/>
                </w:tcPr>
                <w:p>
                  <w:pPr>
                    <w:adjustRightInd w:val="0"/>
                    <w:snapToGrid w:val="0"/>
                    <w:spacing w:line="24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t/a</w:t>
                  </w:r>
                </w:p>
              </w:tc>
              <w:tc>
                <w:tcPr>
                  <w:tcW w:w="2402" w:type="dxa"/>
                  <w:shd w:val="clear" w:color="auto" w:fill="auto"/>
                  <w:vAlign w:val="center"/>
                </w:tcPr>
                <w:p>
                  <w:pPr>
                    <w:adjustRightInd w:val="0"/>
                    <w:snapToGrid w:val="0"/>
                    <w:spacing w:line="240" w:lineRule="auto"/>
                    <w:jc w:val="center"/>
                    <w:rPr>
                      <w:rFonts w:hint="eastAsia" w:ascii="宋体" w:hAnsi="宋体" w:eastAsia="宋体" w:cs="宋体"/>
                      <w:sz w:val="21"/>
                      <w:szCs w:val="21"/>
                    </w:rPr>
                  </w:pPr>
                  <w:r>
                    <w:rPr>
                      <w:rFonts w:hint="eastAsia" w:ascii="宋体" w:hAnsi="宋体" w:eastAsia="宋体" w:cs="宋体"/>
                      <w:sz w:val="21"/>
                      <w:szCs w:val="21"/>
                      <w:lang w:val="en-US" w:eastAsia="zh-CN"/>
                    </w:rPr>
                    <w:t>型号为</w:t>
                  </w:r>
                  <w:r>
                    <w:rPr>
                      <w:rFonts w:hint="eastAsia" w:ascii="宋体" w:hAnsi="宋体" w:eastAsia="宋体" w:cs="宋体"/>
                      <w:sz w:val="21"/>
                      <w:szCs w:val="21"/>
                    </w:rPr>
                    <w:t>6000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0" w:hRule="atLeast"/>
                <w:jc w:val="center"/>
              </w:trPr>
              <w:tc>
                <w:tcPr>
                  <w:tcW w:w="1826" w:type="dxa"/>
                  <w:shd w:val="clear" w:color="auto" w:fill="auto"/>
                  <w:vAlign w:val="center"/>
                </w:tcPr>
                <w:p>
                  <w:pPr>
                    <w:adjustRightInd w:val="0"/>
                    <w:snapToGrid w:val="0"/>
                    <w:spacing w:line="240" w:lineRule="auto"/>
                    <w:jc w:val="center"/>
                    <w:rPr>
                      <w:rFonts w:hint="eastAsia" w:ascii="宋体" w:hAnsi="宋体" w:eastAsia="宋体" w:cs="宋体"/>
                      <w:sz w:val="21"/>
                      <w:szCs w:val="21"/>
                    </w:rPr>
                  </w:pPr>
                  <w:r>
                    <w:rPr>
                      <w:rFonts w:hint="eastAsia" w:ascii="宋体" w:hAnsi="宋体" w:eastAsia="宋体" w:cs="宋体"/>
                      <w:sz w:val="21"/>
                      <w:szCs w:val="21"/>
                    </w:rPr>
                    <w:t>成品镀锌板</w:t>
                  </w:r>
                </w:p>
              </w:tc>
              <w:tc>
                <w:tcPr>
                  <w:tcW w:w="1178" w:type="dxa"/>
                  <w:shd w:val="clear" w:color="auto" w:fill="auto"/>
                  <w:vAlign w:val="center"/>
                </w:tcPr>
                <w:p>
                  <w:pPr>
                    <w:pStyle w:val="24"/>
                    <w:widowControl w:val="0"/>
                    <w:spacing w:line="240" w:lineRule="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3</w:t>
                  </w:r>
                </w:p>
              </w:tc>
              <w:tc>
                <w:tcPr>
                  <w:tcW w:w="1377" w:type="dxa"/>
                  <w:shd w:val="clear" w:color="auto" w:fill="auto"/>
                  <w:vAlign w:val="center"/>
                </w:tcPr>
                <w:p>
                  <w:pPr>
                    <w:pStyle w:val="24"/>
                    <w:widowControl w:val="0"/>
                    <w:spacing w:line="240" w:lineRule="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3</w:t>
                  </w:r>
                </w:p>
              </w:tc>
              <w:tc>
                <w:tcPr>
                  <w:tcW w:w="1377" w:type="dxa"/>
                  <w:shd w:val="clear" w:color="auto" w:fill="auto"/>
                  <w:vAlign w:val="center"/>
                </w:tcPr>
                <w:p>
                  <w:pPr>
                    <w:adjustRightInd w:val="0"/>
                    <w:snapToGrid w:val="0"/>
                    <w:spacing w:line="24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t/a</w:t>
                  </w:r>
                </w:p>
              </w:tc>
              <w:tc>
                <w:tcPr>
                  <w:tcW w:w="2402" w:type="dxa"/>
                  <w:shd w:val="clear" w:color="auto" w:fill="auto"/>
                  <w:vAlign w:val="center"/>
                </w:tcPr>
                <w:p>
                  <w:pPr>
                    <w:adjustRightInd w:val="0"/>
                    <w:snapToGrid w:val="0"/>
                    <w:spacing w:line="240" w:lineRule="auto"/>
                    <w:jc w:val="center"/>
                    <w:rPr>
                      <w:rFonts w:hint="eastAsia" w:ascii="宋体" w:hAnsi="宋体" w:eastAsia="宋体" w:cs="宋体"/>
                      <w:sz w:val="21"/>
                      <w:szCs w:val="21"/>
                    </w:rPr>
                  </w:pPr>
                  <w:r>
                    <w:rPr>
                      <w:rFonts w:hint="eastAsia" w:ascii="宋体" w:hAnsi="宋体" w:eastAsia="宋体" w:cs="宋体"/>
                      <w:sz w:val="21"/>
                      <w:szCs w:val="21"/>
                      <w:lang w:val="en-US" w:eastAsia="zh-CN"/>
                    </w:rPr>
                    <w:t>规格为</w:t>
                  </w:r>
                  <w:r>
                    <w:rPr>
                      <w:rFonts w:hint="eastAsia" w:ascii="宋体" w:hAnsi="宋体" w:eastAsia="宋体" w:cs="宋体"/>
                      <w:sz w:val="21"/>
                      <w:szCs w:val="21"/>
                    </w:rPr>
                    <w:t>2440×1220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0" w:hRule="atLeast"/>
                <w:jc w:val="center"/>
              </w:trPr>
              <w:tc>
                <w:tcPr>
                  <w:tcW w:w="1826" w:type="dxa"/>
                  <w:shd w:val="clear" w:color="auto" w:fill="auto"/>
                  <w:vAlign w:val="center"/>
                </w:tcPr>
                <w:p>
                  <w:pPr>
                    <w:adjustRightInd w:val="0"/>
                    <w:snapToGrid w:val="0"/>
                    <w:spacing w:line="240" w:lineRule="auto"/>
                    <w:jc w:val="center"/>
                    <w:rPr>
                      <w:rFonts w:hint="eastAsia" w:ascii="宋体" w:hAnsi="宋体" w:eastAsia="宋体" w:cs="宋体"/>
                      <w:sz w:val="21"/>
                      <w:szCs w:val="21"/>
                    </w:rPr>
                  </w:pPr>
                  <w:r>
                    <w:rPr>
                      <w:rFonts w:hint="eastAsia" w:ascii="宋体" w:hAnsi="宋体" w:eastAsia="宋体" w:cs="宋体"/>
                      <w:sz w:val="21"/>
                      <w:szCs w:val="21"/>
                    </w:rPr>
                    <w:t>成品镀锌管</w:t>
                  </w:r>
                </w:p>
              </w:tc>
              <w:tc>
                <w:tcPr>
                  <w:tcW w:w="1178" w:type="dxa"/>
                  <w:shd w:val="clear" w:color="auto" w:fill="auto"/>
                  <w:vAlign w:val="center"/>
                </w:tcPr>
                <w:p>
                  <w:pPr>
                    <w:pStyle w:val="24"/>
                    <w:widowControl w:val="0"/>
                    <w:spacing w:line="240" w:lineRule="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w:t>
                  </w:r>
                </w:p>
              </w:tc>
              <w:tc>
                <w:tcPr>
                  <w:tcW w:w="1377" w:type="dxa"/>
                  <w:shd w:val="clear" w:color="auto" w:fill="auto"/>
                  <w:vAlign w:val="center"/>
                </w:tcPr>
                <w:p>
                  <w:pPr>
                    <w:pStyle w:val="24"/>
                    <w:widowControl w:val="0"/>
                    <w:spacing w:line="240" w:lineRule="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w:t>
                  </w:r>
                </w:p>
              </w:tc>
              <w:tc>
                <w:tcPr>
                  <w:tcW w:w="1377" w:type="dxa"/>
                  <w:shd w:val="clear" w:color="auto" w:fill="auto"/>
                  <w:vAlign w:val="center"/>
                </w:tcPr>
                <w:p>
                  <w:pPr>
                    <w:adjustRightInd w:val="0"/>
                    <w:snapToGrid w:val="0"/>
                    <w:spacing w:line="24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t/a</w:t>
                  </w:r>
                </w:p>
              </w:tc>
              <w:tc>
                <w:tcPr>
                  <w:tcW w:w="2402" w:type="dxa"/>
                  <w:shd w:val="clear" w:color="auto" w:fill="auto"/>
                  <w:vAlign w:val="center"/>
                </w:tcPr>
                <w:p>
                  <w:pPr>
                    <w:adjustRightInd w:val="0"/>
                    <w:snapToGrid w:val="0"/>
                    <w:spacing w:line="240" w:lineRule="auto"/>
                    <w:jc w:val="center"/>
                    <w:rPr>
                      <w:rFonts w:hint="eastAsia" w:ascii="宋体" w:hAnsi="宋体" w:eastAsia="宋体" w:cs="宋体"/>
                      <w:sz w:val="21"/>
                      <w:szCs w:val="21"/>
                    </w:rPr>
                  </w:pPr>
                  <w:r>
                    <w:rPr>
                      <w:rFonts w:hint="eastAsia" w:ascii="宋体" w:hAnsi="宋体" w:eastAsia="宋体" w:cs="宋体"/>
                      <w:sz w:val="21"/>
                      <w:szCs w:val="21"/>
                      <w:lang w:val="en-US" w:eastAsia="zh-CN"/>
                    </w:rPr>
                    <w:t>型号为</w:t>
                  </w:r>
                  <w:r>
                    <w:rPr>
                      <w:rFonts w:hint="eastAsia" w:ascii="宋体" w:hAnsi="宋体" w:eastAsia="宋体" w:cs="宋体"/>
                      <w:sz w:val="21"/>
                      <w:szCs w:val="21"/>
                    </w:rPr>
                    <w:t>6000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0" w:hRule="atLeast"/>
                <w:jc w:val="center"/>
              </w:trPr>
              <w:tc>
                <w:tcPr>
                  <w:tcW w:w="1826" w:type="dxa"/>
                  <w:shd w:val="clear" w:color="auto" w:fill="auto"/>
                  <w:vAlign w:val="center"/>
                </w:tcPr>
                <w:p>
                  <w:pPr>
                    <w:adjustRightInd w:val="0"/>
                    <w:snapToGrid w:val="0"/>
                    <w:spacing w:line="240" w:lineRule="auto"/>
                    <w:jc w:val="center"/>
                    <w:rPr>
                      <w:rFonts w:hint="eastAsia" w:ascii="宋体" w:hAnsi="宋体" w:eastAsia="宋体" w:cs="宋体"/>
                      <w:sz w:val="21"/>
                      <w:szCs w:val="21"/>
                      <w:lang w:eastAsia="zh-CN"/>
                    </w:rPr>
                  </w:pPr>
                  <w:r>
                    <w:rPr>
                      <w:rFonts w:hint="eastAsia" w:ascii="宋体" w:hAnsi="宋体" w:eastAsia="宋体" w:cs="宋体"/>
                      <w:sz w:val="21"/>
                      <w:szCs w:val="21"/>
                    </w:rPr>
                    <w:t>成品铝合金</w:t>
                  </w:r>
                </w:p>
              </w:tc>
              <w:tc>
                <w:tcPr>
                  <w:tcW w:w="1178" w:type="dxa"/>
                  <w:shd w:val="clear" w:color="auto" w:fill="auto"/>
                  <w:vAlign w:val="center"/>
                </w:tcPr>
                <w:p>
                  <w:pPr>
                    <w:pStyle w:val="24"/>
                    <w:widowControl w:val="0"/>
                    <w:spacing w:line="240" w:lineRule="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w:t>
                  </w:r>
                </w:p>
              </w:tc>
              <w:tc>
                <w:tcPr>
                  <w:tcW w:w="1377" w:type="dxa"/>
                  <w:shd w:val="clear" w:color="auto" w:fill="auto"/>
                  <w:vAlign w:val="center"/>
                </w:tcPr>
                <w:p>
                  <w:pPr>
                    <w:pStyle w:val="24"/>
                    <w:widowControl w:val="0"/>
                    <w:spacing w:line="240" w:lineRule="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w:t>
                  </w:r>
                </w:p>
              </w:tc>
              <w:tc>
                <w:tcPr>
                  <w:tcW w:w="1377" w:type="dxa"/>
                  <w:shd w:val="clear" w:color="auto" w:fill="auto"/>
                  <w:vAlign w:val="center"/>
                </w:tcPr>
                <w:p>
                  <w:pPr>
                    <w:adjustRightInd w:val="0"/>
                    <w:snapToGrid w:val="0"/>
                    <w:spacing w:line="24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t/a</w:t>
                  </w:r>
                </w:p>
              </w:tc>
              <w:tc>
                <w:tcPr>
                  <w:tcW w:w="2402" w:type="dxa"/>
                  <w:shd w:val="clear" w:color="auto" w:fill="auto"/>
                  <w:vAlign w:val="center"/>
                </w:tcPr>
                <w:p>
                  <w:pPr>
                    <w:adjustRightInd w:val="0"/>
                    <w:snapToGrid w:val="0"/>
                    <w:spacing w:line="240" w:lineRule="auto"/>
                    <w:jc w:val="center"/>
                    <w:rPr>
                      <w:rFonts w:hint="eastAsia" w:ascii="宋体" w:hAnsi="宋体" w:eastAsia="宋体" w:cs="宋体"/>
                      <w:sz w:val="21"/>
                      <w:szCs w:val="21"/>
                    </w:rPr>
                  </w:pPr>
                  <w:r>
                    <w:rPr>
                      <w:rFonts w:hint="eastAsia" w:ascii="宋体" w:hAnsi="宋体" w:eastAsia="宋体" w:cs="宋体"/>
                      <w:sz w:val="21"/>
                      <w:szCs w:val="21"/>
                      <w:lang w:val="en-US" w:eastAsia="zh-CN"/>
                    </w:rPr>
                    <w:t>规格为</w:t>
                  </w:r>
                  <w:r>
                    <w:rPr>
                      <w:rFonts w:hint="eastAsia" w:ascii="宋体" w:hAnsi="宋体" w:eastAsia="宋体" w:cs="宋体"/>
                      <w:sz w:val="21"/>
                      <w:szCs w:val="21"/>
                    </w:rPr>
                    <w:t>2440×1220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0" w:hRule="atLeast"/>
                <w:jc w:val="center"/>
              </w:trPr>
              <w:tc>
                <w:tcPr>
                  <w:tcW w:w="1826" w:type="dxa"/>
                  <w:shd w:val="clear" w:color="auto" w:fill="auto"/>
                  <w:vAlign w:val="center"/>
                </w:tcPr>
                <w:p>
                  <w:pPr>
                    <w:adjustRightInd w:val="0"/>
                    <w:snapToGrid w:val="0"/>
                    <w:spacing w:line="240" w:lineRule="auto"/>
                    <w:jc w:val="center"/>
                    <w:rPr>
                      <w:rFonts w:hint="eastAsia" w:ascii="宋体" w:hAnsi="宋体" w:eastAsia="宋体" w:cs="宋体"/>
                      <w:sz w:val="21"/>
                      <w:szCs w:val="21"/>
                    </w:rPr>
                  </w:pPr>
                  <w:r>
                    <w:rPr>
                      <w:rFonts w:hint="eastAsia" w:ascii="宋体" w:hAnsi="宋体" w:eastAsia="宋体" w:cs="宋体"/>
                      <w:sz w:val="21"/>
                      <w:szCs w:val="21"/>
                    </w:rPr>
                    <w:t>焊丝</w:t>
                  </w:r>
                </w:p>
              </w:tc>
              <w:tc>
                <w:tcPr>
                  <w:tcW w:w="1178" w:type="dxa"/>
                  <w:shd w:val="clear" w:color="auto" w:fill="auto"/>
                  <w:vAlign w:val="center"/>
                </w:tcPr>
                <w:p>
                  <w:pPr>
                    <w:pStyle w:val="24"/>
                    <w:widowControl w:val="0"/>
                    <w:spacing w:line="240" w:lineRule="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w:t>
                  </w:r>
                </w:p>
              </w:tc>
              <w:tc>
                <w:tcPr>
                  <w:tcW w:w="1377" w:type="dxa"/>
                  <w:shd w:val="clear" w:color="auto" w:fill="auto"/>
                  <w:vAlign w:val="center"/>
                </w:tcPr>
                <w:p>
                  <w:pPr>
                    <w:pStyle w:val="24"/>
                    <w:widowControl w:val="0"/>
                    <w:spacing w:line="240" w:lineRule="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w:t>
                  </w:r>
                </w:p>
              </w:tc>
              <w:tc>
                <w:tcPr>
                  <w:tcW w:w="1377" w:type="dxa"/>
                  <w:shd w:val="clear" w:color="auto" w:fill="auto"/>
                  <w:vAlign w:val="center"/>
                </w:tcPr>
                <w:p>
                  <w:pPr>
                    <w:adjustRightInd w:val="0"/>
                    <w:snapToGrid w:val="0"/>
                    <w:spacing w:line="24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t/a</w:t>
                  </w:r>
                </w:p>
              </w:tc>
              <w:tc>
                <w:tcPr>
                  <w:tcW w:w="2402" w:type="dxa"/>
                  <w:shd w:val="clear" w:color="auto" w:fill="auto"/>
                  <w:vAlign w:val="center"/>
                </w:tcPr>
                <w:p>
                  <w:pPr>
                    <w:adjustRightInd w:val="0"/>
                    <w:snapToGrid w:val="0"/>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0" w:hRule="atLeast"/>
                <w:jc w:val="center"/>
              </w:trPr>
              <w:tc>
                <w:tcPr>
                  <w:tcW w:w="1826" w:type="dxa"/>
                  <w:shd w:val="clear" w:color="auto" w:fill="auto"/>
                  <w:vAlign w:val="center"/>
                </w:tcPr>
                <w:p>
                  <w:pPr>
                    <w:adjustRightInd w:val="0"/>
                    <w:snapToGrid w:val="0"/>
                    <w:spacing w:line="240" w:lineRule="auto"/>
                    <w:jc w:val="center"/>
                    <w:rPr>
                      <w:rFonts w:hint="eastAsia" w:ascii="宋体" w:hAnsi="宋体" w:eastAsia="宋体" w:cs="宋体"/>
                      <w:sz w:val="21"/>
                      <w:szCs w:val="21"/>
                    </w:rPr>
                  </w:pPr>
                  <w:r>
                    <w:rPr>
                      <w:rFonts w:hint="eastAsia" w:ascii="宋体" w:hAnsi="宋体" w:eastAsia="宋体" w:cs="宋体"/>
                      <w:sz w:val="21"/>
                      <w:szCs w:val="21"/>
                    </w:rPr>
                    <w:t>LED灯</w:t>
                  </w:r>
                </w:p>
              </w:tc>
              <w:tc>
                <w:tcPr>
                  <w:tcW w:w="1178" w:type="dxa"/>
                  <w:shd w:val="clear" w:color="auto" w:fill="auto"/>
                  <w:vAlign w:val="center"/>
                </w:tcPr>
                <w:p>
                  <w:pPr>
                    <w:pStyle w:val="24"/>
                    <w:widowControl w:val="0"/>
                    <w:spacing w:line="240" w:lineRule="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2000</w:t>
                  </w:r>
                </w:p>
              </w:tc>
              <w:tc>
                <w:tcPr>
                  <w:tcW w:w="1377" w:type="dxa"/>
                  <w:shd w:val="clear" w:color="auto" w:fill="auto"/>
                  <w:vAlign w:val="center"/>
                </w:tcPr>
                <w:p>
                  <w:pPr>
                    <w:pStyle w:val="24"/>
                    <w:widowControl w:val="0"/>
                    <w:spacing w:line="240" w:lineRule="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2000</w:t>
                  </w:r>
                </w:p>
              </w:tc>
              <w:tc>
                <w:tcPr>
                  <w:tcW w:w="1377" w:type="dxa"/>
                  <w:shd w:val="clear" w:color="auto" w:fill="auto"/>
                  <w:vAlign w:val="center"/>
                </w:tcPr>
                <w:p>
                  <w:pPr>
                    <w:adjustRightInd w:val="0"/>
                    <w:snapToGrid w:val="0"/>
                    <w:spacing w:line="24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个</w:t>
                  </w:r>
                </w:p>
              </w:tc>
              <w:tc>
                <w:tcPr>
                  <w:tcW w:w="2402" w:type="dxa"/>
                  <w:shd w:val="clear" w:color="auto" w:fill="auto"/>
                  <w:vAlign w:val="center"/>
                </w:tcPr>
                <w:p>
                  <w:pPr>
                    <w:adjustRightInd w:val="0"/>
                    <w:snapToGrid w:val="0"/>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型号为</w:t>
                  </w:r>
                  <w:r>
                    <w:rPr>
                      <w:rFonts w:hint="eastAsia" w:ascii="宋体" w:hAnsi="宋体" w:eastAsia="宋体" w:cs="宋体"/>
                      <w:sz w:val="21"/>
                      <w:szCs w:val="21"/>
                    </w:rPr>
                    <w:t>S10M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0" w:hRule="atLeast"/>
                <w:jc w:val="center"/>
              </w:trPr>
              <w:tc>
                <w:tcPr>
                  <w:tcW w:w="1826" w:type="dxa"/>
                  <w:shd w:val="clear" w:color="auto" w:fill="auto"/>
                  <w:vAlign w:val="center"/>
                </w:tcPr>
                <w:p>
                  <w:pPr>
                    <w:adjustRightInd w:val="0"/>
                    <w:snapToGrid w:val="0"/>
                    <w:spacing w:line="240" w:lineRule="auto"/>
                    <w:jc w:val="center"/>
                    <w:rPr>
                      <w:rFonts w:hint="eastAsia" w:ascii="宋体" w:hAnsi="宋体" w:eastAsia="宋体" w:cs="宋体"/>
                      <w:sz w:val="21"/>
                      <w:szCs w:val="21"/>
                    </w:rPr>
                  </w:pPr>
                  <w:r>
                    <w:rPr>
                      <w:rFonts w:hint="eastAsia" w:ascii="宋体" w:hAnsi="宋体" w:eastAsia="宋体" w:cs="宋体"/>
                      <w:sz w:val="21"/>
                      <w:szCs w:val="21"/>
                    </w:rPr>
                    <w:t>电线</w:t>
                  </w:r>
                </w:p>
              </w:tc>
              <w:tc>
                <w:tcPr>
                  <w:tcW w:w="1178" w:type="dxa"/>
                  <w:shd w:val="clear" w:color="auto" w:fill="auto"/>
                  <w:vAlign w:val="center"/>
                </w:tcPr>
                <w:p>
                  <w:pPr>
                    <w:pStyle w:val="24"/>
                    <w:widowControl w:val="0"/>
                    <w:spacing w:line="240" w:lineRule="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10</w:t>
                  </w:r>
                </w:p>
              </w:tc>
              <w:tc>
                <w:tcPr>
                  <w:tcW w:w="1377" w:type="dxa"/>
                  <w:shd w:val="clear" w:color="auto" w:fill="auto"/>
                  <w:vAlign w:val="center"/>
                </w:tcPr>
                <w:p>
                  <w:pPr>
                    <w:pStyle w:val="24"/>
                    <w:widowControl w:val="0"/>
                    <w:spacing w:line="240" w:lineRule="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10</w:t>
                  </w:r>
                </w:p>
              </w:tc>
              <w:tc>
                <w:tcPr>
                  <w:tcW w:w="1377" w:type="dxa"/>
                  <w:shd w:val="clear" w:color="auto" w:fill="auto"/>
                  <w:vAlign w:val="center"/>
                </w:tcPr>
                <w:p>
                  <w:pPr>
                    <w:adjustRightInd w:val="0"/>
                    <w:snapToGrid w:val="0"/>
                    <w:spacing w:line="24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卷</w:t>
                  </w:r>
                </w:p>
              </w:tc>
              <w:tc>
                <w:tcPr>
                  <w:tcW w:w="2402" w:type="dxa"/>
                  <w:shd w:val="clear" w:color="auto" w:fill="auto"/>
                  <w:vAlign w:val="center"/>
                </w:tcPr>
                <w:p>
                  <w:pPr>
                    <w:adjustRightInd w:val="0"/>
                    <w:snapToGrid w:val="0"/>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型号为</w:t>
                  </w:r>
                  <w:r>
                    <w:rPr>
                      <w:rFonts w:hint="eastAsia" w:ascii="宋体" w:hAnsi="宋体" w:eastAsia="宋体" w:cs="宋体"/>
                      <w:sz w:val="21"/>
                      <w:szCs w:val="21"/>
                    </w:rPr>
                    <w:t>S6M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0" w:hRule="atLeast"/>
                <w:jc w:val="center"/>
              </w:trPr>
              <w:tc>
                <w:tcPr>
                  <w:tcW w:w="1826" w:type="dxa"/>
                  <w:shd w:val="clear" w:color="auto" w:fill="auto"/>
                  <w:vAlign w:val="center"/>
                </w:tcPr>
                <w:p>
                  <w:pPr>
                    <w:adjustRightInd w:val="0"/>
                    <w:snapToGrid w:val="0"/>
                    <w:spacing w:line="240" w:lineRule="auto"/>
                    <w:jc w:val="center"/>
                    <w:rPr>
                      <w:rFonts w:hint="eastAsia" w:ascii="宋体" w:hAnsi="宋体" w:eastAsia="宋体" w:cs="宋体"/>
                      <w:sz w:val="21"/>
                      <w:szCs w:val="21"/>
                    </w:rPr>
                  </w:pPr>
                  <w:r>
                    <w:rPr>
                      <w:rFonts w:hint="eastAsia" w:ascii="宋体" w:hAnsi="宋体" w:eastAsia="宋体" w:cs="宋体"/>
                      <w:sz w:val="21"/>
                      <w:szCs w:val="21"/>
                    </w:rPr>
                    <w:t>塑粉</w:t>
                  </w:r>
                </w:p>
              </w:tc>
              <w:tc>
                <w:tcPr>
                  <w:tcW w:w="1178" w:type="dxa"/>
                  <w:shd w:val="clear" w:color="auto" w:fill="auto"/>
                  <w:vAlign w:val="center"/>
                </w:tcPr>
                <w:p>
                  <w:pPr>
                    <w:pStyle w:val="24"/>
                    <w:widowControl w:val="0"/>
                    <w:spacing w:line="240" w:lineRule="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w:t>
                  </w:r>
                </w:p>
              </w:tc>
              <w:tc>
                <w:tcPr>
                  <w:tcW w:w="1377" w:type="dxa"/>
                  <w:shd w:val="clear" w:color="auto" w:fill="auto"/>
                  <w:vAlign w:val="center"/>
                </w:tcPr>
                <w:p>
                  <w:pPr>
                    <w:pStyle w:val="24"/>
                    <w:widowControl w:val="0"/>
                    <w:spacing w:line="240" w:lineRule="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w:t>
                  </w:r>
                </w:p>
              </w:tc>
              <w:tc>
                <w:tcPr>
                  <w:tcW w:w="1377" w:type="dxa"/>
                  <w:shd w:val="clear" w:color="auto" w:fill="auto"/>
                  <w:vAlign w:val="center"/>
                </w:tcPr>
                <w:p>
                  <w:pPr>
                    <w:adjustRightInd w:val="0"/>
                    <w:snapToGrid w:val="0"/>
                    <w:spacing w:line="24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t/a</w:t>
                  </w:r>
                </w:p>
              </w:tc>
              <w:tc>
                <w:tcPr>
                  <w:tcW w:w="2402" w:type="dxa"/>
                  <w:shd w:val="clear" w:color="auto" w:fill="auto"/>
                  <w:vAlign w:val="center"/>
                </w:tcPr>
                <w:p>
                  <w:pPr>
                    <w:adjustRightInd w:val="0"/>
                    <w:snapToGrid w:val="0"/>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0" w:hRule="atLeast"/>
                <w:jc w:val="center"/>
              </w:trPr>
              <w:tc>
                <w:tcPr>
                  <w:tcW w:w="1826" w:type="dxa"/>
                  <w:shd w:val="clear" w:color="auto" w:fill="auto"/>
                  <w:vAlign w:val="center"/>
                </w:tcPr>
                <w:p>
                  <w:pPr>
                    <w:adjustRightInd w:val="0"/>
                    <w:snapToGrid w:val="0"/>
                    <w:spacing w:line="240" w:lineRule="auto"/>
                    <w:jc w:val="center"/>
                    <w:rPr>
                      <w:rFonts w:hint="eastAsia" w:ascii="宋体" w:hAnsi="宋体" w:eastAsia="宋体" w:cs="宋体"/>
                      <w:sz w:val="21"/>
                      <w:szCs w:val="21"/>
                    </w:rPr>
                  </w:pPr>
                  <w:r>
                    <w:rPr>
                      <w:rFonts w:hint="eastAsia" w:ascii="宋体" w:hAnsi="宋体" w:eastAsia="宋体" w:cs="宋体"/>
                      <w:sz w:val="21"/>
                      <w:szCs w:val="21"/>
                    </w:rPr>
                    <w:t>金属漆（购买油漆和稀释剂调配好的油漆）</w:t>
                  </w:r>
                </w:p>
              </w:tc>
              <w:tc>
                <w:tcPr>
                  <w:tcW w:w="1178" w:type="dxa"/>
                  <w:shd w:val="clear" w:color="auto" w:fill="auto"/>
                  <w:vAlign w:val="center"/>
                </w:tcPr>
                <w:p>
                  <w:pPr>
                    <w:pStyle w:val="24"/>
                    <w:widowControl w:val="0"/>
                    <w:spacing w:line="240" w:lineRule="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1.8</w:t>
                  </w:r>
                </w:p>
              </w:tc>
              <w:tc>
                <w:tcPr>
                  <w:tcW w:w="1377" w:type="dxa"/>
                  <w:shd w:val="clear" w:color="auto" w:fill="auto"/>
                  <w:vAlign w:val="center"/>
                </w:tcPr>
                <w:p>
                  <w:pPr>
                    <w:pStyle w:val="24"/>
                    <w:widowControl w:val="0"/>
                    <w:spacing w:line="240" w:lineRule="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1.8</w:t>
                  </w:r>
                </w:p>
              </w:tc>
              <w:tc>
                <w:tcPr>
                  <w:tcW w:w="1377" w:type="dxa"/>
                  <w:shd w:val="clear" w:color="auto" w:fill="auto"/>
                  <w:vAlign w:val="center"/>
                </w:tcPr>
                <w:p>
                  <w:pPr>
                    <w:adjustRightInd w:val="0"/>
                    <w:snapToGrid w:val="0"/>
                    <w:spacing w:line="24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t/a</w:t>
                  </w:r>
                </w:p>
              </w:tc>
              <w:tc>
                <w:tcPr>
                  <w:tcW w:w="2402" w:type="dxa"/>
                  <w:shd w:val="clear" w:color="auto" w:fill="auto"/>
                  <w:vAlign w:val="center"/>
                </w:tcPr>
                <w:p>
                  <w:pPr>
                    <w:adjustRightInd w:val="0"/>
                    <w:snapToGrid w:val="0"/>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0" w:hRule="atLeast"/>
                <w:jc w:val="center"/>
              </w:trPr>
              <w:tc>
                <w:tcPr>
                  <w:tcW w:w="1826" w:type="dxa"/>
                  <w:shd w:val="clear" w:color="auto" w:fill="auto"/>
                  <w:vAlign w:val="center"/>
                </w:tcPr>
                <w:p>
                  <w:pPr>
                    <w:adjustRightInd w:val="0"/>
                    <w:snapToGrid w:val="0"/>
                    <w:spacing w:line="240" w:lineRule="auto"/>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水</w:t>
                  </w:r>
                </w:p>
              </w:tc>
              <w:tc>
                <w:tcPr>
                  <w:tcW w:w="1178" w:type="dxa"/>
                  <w:shd w:val="clear" w:color="auto" w:fill="auto"/>
                  <w:vAlign w:val="center"/>
                </w:tcPr>
                <w:p>
                  <w:pPr>
                    <w:adjustRightInd w:val="0"/>
                    <w:snapToGrid w:val="0"/>
                    <w:spacing w:line="240" w:lineRule="auto"/>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276</w:t>
                  </w:r>
                </w:p>
              </w:tc>
              <w:tc>
                <w:tcPr>
                  <w:tcW w:w="1377" w:type="dxa"/>
                  <w:shd w:val="clear" w:color="auto" w:fill="auto"/>
                  <w:vAlign w:val="center"/>
                </w:tcPr>
                <w:p>
                  <w:pPr>
                    <w:adjustRightInd w:val="0"/>
                    <w:snapToGrid w:val="0"/>
                    <w:spacing w:line="240" w:lineRule="auto"/>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276</w:t>
                  </w:r>
                </w:p>
              </w:tc>
              <w:tc>
                <w:tcPr>
                  <w:tcW w:w="1377" w:type="dxa"/>
                  <w:shd w:val="clear" w:color="auto" w:fill="auto"/>
                  <w:vAlign w:val="center"/>
                </w:tcPr>
                <w:p>
                  <w:pPr>
                    <w:adjustRightInd w:val="0"/>
                    <w:snapToGrid w:val="0"/>
                    <w:spacing w:line="240" w:lineRule="auto"/>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t/a</w:t>
                  </w:r>
                </w:p>
              </w:tc>
              <w:tc>
                <w:tcPr>
                  <w:tcW w:w="2402" w:type="dxa"/>
                  <w:shd w:val="clear" w:color="auto" w:fill="auto"/>
                  <w:vAlign w:val="center"/>
                </w:tcPr>
                <w:p>
                  <w:pPr>
                    <w:adjustRightInd w:val="0"/>
                    <w:snapToGrid w:val="0"/>
                    <w:spacing w:line="24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sz w:val="21"/>
                      <w:szCs w:val="21"/>
                    </w:rPr>
                    <w:t>由市政供给</w:t>
                  </w:r>
                </w:p>
              </w:tc>
            </w:tr>
          </w:tbl>
          <w:p>
            <w:pPr>
              <w:widowControl w:val="0"/>
              <w:spacing w:after="0" w:line="360" w:lineRule="auto"/>
              <w:ind w:firstLine="480" w:firstLineChars="200"/>
              <w:jc w:val="both"/>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rPr>
              <w:t>水源及水平衡</w:t>
            </w:r>
          </w:p>
          <w:p>
            <w:pPr>
              <w:widowControl w:val="0"/>
              <w:spacing w:after="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根据踏勘，职工生活用水经厂区化粪池处理后用抽粪车定期清运，作为农家肥施用于农田；除漆雾循环废水属于危险废物，定期送资质单位处理处置。项目实际水平衡图见图2-2。</w:t>
            </w:r>
          </w:p>
          <w:p>
            <w:pPr>
              <w:widowControl w:val="0"/>
              <w:spacing w:before="156" w:beforeLines="50"/>
              <w:jc w:val="center"/>
              <w:rPr>
                <w:rFonts w:hint="eastAsia" w:eastAsia="宋体"/>
                <w:b/>
                <w:bCs/>
                <w:color w:val="0070C0"/>
                <w:szCs w:val="21"/>
                <w:lang w:eastAsia="zh-CN"/>
              </w:rPr>
            </w:pPr>
            <w:r>
              <w:rPr>
                <w:rFonts w:hint="eastAsia" w:eastAsia="宋体"/>
                <w:b/>
                <w:bCs/>
                <w:color w:val="0070C0"/>
                <w:szCs w:val="21"/>
                <w:lang w:eastAsia="zh-CN"/>
              </w:rPr>
              <w:drawing>
                <wp:inline distT="0" distB="0" distL="114300" distR="114300">
                  <wp:extent cx="5144135" cy="2632075"/>
                  <wp:effectExtent l="0" t="0" r="6985" b="4445"/>
                  <wp:docPr id="4" name="图片 4" descr="1640602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640602154(1)"/>
                          <pic:cNvPicPr>
                            <a:picLocks noChangeAspect="1"/>
                          </pic:cNvPicPr>
                        </pic:nvPicPr>
                        <pic:blipFill>
                          <a:blip r:embed="rId16"/>
                          <a:stretch>
                            <a:fillRect/>
                          </a:stretch>
                        </pic:blipFill>
                        <pic:spPr>
                          <a:xfrm>
                            <a:off x="0" y="0"/>
                            <a:ext cx="5144135" cy="2632075"/>
                          </a:xfrm>
                          <a:prstGeom prst="rect">
                            <a:avLst/>
                          </a:prstGeom>
                        </pic:spPr>
                      </pic:pic>
                    </a:graphicData>
                  </a:graphic>
                </wp:inline>
              </w:drawing>
            </w:r>
          </w:p>
          <w:p>
            <w:pPr>
              <w:widowControl w:val="0"/>
              <w:adjustRightInd w:val="0"/>
              <w:snapToGrid w:val="0"/>
              <w:spacing w:line="360" w:lineRule="auto"/>
              <w:jc w:val="center"/>
              <w:rPr>
                <w:rFonts w:hint="eastAsia" w:ascii="宋体" w:hAnsi="宋体" w:eastAsia="宋体" w:cs="宋体"/>
                <w:b w:val="0"/>
                <w:bCs w:val="0"/>
                <w:color w:val="auto"/>
                <w:sz w:val="24"/>
              </w:rPr>
            </w:pPr>
            <w:r>
              <w:rPr>
                <w:rFonts w:hint="eastAsia" w:ascii="宋体" w:hAnsi="宋体" w:eastAsia="宋体" w:cs="宋体"/>
                <w:b w:val="0"/>
                <w:bCs w:val="0"/>
                <w:color w:val="auto"/>
                <w:sz w:val="24"/>
              </w:rPr>
              <w:t>图</w:t>
            </w:r>
            <w:r>
              <w:rPr>
                <w:rFonts w:hint="eastAsia" w:ascii="宋体" w:hAnsi="宋体" w:eastAsia="宋体" w:cs="宋体"/>
                <w:b w:val="0"/>
                <w:bCs w:val="0"/>
                <w:color w:val="auto"/>
                <w:sz w:val="24"/>
                <w:lang w:val="en-US" w:eastAsia="zh-CN"/>
              </w:rPr>
              <w:t>2-2</w:t>
            </w:r>
            <w:r>
              <w:rPr>
                <w:rFonts w:hint="eastAsia" w:ascii="宋体" w:hAnsi="宋体" w:eastAsia="宋体" w:cs="宋体"/>
                <w:b w:val="0"/>
                <w:bCs w:val="0"/>
                <w:color w:val="auto"/>
                <w:sz w:val="24"/>
              </w:rPr>
              <w:t xml:space="preserve"> 项目运营期水量平衡图 </w:t>
            </w:r>
            <w:r>
              <w:rPr>
                <w:rFonts w:hint="eastAsia" w:ascii="宋体" w:hAnsi="宋体" w:eastAsia="宋体" w:cs="宋体"/>
                <w:b w:val="0"/>
                <w:bCs w:val="0"/>
                <w:color w:val="FF0000"/>
                <w:sz w:val="24"/>
              </w:rPr>
              <w:t xml:space="preserve"> </w:t>
            </w:r>
            <w:r>
              <w:rPr>
                <w:rFonts w:hint="eastAsia" w:ascii="宋体" w:hAnsi="宋体" w:eastAsia="宋体" w:cs="宋体"/>
                <w:b w:val="0"/>
                <w:bCs w:val="0"/>
                <w:color w:val="auto"/>
                <w:sz w:val="24"/>
              </w:rPr>
              <w:t>单位：m</w:t>
            </w:r>
            <w:r>
              <w:rPr>
                <w:rFonts w:hint="eastAsia" w:ascii="宋体" w:hAnsi="宋体" w:eastAsia="宋体" w:cs="宋体"/>
                <w:b w:val="0"/>
                <w:bCs w:val="0"/>
                <w:color w:val="auto"/>
                <w:sz w:val="24"/>
                <w:vertAlign w:val="superscript"/>
              </w:rPr>
              <w:t>3</w:t>
            </w:r>
            <w:r>
              <w:rPr>
                <w:rFonts w:hint="eastAsia" w:ascii="宋体" w:hAnsi="宋体" w:eastAsia="宋体" w:cs="宋体"/>
                <w:b w:val="0"/>
                <w:bCs w:val="0"/>
                <w:color w:val="auto"/>
                <w:sz w:val="24"/>
              </w:rPr>
              <w:t>/d</w:t>
            </w:r>
          </w:p>
          <w:p>
            <w:pPr>
              <w:widowControl w:val="0"/>
              <w:spacing w:after="0" w:line="360" w:lineRule="auto"/>
              <w:jc w:val="both"/>
              <w:rPr>
                <w:rFonts w:ascii="宋体" w:hAnsi="宋体" w:eastAsia="宋体" w:cs="宋体"/>
                <w:b/>
                <w:bCs/>
                <w:sz w:val="24"/>
                <w:szCs w:val="24"/>
              </w:rPr>
            </w:pPr>
            <w:r>
              <w:rPr>
                <w:rFonts w:ascii="宋体" w:hAnsi="宋体" w:eastAsia="宋体" w:cs="宋体"/>
                <w:b/>
                <w:bCs/>
                <w:sz w:val="24"/>
              </w:rPr>
              <w:t>主要工艺流程及产物环节（附处理工艺流程图，标出产污节点）</w:t>
            </w:r>
          </w:p>
          <w:p>
            <w:pPr>
              <w:widowControl w:val="0"/>
              <w:adjustRightInd w:val="0"/>
              <w:snapToGrid w:val="0"/>
              <w:spacing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本项目主要生产工艺流程及物料平衡如下图</w:t>
            </w:r>
            <w:r>
              <w:rPr>
                <w:rFonts w:hint="eastAsia" w:ascii="宋体" w:hAnsi="宋体" w:eastAsia="宋体" w:cs="宋体"/>
                <w:b w:val="0"/>
                <w:bCs w:val="0"/>
                <w:sz w:val="24"/>
                <w:lang w:val="en-US" w:eastAsia="zh-CN"/>
              </w:rPr>
              <w:t>2-3和</w:t>
            </w:r>
            <w:r>
              <w:rPr>
                <w:rFonts w:hint="eastAsia" w:ascii="宋体" w:hAnsi="宋体" w:eastAsia="宋体" w:cs="宋体"/>
                <w:sz w:val="24"/>
                <w:szCs w:val="24"/>
              </w:rPr>
              <w:t>图</w:t>
            </w:r>
            <w:r>
              <w:rPr>
                <w:rFonts w:hint="eastAsia" w:ascii="宋体" w:hAnsi="宋体" w:eastAsia="宋体" w:cs="宋体"/>
                <w:b w:val="0"/>
                <w:bCs w:val="0"/>
                <w:sz w:val="24"/>
                <w:lang w:val="en-US" w:eastAsia="zh-CN"/>
              </w:rPr>
              <w:t>2-4</w:t>
            </w:r>
            <w:r>
              <w:rPr>
                <w:rFonts w:hint="eastAsia" w:ascii="宋体" w:hAnsi="宋体" w:eastAsia="宋体" w:cs="宋体"/>
                <w:sz w:val="24"/>
                <w:szCs w:val="24"/>
              </w:rPr>
              <w:t>：</w:t>
            </w:r>
          </w:p>
          <w:p>
            <w:pPr>
              <w:pStyle w:val="5"/>
              <w:keepNext/>
              <w:keepLines/>
              <w:widowControl w:val="0"/>
              <w:spacing w:before="156" w:beforeLines="50" w:after="156" w:afterLines="50"/>
              <w:ind w:left="0" w:leftChars="0" w:firstLine="0" w:firstLineChars="0"/>
              <w:jc w:val="center"/>
              <w:outlineLvl w:val="3"/>
              <w:rPr>
                <w:rFonts w:hint="eastAsia" w:eastAsia="宋体"/>
                <w:b/>
                <w:sz w:val="24"/>
                <w:szCs w:val="24"/>
                <w:lang w:val="en-US" w:eastAsia="zh-CN"/>
              </w:rPr>
            </w:pPr>
            <w:r>
              <w:rPr>
                <w:rFonts w:hint="eastAsia" w:eastAsia="宋体"/>
                <w:b/>
                <w:sz w:val="24"/>
                <w:szCs w:val="24"/>
                <w:lang w:val="en-US" w:eastAsia="zh-CN"/>
              </w:rPr>
              <w:drawing>
                <wp:inline distT="0" distB="0" distL="114300" distR="114300">
                  <wp:extent cx="3337560" cy="1607820"/>
                  <wp:effectExtent l="0" t="0" r="0" b="7620"/>
                  <wp:docPr id="5" name="图片 5" descr="1640602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640602215(1)"/>
                          <pic:cNvPicPr>
                            <a:picLocks noChangeAspect="1"/>
                          </pic:cNvPicPr>
                        </pic:nvPicPr>
                        <pic:blipFill>
                          <a:blip r:embed="rId17"/>
                          <a:stretch>
                            <a:fillRect/>
                          </a:stretch>
                        </pic:blipFill>
                        <pic:spPr>
                          <a:xfrm>
                            <a:off x="0" y="0"/>
                            <a:ext cx="3337560" cy="1607820"/>
                          </a:xfrm>
                          <a:prstGeom prst="rect">
                            <a:avLst/>
                          </a:prstGeom>
                        </pic:spPr>
                      </pic:pic>
                    </a:graphicData>
                  </a:graphic>
                </wp:inline>
              </w:drawing>
            </w:r>
          </w:p>
          <w:p>
            <w:pPr>
              <w:widowControl w:val="0"/>
              <w:adjustRightInd w:val="0"/>
              <w:snapToGrid w:val="0"/>
              <w:spacing w:line="360" w:lineRule="auto"/>
              <w:jc w:val="center"/>
              <w:rPr>
                <w:rFonts w:hint="eastAsia" w:ascii="宋体" w:hAnsi="宋体" w:eastAsia="宋体" w:cs="宋体"/>
                <w:b w:val="0"/>
                <w:bCs w:val="0"/>
                <w:sz w:val="24"/>
              </w:rPr>
            </w:pPr>
            <w:r>
              <w:rPr>
                <w:rFonts w:hint="eastAsia" w:ascii="宋体" w:hAnsi="宋体" w:eastAsia="宋体" w:cs="宋体"/>
                <w:b w:val="0"/>
                <w:bCs w:val="0"/>
                <w:sz w:val="24"/>
              </w:rPr>
              <w:t>图</w:t>
            </w:r>
            <w:r>
              <w:rPr>
                <w:rFonts w:hint="eastAsia" w:ascii="宋体" w:hAnsi="宋体" w:eastAsia="宋体" w:cs="宋体"/>
                <w:b w:val="0"/>
                <w:bCs w:val="0"/>
                <w:sz w:val="24"/>
                <w:lang w:val="en-US" w:eastAsia="zh-CN"/>
              </w:rPr>
              <w:t>2-3</w:t>
            </w:r>
            <w:r>
              <w:rPr>
                <w:rFonts w:hint="eastAsia" w:ascii="宋体" w:hAnsi="宋体" w:eastAsia="宋体" w:cs="宋体"/>
                <w:b w:val="0"/>
                <w:bCs w:val="0"/>
                <w:sz w:val="24"/>
              </w:rPr>
              <w:t xml:space="preserve">  运营期</w:t>
            </w:r>
            <w:r>
              <w:rPr>
                <w:rFonts w:hint="eastAsia" w:ascii="宋体" w:hAnsi="宋体" w:eastAsia="宋体" w:cs="宋体"/>
                <w:b w:val="0"/>
                <w:bCs w:val="0"/>
                <w:sz w:val="24"/>
                <w:lang w:val="en-GB" w:eastAsia="zh-CN"/>
              </w:rPr>
              <w:t>灯光雕刻、标示标牌</w:t>
            </w:r>
            <w:r>
              <w:rPr>
                <w:rFonts w:hint="eastAsia" w:ascii="宋体" w:hAnsi="宋体" w:eastAsia="宋体" w:cs="宋体"/>
                <w:b w:val="0"/>
                <w:bCs w:val="0"/>
                <w:sz w:val="24"/>
                <w:lang w:val="en-US" w:eastAsia="zh-CN"/>
              </w:rPr>
              <w:t>生产</w:t>
            </w:r>
            <w:r>
              <w:rPr>
                <w:rFonts w:hint="eastAsia" w:ascii="宋体" w:hAnsi="宋体" w:eastAsia="宋体" w:cs="宋体"/>
                <w:b w:val="0"/>
                <w:bCs w:val="0"/>
                <w:sz w:val="24"/>
              </w:rPr>
              <w:t>工艺流程及产污工序</w:t>
            </w:r>
          </w:p>
          <w:p>
            <w:pPr>
              <w:widowControl w:val="0"/>
              <w:spacing w:after="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工艺流程说明：</w:t>
            </w:r>
          </w:p>
          <w:p>
            <w:pPr>
              <w:widowControl w:val="0"/>
              <w:spacing w:after="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（1）业务员签订合同后，由制图工作人员进行打样，经客户确认后，根据需求进行原材料购买。</w:t>
            </w:r>
          </w:p>
          <w:p>
            <w:pPr>
              <w:widowControl w:val="0"/>
              <w:spacing w:after="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（2）根据样稿，先用切割机进行下料，然后利用雕刻机对原材料进行雕刻，切割过程会产生废气、边角料和噪声，雕刻过程会产生边角料和噪声。</w:t>
            </w:r>
          </w:p>
          <w:p>
            <w:pPr>
              <w:widowControl w:val="0"/>
              <w:spacing w:after="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（3）雕刻好的工件在握圆机上进行握圆折弯，此过程会产生噪声。</w:t>
            </w:r>
          </w:p>
          <w:p>
            <w:pPr>
              <w:widowControl w:val="0"/>
              <w:spacing w:after="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（4）经过上一步工序的工件利用焊机进行焊接，用台钻进行钻孔。此过程废气和噪声。</w:t>
            </w:r>
          </w:p>
          <w:p>
            <w:pPr>
              <w:widowControl w:val="0"/>
              <w:spacing w:after="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（5）经过上一步工序的工件和LED灯、电线等进行组装，组装好的产品进行喷漆处理。</w:t>
            </w:r>
          </w:p>
          <w:p>
            <w:pPr>
              <w:widowControl w:val="0"/>
              <w:spacing w:after="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（6）喷漆工艺由公司交由外面有喷漆工艺的单位进行代加工。不在本项目地进行。</w:t>
            </w:r>
          </w:p>
          <w:p>
            <w:pPr>
              <w:widowControl w:val="0"/>
              <w:spacing w:after="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（7）喷漆处理好的工件即为成品，存放至仓库或者直接交付客户。</w:t>
            </w:r>
          </w:p>
          <w:p>
            <w:pPr>
              <w:widowControl w:val="0"/>
              <w:spacing w:after="0"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drawing>
                <wp:inline distT="0" distB="0" distL="114300" distR="114300">
                  <wp:extent cx="4954905" cy="1373505"/>
                  <wp:effectExtent l="0" t="0" r="13335" b="13335"/>
                  <wp:docPr id="7" name="图片 1" descr="1622340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1622340269(1)"/>
                          <pic:cNvPicPr>
                            <a:picLocks noChangeAspect="1"/>
                          </pic:cNvPicPr>
                        </pic:nvPicPr>
                        <pic:blipFill>
                          <a:blip r:embed="rId18"/>
                          <a:stretch>
                            <a:fillRect/>
                          </a:stretch>
                        </pic:blipFill>
                        <pic:spPr>
                          <a:xfrm>
                            <a:off x="0" y="0"/>
                            <a:ext cx="4954905" cy="1373505"/>
                          </a:xfrm>
                          <a:prstGeom prst="rect">
                            <a:avLst/>
                          </a:prstGeom>
                          <a:noFill/>
                          <a:ln>
                            <a:noFill/>
                          </a:ln>
                        </pic:spPr>
                      </pic:pic>
                    </a:graphicData>
                  </a:graphic>
                </wp:inline>
              </w:drawing>
            </w:r>
          </w:p>
          <w:p>
            <w:pPr>
              <w:widowControl w:val="0"/>
              <w:spacing w:after="0" w:line="360" w:lineRule="auto"/>
              <w:ind w:firstLine="480" w:firstLineChars="20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图2-4  运营期喷漆、喷塑工艺流程及产污工序</w:t>
            </w:r>
          </w:p>
          <w:p>
            <w:pPr>
              <w:widowControl w:val="0"/>
              <w:spacing w:after="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工艺流程：</w:t>
            </w:r>
          </w:p>
          <w:p>
            <w:pPr>
              <w:widowControl w:val="0"/>
              <w:spacing w:after="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（1）半成品:机加工拼装后的工件，根据客户要求喷漆或喷塑。</w:t>
            </w:r>
          </w:p>
          <w:p>
            <w:pPr>
              <w:widowControl w:val="0"/>
              <w:spacing w:after="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喷漆、晾干：拼装后的工件运至喷漆区进行喷涂作业，喷涂过程主要产生的废气有甲苯、二甲苯、非甲烷总烃。本项目设置有密闭喷漆房，调漆、喷漆、晾干作业均在密闭房内进行。此工序中主要污染物为噪声、粉尘、VOCs、漆渣、漆雾和废油漆桶等。</w:t>
            </w:r>
          </w:p>
          <w:p>
            <w:pPr>
              <w:widowControl w:val="0"/>
              <w:spacing w:after="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喷塑粉、固化：喷塑采用热固性粉末涂料，经静电喷塑机的啧枪口将粉末形成雾状，再由静电发生器产生的静电将粉末均匀附于工件表面。经喷粉后在固化房烘干固化(固化炉采用电能)，在产品外部形成保护层，对金属表面进行防腐，此工序中主要污染物为噪声、废气。</w:t>
            </w:r>
          </w:p>
          <w:p>
            <w:pPr>
              <w:widowControl w:val="0"/>
              <w:spacing w:after="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（4）检验、包装入库：对喷漆或喷塑完成的产品进行检验，保证产品质量无误后即可包装、入库、外售。</w:t>
            </w:r>
          </w:p>
          <w:p>
            <w:pPr>
              <w:pStyle w:val="2"/>
              <w:widowControl w:val="0"/>
              <w:jc w:val="both"/>
              <w:rPr>
                <w:rFonts w:hint="eastAsia" w:ascii="宋体" w:hAnsi="宋体" w:eastAsia="宋体" w:cs="宋体"/>
                <w:sz w:val="24"/>
                <w:szCs w:val="24"/>
                <w:lang w:val="en-US" w:eastAsia="zh-CN"/>
              </w:rPr>
            </w:pPr>
          </w:p>
          <w:p>
            <w:pPr>
              <w:widowControl w:val="0"/>
              <w:jc w:val="both"/>
              <w:rPr>
                <w:rFonts w:hint="eastAsia" w:ascii="宋体" w:hAnsi="宋体" w:eastAsia="宋体" w:cs="宋体"/>
                <w:sz w:val="24"/>
                <w:szCs w:val="24"/>
                <w:lang w:val="en-US" w:eastAsia="zh-CN"/>
              </w:rPr>
            </w:pPr>
          </w:p>
          <w:p>
            <w:pPr>
              <w:pStyle w:val="2"/>
              <w:widowControl w:val="0"/>
              <w:jc w:val="both"/>
              <w:rPr>
                <w:rFonts w:hint="eastAsia" w:ascii="宋体" w:hAnsi="宋体" w:eastAsia="宋体" w:cs="宋体"/>
                <w:sz w:val="24"/>
                <w:szCs w:val="24"/>
                <w:lang w:val="en-US" w:eastAsia="zh-CN"/>
              </w:rPr>
            </w:pPr>
          </w:p>
          <w:p>
            <w:pPr>
              <w:widowControl w:val="0"/>
              <w:jc w:val="both"/>
              <w:rPr>
                <w:rFonts w:hint="eastAsia" w:ascii="宋体" w:hAnsi="宋体" w:eastAsia="宋体" w:cs="宋体"/>
                <w:sz w:val="24"/>
                <w:szCs w:val="24"/>
                <w:lang w:val="en-US" w:eastAsia="zh-CN"/>
              </w:rPr>
            </w:pPr>
          </w:p>
          <w:p>
            <w:pPr>
              <w:pStyle w:val="2"/>
              <w:widowControl w:val="0"/>
              <w:jc w:val="both"/>
              <w:rPr>
                <w:rFonts w:hint="eastAsia" w:ascii="宋体" w:hAnsi="宋体" w:eastAsia="宋体" w:cs="宋体"/>
                <w:sz w:val="24"/>
                <w:szCs w:val="24"/>
                <w:lang w:val="en-US" w:eastAsia="zh-CN"/>
              </w:rPr>
            </w:pPr>
          </w:p>
          <w:p>
            <w:pPr>
              <w:widowControl w:val="0"/>
              <w:jc w:val="both"/>
              <w:rPr>
                <w:rFonts w:hint="eastAsia" w:ascii="宋体" w:hAnsi="宋体" w:eastAsia="宋体" w:cs="宋体"/>
                <w:sz w:val="24"/>
                <w:szCs w:val="24"/>
                <w:lang w:val="en-US" w:eastAsia="zh-CN"/>
              </w:rPr>
            </w:pPr>
          </w:p>
          <w:p>
            <w:pPr>
              <w:pStyle w:val="2"/>
              <w:widowControl w:val="0"/>
              <w:jc w:val="both"/>
              <w:rPr>
                <w:rFonts w:hint="eastAsia" w:ascii="宋体" w:hAnsi="宋体" w:eastAsia="宋体" w:cs="宋体"/>
                <w:sz w:val="24"/>
                <w:szCs w:val="24"/>
                <w:lang w:val="en-US" w:eastAsia="zh-CN"/>
              </w:rPr>
            </w:pPr>
          </w:p>
          <w:p>
            <w:pPr>
              <w:widowControl w:val="0"/>
              <w:jc w:val="both"/>
              <w:rPr>
                <w:rFonts w:hint="eastAsia" w:ascii="宋体" w:hAnsi="宋体" w:eastAsia="宋体" w:cs="宋体"/>
                <w:sz w:val="24"/>
                <w:szCs w:val="24"/>
                <w:lang w:val="en-US" w:eastAsia="zh-CN"/>
              </w:rPr>
            </w:pPr>
          </w:p>
          <w:p>
            <w:pPr>
              <w:pStyle w:val="2"/>
              <w:widowControl w:val="0"/>
              <w:jc w:val="both"/>
              <w:rPr>
                <w:rFonts w:hint="eastAsia"/>
                <w:lang w:val="en-US" w:eastAsia="zh-CN"/>
              </w:rPr>
            </w:pPr>
          </w:p>
          <w:p>
            <w:pPr>
              <w:widowControl w:val="0"/>
              <w:spacing w:after="0" w:line="360" w:lineRule="auto"/>
              <w:ind w:firstLine="480" w:firstLineChars="200"/>
              <w:jc w:val="both"/>
              <w:rPr>
                <w:rFonts w:hint="eastAsia" w:ascii="宋体" w:hAnsi="宋体" w:eastAsia="宋体" w:cs="宋体"/>
                <w:sz w:val="24"/>
                <w:szCs w:val="24"/>
                <w:lang w:val="en-US" w:eastAsia="zh-CN"/>
              </w:rPr>
            </w:pPr>
          </w:p>
          <w:p>
            <w:pPr>
              <w:widowControl w:val="0"/>
              <w:spacing w:after="0" w:line="360" w:lineRule="auto"/>
              <w:ind w:firstLine="480" w:firstLineChars="200"/>
              <w:jc w:val="both"/>
              <w:rPr>
                <w:rFonts w:hint="eastAsia" w:ascii="宋体" w:hAnsi="宋体" w:eastAsia="宋体" w:cs="宋体"/>
                <w:sz w:val="24"/>
                <w:szCs w:val="24"/>
                <w:lang w:val="en-US" w:eastAsia="zh-CN"/>
              </w:rPr>
            </w:pPr>
          </w:p>
          <w:p>
            <w:pPr>
              <w:widowControl w:val="0"/>
              <w:spacing w:after="0" w:line="360" w:lineRule="auto"/>
              <w:ind w:firstLine="480" w:firstLineChars="200"/>
              <w:jc w:val="both"/>
              <w:rPr>
                <w:rFonts w:hint="eastAsia" w:ascii="宋体" w:hAnsi="宋体" w:eastAsia="宋体" w:cs="宋体"/>
                <w:sz w:val="24"/>
                <w:szCs w:val="24"/>
                <w:lang w:val="en-US" w:eastAsia="zh-CN"/>
              </w:rPr>
            </w:pPr>
          </w:p>
          <w:p>
            <w:pPr>
              <w:widowControl w:val="0"/>
              <w:spacing w:after="0" w:line="360" w:lineRule="auto"/>
              <w:ind w:firstLine="480" w:firstLineChars="200"/>
              <w:jc w:val="both"/>
              <w:rPr>
                <w:rFonts w:hint="eastAsia" w:ascii="宋体" w:hAnsi="宋体" w:eastAsia="宋体" w:cs="宋体"/>
                <w:sz w:val="24"/>
                <w:szCs w:val="24"/>
                <w:lang w:val="en-US" w:eastAsia="zh-CN"/>
              </w:rPr>
            </w:pPr>
          </w:p>
          <w:p>
            <w:pPr>
              <w:widowControl w:val="0"/>
              <w:spacing w:after="0" w:line="360" w:lineRule="auto"/>
              <w:ind w:firstLine="480" w:firstLineChars="200"/>
              <w:jc w:val="both"/>
              <w:rPr>
                <w:rFonts w:hint="eastAsia" w:ascii="宋体" w:hAnsi="宋体" w:eastAsia="宋体" w:cs="宋体"/>
                <w:sz w:val="24"/>
                <w:szCs w:val="24"/>
                <w:lang w:val="en-US" w:eastAsia="zh-CN"/>
              </w:rPr>
            </w:pPr>
          </w:p>
          <w:p>
            <w:pPr>
              <w:widowControl w:val="0"/>
              <w:spacing w:after="0" w:line="360" w:lineRule="auto"/>
              <w:ind w:firstLine="420" w:firstLineChars="200"/>
              <w:jc w:val="both"/>
              <w:rPr>
                <w:rFonts w:ascii="仿宋" w:hAnsi="仿宋" w:eastAsia="仿宋" w:cs="仿宋"/>
                <w:sz w:val="21"/>
                <w:vertAlign w:val="baseline"/>
              </w:rPr>
            </w:pPr>
          </w:p>
        </w:tc>
      </w:tr>
    </w:tbl>
    <w:p>
      <w:pPr>
        <w:sectPr>
          <w:footerReference r:id="rId6" w:type="default"/>
          <w:pgSz w:w="11906" w:h="16838"/>
          <w:pgMar w:top="1450" w:right="1826" w:bottom="1451" w:left="1800" w:header="720" w:footer="602" w:gutter="0"/>
          <w:pgBorders>
            <w:top w:val="none" w:sz="0" w:space="0"/>
            <w:left w:val="none" w:sz="0" w:space="0"/>
            <w:bottom w:val="none" w:sz="0" w:space="0"/>
            <w:right w:val="none" w:sz="0" w:space="0"/>
          </w:pgBorders>
          <w:pgNumType w:fmt="decimal" w:start="1"/>
          <w:cols w:space="720" w:num="1"/>
        </w:sectPr>
      </w:pPr>
    </w:p>
    <w:p>
      <w:pPr>
        <w:adjustRightInd w:val="0"/>
        <w:snapToGrid w:val="0"/>
        <w:spacing w:after="0" w:afterLines="0" w:line="360" w:lineRule="auto"/>
        <w:rPr>
          <w:rFonts w:ascii="Tahoma" w:hAnsi="Tahoma" w:eastAsia="仿宋_GB2312" w:cs="Times New Roman"/>
          <w:b/>
          <w:color w:val="000000"/>
          <w:kern w:val="0"/>
          <w:sz w:val="21"/>
          <w:szCs w:val="21"/>
        </w:rPr>
      </w:pPr>
      <w:r>
        <w:rPr>
          <w:rFonts w:ascii="Tahoma" w:hAnsi="Tahoma" w:eastAsia="仿宋_GB2312" w:cs="Times New Roman"/>
          <w:b/>
          <w:color w:val="000000"/>
          <w:kern w:val="0"/>
          <w:sz w:val="21"/>
          <w:szCs w:val="21"/>
        </w:rPr>
        <w:t>表三</w:t>
      </w:r>
    </w:p>
    <w:tbl>
      <w:tblPr>
        <w:tblStyle w:val="17"/>
        <w:tblW w:w="8740" w:type="dxa"/>
        <w:jc w:val="center"/>
        <w:tblLayout w:type="fixed"/>
        <w:tblCellMar>
          <w:top w:w="46" w:type="dxa"/>
          <w:left w:w="107" w:type="dxa"/>
          <w:bottom w:w="0" w:type="dxa"/>
          <w:right w:w="107" w:type="dxa"/>
        </w:tblCellMar>
      </w:tblPr>
      <w:tblGrid>
        <w:gridCol w:w="8740"/>
      </w:tblGrid>
      <w:tr>
        <w:tblPrEx>
          <w:tblCellMar>
            <w:top w:w="46" w:type="dxa"/>
            <w:left w:w="107" w:type="dxa"/>
            <w:bottom w:w="0" w:type="dxa"/>
            <w:right w:w="107" w:type="dxa"/>
          </w:tblCellMar>
        </w:tblPrEx>
        <w:trPr>
          <w:trHeight w:val="13356" w:hRule="atLeast"/>
          <w:jc w:val="center"/>
        </w:trPr>
        <w:tc>
          <w:tcPr>
            <w:tcW w:w="874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tabs>
                <w:tab w:val="left" w:pos="3585"/>
              </w:tabs>
              <w:kinsoku/>
              <w:wordWrap/>
              <w:overflowPunct/>
              <w:topLinePunct w:val="0"/>
              <w:bidi w:val="0"/>
              <w:adjustRightInd/>
              <w:snapToGrid/>
              <w:spacing w:after="0" w:line="360" w:lineRule="auto"/>
              <w:contextualSpacing/>
              <w:jc w:val="both"/>
              <w:rPr>
                <w:rFonts w:hint="eastAsia" w:ascii="Times New Roman" w:hAnsi="Times New Roman" w:eastAsia="宋体" w:cs="Times New Roman"/>
                <w:b/>
                <w:bCs/>
                <w:color w:val="auto"/>
                <w:sz w:val="24"/>
                <w:szCs w:val="24"/>
                <w:lang w:val="en-US" w:eastAsia="zh-CN"/>
              </w:rPr>
            </w:pPr>
            <w:r>
              <w:rPr>
                <w:rFonts w:hint="eastAsia" w:ascii="Times New Roman" w:hAnsi="Times New Roman" w:eastAsia="宋体" w:cs="Times New Roman"/>
                <w:b/>
                <w:bCs/>
                <w:color w:val="auto"/>
                <w:sz w:val="24"/>
                <w:szCs w:val="24"/>
                <w:lang w:val="en-US" w:eastAsia="zh-CN"/>
              </w:rPr>
              <w:t>主要污染源、污染物处理和排放</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1、废气</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经踏勘，运营期</w:t>
            </w:r>
            <w:r>
              <w:rPr>
                <w:rFonts w:hint="eastAsia" w:ascii="宋体" w:hAnsi="宋体" w:eastAsia="宋体" w:cs="宋体"/>
                <w:b w:val="0"/>
                <w:bCs w:val="0"/>
                <w:color w:val="auto"/>
                <w:sz w:val="24"/>
                <w:szCs w:val="24"/>
                <w:lang w:val="en-GB" w:eastAsia="zh-CN"/>
              </w:rPr>
              <w:t>废气主要为喷漆、晾干、喷塑固化过程中产生的漆雾和有机废气；喷塑工序产生的粉尘；焊接工段产生的粉尘。</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FF0000"/>
                <w:sz w:val="24"/>
                <w:szCs w:val="24"/>
                <w:lang w:val="en-GB" w:eastAsia="zh-CN"/>
              </w:rPr>
            </w:pPr>
            <w:r>
              <w:rPr>
                <w:rFonts w:hint="eastAsia" w:ascii="宋体" w:hAnsi="宋体" w:eastAsia="宋体" w:cs="宋体"/>
                <w:sz w:val="24"/>
                <w:szCs w:val="24"/>
                <w:lang w:val="en-US" w:eastAsia="zh-CN"/>
              </w:rPr>
              <w:t>本项目焊接烟尘采用集气罩+1台袋式除尘器+1根15m排气筒；喷塑粉尘采用</w:t>
            </w:r>
            <w:r>
              <w:rPr>
                <w:rFonts w:hint="eastAsia" w:ascii="宋体" w:hAnsi="宋体" w:eastAsia="宋体" w:cs="宋体"/>
                <w:sz w:val="24"/>
                <w:szCs w:val="24"/>
                <w:lang w:val="en-GB" w:eastAsia="zh-CN"/>
              </w:rPr>
              <w:t>自带有粉末吸入回收系统（呈负压，该回收系统是一套圆筒形的过滤除尘装置）</w:t>
            </w:r>
            <w:r>
              <w:rPr>
                <w:rFonts w:hint="eastAsia" w:ascii="宋体" w:hAnsi="宋体" w:eastAsia="宋体" w:cs="宋体"/>
                <w:sz w:val="24"/>
                <w:szCs w:val="24"/>
                <w:lang w:val="en-US" w:eastAsia="zh-CN"/>
              </w:rPr>
              <w:t>+1台袋式除尘器+1根15m排气筒（与焊接烟尘共用1台袋式除尘器）；</w:t>
            </w:r>
            <w:r>
              <w:rPr>
                <w:rFonts w:hint="eastAsia" w:ascii="宋体" w:hAnsi="宋体" w:eastAsia="宋体" w:cs="宋体"/>
                <w:sz w:val="24"/>
                <w:szCs w:val="24"/>
                <w:lang w:val="en-GB" w:eastAsia="zh-CN"/>
              </w:rPr>
              <w:t>喷漆废气</w:t>
            </w:r>
            <w:r>
              <w:rPr>
                <w:rFonts w:hint="eastAsia" w:ascii="宋体" w:hAnsi="宋体" w:eastAsia="宋体" w:cs="宋体"/>
                <w:sz w:val="24"/>
                <w:szCs w:val="24"/>
                <w:lang w:val="en-US" w:eastAsia="zh-CN"/>
              </w:rPr>
              <w:t>采用</w:t>
            </w:r>
            <w:r>
              <w:rPr>
                <w:rFonts w:hint="eastAsia" w:ascii="宋体" w:hAnsi="宋体" w:eastAsia="宋体" w:cs="宋体"/>
                <w:sz w:val="24"/>
                <w:szCs w:val="24"/>
                <w:lang w:val="en-GB" w:eastAsia="zh-CN"/>
              </w:rPr>
              <w:t>1套水帘柜</w:t>
            </w:r>
            <w:r>
              <w:rPr>
                <w:rFonts w:hint="eastAsia" w:ascii="宋体" w:hAnsi="宋体" w:eastAsia="宋体" w:cs="宋体"/>
                <w:sz w:val="24"/>
                <w:szCs w:val="24"/>
                <w:lang w:val="en-US" w:eastAsia="zh-CN"/>
              </w:rPr>
              <w:t>处理后再通过</w:t>
            </w:r>
            <w:r>
              <w:rPr>
                <w:rFonts w:hint="eastAsia" w:ascii="宋体" w:hAnsi="宋体" w:eastAsia="宋体" w:cs="宋体"/>
                <w:sz w:val="24"/>
                <w:szCs w:val="24"/>
                <w:lang w:val="en-GB" w:eastAsia="zh-CN"/>
              </w:rPr>
              <w:t>1套活性炭吸附+1套UV光解装置</w:t>
            </w:r>
            <w:r>
              <w:rPr>
                <w:rFonts w:hint="eastAsia" w:ascii="宋体" w:hAnsi="宋体" w:eastAsia="宋体" w:cs="宋体"/>
                <w:sz w:val="24"/>
                <w:szCs w:val="24"/>
                <w:lang w:val="en-US" w:eastAsia="zh-CN"/>
              </w:rPr>
              <w:t>进行处理，达标后通过</w:t>
            </w:r>
            <w:r>
              <w:rPr>
                <w:rFonts w:hint="eastAsia" w:ascii="宋体" w:hAnsi="宋体" w:eastAsia="宋体" w:cs="宋体"/>
                <w:sz w:val="24"/>
                <w:szCs w:val="24"/>
                <w:lang w:val="en-GB" w:eastAsia="zh-CN"/>
              </w:rPr>
              <w:t>1个15m排气筒</w:t>
            </w:r>
            <w:r>
              <w:rPr>
                <w:rFonts w:hint="eastAsia" w:ascii="宋体" w:hAnsi="宋体" w:eastAsia="宋体" w:cs="宋体"/>
                <w:sz w:val="24"/>
                <w:szCs w:val="24"/>
                <w:lang w:val="en-US" w:eastAsia="zh-CN"/>
              </w:rPr>
              <w:t>排放；喷漆</w:t>
            </w:r>
            <w:r>
              <w:rPr>
                <w:rFonts w:hint="eastAsia" w:ascii="宋体" w:hAnsi="宋体" w:eastAsia="宋体" w:cs="宋体"/>
                <w:sz w:val="24"/>
                <w:szCs w:val="24"/>
                <w:lang w:val="en-GB" w:eastAsia="zh-CN"/>
              </w:rPr>
              <w:t>固化废气</w:t>
            </w:r>
            <w:r>
              <w:rPr>
                <w:rFonts w:hint="eastAsia" w:ascii="宋体" w:hAnsi="宋体" w:eastAsia="宋体" w:cs="宋体"/>
                <w:sz w:val="24"/>
                <w:szCs w:val="24"/>
                <w:lang w:val="en-US" w:eastAsia="zh-CN"/>
              </w:rPr>
              <w:t>和喷塑固化废气采用</w:t>
            </w:r>
            <w:r>
              <w:rPr>
                <w:rFonts w:hint="eastAsia" w:ascii="宋体" w:hAnsi="宋体" w:eastAsia="宋体" w:cs="宋体"/>
                <w:sz w:val="24"/>
                <w:szCs w:val="24"/>
                <w:lang w:val="en-GB" w:eastAsia="zh-CN"/>
              </w:rPr>
              <w:t>1套活性炭吸附+1套UV光解装置+1个15m排气筒，与喷漆废气共用1套活性炭吸附+UV光解装置处理排放。</w:t>
            </w:r>
            <w:r>
              <w:rPr>
                <w:rFonts w:hint="eastAsia" w:ascii="宋体" w:hAnsi="宋体" w:eastAsia="宋体" w:cs="宋体"/>
                <w:sz w:val="24"/>
                <w:szCs w:val="24"/>
                <w:lang w:val="en-US" w:eastAsia="zh-CN"/>
              </w:rPr>
              <w:t>所有废气共用一个排气筒排放。</w:t>
            </w:r>
            <w:r>
              <w:rPr>
                <w:rFonts w:hint="eastAsia" w:ascii="宋体" w:hAnsi="宋体" w:eastAsia="宋体" w:cs="宋体"/>
                <w:b w:val="0"/>
                <w:bCs w:val="0"/>
                <w:color w:val="auto"/>
                <w:sz w:val="24"/>
                <w:szCs w:val="24"/>
                <w:lang w:val="en-GB" w:eastAsia="zh-CN"/>
              </w:rPr>
              <w:t>经采取上述措施后，</w:t>
            </w:r>
            <w:r>
              <w:rPr>
                <w:rFonts w:hint="eastAsia" w:ascii="宋体" w:hAnsi="宋体" w:eastAsia="宋体" w:cs="宋体"/>
                <w:b w:val="0"/>
                <w:bCs w:val="0"/>
                <w:color w:val="auto"/>
                <w:sz w:val="24"/>
                <w:szCs w:val="24"/>
                <w:lang w:val="en-US" w:eastAsia="zh-CN"/>
              </w:rPr>
              <w:t>颗粒物</w:t>
            </w:r>
            <w:r>
              <w:rPr>
                <w:rFonts w:hint="eastAsia" w:ascii="宋体" w:hAnsi="宋体" w:eastAsia="宋体" w:cs="宋体"/>
                <w:b w:val="0"/>
                <w:bCs w:val="0"/>
                <w:color w:val="auto"/>
                <w:sz w:val="24"/>
                <w:szCs w:val="24"/>
                <w:lang w:val="en-GB" w:eastAsia="zh-CN"/>
              </w:rPr>
              <w:t>能够满足《大气污染物综合排放标准》（GB16297-1996）表</w:t>
            </w:r>
            <w:r>
              <w:rPr>
                <w:rFonts w:hint="eastAsia" w:ascii="宋体" w:hAnsi="宋体" w:eastAsia="宋体" w:cs="宋体"/>
                <w:b w:val="0"/>
                <w:bCs w:val="0"/>
                <w:color w:val="auto"/>
                <w:sz w:val="24"/>
                <w:szCs w:val="24"/>
                <w:lang w:val="en-US" w:eastAsia="zh-CN"/>
              </w:rPr>
              <w:t>2二级</w:t>
            </w:r>
            <w:r>
              <w:rPr>
                <w:rFonts w:hint="eastAsia" w:ascii="宋体" w:hAnsi="宋体" w:eastAsia="宋体" w:cs="宋体"/>
                <w:b w:val="0"/>
                <w:bCs w:val="0"/>
                <w:color w:val="auto"/>
                <w:sz w:val="24"/>
                <w:szCs w:val="24"/>
                <w:lang w:val="en-GB" w:eastAsia="zh-CN"/>
              </w:rPr>
              <w:t>标准要求，</w:t>
            </w:r>
            <w:r>
              <w:rPr>
                <w:rFonts w:hint="eastAsia" w:ascii="宋体" w:hAnsi="宋体" w:eastAsia="宋体" w:cs="宋体"/>
                <w:b w:val="0"/>
                <w:bCs w:val="0"/>
                <w:color w:val="auto"/>
                <w:sz w:val="24"/>
                <w:szCs w:val="24"/>
                <w:lang w:val="en-US" w:eastAsia="zh-CN"/>
              </w:rPr>
              <w:t>非甲烷总烃能满足《河南省关于全省开展工业企业挥发性有机物专项治理工作中排放建议值的通知》（豫环攻坚办[2017]162号）表面涂装业、《工业涂装工序挥发性有机物排放标准》</w:t>
            </w:r>
            <w:r>
              <w:rPr>
                <w:rFonts w:hint="eastAsia" w:ascii="宋体" w:hAnsi="宋体" w:eastAsia="宋体" w:cs="宋体"/>
                <w:b w:val="0"/>
                <w:bCs w:val="0"/>
                <w:color w:val="auto"/>
                <w:sz w:val="24"/>
                <w:szCs w:val="24"/>
                <w:lang w:val="en-US" w:eastAsia="zh-CN"/>
              </w:rPr>
              <w:fldChar w:fldCharType="begin"/>
            </w:r>
            <w:r>
              <w:rPr>
                <w:rFonts w:hint="eastAsia" w:ascii="宋体" w:hAnsi="宋体" w:eastAsia="宋体" w:cs="宋体"/>
                <w:b w:val="0"/>
                <w:bCs w:val="0"/>
                <w:color w:val="auto"/>
                <w:sz w:val="24"/>
                <w:szCs w:val="24"/>
                <w:lang w:val="en-US" w:eastAsia="zh-CN"/>
              </w:rPr>
              <w:instrText xml:space="preserve"> HYPERLINK "http://kjs.mee.gov.cn/hjbhbz/bzwb/dqhjbh/dqgdwrywrwpfbz/201906/W020190606587693632696.pdf" </w:instrText>
            </w:r>
            <w:r>
              <w:rPr>
                <w:rFonts w:hint="eastAsia" w:ascii="宋体" w:hAnsi="宋体" w:eastAsia="宋体" w:cs="宋体"/>
                <w:b w:val="0"/>
                <w:bCs w:val="0"/>
                <w:color w:val="auto"/>
                <w:sz w:val="24"/>
                <w:szCs w:val="24"/>
                <w:lang w:val="en-US" w:eastAsia="zh-CN"/>
              </w:rPr>
              <w:fldChar w:fldCharType="separate"/>
            </w:r>
            <w:r>
              <w:rPr>
                <w:rFonts w:hint="eastAsia" w:ascii="宋体" w:hAnsi="宋体" w:eastAsia="宋体" w:cs="宋体"/>
                <w:b w:val="0"/>
                <w:bCs w:val="0"/>
                <w:color w:val="auto"/>
                <w:sz w:val="24"/>
                <w:szCs w:val="24"/>
                <w:lang w:val="en-US" w:eastAsia="zh-CN"/>
              </w:rPr>
              <w:t>（DB41/1951—2020）</w:t>
            </w:r>
            <w:r>
              <w:rPr>
                <w:rFonts w:hint="eastAsia" w:ascii="宋体" w:hAnsi="宋体" w:eastAsia="宋体" w:cs="宋体"/>
                <w:b w:val="0"/>
                <w:bCs w:val="0"/>
                <w:color w:val="auto"/>
                <w:sz w:val="24"/>
                <w:szCs w:val="24"/>
                <w:lang w:val="en-US" w:eastAsia="zh-CN"/>
              </w:rPr>
              <w:fldChar w:fldCharType="end"/>
            </w:r>
            <w:r>
              <w:rPr>
                <w:rFonts w:hint="eastAsia" w:ascii="宋体" w:hAnsi="宋体" w:eastAsia="宋体" w:cs="宋体"/>
                <w:b w:val="0"/>
                <w:bCs w:val="0"/>
                <w:color w:val="auto"/>
                <w:sz w:val="24"/>
                <w:szCs w:val="24"/>
                <w:lang w:val="en-US" w:eastAsia="zh-CN"/>
              </w:rPr>
              <w:t>和《挥发性有机物无组织排放控制标准》</w:t>
            </w:r>
            <w:r>
              <w:rPr>
                <w:rFonts w:hint="eastAsia" w:ascii="宋体" w:hAnsi="宋体" w:eastAsia="宋体" w:cs="宋体"/>
                <w:b w:val="0"/>
                <w:bCs w:val="0"/>
                <w:color w:val="auto"/>
                <w:sz w:val="24"/>
                <w:szCs w:val="24"/>
                <w:lang w:val="en-US" w:eastAsia="zh-CN"/>
              </w:rPr>
              <w:fldChar w:fldCharType="begin"/>
            </w:r>
            <w:r>
              <w:rPr>
                <w:rFonts w:hint="eastAsia" w:ascii="宋体" w:hAnsi="宋体" w:eastAsia="宋体" w:cs="宋体"/>
                <w:b w:val="0"/>
                <w:bCs w:val="0"/>
                <w:color w:val="auto"/>
                <w:sz w:val="24"/>
                <w:szCs w:val="24"/>
                <w:lang w:val="en-US" w:eastAsia="zh-CN"/>
              </w:rPr>
              <w:instrText xml:space="preserve"> HYPERLINK "http://kjs.mee.gov.cn/hjbhbz/bzwb/dqhjbh/dqgdwrywrwpfbz/201906/W020190606587693632696.pdf" </w:instrText>
            </w:r>
            <w:r>
              <w:rPr>
                <w:rFonts w:hint="eastAsia" w:ascii="宋体" w:hAnsi="宋体" w:eastAsia="宋体" w:cs="宋体"/>
                <w:b w:val="0"/>
                <w:bCs w:val="0"/>
                <w:color w:val="auto"/>
                <w:sz w:val="24"/>
                <w:szCs w:val="24"/>
                <w:lang w:val="en-US" w:eastAsia="zh-CN"/>
              </w:rPr>
              <w:fldChar w:fldCharType="separate"/>
            </w:r>
            <w:r>
              <w:rPr>
                <w:rFonts w:hint="eastAsia" w:ascii="宋体" w:hAnsi="宋体" w:eastAsia="宋体" w:cs="宋体"/>
                <w:b w:val="0"/>
                <w:bCs w:val="0"/>
                <w:color w:val="auto"/>
                <w:sz w:val="24"/>
                <w:szCs w:val="24"/>
                <w:lang w:val="en-US" w:eastAsia="zh-CN"/>
              </w:rPr>
              <w:t>（GB37822-2019）</w:t>
            </w:r>
            <w:r>
              <w:rPr>
                <w:rFonts w:hint="eastAsia" w:ascii="宋体" w:hAnsi="宋体" w:eastAsia="宋体" w:cs="宋体"/>
                <w:b w:val="0"/>
                <w:bCs w:val="0"/>
                <w:color w:val="auto"/>
                <w:sz w:val="24"/>
                <w:szCs w:val="24"/>
                <w:lang w:val="en-US" w:eastAsia="zh-CN"/>
              </w:rPr>
              <w:fldChar w:fldCharType="end"/>
            </w:r>
            <w:r>
              <w:rPr>
                <w:rFonts w:hint="eastAsia" w:ascii="宋体" w:hAnsi="宋体" w:eastAsia="宋体" w:cs="宋体"/>
                <w:b w:val="0"/>
                <w:bCs w:val="0"/>
                <w:color w:val="auto"/>
                <w:sz w:val="24"/>
                <w:szCs w:val="24"/>
                <w:lang w:val="en-US" w:eastAsia="zh-CN"/>
              </w:rPr>
              <w:t>的排放限值要求；甲苯和二甲苯能满足《河南省关于全省开展工业企业挥发性有机物专项治理工作中排放建议值的通知》（豫环攻坚办[2017]162号）表面涂装业和《工业涂装工序挥发性有机物排放标准》</w:t>
            </w:r>
            <w:r>
              <w:rPr>
                <w:rFonts w:hint="eastAsia" w:ascii="宋体" w:hAnsi="宋体" w:eastAsia="宋体" w:cs="宋体"/>
                <w:b w:val="0"/>
                <w:bCs w:val="0"/>
                <w:color w:val="auto"/>
                <w:sz w:val="24"/>
                <w:szCs w:val="24"/>
                <w:lang w:val="en-US" w:eastAsia="zh-CN"/>
              </w:rPr>
              <w:fldChar w:fldCharType="begin"/>
            </w:r>
            <w:r>
              <w:rPr>
                <w:rFonts w:hint="eastAsia" w:ascii="宋体" w:hAnsi="宋体" w:eastAsia="宋体" w:cs="宋体"/>
                <w:b w:val="0"/>
                <w:bCs w:val="0"/>
                <w:color w:val="auto"/>
                <w:sz w:val="24"/>
                <w:szCs w:val="24"/>
                <w:lang w:val="en-US" w:eastAsia="zh-CN"/>
              </w:rPr>
              <w:instrText xml:space="preserve"> HYPERLINK "http://kjs.mee.gov.cn/hjbhbz/bzwb/dqhjbh/dqgdwrywrwpfbz/201906/W020190606587693632696.pdf" </w:instrText>
            </w:r>
            <w:r>
              <w:rPr>
                <w:rFonts w:hint="eastAsia" w:ascii="宋体" w:hAnsi="宋体" w:eastAsia="宋体" w:cs="宋体"/>
                <w:b w:val="0"/>
                <w:bCs w:val="0"/>
                <w:color w:val="auto"/>
                <w:sz w:val="24"/>
                <w:szCs w:val="24"/>
                <w:lang w:val="en-US" w:eastAsia="zh-CN"/>
              </w:rPr>
              <w:fldChar w:fldCharType="separate"/>
            </w:r>
            <w:r>
              <w:rPr>
                <w:rFonts w:hint="eastAsia" w:ascii="宋体" w:hAnsi="宋体" w:eastAsia="宋体" w:cs="宋体"/>
                <w:b w:val="0"/>
                <w:bCs w:val="0"/>
                <w:color w:val="auto"/>
                <w:sz w:val="24"/>
                <w:szCs w:val="24"/>
                <w:lang w:val="en-US" w:eastAsia="zh-CN"/>
              </w:rPr>
              <w:t>（DB41/1951—2020）</w:t>
            </w:r>
            <w:r>
              <w:rPr>
                <w:rFonts w:hint="eastAsia" w:ascii="宋体" w:hAnsi="宋体" w:eastAsia="宋体" w:cs="宋体"/>
                <w:b w:val="0"/>
                <w:bCs w:val="0"/>
                <w:color w:val="auto"/>
                <w:sz w:val="24"/>
                <w:szCs w:val="24"/>
                <w:lang w:val="en-US" w:eastAsia="zh-CN"/>
              </w:rPr>
              <w:fldChar w:fldCharType="end"/>
            </w:r>
            <w:r>
              <w:rPr>
                <w:rFonts w:hint="eastAsia" w:ascii="宋体" w:hAnsi="宋体" w:eastAsia="宋体" w:cs="宋体"/>
                <w:b w:val="0"/>
                <w:bCs w:val="0"/>
                <w:color w:val="auto"/>
                <w:sz w:val="24"/>
                <w:szCs w:val="24"/>
                <w:lang w:val="en-US" w:eastAsia="zh-CN"/>
              </w:rPr>
              <w:t>的排放限值要求</w:t>
            </w:r>
            <w:r>
              <w:rPr>
                <w:rFonts w:hint="eastAsia" w:ascii="宋体" w:hAnsi="宋体" w:eastAsia="宋体" w:cs="宋体"/>
                <w:b w:val="0"/>
                <w:bCs w:val="0"/>
                <w:color w:val="auto"/>
                <w:sz w:val="24"/>
                <w:szCs w:val="24"/>
                <w:lang w:val="zh-CN" w:eastAsia="zh-CN"/>
              </w:rPr>
              <w:t>。</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2、废水</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GB" w:eastAsia="zh-CN"/>
              </w:rPr>
              <w:t>本项目</w:t>
            </w:r>
            <w:r>
              <w:rPr>
                <w:rFonts w:hint="eastAsia" w:ascii="宋体" w:hAnsi="宋体" w:eastAsia="宋体" w:cs="宋体"/>
                <w:b w:val="0"/>
                <w:bCs w:val="0"/>
                <w:color w:val="auto"/>
                <w:sz w:val="24"/>
                <w:szCs w:val="24"/>
                <w:lang w:val="en-US" w:eastAsia="zh-CN"/>
              </w:rPr>
              <w:t>水帘柜除漆雾循环废水属于危险废物，定期由资质单位清运和处理处置；</w:t>
            </w:r>
            <w:r>
              <w:rPr>
                <w:rFonts w:hint="eastAsia" w:ascii="宋体" w:hAnsi="宋体" w:eastAsia="宋体" w:cs="宋体"/>
                <w:b w:val="0"/>
                <w:bCs w:val="0"/>
                <w:color w:val="auto"/>
                <w:sz w:val="24"/>
                <w:szCs w:val="24"/>
                <w:lang w:val="en-GB" w:eastAsia="zh-CN"/>
              </w:rPr>
              <w:t>生活废水经化粪池处理后</w:t>
            </w:r>
            <w:r>
              <w:rPr>
                <w:rFonts w:hint="eastAsia" w:ascii="宋体" w:hAnsi="宋体" w:eastAsia="宋体" w:cs="宋体"/>
                <w:b w:val="0"/>
                <w:bCs w:val="0"/>
                <w:color w:val="auto"/>
                <w:sz w:val="24"/>
                <w:szCs w:val="24"/>
                <w:lang w:val="en-US" w:eastAsia="zh-CN"/>
              </w:rPr>
              <w:t>用抽粪车</w:t>
            </w:r>
            <w:r>
              <w:rPr>
                <w:rFonts w:hint="eastAsia" w:ascii="宋体" w:hAnsi="宋体" w:eastAsia="宋体" w:cs="宋体"/>
                <w:b w:val="0"/>
                <w:bCs w:val="0"/>
                <w:color w:val="auto"/>
                <w:sz w:val="24"/>
                <w:szCs w:val="24"/>
                <w:lang w:val="en-GB" w:eastAsia="zh-CN"/>
              </w:rPr>
              <w:t>定期清运，作为农家肥施用于农田。</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3、噪声</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zh-CN" w:eastAsia="zh-CN"/>
              </w:rPr>
            </w:pPr>
            <w:r>
              <w:rPr>
                <w:rFonts w:hint="eastAsia" w:ascii="宋体" w:hAnsi="宋体" w:eastAsia="宋体" w:cs="宋体"/>
                <w:b w:val="0"/>
                <w:bCs w:val="0"/>
                <w:color w:val="auto"/>
                <w:sz w:val="24"/>
                <w:szCs w:val="24"/>
                <w:lang w:val="zh-CN" w:eastAsia="zh-CN"/>
              </w:rPr>
              <w:t>本项目噪声设备经采取减振、隔声、消声等措施后，四厂界噪声可达到《工业企业环境噪声排放标准》（GB12348-2008）</w:t>
            </w: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lang w:val="zh-CN" w:eastAsia="zh-CN"/>
              </w:rPr>
              <w:t>类标准要求。本项目设备噪声对环境影响较小。</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4、固体废物</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GB" w:eastAsia="zh-CN"/>
              </w:rPr>
              <w:t>本</w:t>
            </w:r>
            <w:r>
              <w:rPr>
                <w:rFonts w:hint="eastAsia" w:ascii="宋体" w:hAnsi="宋体" w:eastAsia="宋体" w:cs="宋体"/>
                <w:b w:val="0"/>
                <w:bCs w:val="0"/>
                <w:color w:val="auto"/>
                <w:sz w:val="24"/>
                <w:szCs w:val="24"/>
                <w:lang w:val="en-US" w:eastAsia="zh-CN"/>
              </w:rPr>
              <w:t>项目营运期产生的固体废物主要为边角料、焊烟净化器收集的粉尘、</w:t>
            </w:r>
            <w:r>
              <w:rPr>
                <w:rFonts w:hint="eastAsia" w:ascii="宋体" w:hAnsi="宋体" w:eastAsia="宋体" w:cs="宋体"/>
                <w:sz w:val="24"/>
                <w:szCs w:val="24"/>
                <w:lang w:val="en-US" w:eastAsia="zh-CN"/>
              </w:rPr>
              <w:t>润滑油</w:t>
            </w:r>
            <w:r>
              <w:rPr>
                <w:rFonts w:hint="eastAsia" w:ascii="宋体" w:hAnsi="宋体" w:eastAsia="宋体" w:cs="宋体"/>
                <w:sz w:val="24"/>
                <w:szCs w:val="24"/>
                <w:lang w:val="en-GB"/>
              </w:rPr>
              <w:t>、</w:t>
            </w:r>
            <w:r>
              <w:rPr>
                <w:rFonts w:hint="eastAsia" w:ascii="宋体" w:hAnsi="宋体" w:eastAsia="宋体" w:cs="宋体"/>
                <w:sz w:val="24"/>
                <w:szCs w:val="24"/>
                <w:lang w:val="en-US" w:eastAsia="zh-CN"/>
              </w:rPr>
              <w:t>切削液</w:t>
            </w:r>
            <w:r>
              <w:rPr>
                <w:rFonts w:hint="eastAsia" w:ascii="宋体" w:hAnsi="宋体" w:eastAsia="宋体" w:cs="宋体"/>
                <w:sz w:val="24"/>
                <w:szCs w:val="24"/>
                <w:lang w:val="en-GB"/>
              </w:rPr>
              <w:t>、</w:t>
            </w:r>
            <w:r>
              <w:rPr>
                <w:rFonts w:hint="eastAsia" w:ascii="宋体" w:hAnsi="宋体" w:eastAsia="宋体" w:cs="宋体"/>
                <w:b w:val="0"/>
                <w:bCs w:val="0"/>
                <w:color w:val="auto"/>
                <w:sz w:val="24"/>
                <w:szCs w:val="24"/>
                <w:lang w:val="en-US" w:eastAsia="zh-CN"/>
              </w:rPr>
              <w:t>废油漆桶、漆渣、废UV灯管、水帘柜除漆雾循环水及废活性炭及职工生活垃圾。</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Cs/>
                <w:sz w:val="24"/>
                <w:szCs w:val="24"/>
                <w:lang w:val="en-US" w:eastAsia="zh-CN"/>
              </w:rPr>
              <w:t>边角料和焊烟净化器收集的粉尘外售给可以回收利用的单位，不外排；生活垃圾采用垃圾桶收集后交由环卫部门统一处理；</w:t>
            </w:r>
            <w:r>
              <w:rPr>
                <w:rFonts w:hint="eastAsia" w:ascii="宋体" w:hAnsi="宋体" w:eastAsia="宋体" w:cs="宋体"/>
                <w:sz w:val="24"/>
                <w:szCs w:val="24"/>
                <w:lang w:val="en-US" w:eastAsia="zh-CN"/>
              </w:rPr>
              <w:t>润滑油</w:t>
            </w:r>
            <w:r>
              <w:rPr>
                <w:rFonts w:hint="eastAsia" w:ascii="宋体" w:hAnsi="宋体" w:eastAsia="宋体" w:cs="宋体"/>
                <w:sz w:val="24"/>
                <w:szCs w:val="24"/>
                <w:lang w:val="en-GB"/>
              </w:rPr>
              <w:t>、</w:t>
            </w:r>
            <w:r>
              <w:rPr>
                <w:rFonts w:hint="eastAsia" w:ascii="宋体" w:hAnsi="宋体" w:eastAsia="宋体" w:cs="宋体"/>
                <w:sz w:val="24"/>
                <w:szCs w:val="24"/>
                <w:lang w:val="en-US" w:eastAsia="zh-CN"/>
              </w:rPr>
              <w:t>切削液</w:t>
            </w:r>
            <w:r>
              <w:rPr>
                <w:rFonts w:hint="eastAsia" w:ascii="宋体" w:hAnsi="宋体" w:eastAsia="宋体" w:cs="宋体"/>
                <w:sz w:val="24"/>
                <w:szCs w:val="24"/>
                <w:lang w:val="en-GB"/>
              </w:rPr>
              <w:t>、废油漆桶、漆渣、废UV灯管、</w:t>
            </w:r>
            <w:r>
              <w:rPr>
                <w:rFonts w:hint="eastAsia" w:ascii="宋体" w:hAnsi="宋体" w:eastAsia="宋体" w:cs="宋体"/>
                <w:sz w:val="24"/>
                <w:szCs w:val="24"/>
              </w:rPr>
              <w:t>除漆雾循环水</w:t>
            </w:r>
            <w:r>
              <w:rPr>
                <w:rFonts w:hint="eastAsia" w:ascii="宋体" w:hAnsi="宋体" w:eastAsia="宋体" w:cs="宋体"/>
                <w:sz w:val="24"/>
                <w:szCs w:val="24"/>
                <w:lang w:val="en-GB"/>
              </w:rPr>
              <w:t>及废活性炭</w:t>
            </w:r>
            <w:r>
              <w:rPr>
                <w:rFonts w:hint="eastAsia" w:ascii="宋体" w:hAnsi="宋体" w:eastAsia="宋体" w:cs="宋体"/>
                <w:sz w:val="24"/>
                <w:szCs w:val="24"/>
                <w:lang w:val="en-US" w:eastAsia="zh-CN"/>
              </w:rPr>
              <w:t>在</w:t>
            </w:r>
            <w:r>
              <w:rPr>
                <w:rFonts w:hint="eastAsia" w:ascii="宋体" w:hAnsi="宋体" w:eastAsia="宋体" w:cs="宋体"/>
                <w:bCs/>
                <w:sz w:val="24"/>
                <w:szCs w:val="24"/>
                <w:lang w:val="en-US" w:eastAsia="zh-CN"/>
              </w:rPr>
              <w:t>在危废暂存间暂存（</w:t>
            </w:r>
            <w:r>
              <w:rPr>
                <w:rFonts w:hint="eastAsia" w:ascii="宋体" w:hAnsi="宋体" w:eastAsia="宋体" w:cs="宋体"/>
                <w:sz w:val="24"/>
                <w:szCs w:val="24"/>
              </w:rPr>
              <w:t>20m</w:t>
            </w:r>
            <w:r>
              <w:rPr>
                <w:rFonts w:hint="eastAsia" w:ascii="宋体" w:hAnsi="宋体" w:eastAsia="宋体" w:cs="宋体"/>
                <w:sz w:val="24"/>
                <w:szCs w:val="24"/>
                <w:vertAlign w:val="superscript"/>
              </w:rPr>
              <w:t>2</w:t>
            </w:r>
            <w:r>
              <w:rPr>
                <w:rFonts w:hint="eastAsia" w:ascii="宋体" w:hAnsi="宋体" w:eastAsia="宋体" w:cs="宋体"/>
                <w:bCs/>
                <w:sz w:val="24"/>
                <w:szCs w:val="24"/>
                <w:lang w:val="en-US" w:eastAsia="zh-CN"/>
              </w:rPr>
              <w:t>）</w:t>
            </w:r>
            <w:r>
              <w:rPr>
                <w:rFonts w:hint="eastAsia" w:ascii="宋体" w:hAnsi="宋体" w:eastAsia="宋体" w:cs="宋体"/>
                <w:sz w:val="24"/>
                <w:szCs w:val="24"/>
                <w:lang w:val="en-US" w:eastAsia="zh-CN"/>
              </w:rPr>
              <w:t>，定期委托危险废物处置单位处置</w:t>
            </w:r>
            <w:r>
              <w:rPr>
                <w:rFonts w:hint="eastAsia" w:ascii="宋体" w:hAnsi="宋体" w:eastAsia="宋体" w:cs="宋体"/>
                <w:b w:val="0"/>
                <w:bCs w:val="0"/>
                <w:color w:val="auto"/>
                <w:sz w:val="24"/>
                <w:szCs w:val="24"/>
                <w:lang w:val="zh-CN" w:eastAsia="zh-CN"/>
              </w:rPr>
              <w:t>。总之，本项目固体废物均能得到合理处置，对外环境影响很小。</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综上所述，本项目固废均得到妥善处置，处理率100%，对周围环境影响较小。</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5、平面布置及其合理性分析</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本项目平面布局功能分区明确其他与环评设计一致。</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6、环保投资估算</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本项目共投资224万元，项目环保实际投资76万元，占项目总投资33.93%。根据本工程排污的实际情况，其环保投资估算见表3-1，“ 三同时”建设情况一览表见表3-2。</w:t>
            </w:r>
            <w:bookmarkStart w:id="3" w:name="_Ref432061926"/>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表</w:t>
            </w:r>
            <w:bookmarkEnd w:id="3"/>
            <w:r>
              <w:rPr>
                <w:rFonts w:hint="eastAsia" w:ascii="宋体" w:hAnsi="宋体" w:eastAsia="宋体" w:cs="宋体"/>
                <w:b w:val="0"/>
                <w:bCs w:val="0"/>
                <w:color w:val="auto"/>
                <w:sz w:val="24"/>
                <w:szCs w:val="24"/>
                <w:lang w:val="en-US" w:eastAsia="zh-CN"/>
              </w:rPr>
              <w:t>3-1 项目环保投资</w:t>
            </w:r>
            <w:bookmarkStart w:id="4" w:name="_Ref432062039"/>
          </w:p>
          <w:tbl>
            <w:tblPr>
              <w:tblStyle w:val="12"/>
              <w:tblW w:w="8522" w:type="dxa"/>
              <w:tblInd w:w="0" w:type="dxa"/>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shd w:val="clear" w:color="auto" w:fill="auto"/>
              <w:tblLayout w:type="fixed"/>
              <w:tblCellMar>
                <w:top w:w="0" w:type="dxa"/>
                <w:left w:w="108" w:type="dxa"/>
                <w:bottom w:w="0" w:type="dxa"/>
                <w:right w:w="108" w:type="dxa"/>
              </w:tblCellMar>
            </w:tblPr>
            <w:tblGrid>
              <w:gridCol w:w="670"/>
              <w:gridCol w:w="1561"/>
              <w:gridCol w:w="2172"/>
              <w:gridCol w:w="735"/>
              <w:gridCol w:w="678"/>
              <w:gridCol w:w="1589"/>
              <w:gridCol w:w="1117"/>
            </w:tblGrid>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shd w:val="clear" w:color="auto" w:fill="auto"/>
              </w:tblPrEx>
              <w:tc>
                <w:tcPr>
                  <w:tcW w:w="670" w:type="dxa"/>
                  <w:tcBorders>
                    <w:top w:val="single" w:color="auto" w:sz="8" w:space="0"/>
                    <w:bottom w:val="single" w:color="auto" w:sz="2" w:space="0"/>
                  </w:tcBorders>
                  <w:shd w:val="clear" w:color="auto" w:fill="auto"/>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rPr>
                    <w:t>类别</w:t>
                  </w:r>
                </w:p>
              </w:tc>
              <w:tc>
                <w:tcPr>
                  <w:tcW w:w="1561" w:type="dxa"/>
                  <w:tcBorders>
                    <w:top w:val="single" w:color="auto" w:sz="8" w:space="0"/>
                    <w:bottom w:val="single" w:color="auto" w:sz="2" w:space="0"/>
                  </w:tcBorders>
                  <w:shd w:val="clear" w:color="auto" w:fill="auto"/>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rPr>
                    <w:t>污染源</w:t>
                  </w:r>
                </w:p>
              </w:tc>
              <w:tc>
                <w:tcPr>
                  <w:tcW w:w="2172" w:type="dxa"/>
                  <w:tcBorders>
                    <w:top w:val="single" w:color="auto" w:sz="8" w:space="0"/>
                    <w:bottom w:val="single" w:color="auto" w:sz="2" w:space="0"/>
                  </w:tcBorders>
                  <w:shd w:val="clear" w:color="auto" w:fill="auto"/>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rPr>
                    <w:t>污染防治措施</w:t>
                  </w:r>
                </w:p>
              </w:tc>
              <w:tc>
                <w:tcPr>
                  <w:tcW w:w="735" w:type="dxa"/>
                  <w:tcBorders>
                    <w:top w:val="single" w:color="auto" w:sz="8" w:space="0"/>
                    <w:bottom w:val="single" w:color="auto" w:sz="2" w:space="0"/>
                  </w:tcBorders>
                  <w:shd w:val="clear" w:color="auto" w:fill="auto"/>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rPr>
                    <w:t>单位</w:t>
                  </w:r>
                </w:p>
              </w:tc>
              <w:tc>
                <w:tcPr>
                  <w:tcW w:w="678" w:type="dxa"/>
                  <w:tcBorders>
                    <w:top w:val="single" w:color="auto" w:sz="8" w:space="0"/>
                    <w:bottom w:val="single" w:color="auto" w:sz="2" w:space="0"/>
                  </w:tcBorders>
                  <w:shd w:val="clear" w:color="auto" w:fill="auto"/>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rPr>
                    <w:t>数量</w:t>
                  </w:r>
                </w:p>
              </w:tc>
              <w:tc>
                <w:tcPr>
                  <w:tcW w:w="1589" w:type="dxa"/>
                  <w:tcBorders>
                    <w:top w:val="single" w:color="auto" w:sz="8" w:space="0"/>
                    <w:bottom w:val="single" w:color="auto" w:sz="2" w:space="0"/>
                  </w:tcBorders>
                  <w:shd w:val="clear" w:color="auto" w:fill="auto"/>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lang w:eastAsia="zh-CN"/>
                    </w:rPr>
                    <w:t>概算</w:t>
                  </w:r>
                  <w:r>
                    <w:rPr>
                      <w:rFonts w:hint="eastAsia" w:ascii="宋体" w:hAnsi="宋体" w:eastAsia="宋体" w:cs="宋体"/>
                      <w:sz w:val="21"/>
                      <w:szCs w:val="21"/>
                    </w:rPr>
                    <w:t>投资额（万元）</w:t>
                  </w:r>
                </w:p>
              </w:tc>
              <w:tc>
                <w:tcPr>
                  <w:tcW w:w="1117" w:type="dxa"/>
                  <w:tcBorders>
                    <w:top w:val="single" w:color="auto" w:sz="8" w:space="0"/>
                    <w:bottom w:val="single" w:color="auto" w:sz="2" w:space="0"/>
                  </w:tcBorders>
                  <w:shd w:val="clear" w:color="auto" w:fill="auto"/>
                </w:tcPr>
                <w:p>
                  <w:pPr>
                    <w:spacing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实际</w:t>
                  </w:r>
                  <w:r>
                    <w:rPr>
                      <w:rFonts w:hint="eastAsia" w:ascii="宋体" w:hAnsi="宋体" w:eastAsia="宋体" w:cs="宋体"/>
                      <w:sz w:val="21"/>
                      <w:szCs w:val="21"/>
                    </w:rPr>
                    <w:t>投资额（万元）</w:t>
                  </w: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708" w:hRule="atLeast"/>
              </w:trPr>
              <w:tc>
                <w:tcPr>
                  <w:tcW w:w="670" w:type="dxa"/>
                  <w:vMerge w:val="restart"/>
                  <w:tcBorders>
                    <w:top w:val="single" w:color="auto" w:sz="2" w:space="0"/>
                  </w:tcBorders>
                  <w:shd w:val="clear" w:color="auto" w:fill="auto"/>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lang w:val="en-US" w:eastAsia="zh-CN"/>
                    </w:rPr>
                    <w:t>运营期</w:t>
                  </w:r>
                  <w:r>
                    <w:rPr>
                      <w:rFonts w:hint="eastAsia" w:ascii="宋体" w:hAnsi="宋体" w:eastAsia="宋体" w:cs="宋体"/>
                      <w:sz w:val="21"/>
                      <w:szCs w:val="21"/>
                    </w:rPr>
                    <w:t>废气</w:t>
                  </w:r>
                </w:p>
              </w:tc>
              <w:tc>
                <w:tcPr>
                  <w:tcW w:w="1561" w:type="dxa"/>
                  <w:tcBorders>
                    <w:top w:val="single" w:color="auto" w:sz="2" w:space="0"/>
                    <w:bottom w:val="single" w:color="auto" w:sz="4" w:space="0"/>
                  </w:tcBorders>
                  <w:shd w:val="clear" w:color="auto" w:fill="auto"/>
                  <w:vAlign w:val="center"/>
                </w:tcPr>
                <w:p>
                  <w:pPr>
                    <w:pStyle w:val="31"/>
                    <w:adjustRightInd/>
                    <w:spacing w:line="240" w:lineRule="auto"/>
                    <w:ind w:firstLine="0" w:firstLineChars="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焊接烟尘</w:t>
                  </w:r>
                </w:p>
              </w:tc>
              <w:tc>
                <w:tcPr>
                  <w:tcW w:w="2172" w:type="dxa"/>
                  <w:tcBorders>
                    <w:top w:val="single" w:color="auto" w:sz="2" w:space="0"/>
                    <w:bottom w:val="single" w:color="auto" w:sz="4" w:space="0"/>
                  </w:tcBorders>
                  <w:shd w:val="clear" w:color="auto" w:fill="auto"/>
                  <w:vAlign w:val="center"/>
                </w:tcPr>
                <w:p>
                  <w:pPr>
                    <w:pStyle w:val="31"/>
                    <w:adjustRightInd/>
                    <w:spacing w:line="240" w:lineRule="auto"/>
                    <w:ind w:firstLine="0" w:firstLineChars="0"/>
                    <w:jc w:val="center"/>
                    <w:rPr>
                      <w:rFonts w:hint="eastAsia" w:ascii="宋体" w:hAnsi="宋体" w:eastAsia="宋体" w:cs="宋体"/>
                      <w:sz w:val="21"/>
                      <w:szCs w:val="21"/>
                      <w:lang w:val="en-GB"/>
                    </w:rPr>
                  </w:pPr>
                  <w:r>
                    <w:rPr>
                      <w:rFonts w:hint="eastAsia" w:ascii="宋体" w:hAnsi="宋体" w:eastAsia="宋体" w:cs="宋体"/>
                      <w:sz w:val="21"/>
                      <w:szCs w:val="21"/>
                      <w:lang w:val="en-GB"/>
                    </w:rPr>
                    <w:t>集气罩（6个）+1台焊烟净化器+1根15m高排气筒</w:t>
                  </w:r>
                </w:p>
              </w:tc>
              <w:tc>
                <w:tcPr>
                  <w:tcW w:w="735" w:type="dxa"/>
                  <w:tcBorders>
                    <w:top w:val="single" w:color="auto" w:sz="2" w:space="0"/>
                    <w:bottom w:val="single" w:color="auto" w:sz="4" w:space="0"/>
                  </w:tcBorders>
                  <w:shd w:val="clear" w:color="auto" w:fill="auto"/>
                  <w:vAlign w:val="top"/>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套</w:t>
                  </w:r>
                </w:p>
              </w:tc>
              <w:tc>
                <w:tcPr>
                  <w:tcW w:w="678" w:type="dxa"/>
                  <w:tcBorders>
                    <w:top w:val="single" w:color="auto" w:sz="2" w:space="0"/>
                    <w:bottom w:val="single" w:color="auto" w:sz="4" w:space="0"/>
                  </w:tcBorders>
                  <w:shd w:val="clear" w:color="auto" w:fill="auto"/>
                  <w:vAlign w:val="top"/>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1589" w:type="dxa"/>
                  <w:tcBorders>
                    <w:top w:val="single" w:color="auto" w:sz="2" w:space="0"/>
                    <w:bottom w:val="single" w:color="auto" w:sz="4" w:space="0"/>
                  </w:tcBorders>
                  <w:shd w:val="clear" w:color="auto" w:fill="auto"/>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1117" w:type="dxa"/>
                  <w:tcBorders>
                    <w:top w:val="single" w:color="auto" w:sz="2" w:space="0"/>
                    <w:bottom w:val="single" w:color="auto" w:sz="4" w:space="0"/>
                  </w:tcBorders>
                  <w:shd w:val="clear" w:color="auto" w:fill="auto"/>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w:t>
                  </w: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1377" w:hRule="atLeast"/>
              </w:trPr>
              <w:tc>
                <w:tcPr>
                  <w:tcW w:w="670" w:type="dxa"/>
                  <w:vMerge w:val="continue"/>
                  <w:shd w:val="clear" w:color="auto" w:fill="auto"/>
                  <w:vAlign w:val="center"/>
                </w:tcPr>
                <w:p>
                  <w:pPr>
                    <w:spacing w:line="240" w:lineRule="auto"/>
                    <w:jc w:val="center"/>
                    <w:rPr>
                      <w:rFonts w:hint="eastAsia" w:ascii="宋体" w:hAnsi="宋体" w:eastAsia="宋体" w:cs="宋体"/>
                      <w:sz w:val="21"/>
                      <w:szCs w:val="21"/>
                    </w:rPr>
                  </w:pPr>
                </w:p>
              </w:tc>
              <w:tc>
                <w:tcPr>
                  <w:tcW w:w="1561" w:type="dxa"/>
                  <w:tcBorders>
                    <w:top w:val="single" w:color="auto" w:sz="2" w:space="0"/>
                    <w:bottom w:val="single" w:color="auto" w:sz="4" w:space="0"/>
                  </w:tcBorders>
                  <w:shd w:val="clear" w:color="auto" w:fill="auto"/>
                  <w:vAlign w:val="center"/>
                </w:tcPr>
                <w:p>
                  <w:pPr>
                    <w:pStyle w:val="31"/>
                    <w:adjustRightInd/>
                    <w:spacing w:line="240" w:lineRule="auto"/>
                    <w:ind w:firstLine="0" w:firstLineChars="0"/>
                    <w:jc w:val="center"/>
                    <w:rPr>
                      <w:rFonts w:hint="eastAsia" w:ascii="宋体" w:hAnsi="宋体" w:eastAsia="宋体" w:cs="宋体"/>
                      <w:sz w:val="21"/>
                      <w:szCs w:val="21"/>
                      <w:lang w:eastAsia="zh-CN"/>
                    </w:rPr>
                  </w:pPr>
                  <w:r>
                    <w:rPr>
                      <w:rFonts w:hint="eastAsia" w:ascii="宋体" w:hAnsi="宋体" w:eastAsia="宋体" w:cs="宋体"/>
                      <w:sz w:val="21"/>
                      <w:szCs w:val="21"/>
                    </w:rPr>
                    <w:t>喷塑粉尘</w:t>
                  </w:r>
                </w:p>
              </w:tc>
              <w:tc>
                <w:tcPr>
                  <w:tcW w:w="2172" w:type="dxa"/>
                  <w:tcBorders>
                    <w:top w:val="single" w:color="auto" w:sz="2" w:space="0"/>
                    <w:bottom w:val="single" w:color="auto" w:sz="4" w:space="0"/>
                  </w:tcBorders>
                  <w:shd w:val="clear" w:color="auto" w:fill="auto"/>
                  <w:vAlign w:val="center"/>
                </w:tcPr>
                <w:p>
                  <w:pPr>
                    <w:pStyle w:val="31"/>
                    <w:adjustRightInd/>
                    <w:spacing w:line="240" w:lineRule="auto"/>
                    <w:ind w:firstLine="0" w:firstLineChars="0"/>
                    <w:jc w:val="center"/>
                    <w:rPr>
                      <w:rFonts w:hint="eastAsia" w:ascii="宋体" w:hAnsi="宋体" w:eastAsia="宋体" w:cs="宋体"/>
                      <w:sz w:val="21"/>
                      <w:szCs w:val="21"/>
                      <w:lang w:eastAsia="zh-CN"/>
                    </w:rPr>
                  </w:pPr>
                  <w:r>
                    <w:rPr>
                      <w:rFonts w:hint="eastAsia" w:ascii="宋体" w:hAnsi="宋体" w:eastAsia="宋体" w:cs="宋体"/>
                      <w:sz w:val="21"/>
                      <w:szCs w:val="21"/>
                      <w:lang w:val="en-GB"/>
                    </w:rPr>
                    <w:t>自带有粉末吸入回收系统（呈负压），该回收系统是一套圆筒形的过滤除尘装置，15m排气筒</w:t>
                  </w:r>
                </w:p>
              </w:tc>
              <w:tc>
                <w:tcPr>
                  <w:tcW w:w="735" w:type="dxa"/>
                  <w:tcBorders>
                    <w:top w:val="single" w:color="auto" w:sz="2" w:space="0"/>
                    <w:bottom w:val="single" w:color="auto" w:sz="4" w:space="0"/>
                  </w:tcBorders>
                  <w:shd w:val="clear" w:color="auto" w:fill="auto"/>
                  <w:vAlign w:val="top"/>
                </w:tcPr>
                <w:p>
                  <w:pPr>
                    <w:spacing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套</w:t>
                  </w:r>
                </w:p>
              </w:tc>
              <w:tc>
                <w:tcPr>
                  <w:tcW w:w="678" w:type="dxa"/>
                  <w:tcBorders>
                    <w:top w:val="single" w:color="auto" w:sz="2" w:space="0"/>
                    <w:bottom w:val="single" w:color="auto" w:sz="4" w:space="0"/>
                  </w:tcBorders>
                  <w:shd w:val="clear" w:color="auto" w:fill="auto"/>
                  <w:vAlign w:val="top"/>
                </w:tcPr>
                <w:p>
                  <w:pPr>
                    <w:spacing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1</w:t>
                  </w:r>
                </w:p>
              </w:tc>
              <w:tc>
                <w:tcPr>
                  <w:tcW w:w="1589" w:type="dxa"/>
                  <w:tcBorders>
                    <w:top w:val="single" w:color="auto" w:sz="2" w:space="0"/>
                    <w:bottom w:val="single" w:color="auto" w:sz="4" w:space="0"/>
                  </w:tcBorders>
                  <w:shd w:val="clear" w:color="auto" w:fill="auto"/>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1117" w:type="dxa"/>
                  <w:tcBorders>
                    <w:top w:val="single" w:color="auto" w:sz="2" w:space="0"/>
                    <w:bottom w:val="single" w:color="auto" w:sz="4" w:space="0"/>
                  </w:tcBorders>
                  <w:shd w:val="clear" w:color="auto" w:fill="auto"/>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3592" w:hRule="atLeast"/>
              </w:trPr>
              <w:tc>
                <w:tcPr>
                  <w:tcW w:w="670" w:type="dxa"/>
                  <w:vMerge w:val="continue"/>
                  <w:shd w:val="clear" w:color="auto" w:fill="auto"/>
                  <w:vAlign w:val="center"/>
                </w:tcPr>
                <w:p>
                  <w:pPr>
                    <w:spacing w:line="240" w:lineRule="auto"/>
                    <w:jc w:val="center"/>
                    <w:rPr>
                      <w:rFonts w:hint="eastAsia" w:ascii="宋体" w:hAnsi="宋体" w:eastAsia="宋体" w:cs="宋体"/>
                      <w:sz w:val="21"/>
                      <w:szCs w:val="21"/>
                    </w:rPr>
                  </w:pPr>
                </w:p>
              </w:tc>
              <w:tc>
                <w:tcPr>
                  <w:tcW w:w="1561" w:type="dxa"/>
                  <w:tcBorders>
                    <w:top w:val="single" w:color="auto" w:sz="4" w:space="0"/>
                  </w:tcBorders>
                  <w:shd w:val="clear" w:color="auto" w:fill="auto"/>
                  <w:vAlign w:val="center"/>
                </w:tcPr>
                <w:p>
                  <w:pPr>
                    <w:pStyle w:val="31"/>
                    <w:adjustRightInd/>
                    <w:spacing w:line="240" w:lineRule="auto"/>
                    <w:ind w:firstLine="0" w:firstLineChars="0"/>
                    <w:jc w:val="center"/>
                    <w:rPr>
                      <w:rFonts w:hint="eastAsia" w:ascii="宋体" w:hAnsi="宋体" w:eastAsia="宋体" w:cs="宋体"/>
                      <w:sz w:val="21"/>
                      <w:szCs w:val="21"/>
                      <w:lang w:val="en-US" w:eastAsia="zh-CN"/>
                    </w:rPr>
                  </w:pPr>
                  <w:r>
                    <w:rPr>
                      <w:rFonts w:hint="eastAsia" w:ascii="宋体" w:hAnsi="宋体" w:eastAsia="宋体" w:cs="宋体"/>
                      <w:sz w:val="21"/>
                      <w:szCs w:val="21"/>
                    </w:rPr>
                    <w:t>喷漆、固化废气</w:t>
                  </w:r>
                  <w:r>
                    <w:rPr>
                      <w:rFonts w:hint="eastAsia" w:ascii="宋体" w:hAnsi="宋体" w:eastAsia="宋体" w:cs="宋体"/>
                      <w:sz w:val="21"/>
                      <w:szCs w:val="21"/>
                      <w:lang w:val="en-US" w:eastAsia="zh-CN"/>
                    </w:rPr>
                    <w:t>及喷塑固化废气</w:t>
                  </w:r>
                </w:p>
              </w:tc>
              <w:tc>
                <w:tcPr>
                  <w:tcW w:w="2172" w:type="dxa"/>
                  <w:tcBorders>
                    <w:top w:val="single" w:color="auto" w:sz="4" w:space="0"/>
                  </w:tcBorders>
                  <w:shd w:val="clear" w:color="auto" w:fill="auto"/>
                  <w:vAlign w:val="center"/>
                </w:tcPr>
                <w:p>
                  <w:pPr>
                    <w:pStyle w:val="31"/>
                    <w:adjustRightInd/>
                    <w:spacing w:line="240" w:lineRule="auto"/>
                    <w:ind w:firstLine="0" w:firstLineChars="0"/>
                    <w:jc w:val="center"/>
                    <w:rPr>
                      <w:rFonts w:hint="eastAsia" w:ascii="宋体" w:hAnsi="宋体" w:eastAsia="宋体" w:cs="宋体"/>
                      <w:sz w:val="21"/>
                      <w:szCs w:val="21"/>
                      <w:lang w:val="en-US" w:eastAsia="zh-CN"/>
                    </w:rPr>
                  </w:pPr>
                  <w:r>
                    <w:rPr>
                      <w:rFonts w:hint="eastAsia" w:ascii="宋体" w:hAnsi="宋体" w:eastAsia="宋体" w:cs="宋体"/>
                      <w:sz w:val="21"/>
                      <w:szCs w:val="21"/>
                      <w:lang w:val="en-GB"/>
                    </w:rPr>
                    <w:t>喷漆废气</w:t>
                  </w:r>
                  <w:r>
                    <w:rPr>
                      <w:rFonts w:hint="eastAsia" w:ascii="宋体" w:hAnsi="宋体" w:eastAsia="宋体" w:cs="宋体"/>
                      <w:sz w:val="21"/>
                      <w:szCs w:val="21"/>
                      <w:lang w:val="en-US" w:eastAsia="zh-CN"/>
                    </w:rPr>
                    <w:t>采用</w:t>
                  </w:r>
                  <w:r>
                    <w:rPr>
                      <w:rFonts w:hint="eastAsia" w:ascii="宋体" w:hAnsi="宋体" w:eastAsia="宋体" w:cs="宋体"/>
                      <w:sz w:val="21"/>
                      <w:szCs w:val="21"/>
                      <w:lang w:val="en-GB"/>
                    </w:rPr>
                    <w:t>1套水帘柜</w:t>
                  </w:r>
                  <w:r>
                    <w:rPr>
                      <w:rFonts w:hint="eastAsia" w:ascii="宋体" w:hAnsi="宋体" w:eastAsia="宋体" w:cs="宋体"/>
                      <w:sz w:val="21"/>
                      <w:szCs w:val="21"/>
                      <w:lang w:val="en-US" w:eastAsia="zh-CN"/>
                    </w:rPr>
                    <w:t>处理后再通过</w:t>
                  </w:r>
                  <w:r>
                    <w:rPr>
                      <w:rFonts w:hint="eastAsia" w:ascii="宋体" w:hAnsi="宋体" w:eastAsia="宋体" w:cs="宋体"/>
                      <w:sz w:val="21"/>
                      <w:szCs w:val="21"/>
                      <w:lang w:val="en-GB"/>
                    </w:rPr>
                    <w:t>1套活性炭吸附+1套UV光解装置</w:t>
                  </w:r>
                  <w:r>
                    <w:rPr>
                      <w:rFonts w:hint="eastAsia" w:ascii="宋体" w:hAnsi="宋体" w:eastAsia="宋体" w:cs="宋体"/>
                      <w:sz w:val="21"/>
                      <w:szCs w:val="21"/>
                      <w:lang w:val="en-US" w:eastAsia="zh-CN"/>
                    </w:rPr>
                    <w:t>进行处理，达标后通过</w:t>
                  </w:r>
                  <w:r>
                    <w:rPr>
                      <w:rFonts w:hint="eastAsia" w:ascii="宋体" w:hAnsi="宋体" w:eastAsia="宋体" w:cs="宋体"/>
                      <w:sz w:val="21"/>
                      <w:szCs w:val="21"/>
                      <w:lang w:val="en-GB"/>
                    </w:rPr>
                    <w:t>1个15m排气筒</w:t>
                  </w:r>
                  <w:r>
                    <w:rPr>
                      <w:rFonts w:hint="eastAsia" w:ascii="宋体" w:hAnsi="宋体" w:eastAsia="宋体" w:cs="宋体"/>
                      <w:sz w:val="21"/>
                      <w:szCs w:val="21"/>
                      <w:lang w:val="en-US" w:eastAsia="zh-CN"/>
                    </w:rPr>
                    <w:t>排放；喷漆</w:t>
                  </w:r>
                  <w:r>
                    <w:rPr>
                      <w:rFonts w:hint="eastAsia" w:ascii="宋体" w:hAnsi="宋体" w:eastAsia="宋体" w:cs="宋体"/>
                      <w:sz w:val="21"/>
                      <w:szCs w:val="21"/>
                      <w:lang w:val="en-GB"/>
                    </w:rPr>
                    <w:t>固化废气</w:t>
                  </w:r>
                  <w:r>
                    <w:rPr>
                      <w:rFonts w:hint="eastAsia" w:ascii="宋体" w:hAnsi="宋体" w:eastAsia="宋体" w:cs="宋体"/>
                      <w:sz w:val="21"/>
                      <w:szCs w:val="21"/>
                      <w:lang w:val="en-US" w:eastAsia="zh-CN"/>
                    </w:rPr>
                    <w:t>和喷塑固化废气采用</w:t>
                  </w:r>
                  <w:r>
                    <w:rPr>
                      <w:rFonts w:hint="eastAsia" w:ascii="宋体" w:hAnsi="宋体" w:eastAsia="宋体" w:cs="宋体"/>
                      <w:sz w:val="21"/>
                      <w:szCs w:val="21"/>
                      <w:lang w:val="en-GB"/>
                    </w:rPr>
                    <w:t>1套活性炭吸附+1套UV光解装置+1个15m排气筒</w:t>
                  </w:r>
                  <w:r>
                    <w:rPr>
                      <w:rFonts w:hint="eastAsia" w:ascii="宋体" w:hAnsi="宋体" w:eastAsia="宋体" w:cs="宋体"/>
                      <w:sz w:val="21"/>
                      <w:szCs w:val="21"/>
                      <w:lang w:val="en-GB" w:eastAsia="zh-CN"/>
                    </w:rPr>
                    <w:t>，（</w:t>
                  </w:r>
                  <w:r>
                    <w:rPr>
                      <w:rFonts w:hint="eastAsia" w:ascii="宋体" w:hAnsi="宋体" w:eastAsia="宋体" w:cs="宋体"/>
                      <w:sz w:val="21"/>
                      <w:szCs w:val="21"/>
                      <w:lang w:val="en-GB"/>
                    </w:rPr>
                    <w:t>与喷漆废气共用1套活性炭吸附+UV光解装置处理排放</w:t>
                  </w:r>
                  <w:r>
                    <w:rPr>
                      <w:rFonts w:hint="eastAsia" w:ascii="宋体" w:hAnsi="宋体" w:eastAsia="宋体" w:cs="宋体"/>
                      <w:sz w:val="21"/>
                      <w:szCs w:val="21"/>
                      <w:lang w:val="en-GB" w:eastAsia="zh-CN"/>
                    </w:rPr>
                    <w:t>）</w:t>
                  </w:r>
                </w:p>
              </w:tc>
              <w:tc>
                <w:tcPr>
                  <w:tcW w:w="735" w:type="dxa"/>
                  <w:tcBorders>
                    <w:top w:val="single" w:color="auto" w:sz="4" w:space="0"/>
                  </w:tcBorders>
                  <w:shd w:val="clear" w:color="auto" w:fill="auto"/>
                  <w:vAlign w:val="top"/>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套</w:t>
                  </w:r>
                </w:p>
              </w:tc>
              <w:tc>
                <w:tcPr>
                  <w:tcW w:w="678" w:type="dxa"/>
                  <w:tcBorders>
                    <w:top w:val="single" w:color="auto" w:sz="4" w:space="0"/>
                  </w:tcBorders>
                  <w:shd w:val="clear" w:color="auto" w:fill="auto"/>
                  <w:vAlign w:val="top"/>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lang w:val="en-US" w:eastAsia="zh-CN"/>
                    </w:rPr>
                    <w:t>1</w:t>
                  </w:r>
                </w:p>
              </w:tc>
              <w:tc>
                <w:tcPr>
                  <w:tcW w:w="1589" w:type="dxa"/>
                  <w:tcBorders>
                    <w:top w:val="single" w:color="auto" w:sz="4" w:space="0"/>
                  </w:tcBorders>
                  <w:shd w:val="clear" w:color="auto" w:fill="auto"/>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50</w:t>
                  </w:r>
                </w:p>
              </w:tc>
              <w:tc>
                <w:tcPr>
                  <w:tcW w:w="1117" w:type="dxa"/>
                  <w:tcBorders>
                    <w:top w:val="single" w:color="auto" w:sz="4" w:space="0"/>
                  </w:tcBorders>
                  <w:shd w:val="clear" w:color="auto" w:fill="auto"/>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50</w:t>
                  </w: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434" w:hRule="atLeast"/>
              </w:trPr>
              <w:tc>
                <w:tcPr>
                  <w:tcW w:w="670" w:type="dxa"/>
                  <w:shd w:val="clear" w:color="auto" w:fill="auto"/>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lang w:val="en-US" w:eastAsia="zh-CN"/>
                    </w:rPr>
                    <w:t>运营期</w:t>
                  </w:r>
                  <w:r>
                    <w:rPr>
                      <w:rFonts w:hint="eastAsia" w:ascii="宋体" w:hAnsi="宋体" w:eastAsia="宋体" w:cs="宋体"/>
                      <w:sz w:val="21"/>
                      <w:szCs w:val="21"/>
                    </w:rPr>
                    <w:t>噪声</w:t>
                  </w:r>
                </w:p>
              </w:tc>
              <w:tc>
                <w:tcPr>
                  <w:tcW w:w="1561" w:type="dxa"/>
                  <w:shd w:val="clear" w:color="auto" w:fill="auto"/>
                  <w:vAlign w:val="center"/>
                </w:tcPr>
                <w:p>
                  <w:pPr>
                    <w:pageBreakBefore w:val="0"/>
                    <w:kinsoku/>
                    <w:wordWrap/>
                    <w:topLinePunct w:val="0"/>
                    <w:bidi w:val="0"/>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GB"/>
                    </w:rPr>
                    <w:t>设备运行</w:t>
                  </w:r>
                </w:p>
              </w:tc>
              <w:tc>
                <w:tcPr>
                  <w:tcW w:w="2172" w:type="dxa"/>
                  <w:shd w:val="clear" w:color="auto" w:fill="auto"/>
                  <w:vAlign w:val="center"/>
                </w:tcPr>
                <w:p>
                  <w:pPr>
                    <w:pageBreakBefore w:val="0"/>
                    <w:kinsoku/>
                    <w:wordWrap/>
                    <w:topLinePunct w:val="0"/>
                    <w:bidi w:val="0"/>
                    <w:spacing w:line="240" w:lineRule="auto"/>
                    <w:jc w:val="center"/>
                    <w:rPr>
                      <w:rFonts w:hint="eastAsia" w:ascii="宋体" w:hAnsi="宋体" w:eastAsia="宋体" w:cs="宋体"/>
                      <w:sz w:val="21"/>
                      <w:szCs w:val="21"/>
                    </w:rPr>
                  </w:pPr>
                  <w:r>
                    <w:rPr>
                      <w:rFonts w:hint="eastAsia" w:ascii="宋体" w:hAnsi="宋体" w:eastAsia="宋体" w:cs="宋体"/>
                      <w:sz w:val="21"/>
                      <w:szCs w:val="21"/>
                      <w:lang w:val="en-GB"/>
                    </w:rPr>
                    <w:t>设置基础减振、厂房隔声</w:t>
                  </w:r>
                </w:p>
              </w:tc>
              <w:tc>
                <w:tcPr>
                  <w:tcW w:w="735" w:type="dxa"/>
                  <w:shd w:val="clear" w:color="auto" w:fill="auto"/>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rPr>
                    <w:t>/</w:t>
                  </w:r>
                </w:p>
              </w:tc>
              <w:tc>
                <w:tcPr>
                  <w:tcW w:w="678" w:type="dxa"/>
                  <w:shd w:val="clear" w:color="auto" w:fill="auto"/>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rPr>
                    <w:t>/</w:t>
                  </w:r>
                </w:p>
              </w:tc>
              <w:tc>
                <w:tcPr>
                  <w:tcW w:w="1589" w:type="dxa"/>
                  <w:shd w:val="clear" w:color="auto" w:fill="auto"/>
                  <w:vAlign w:val="center"/>
                </w:tcPr>
                <w:p>
                  <w:pPr>
                    <w:spacing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5</w:t>
                  </w:r>
                </w:p>
              </w:tc>
              <w:tc>
                <w:tcPr>
                  <w:tcW w:w="1117" w:type="dxa"/>
                  <w:shd w:val="clear" w:color="auto" w:fill="auto"/>
                  <w:vAlign w:val="center"/>
                </w:tcPr>
                <w:p>
                  <w:pPr>
                    <w:spacing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5</w:t>
                  </w: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shd w:val="clear" w:color="auto" w:fill="auto"/>
                <w:tblCellMar>
                  <w:top w:w="0" w:type="dxa"/>
                  <w:left w:w="108" w:type="dxa"/>
                  <w:bottom w:w="0" w:type="dxa"/>
                  <w:right w:w="108" w:type="dxa"/>
                </w:tblCellMar>
              </w:tblPrEx>
              <w:tc>
                <w:tcPr>
                  <w:tcW w:w="670" w:type="dxa"/>
                  <w:vMerge w:val="restart"/>
                  <w:shd w:val="clear" w:color="auto" w:fill="auto"/>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lang w:val="en-US" w:eastAsia="zh-CN"/>
                    </w:rPr>
                    <w:t>运营期</w:t>
                  </w:r>
                  <w:r>
                    <w:rPr>
                      <w:rFonts w:hint="eastAsia" w:ascii="宋体" w:hAnsi="宋体" w:eastAsia="宋体" w:cs="宋体"/>
                      <w:sz w:val="21"/>
                      <w:szCs w:val="21"/>
                    </w:rPr>
                    <w:t>固废</w:t>
                  </w:r>
                </w:p>
              </w:tc>
              <w:tc>
                <w:tcPr>
                  <w:tcW w:w="1561" w:type="dxa"/>
                  <w:shd w:val="clear" w:color="auto" w:fill="auto"/>
                  <w:vAlign w:val="center"/>
                </w:tcPr>
                <w:p>
                  <w:pPr>
                    <w:pageBreakBefore w:val="0"/>
                    <w:kinsoku/>
                    <w:wordWrap/>
                    <w:topLinePunct w:val="0"/>
                    <w:bidi w:val="0"/>
                    <w:spacing w:line="240" w:lineRule="auto"/>
                    <w:jc w:val="center"/>
                    <w:rPr>
                      <w:rFonts w:hint="eastAsia" w:ascii="宋体" w:hAnsi="宋体" w:eastAsia="宋体" w:cs="宋体"/>
                      <w:color w:val="000000"/>
                      <w:kern w:val="28"/>
                      <w:sz w:val="21"/>
                      <w:szCs w:val="21"/>
                      <w:lang w:val="en-GB" w:eastAsia="zh-CN" w:bidi="ar-SA"/>
                    </w:rPr>
                  </w:pPr>
                  <w:r>
                    <w:rPr>
                      <w:rFonts w:hint="eastAsia" w:ascii="宋体" w:hAnsi="宋体" w:eastAsia="宋体" w:cs="宋体"/>
                      <w:color w:val="000000"/>
                      <w:kern w:val="28"/>
                      <w:sz w:val="21"/>
                      <w:szCs w:val="21"/>
                      <w:lang w:val="en-US" w:eastAsia="zh-CN" w:bidi="ar-SA"/>
                    </w:rPr>
                    <w:t>边角料和焊烟净化器收集的粉尘</w:t>
                  </w:r>
                </w:p>
              </w:tc>
              <w:tc>
                <w:tcPr>
                  <w:tcW w:w="2172" w:type="dxa"/>
                  <w:shd w:val="clear" w:color="auto" w:fill="auto"/>
                  <w:vAlign w:val="center"/>
                </w:tcPr>
                <w:p>
                  <w:pPr>
                    <w:pageBreakBefore w:val="0"/>
                    <w:kinsoku/>
                    <w:wordWrap/>
                    <w:topLinePunct w:val="0"/>
                    <w:bidi w:val="0"/>
                    <w:spacing w:line="240" w:lineRule="auto"/>
                    <w:jc w:val="center"/>
                    <w:rPr>
                      <w:rFonts w:hint="eastAsia" w:ascii="宋体" w:hAnsi="宋体" w:eastAsia="宋体" w:cs="宋体"/>
                      <w:color w:val="000000"/>
                      <w:kern w:val="28"/>
                      <w:sz w:val="21"/>
                      <w:szCs w:val="21"/>
                      <w:lang w:val="en-GB" w:eastAsia="zh-CN" w:bidi="ar-SA"/>
                    </w:rPr>
                  </w:pPr>
                  <w:r>
                    <w:rPr>
                      <w:rFonts w:hint="eastAsia" w:ascii="宋体" w:hAnsi="宋体" w:eastAsia="宋体" w:cs="宋体"/>
                      <w:color w:val="000000"/>
                      <w:kern w:val="28"/>
                      <w:sz w:val="21"/>
                      <w:szCs w:val="21"/>
                      <w:lang w:val="en-GB" w:eastAsia="zh-CN" w:bidi="ar-SA"/>
                    </w:rPr>
                    <w:t>固废临时收集桶</w:t>
                  </w:r>
                </w:p>
              </w:tc>
              <w:tc>
                <w:tcPr>
                  <w:tcW w:w="735" w:type="dxa"/>
                  <w:shd w:val="clear" w:color="auto" w:fill="auto"/>
                  <w:vAlign w:val="center"/>
                </w:tcPr>
                <w:p>
                  <w:pPr>
                    <w:spacing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个</w:t>
                  </w:r>
                </w:p>
              </w:tc>
              <w:tc>
                <w:tcPr>
                  <w:tcW w:w="678" w:type="dxa"/>
                  <w:tcBorders>
                    <w:bottom w:val="single" w:color="auto" w:sz="4" w:space="0"/>
                  </w:tcBorders>
                  <w:shd w:val="clear" w:color="auto" w:fill="auto"/>
                  <w:vAlign w:val="center"/>
                </w:tcPr>
                <w:p>
                  <w:pPr>
                    <w:spacing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4</w:t>
                  </w:r>
                </w:p>
              </w:tc>
              <w:tc>
                <w:tcPr>
                  <w:tcW w:w="1589" w:type="dxa"/>
                  <w:tcBorders>
                    <w:bottom w:val="single" w:color="auto" w:sz="4" w:space="0"/>
                  </w:tcBorders>
                  <w:shd w:val="clear" w:color="auto" w:fill="auto"/>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0.5</w:t>
                  </w:r>
                </w:p>
              </w:tc>
              <w:tc>
                <w:tcPr>
                  <w:tcW w:w="1117" w:type="dxa"/>
                  <w:shd w:val="clear" w:color="auto" w:fill="auto"/>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0.5</w:t>
                  </w: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shd w:val="clear" w:color="auto" w:fill="auto"/>
                <w:tblCellMar>
                  <w:top w:w="0" w:type="dxa"/>
                  <w:left w:w="108" w:type="dxa"/>
                  <w:bottom w:w="0" w:type="dxa"/>
                  <w:right w:w="108" w:type="dxa"/>
                </w:tblCellMar>
              </w:tblPrEx>
              <w:tc>
                <w:tcPr>
                  <w:tcW w:w="670" w:type="dxa"/>
                  <w:vMerge w:val="continue"/>
                  <w:shd w:val="clear" w:color="auto" w:fill="auto"/>
                  <w:vAlign w:val="center"/>
                </w:tcPr>
                <w:p>
                  <w:pPr>
                    <w:spacing w:line="240" w:lineRule="auto"/>
                    <w:jc w:val="center"/>
                    <w:rPr>
                      <w:rFonts w:hint="eastAsia" w:ascii="宋体" w:hAnsi="宋体" w:eastAsia="宋体" w:cs="宋体"/>
                      <w:sz w:val="21"/>
                      <w:szCs w:val="21"/>
                    </w:rPr>
                  </w:pPr>
                </w:p>
              </w:tc>
              <w:tc>
                <w:tcPr>
                  <w:tcW w:w="1561" w:type="dxa"/>
                  <w:shd w:val="clear" w:color="auto" w:fill="auto"/>
                  <w:vAlign w:val="center"/>
                </w:tcPr>
                <w:p>
                  <w:pPr>
                    <w:pageBreakBefore w:val="0"/>
                    <w:kinsoku/>
                    <w:wordWrap/>
                    <w:topLinePunct w:val="0"/>
                    <w:bidi w:val="0"/>
                    <w:spacing w:line="240" w:lineRule="auto"/>
                    <w:jc w:val="center"/>
                    <w:rPr>
                      <w:rFonts w:hint="eastAsia" w:ascii="宋体" w:hAnsi="宋体" w:eastAsia="宋体" w:cs="宋体"/>
                      <w:sz w:val="21"/>
                      <w:szCs w:val="21"/>
                    </w:rPr>
                  </w:pPr>
                  <w:r>
                    <w:rPr>
                      <w:rFonts w:hint="eastAsia" w:ascii="宋体" w:hAnsi="宋体" w:eastAsia="宋体" w:cs="宋体"/>
                      <w:sz w:val="21"/>
                      <w:szCs w:val="21"/>
                      <w:lang w:val="en-US" w:eastAsia="zh-CN"/>
                    </w:rPr>
                    <w:t>润滑油</w:t>
                  </w:r>
                  <w:r>
                    <w:rPr>
                      <w:rFonts w:hint="eastAsia" w:ascii="宋体" w:hAnsi="宋体" w:eastAsia="宋体" w:cs="宋体"/>
                      <w:sz w:val="21"/>
                      <w:szCs w:val="21"/>
                      <w:lang w:val="en-GB"/>
                    </w:rPr>
                    <w:t>、</w:t>
                  </w:r>
                  <w:r>
                    <w:rPr>
                      <w:rFonts w:hint="eastAsia" w:ascii="宋体" w:hAnsi="宋体" w:eastAsia="宋体" w:cs="宋体"/>
                      <w:sz w:val="21"/>
                      <w:szCs w:val="21"/>
                      <w:lang w:val="en-US" w:eastAsia="zh-CN"/>
                    </w:rPr>
                    <w:t>切削液</w:t>
                  </w:r>
                  <w:r>
                    <w:rPr>
                      <w:rFonts w:hint="eastAsia" w:ascii="宋体" w:hAnsi="宋体" w:eastAsia="宋体" w:cs="宋体"/>
                      <w:sz w:val="21"/>
                      <w:szCs w:val="21"/>
                      <w:lang w:val="en-GB"/>
                    </w:rPr>
                    <w:t>、废油漆桶、漆渣、废UV灯管、</w:t>
                  </w:r>
                  <w:r>
                    <w:rPr>
                      <w:rFonts w:hint="eastAsia" w:ascii="宋体" w:hAnsi="宋体" w:eastAsia="宋体" w:cs="宋体"/>
                      <w:sz w:val="21"/>
                      <w:szCs w:val="21"/>
                    </w:rPr>
                    <w:t>水帘柜</w:t>
                  </w:r>
                  <w:r>
                    <w:rPr>
                      <w:rFonts w:hint="eastAsia" w:ascii="宋体" w:hAnsi="宋体" w:eastAsia="宋体" w:cs="宋体"/>
                      <w:sz w:val="21"/>
                      <w:szCs w:val="21"/>
                      <w:lang w:val="en-GB"/>
                    </w:rPr>
                    <w:t>除漆雾</w:t>
                  </w:r>
                  <w:r>
                    <w:rPr>
                      <w:rFonts w:hint="eastAsia" w:ascii="宋体" w:hAnsi="宋体" w:eastAsia="宋体" w:cs="宋体"/>
                      <w:sz w:val="21"/>
                      <w:szCs w:val="21"/>
                    </w:rPr>
                    <w:t>循环水</w:t>
                  </w:r>
                  <w:r>
                    <w:rPr>
                      <w:rFonts w:hint="eastAsia" w:ascii="宋体" w:hAnsi="宋体" w:eastAsia="宋体" w:cs="宋体"/>
                      <w:sz w:val="21"/>
                      <w:szCs w:val="21"/>
                      <w:lang w:val="en-GB"/>
                    </w:rPr>
                    <w:t>及废活性炭</w:t>
                  </w:r>
                </w:p>
              </w:tc>
              <w:tc>
                <w:tcPr>
                  <w:tcW w:w="2172" w:type="dxa"/>
                  <w:shd w:val="clear" w:color="auto" w:fill="auto"/>
                  <w:vAlign w:val="center"/>
                </w:tcPr>
                <w:p>
                  <w:pPr>
                    <w:pageBreakBefore w:val="0"/>
                    <w:kinsoku/>
                    <w:wordWrap/>
                    <w:topLinePunct w:val="0"/>
                    <w:bidi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rPr>
                    <w:t>危废间（20m</w:t>
                  </w:r>
                  <w:r>
                    <w:rPr>
                      <w:rFonts w:hint="eastAsia" w:ascii="宋体" w:hAnsi="宋体" w:eastAsia="宋体" w:cs="宋体"/>
                      <w:sz w:val="21"/>
                      <w:szCs w:val="21"/>
                      <w:vertAlign w:val="superscript"/>
                    </w:rPr>
                    <w:t>3</w:t>
                  </w:r>
                  <w:r>
                    <w:rPr>
                      <w:rFonts w:hint="eastAsia" w:ascii="宋体" w:hAnsi="宋体" w:eastAsia="宋体" w:cs="宋体"/>
                      <w:sz w:val="21"/>
                      <w:szCs w:val="21"/>
                    </w:rPr>
                    <w:t>）</w:t>
                  </w:r>
                  <w:r>
                    <w:rPr>
                      <w:rFonts w:hint="eastAsia" w:ascii="宋体" w:hAnsi="宋体" w:eastAsia="宋体" w:cs="宋体"/>
                      <w:sz w:val="21"/>
                      <w:szCs w:val="21"/>
                      <w:lang w:val="en-GB"/>
                    </w:rPr>
                    <w:t>暂存，定期</w:t>
                  </w:r>
                  <w:r>
                    <w:rPr>
                      <w:rFonts w:hint="eastAsia" w:ascii="宋体" w:hAnsi="宋体" w:eastAsia="宋体" w:cs="宋体"/>
                      <w:sz w:val="21"/>
                      <w:szCs w:val="21"/>
                    </w:rPr>
                    <w:t>交有资质单位处置，水帘柜</w:t>
                  </w:r>
                  <w:r>
                    <w:rPr>
                      <w:rFonts w:hint="eastAsia" w:ascii="宋体" w:hAnsi="宋体" w:eastAsia="宋体" w:cs="宋体"/>
                      <w:sz w:val="21"/>
                      <w:szCs w:val="21"/>
                      <w:lang w:val="en-GB"/>
                    </w:rPr>
                    <w:t>除漆雾</w:t>
                  </w:r>
                  <w:r>
                    <w:rPr>
                      <w:rFonts w:hint="eastAsia" w:ascii="宋体" w:hAnsi="宋体" w:eastAsia="宋体" w:cs="宋体"/>
                      <w:sz w:val="21"/>
                      <w:szCs w:val="21"/>
                    </w:rPr>
                    <w:t>循环水定期由资质单位清运和处理处置</w:t>
                  </w:r>
                </w:p>
              </w:tc>
              <w:tc>
                <w:tcPr>
                  <w:tcW w:w="735" w:type="dxa"/>
                  <w:shd w:val="clear" w:color="auto" w:fill="auto"/>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rPr>
                    <w:t>/</w:t>
                  </w:r>
                </w:p>
              </w:tc>
              <w:tc>
                <w:tcPr>
                  <w:tcW w:w="678" w:type="dxa"/>
                  <w:tcBorders>
                    <w:top w:val="single" w:color="auto" w:sz="4" w:space="0"/>
                  </w:tcBorders>
                  <w:shd w:val="clear" w:color="auto" w:fill="auto"/>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rPr>
                    <w:t>/</w:t>
                  </w:r>
                </w:p>
              </w:tc>
              <w:tc>
                <w:tcPr>
                  <w:tcW w:w="1589" w:type="dxa"/>
                  <w:tcBorders>
                    <w:top w:val="single" w:color="auto" w:sz="4" w:space="0"/>
                  </w:tcBorders>
                  <w:shd w:val="clear" w:color="auto" w:fill="auto"/>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1117" w:type="dxa"/>
                  <w:shd w:val="clear" w:color="auto" w:fill="auto"/>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w:t>
                  </w: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shd w:val="clear" w:color="auto" w:fill="auto"/>
                <w:tblCellMar>
                  <w:top w:w="0" w:type="dxa"/>
                  <w:left w:w="108" w:type="dxa"/>
                  <w:bottom w:w="0" w:type="dxa"/>
                  <w:right w:w="108" w:type="dxa"/>
                </w:tblCellMar>
              </w:tblPrEx>
              <w:tc>
                <w:tcPr>
                  <w:tcW w:w="670" w:type="dxa"/>
                  <w:vMerge w:val="continue"/>
                  <w:shd w:val="clear" w:color="auto" w:fill="auto"/>
                  <w:vAlign w:val="center"/>
                </w:tcPr>
                <w:p>
                  <w:pPr>
                    <w:spacing w:line="240" w:lineRule="auto"/>
                    <w:jc w:val="center"/>
                    <w:rPr>
                      <w:rFonts w:hint="eastAsia" w:ascii="宋体" w:hAnsi="宋体" w:eastAsia="宋体" w:cs="宋体"/>
                      <w:sz w:val="21"/>
                      <w:szCs w:val="21"/>
                    </w:rPr>
                  </w:pPr>
                </w:p>
              </w:tc>
              <w:tc>
                <w:tcPr>
                  <w:tcW w:w="1561" w:type="dxa"/>
                  <w:shd w:val="clear" w:color="auto" w:fill="auto"/>
                  <w:vAlign w:val="center"/>
                </w:tcPr>
                <w:p>
                  <w:pPr>
                    <w:pageBreakBefore w:val="0"/>
                    <w:kinsoku/>
                    <w:wordWrap/>
                    <w:topLinePunct w:val="0"/>
                    <w:bidi w:val="0"/>
                    <w:spacing w:line="240" w:lineRule="auto"/>
                    <w:jc w:val="center"/>
                    <w:rPr>
                      <w:rFonts w:hint="eastAsia" w:ascii="宋体" w:hAnsi="宋体" w:eastAsia="宋体" w:cs="宋体"/>
                      <w:sz w:val="21"/>
                      <w:szCs w:val="21"/>
                      <w:lang w:val="en-GB"/>
                    </w:rPr>
                  </w:pPr>
                  <w:r>
                    <w:rPr>
                      <w:rFonts w:hint="eastAsia" w:ascii="宋体" w:hAnsi="宋体" w:eastAsia="宋体" w:cs="宋体"/>
                      <w:sz w:val="21"/>
                      <w:szCs w:val="21"/>
                      <w:lang w:val="en-GB"/>
                    </w:rPr>
                    <w:t>生活垃圾</w:t>
                  </w:r>
                </w:p>
              </w:tc>
              <w:tc>
                <w:tcPr>
                  <w:tcW w:w="2172" w:type="dxa"/>
                  <w:shd w:val="clear" w:color="auto" w:fill="auto"/>
                  <w:vAlign w:val="center"/>
                </w:tcPr>
                <w:p>
                  <w:pPr>
                    <w:pageBreakBefore w:val="0"/>
                    <w:kinsoku/>
                    <w:wordWrap/>
                    <w:topLinePunct w:val="0"/>
                    <w:bidi w:val="0"/>
                    <w:spacing w:line="240" w:lineRule="auto"/>
                    <w:rPr>
                      <w:rFonts w:hint="eastAsia" w:ascii="宋体" w:hAnsi="宋体" w:eastAsia="宋体" w:cs="宋体"/>
                      <w:sz w:val="21"/>
                      <w:szCs w:val="21"/>
                    </w:rPr>
                  </w:pPr>
                  <w:r>
                    <w:rPr>
                      <w:rFonts w:hint="eastAsia" w:ascii="宋体" w:hAnsi="宋体" w:eastAsia="宋体" w:cs="宋体"/>
                      <w:sz w:val="21"/>
                      <w:szCs w:val="21"/>
                      <w:lang w:val="en-GB"/>
                    </w:rPr>
                    <w:t>垃圾</w:t>
                  </w:r>
                  <w:r>
                    <w:rPr>
                      <w:rFonts w:hint="eastAsia" w:ascii="宋体" w:hAnsi="宋体" w:eastAsia="宋体" w:cs="宋体"/>
                      <w:sz w:val="21"/>
                      <w:szCs w:val="21"/>
                    </w:rPr>
                    <w:t>桶</w:t>
                  </w:r>
                </w:p>
              </w:tc>
              <w:tc>
                <w:tcPr>
                  <w:tcW w:w="735" w:type="dxa"/>
                  <w:shd w:val="clear" w:color="auto" w:fill="auto"/>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c>
                <w:tcPr>
                  <w:tcW w:w="678" w:type="dxa"/>
                  <w:tcBorders>
                    <w:top w:val="single" w:color="auto" w:sz="4" w:space="0"/>
                  </w:tcBorders>
                  <w:shd w:val="clear" w:color="auto" w:fill="auto"/>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c>
                <w:tcPr>
                  <w:tcW w:w="1589" w:type="dxa"/>
                  <w:tcBorders>
                    <w:top w:val="single" w:color="auto" w:sz="4" w:space="0"/>
                  </w:tcBorders>
                  <w:shd w:val="clear" w:color="auto" w:fill="auto"/>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0.5</w:t>
                  </w:r>
                </w:p>
              </w:tc>
              <w:tc>
                <w:tcPr>
                  <w:tcW w:w="1117" w:type="dxa"/>
                  <w:shd w:val="clear" w:color="auto" w:fill="auto"/>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0.5</w:t>
                  </w: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shd w:val="clear" w:color="auto" w:fill="auto"/>
                <w:tblCellMar>
                  <w:top w:w="0" w:type="dxa"/>
                  <w:left w:w="108" w:type="dxa"/>
                  <w:bottom w:w="0" w:type="dxa"/>
                  <w:right w:w="108" w:type="dxa"/>
                </w:tblCellMar>
              </w:tblPrEx>
              <w:tc>
                <w:tcPr>
                  <w:tcW w:w="5816" w:type="dxa"/>
                  <w:gridSpan w:val="5"/>
                  <w:shd w:val="clear" w:color="auto" w:fill="auto"/>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rPr>
                    <w:t>合计</w:t>
                  </w:r>
                </w:p>
              </w:tc>
              <w:tc>
                <w:tcPr>
                  <w:tcW w:w="1589" w:type="dxa"/>
                  <w:shd w:val="clear" w:color="auto" w:fill="auto"/>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76</w:t>
                  </w:r>
                </w:p>
              </w:tc>
              <w:tc>
                <w:tcPr>
                  <w:tcW w:w="1117" w:type="dxa"/>
                  <w:shd w:val="clear" w:color="auto" w:fill="auto"/>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76</w:t>
                  </w: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shd w:val="clear" w:color="auto" w:fill="auto"/>
                <w:tblCellMar>
                  <w:top w:w="0" w:type="dxa"/>
                  <w:left w:w="108" w:type="dxa"/>
                  <w:bottom w:w="0" w:type="dxa"/>
                  <w:right w:w="108" w:type="dxa"/>
                </w:tblCellMar>
              </w:tblPrEx>
              <w:tc>
                <w:tcPr>
                  <w:tcW w:w="8522" w:type="dxa"/>
                  <w:gridSpan w:val="7"/>
                  <w:shd w:val="clear" w:color="auto" w:fill="auto"/>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注：实际焊接烟尘采用</w:t>
                  </w:r>
                  <w:r>
                    <w:rPr>
                      <w:rFonts w:hint="eastAsia" w:ascii="宋体" w:hAnsi="宋体" w:eastAsia="宋体" w:cs="宋体"/>
                      <w:sz w:val="21"/>
                      <w:szCs w:val="21"/>
                      <w:lang w:val="en-GB"/>
                    </w:rPr>
                    <w:t>集气罩（</w:t>
                  </w:r>
                  <w:r>
                    <w:rPr>
                      <w:rFonts w:hint="eastAsia" w:ascii="宋体" w:hAnsi="宋体" w:eastAsia="宋体" w:cs="宋体"/>
                      <w:sz w:val="21"/>
                      <w:szCs w:val="21"/>
                      <w:lang w:val="en-US" w:eastAsia="zh-CN"/>
                    </w:rPr>
                    <w:t>8</w:t>
                  </w:r>
                  <w:r>
                    <w:rPr>
                      <w:rFonts w:hint="eastAsia" w:ascii="宋体" w:hAnsi="宋体" w:eastAsia="宋体" w:cs="宋体"/>
                      <w:sz w:val="21"/>
                      <w:szCs w:val="21"/>
                      <w:lang w:val="en-GB"/>
                    </w:rPr>
                    <w:t>个）+1台</w:t>
                  </w:r>
                  <w:r>
                    <w:rPr>
                      <w:rFonts w:hint="eastAsia" w:ascii="宋体" w:hAnsi="宋体" w:eastAsia="宋体" w:cs="宋体"/>
                      <w:sz w:val="21"/>
                      <w:szCs w:val="21"/>
                      <w:lang w:val="en-US" w:eastAsia="zh-CN"/>
                    </w:rPr>
                    <w:t>袋式除尘器</w:t>
                  </w:r>
                  <w:r>
                    <w:rPr>
                      <w:rFonts w:hint="eastAsia" w:ascii="宋体" w:hAnsi="宋体" w:eastAsia="宋体" w:cs="宋体"/>
                      <w:sz w:val="21"/>
                      <w:szCs w:val="21"/>
                      <w:lang w:val="en-GB"/>
                    </w:rPr>
                    <w:t>+1根15m高排气筒</w:t>
                  </w:r>
                  <w:r>
                    <w:rPr>
                      <w:rFonts w:hint="eastAsia" w:ascii="宋体" w:hAnsi="宋体" w:eastAsia="宋体" w:cs="宋体"/>
                      <w:sz w:val="21"/>
                      <w:szCs w:val="21"/>
                      <w:lang w:val="en-US" w:eastAsia="zh-CN"/>
                    </w:rPr>
                    <w:t>处理</w:t>
                  </w:r>
                </w:p>
              </w:tc>
            </w:tr>
            <w:bookmarkEnd w:id="4"/>
          </w:tbl>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表3-2 “ 三同时”建设情况一览表</w:t>
            </w:r>
          </w:p>
          <w:tbl>
            <w:tblPr>
              <w:tblStyle w:val="12"/>
              <w:tblW w:w="8420" w:type="dxa"/>
              <w:tblInd w:w="0" w:type="dxa"/>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shd w:val="clear" w:color="auto" w:fill="auto"/>
              <w:tblLayout w:type="fixed"/>
              <w:tblCellMar>
                <w:top w:w="0" w:type="dxa"/>
                <w:left w:w="108" w:type="dxa"/>
                <w:bottom w:w="0" w:type="dxa"/>
                <w:right w:w="108" w:type="dxa"/>
              </w:tblCellMar>
            </w:tblPr>
            <w:tblGrid>
              <w:gridCol w:w="778"/>
              <w:gridCol w:w="3078"/>
              <w:gridCol w:w="2895"/>
              <w:gridCol w:w="1669"/>
            </w:tblGrid>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488" w:hRule="atLeast"/>
              </w:trPr>
              <w:tc>
                <w:tcPr>
                  <w:tcW w:w="778" w:type="dxa"/>
                  <w:tcBorders>
                    <w:top w:val="single" w:color="auto" w:sz="8" w:space="0"/>
                    <w:bottom w:val="single" w:color="auto" w:sz="2" w:space="0"/>
                  </w:tcBorders>
                  <w:shd w:val="clear" w:color="auto" w:fill="auto"/>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rPr>
                    <w:t>类别</w:t>
                  </w:r>
                </w:p>
              </w:tc>
              <w:tc>
                <w:tcPr>
                  <w:tcW w:w="3078" w:type="dxa"/>
                  <w:tcBorders>
                    <w:top w:val="single" w:color="auto" w:sz="8" w:space="0"/>
                    <w:bottom w:val="single" w:color="auto" w:sz="2" w:space="0"/>
                  </w:tcBorders>
                  <w:shd w:val="clear" w:color="auto" w:fill="auto"/>
                  <w:vAlign w:val="center"/>
                </w:tcPr>
                <w:p>
                  <w:pPr>
                    <w:spacing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环评要求</w:t>
                  </w:r>
                </w:p>
              </w:tc>
              <w:tc>
                <w:tcPr>
                  <w:tcW w:w="2895" w:type="dxa"/>
                  <w:tcBorders>
                    <w:top w:val="single" w:color="auto" w:sz="8" w:space="0"/>
                    <w:bottom w:val="single" w:color="auto" w:sz="2" w:space="0"/>
                  </w:tcBorders>
                  <w:shd w:val="clear" w:color="auto" w:fill="auto"/>
                  <w:vAlign w:val="center"/>
                </w:tcPr>
                <w:p>
                  <w:pPr>
                    <w:spacing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实际建设情况</w:t>
                  </w:r>
                </w:p>
              </w:tc>
              <w:tc>
                <w:tcPr>
                  <w:tcW w:w="1669" w:type="dxa"/>
                  <w:tcBorders>
                    <w:top w:val="single" w:color="auto" w:sz="8" w:space="0"/>
                    <w:bottom w:val="single" w:color="auto" w:sz="2" w:space="0"/>
                  </w:tcBorders>
                  <w:shd w:val="clear" w:color="auto" w:fill="auto"/>
                  <w:vAlign w:val="center"/>
                </w:tcPr>
                <w:p>
                  <w:pPr>
                    <w:spacing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相符性</w:t>
                  </w: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415" w:hRule="atLeast"/>
              </w:trPr>
              <w:tc>
                <w:tcPr>
                  <w:tcW w:w="778" w:type="dxa"/>
                  <w:vMerge w:val="restart"/>
                  <w:tcBorders>
                    <w:top w:val="single" w:color="auto" w:sz="2" w:space="0"/>
                  </w:tcBorders>
                  <w:shd w:val="clear" w:color="auto" w:fill="auto"/>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废气</w:t>
                  </w:r>
                </w:p>
              </w:tc>
              <w:tc>
                <w:tcPr>
                  <w:tcW w:w="3078" w:type="dxa"/>
                  <w:tcBorders>
                    <w:top w:val="single" w:color="auto" w:sz="2" w:space="0"/>
                    <w:bottom w:val="single" w:color="auto" w:sz="4" w:space="0"/>
                  </w:tcBorders>
                  <w:shd w:val="clear" w:color="auto" w:fill="auto"/>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焊接烟尘采用</w:t>
                  </w:r>
                  <w:r>
                    <w:rPr>
                      <w:rFonts w:hint="eastAsia" w:ascii="宋体" w:hAnsi="宋体" w:eastAsia="宋体" w:cs="宋体"/>
                      <w:sz w:val="21"/>
                      <w:szCs w:val="21"/>
                      <w:lang w:val="en-GB"/>
                    </w:rPr>
                    <w:t>气罩（6个）+1台焊烟净化器+1根15m高排气筒</w:t>
                  </w:r>
                </w:p>
              </w:tc>
              <w:tc>
                <w:tcPr>
                  <w:tcW w:w="2895" w:type="dxa"/>
                  <w:tcBorders>
                    <w:top w:val="single" w:color="auto" w:sz="2" w:space="0"/>
                    <w:bottom w:val="single" w:color="auto" w:sz="4" w:space="0"/>
                  </w:tcBorders>
                  <w:shd w:val="clear" w:color="auto" w:fill="auto"/>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焊接烟尘采用</w:t>
                  </w:r>
                  <w:r>
                    <w:rPr>
                      <w:rFonts w:hint="eastAsia" w:ascii="宋体" w:hAnsi="宋体" w:eastAsia="宋体" w:cs="宋体"/>
                      <w:sz w:val="21"/>
                      <w:szCs w:val="21"/>
                      <w:lang w:val="en-GB"/>
                    </w:rPr>
                    <w:t>气罩（</w:t>
                  </w:r>
                  <w:r>
                    <w:rPr>
                      <w:rFonts w:hint="eastAsia" w:ascii="宋体" w:hAnsi="宋体" w:eastAsia="宋体" w:cs="宋体"/>
                      <w:sz w:val="21"/>
                      <w:szCs w:val="21"/>
                      <w:lang w:val="en-US" w:eastAsia="zh-CN"/>
                    </w:rPr>
                    <w:t>8</w:t>
                  </w:r>
                  <w:r>
                    <w:rPr>
                      <w:rFonts w:hint="eastAsia" w:ascii="宋体" w:hAnsi="宋体" w:eastAsia="宋体" w:cs="宋体"/>
                      <w:sz w:val="21"/>
                      <w:szCs w:val="21"/>
                      <w:lang w:val="en-GB"/>
                    </w:rPr>
                    <w:t>个）+1台</w:t>
                  </w:r>
                  <w:r>
                    <w:rPr>
                      <w:rFonts w:hint="eastAsia" w:ascii="宋体" w:hAnsi="宋体" w:eastAsia="宋体" w:cs="宋体"/>
                      <w:sz w:val="21"/>
                      <w:szCs w:val="21"/>
                      <w:lang w:val="en-US" w:eastAsia="zh-CN"/>
                    </w:rPr>
                    <w:t>袋式除尘器</w:t>
                  </w:r>
                  <w:r>
                    <w:rPr>
                      <w:rFonts w:hint="eastAsia" w:ascii="宋体" w:hAnsi="宋体" w:eastAsia="宋体" w:cs="宋体"/>
                      <w:sz w:val="21"/>
                      <w:szCs w:val="21"/>
                      <w:lang w:val="en-GB"/>
                    </w:rPr>
                    <w:t>+1根15m高排气筒</w:t>
                  </w:r>
                  <w:r>
                    <w:rPr>
                      <w:rFonts w:hint="eastAsia" w:ascii="宋体" w:hAnsi="宋体" w:eastAsia="宋体" w:cs="宋体"/>
                      <w:sz w:val="21"/>
                      <w:szCs w:val="21"/>
                      <w:lang w:val="en-US" w:eastAsia="zh-CN"/>
                    </w:rPr>
                    <w:t>（与有机废气排放共用排气筒）</w:t>
                  </w:r>
                </w:p>
              </w:tc>
              <w:tc>
                <w:tcPr>
                  <w:tcW w:w="1669" w:type="dxa"/>
                  <w:tcBorders>
                    <w:top w:val="single" w:color="auto" w:sz="2" w:space="0"/>
                    <w:bottom w:val="single" w:color="auto" w:sz="4" w:space="0"/>
                  </w:tcBorders>
                  <w:shd w:val="clear" w:color="auto" w:fill="auto"/>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相符</w:t>
                  </w: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1910" w:hRule="atLeast"/>
              </w:trPr>
              <w:tc>
                <w:tcPr>
                  <w:tcW w:w="778" w:type="dxa"/>
                  <w:vMerge w:val="continue"/>
                  <w:shd w:val="clear" w:color="auto" w:fill="auto"/>
                  <w:vAlign w:val="center"/>
                </w:tcPr>
                <w:p>
                  <w:pPr>
                    <w:spacing w:line="240" w:lineRule="auto"/>
                    <w:jc w:val="center"/>
                    <w:rPr>
                      <w:rFonts w:hint="eastAsia" w:ascii="宋体" w:hAnsi="宋体" w:eastAsia="宋体" w:cs="宋体"/>
                      <w:sz w:val="21"/>
                      <w:szCs w:val="21"/>
                      <w:lang w:val="en-US" w:eastAsia="zh-CN"/>
                    </w:rPr>
                  </w:pPr>
                </w:p>
              </w:tc>
              <w:tc>
                <w:tcPr>
                  <w:tcW w:w="3078" w:type="dxa"/>
                  <w:tcBorders>
                    <w:top w:val="single" w:color="auto" w:sz="4" w:space="0"/>
                    <w:bottom w:val="single" w:color="auto" w:sz="4" w:space="0"/>
                  </w:tcBorders>
                  <w:shd w:val="clear" w:color="auto" w:fill="auto"/>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rPr>
                    <w:t>喷塑粉尘</w:t>
                  </w:r>
                  <w:r>
                    <w:rPr>
                      <w:rFonts w:hint="eastAsia" w:ascii="宋体" w:hAnsi="宋体" w:eastAsia="宋体" w:cs="宋体"/>
                      <w:sz w:val="21"/>
                      <w:szCs w:val="21"/>
                      <w:lang w:val="en-US" w:eastAsia="zh-CN"/>
                    </w:rPr>
                    <w:t>采用</w:t>
                  </w:r>
                  <w:r>
                    <w:rPr>
                      <w:rFonts w:hint="eastAsia" w:ascii="宋体" w:hAnsi="宋体" w:eastAsia="宋体" w:cs="宋体"/>
                      <w:sz w:val="21"/>
                      <w:szCs w:val="21"/>
                      <w:lang w:val="en-GB"/>
                    </w:rPr>
                    <w:t>自带有粉末吸入回收系统（呈负压），该回收系统是一套圆筒形的过滤除尘装置，15m排气筒</w:t>
                  </w:r>
                </w:p>
              </w:tc>
              <w:tc>
                <w:tcPr>
                  <w:tcW w:w="2895" w:type="dxa"/>
                  <w:tcBorders>
                    <w:top w:val="single" w:color="auto" w:sz="4" w:space="0"/>
                    <w:bottom w:val="single" w:color="auto" w:sz="4" w:space="0"/>
                  </w:tcBorders>
                  <w:shd w:val="clear" w:color="auto" w:fill="auto"/>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rPr>
                    <w:t>喷塑粉尘</w:t>
                  </w:r>
                  <w:r>
                    <w:rPr>
                      <w:rFonts w:hint="eastAsia" w:ascii="宋体" w:hAnsi="宋体" w:eastAsia="宋体" w:cs="宋体"/>
                      <w:sz w:val="21"/>
                      <w:szCs w:val="21"/>
                      <w:lang w:val="en-US" w:eastAsia="zh-CN"/>
                    </w:rPr>
                    <w:t>采用</w:t>
                  </w:r>
                  <w:r>
                    <w:rPr>
                      <w:rFonts w:hint="eastAsia" w:ascii="宋体" w:hAnsi="宋体" w:eastAsia="宋体" w:cs="宋体"/>
                      <w:sz w:val="21"/>
                      <w:szCs w:val="21"/>
                      <w:lang w:val="en-GB"/>
                    </w:rPr>
                    <w:t>自带有粉末吸入回收系统（呈负压</w:t>
                  </w:r>
                  <w:r>
                    <w:rPr>
                      <w:rFonts w:hint="eastAsia" w:ascii="宋体" w:hAnsi="宋体" w:eastAsia="宋体" w:cs="宋体"/>
                      <w:sz w:val="21"/>
                      <w:szCs w:val="21"/>
                      <w:lang w:val="en-GB" w:eastAsia="zh-CN"/>
                    </w:rPr>
                    <w:t>，</w:t>
                  </w:r>
                  <w:r>
                    <w:rPr>
                      <w:rFonts w:hint="eastAsia" w:ascii="宋体" w:hAnsi="宋体" w:eastAsia="宋体" w:cs="宋体"/>
                      <w:sz w:val="21"/>
                      <w:szCs w:val="21"/>
                      <w:lang w:val="en-GB"/>
                    </w:rPr>
                    <w:t>该回收系统是一套圆筒形的过滤除尘装置）+1台</w:t>
                  </w:r>
                  <w:r>
                    <w:rPr>
                      <w:rFonts w:hint="eastAsia" w:ascii="宋体" w:hAnsi="宋体" w:eastAsia="宋体" w:cs="宋体"/>
                      <w:sz w:val="21"/>
                      <w:szCs w:val="21"/>
                      <w:lang w:val="en-US" w:eastAsia="zh-CN"/>
                    </w:rPr>
                    <w:t>袋式除尘器</w:t>
                  </w:r>
                  <w:r>
                    <w:rPr>
                      <w:rFonts w:hint="eastAsia" w:ascii="宋体" w:hAnsi="宋体" w:eastAsia="宋体" w:cs="宋体"/>
                      <w:sz w:val="21"/>
                      <w:szCs w:val="21"/>
                      <w:lang w:val="en-GB"/>
                    </w:rPr>
                    <w:t>+1根15m高排气筒</w:t>
                  </w:r>
                  <w:r>
                    <w:rPr>
                      <w:rFonts w:hint="eastAsia" w:ascii="宋体" w:hAnsi="宋体" w:eastAsia="宋体" w:cs="宋体"/>
                      <w:sz w:val="21"/>
                      <w:szCs w:val="21"/>
                      <w:lang w:val="en-GB" w:eastAsia="zh-CN"/>
                    </w:rPr>
                    <w:t>（</w:t>
                  </w:r>
                  <w:r>
                    <w:rPr>
                      <w:rFonts w:hint="eastAsia" w:ascii="宋体" w:hAnsi="宋体" w:eastAsia="宋体" w:cs="宋体"/>
                      <w:sz w:val="21"/>
                      <w:szCs w:val="21"/>
                      <w:lang w:val="en-US" w:eastAsia="zh-CN"/>
                    </w:rPr>
                    <w:t>与焊接烟尘共用一个袋式除尘器，与有机废气排放共用排气筒</w:t>
                  </w:r>
                  <w:r>
                    <w:rPr>
                      <w:rFonts w:hint="eastAsia" w:ascii="宋体" w:hAnsi="宋体" w:eastAsia="宋体" w:cs="宋体"/>
                      <w:sz w:val="21"/>
                      <w:szCs w:val="21"/>
                      <w:lang w:val="en-GB" w:eastAsia="zh-CN"/>
                    </w:rPr>
                    <w:t>）</w:t>
                  </w:r>
                </w:p>
              </w:tc>
              <w:tc>
                <w:tcPr>
                  <w:tcW w:w="1669" w:type="dxa"/>
                  <w:tcBorders>
                    <w:top w:val="single" w:color="auto" w:sz="4" w:space="0"/>
                    <w:bottom w:val="single" w:color="auto" w:sz="4" w:space="0"/>
                  </w:tcBorders>
                  <w:shd w:val="clear" w:color="auto" w:fill="auto"/>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相符</w:t>
                  </w: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173" w:hRule="atLeast"/>
              </w:trPr>
              <w:tc>
                <w:tcPr>
                  <w:tcW w:w="778" w:type="dxa"/>
                  <w:vMerge w:val="continue"/>
                  <w:shd w:val="clear" w:color="auto" w:fill="auto"/>
                  <w:vAlign w:val="center"/>
                </w:tcPr>
                <w:p>
                  <w:pPr>
                    <w:spacing w:line="240" w:lineRule="auto"/>
                    <w:jc w:val="center"/>
                    <w:rPr>
                      <w:rFonts w:hint="eastAsia" w:ascii="宋体" w:hAnsi="宋体" w:eastAsia="宋体" w:cs="宋体"/>
                      <w:sz w:val="21"/>
                      <w:szCs w:val="21"/>
                      <w:lang w:val="en-US" w:eastAsia="zh-CN"/>
                    </w:rPr>
                  </w:pPr>
                </w:p>
              </w:tc>
              <w:tc>
                <w:tcPr>
                  <w:tcW w:w="3078" w:type="dxa"/>
                  <w:tcBorders>
                    <w:top w:val="single" w:color="auto" w:sz="4" w:space="0"/>
                    <w:bottom w:val="single" w:color="auto" w:sz="4" w:space="0"/>
                  </w:tcBorders>
                  <w:shd w:val="clear" w:color="auto" w:fill="auto"/>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GB"/>
                    </w:rPr>
                    <w:t>喷漆废气</w:t>
                  </w:r>
                  <w:r>
                    <w:rPr>
                      <w:rFonts w:hint="eastAsia" w:ascii="宋体" w:hAnsi="宋体" w:eastAsia="宋体" w:cs="宋体"/>
                      <w:sz w:val="21"/>
                      <w:szCs w:val="21"/>
                      <w:lang w:val="en-US" w:eastAsia="zh-CN"/>
                    </w:rPr>
                    <w:t>采用</w:t>
                  </w:r>
                  <w:r>
                    <w:rPr>
                      <w:rFonts w:hint="eastAsia" w:ascii="宋体" w:hAnsi="宋体" w:eastAsia="宋体" w:cs="宋体"/>
                      <w:sz w:val="21"/>
                      <w:szCs w:val="21"/>
                      <w:lang w:val="en-GB"/>
                    </w:rPr>
                    <w:t>1套水帘柜</w:t>
                  </w:r>
                  <w:r>
                    <w:rPr>
                      <w:rFonts w:hint="eastAsia" w:ascii="宋体" w:hAnsi="宋体" w:eastAsia="宋体" w:cs="宋体"/>
                      <w:sz w:val="21"/>
                      <w:szCs w:val="21"/>
                      <w:lang w:val="en-US" w:eastAsia="zh-CN"/>
                    </w:rPr>
                    <w:t>处理后再通过</w:t>
                  </w:r>
                  <w:r>
                    <w:rPr>
                      <w:rFonts w:hint="eastAsia" w:ascii="宋体" w:hAnsi="宋体" w:eastAsia="宋体" w:cs="宋体"/>
                      <w:sz w:val="21"/>
                      <w:szCs w:val="21"/>
                      <w:lang w:val="en-GB"/>
                    </w:rPr>
                    <w:t>1套活性炭吸附+1套UV光解装置</w:t>
                  </w:r>
                  <w:r>
                    <w:rPr>
                      <w:rFonts w:hint="eastAsia" w:ascii="宋体" w:hAnsi="宋体" w:eastAsia="宋体" w:cs="宋体"/>
                      <w:sz w:val="21"/>
                      <w:szCs w:val="21"/>
                      <w:lang w:val="en-US" w:eastAsia="zh-CN"/>
                    </w:rPr>
                    <w:t>进行处理，达标后通过</w:t>
                  </w:r>
                  <w:r>
                    <w:rPr>
                      <w:rFonts w:hint="eastAsia" w:ascii="宋体" w:hAnsi="宋体" w:eastAsia="宋体" w:cs="宋体"/>
                      <w:sz w:val="21"/>
                      <w:szCs w:val="21"/>
                      <w:lang w:val="en-GB"/>
                    </w:rPr>
                    <w:t>1个15m排气筒</w:t>
                  </w:r>
                  <w:r>
                    <w:rPr>
                      <w:rFonts w:hint="eastAsia" w:ascii="宋体" w:hAnsi="宋体" w:eastAsia="宋体" w:cs="宋体"/>
                      <w:sz w:val="21"/>
                      <w:szCs w:val="21"/>
                      <w:lang w:val="en-US" w:eastAsia="zh-CN"/>
                    </w:rPr>
                    <w:t>排放；喷漆</w:t>
                  </w:r>
                  <w:r>
                    <w:rPr>
                      <w:rFonts w:hint="eastAsia" w:ascii="宋体" w:hAnsi="宋体" w:eastAsia="宋体" w:cs="宋体"/>
                      <w:sz w:val="21"/>
                      <w:szCs w:val="21"/>
                      <w:lang w:val="en-GB"/>
                    </w:rPr>
                    <w:t>固化废气</w:t>
                  </w:r>
                  <w:r>
                    <w:rPr>
                      <w:rFonts w:hint="eastAsia" w:ascii="宋体" w:hAnsi="宋体" w:eastAsia="宋体" w:cs="宋体"/>
                      <w:sz w:val="21"/>
                      <w:szCs w:val="21"/>
                      <w:lang w:val="en-US" w:eastAsia="zh-CN"/>
                    </w:rPr>
                    <w:t>和喷塑固化废气采用</w:t>
                  </w:r>
                  <w:r>
                    <w:rPr>
                      <w:rFonts w:hint="eastAsia" w:ascii="宋体" w:hAnsi="宋体" w:eastAsia="宋体" w:cs="宋体"/>
                      <w:sz w:val="21"/>
                      <w:szCs w:val="21"/>
                      <w:lang w:val="en-GB"/>
                    </w:rPr>
                    <w:t>1套活性炭吸附+1套UV光解装置+1个15m排气筒</w:t>
                  </w:r>
                  <w:r>
                    <w:rPr>
                      <w:rFonts w:hint="eastAsia" w:ascii="宋体" w:hAnsi="宋体" w:eastAsia="宋体" w:cs="宋体"/>
                      <w:sz w:val="21"/>
                      <w:szCs w:val="21"/>
                      <w:lang w:val="en-GB" w:eastAsia="zh-CN"/>
                    </w:rPr>
                    <w:t>，（</w:t>
                  </w:r>
                  <w:r>
                    <w:rPr>
                      <w:rFonts w:hint="eastAsia" w:ascii="宋体" w:hAnsi="宋体" w:eastAsia="宋体" w:cs="宋体"/>
                      <w:sz w:val="21"/>
                      <w:szCs w:val="21"/>
                      <w:lang w:val="en-GB"/>
                    </w:rPr>
                    <w:t>与喷漆废气共用1套活性炭吸附+UV光解装置处理排放</w:t>
                  </w:r>
                  <w:r>
                    <w:rPr>
                      <w:rFonts w:hint="eastAsia" w:ascii="宋体" w:hAnsi="宋体" w:eastAsia="宋体" w:cs="宋体"/>
                      <w:sz w:val="21"/>
                      <w:szCs w:val="21"/>
                      <w:lang w:val="en-GB" w:eastAsia="zh-CN"/>
                    </w:rPr>
                    <w:t>）</w:t>
                  </w:r>
                </w:p>
              </w:tc>
              <w:tc>
                <w:tcPr>
                  <w:tcW w:w="2895" w:type="dxa"/>
                  <w:tcBorders>
                    <w:top w:val="single" w:color="auto" w:sz="4" w:space="0"/>
                    <w:bottom w:val="single" w:color="auto" w:sz="4" w:space="0"/>
                  </w:tcBorders>
                  <w:shd w:val="clear" w:color="auto" w:fill="auto"/>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GB"/>
                    </w:rPr>
                    <w:t>喷漆废气</w:t>
                  </w:r>
                  <w:r>
                    <w:rPr>
                      <w:rFonts w:hint="eastAsia" w:ascii="宋体" w:hAnsi="宋体" w:eastAsia="宋体" w:cs="宋体"/>
                      <w:sz w:val="21"/>
                      <w:szCs w:val="21"/>
                      <w:lang w:val="en-US" w:eastAsia="zh-CN"/>
                    </w:rPr>
                    <w:t>采用</w:t>
                  </w:r>
                  <w:r>
                    <w:rPr>
                      <w:rFonts w:hint="eastAsia" w:ascii="宋体" w:hAnsi="宋体" w:eastAsia="宋体" w:cs="宋体"/>
                      <w:sz w:val="21"/>
                      <w:szCs w:val="21"/>
                      <w:lang w:val="en-GB"/>
                    </w:rPr>
                    <w:t>1套水帘柜</w:t>
                  </w:r>
                  <w:r>
                    <w:rPr>
                      <w:rFonts w:hint="eastAsia" w:ascii="宋体" w:hAnsi="宋体" w:eastAsia="宋体" w:cs="宋体"/>
                      <w:sz w:val="21"/>
                      <w:szCs w:val="21"/>
                      <w:lang w:val="en-US" w:eastAsia="zh-CN"/>
                    </w:rPr>
                    <w:t>处理后再通过</w:t>
                  </w:r>
                  <w:r>
                    <w:rPr>
                      <w:rFonts w:hint="eastAsia" w:ascii="宋体" w:hAnsi="宋体" w:eastAsia="宋体" w:cs="宋体"/>
                      <w:sz w:val="21"/>
                      <w:szCs w:val="21"/>
                      <w:lang w:val="en-GB"/>
                    </w:rPr>
                    <w:t>1套活性炭吸附+1套UV光解装置</w:t>
                  </w:r>
                  <w:r>
                    <w:rPr>
                      <w:rFonts w:hint="eastAsia" w:ascii="宋体" w:hAnsi="宋体" w:eastAsia="宋体" w:cs="宋体"/>
                      <w:sz w:val="21"/>
                      <w:szCs w:val="21"/>
                      <w:lang w:val="en-US" w:eastAsia="zh-CN"/>
                    </w:rPr>
                    <w:t>进行处理，达标后通过</w:t>
                  </w:r>
                  <w:r>
                    <w:rPr>
                      <w:rFonts w:hint="eastAsia" w:ascii="宋体" w:hAnsi="宋体" w:eastAsia="宋体" w:cs="宋体"/>
                      <w:sz w:val="21"/>
                      <w:szCs w:val="21"/>
                      <w:lang w:val="en-GB"/>
                    </w:rPr>
                    <w:t>1个15m排气筒</w:t>
                  </w:r>
                  <w:r>
                    <w:rPr>
                      <w:rFonts w:hint="eastAsia" w:ascii="宋体" w:hAnsi="宋体" w:eastAsia="宋体" w:cs="宋体"/>
                      <w:sz w:val="21"/>
                      <w:szCs w:val="21"/>
                      <w:lang w:val="en-US" w:eastAsia="zh-CN"/>
                    </w:rPr>
                    <w:t>排放；喷漆</w:t>
                  </w:r>
                  <w:r>
                    <w:rPr>
                      <w:rFonts w:hint="eastAsia" w:ascii="宋体" w:hAnsi="宋体" w:eastAsia="宋体" w:cs="宋体"/>
                      <w:sz w:val="21"/>
                      <w:szCs w:val="21"/>
                      <w:lang w:val="en-GB"/>
                    </w:rPr>
                    <w:t>固化废气</w:t>
                  </w:r>
                  <w:r>
                    <w:rPr>
                      <w:rFonts w:hint="eastAsia" w:ascii="宋体" w:hAnsi="宋体" w:eastAsia="宋体" w:cs="宋体"/>
                      <w:sz w:val="21"/>
                      <w:szCs w:val="21"/>
                      <w:lang w:val="en-US" w:eastAsia="zh-CN"/>
                    </w:rPr>
                    <w:t>和喷塑固化废气采用</w:t>
                  </w:r>
                  <w:r>
                    <w:rPr>
                      <w:rFonts w:hint="eastAsia" w:ascii="宋体" w:hAnsi="宋体" w:eastAsia="宋体" w:cs="宋体"/>
                      <w:sz w:val="21"/>
                      <w:szCs w:val="21"/>
                      <w:lang w:val="en-GB"/>
                    </w:rPr>
                    <w:t>1套活性炭吸附+1套UV光解装置+1个15m排气筒</w:t>
                  </w:r>
                  <w:r>
                    <w:rPr>
                      <w:rFonts w:hint="eastAsia" w:ascii="宋体" w:hAnsi="宋体" w:eastAsia="宋体" w:cs="宋体"/>
                      <w:sz w:val="21"/>
                      <w:szCs w:val="21"/>
                      <w:lang w:val="en-GB" w:eastAsia="zh-CN"/>
                    </w:rPr>
                    <w:t>，（</w:t>
                  </w:r>
                  <w:r>
                    <w:rPr>
                      <w:rFonts w:hint="eastAsia" w:ascii="宋体" w:hAnsi="宋体" w:eastAsia="宋体" w:cs="宋体"/>
                      <w:sz w:val="21"/>
                      <w:szCs w:val="21"/>
                      <w:lang w:val="en-GB"/>
                    </w:rPr>
                    <w:t>与喷漆废气共用1套活性炭吸附+UV光解装置处理排放</w:t>
                  </w:r>
                  <w:r>
                    <w:rPr>
                      <w:rFonts w:hint="eastAsia" w:ascii="宋体" w:hAnsi="宋体" w:eastAsia="宋体" w:cs="宋体"/>
                      <w:sz w:val="21"/>
                      <w:szCs w:val="21"/>
                      <w:lang w:val="en-GB" w:eastAsia="zh-CN"/>
                    </w:rPr>
                    <w:t>）</w:t>
                  </w:r>
                </w:p>
              </w:tc>
              <w:tc>
                <w:tcPr>
                  <w:tcW w:w="1669" w:type="dxa"/>
                  <w:tcBorders>
                    <w:top w:val="single" w:color="auto" w:sz="4" w:space="0"/>
                    <w:bottom w:val="single" w:color="auto" w:sz="4" w:space="0"/>
                  </w:tcBorders>
                  <w:shd w:val="clear" w:color="auto" w:fill="auto"/>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相符</w:t>
                  </w: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650" w:hRule="atLeast"/>
              </w:trPr>
              <w:tc>
                <w:tcPr>
                  <w:tcW w:w="778" w:type="dxa"/>
                  <w:shd w:val="clear" w:color="auto" w:fill="auto"/>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噪声</w:t>
                  </w:r>
                </w:p>
              </w:tc>
              <w:tc>
                <w:tcPr>
                  <w:tcW w:w="3078" w:type="dxa"/>
                  <w:shd w:val="clear" w:color="auto" w:fill="auto"/>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GB"/>
                    </w:rPr>
                    <w:t>设置基础减振、厂房隔声</w:t>
                  </w:r>
                </w:p>
              </w:tc>
              <w:tc>
                <w:tcPr>
                  <w:tcW w:w="2895" w:type="dxa"/>
                  <w:shd w:val="clear" w:color="auto" w:fill="auto"/>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减震垫、隔音材料</w:t>
                  </w:r>
                </w:p>
              </w:tc>
              <w:tc>
                <w:tcPr>
                  <w:tcW w:w="1669" w:type="dxa"/>
                  <w:shd w:val="clear" w:color="auto" w:fill="auto"/>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相符</w:t>
                  </w: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644" w:hRule="atLeast"/>
              </w:trPr>
              <w:tc>
                <w:tcPr>
                  <w:tcW w:w="778" w:type="dxa"/>
                  <w:shd w:val="clear" w:color="auto" w:fill="auto"/>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固废</w:t>
                  </w:r>
                </w:p>
              </w:tc>
              <w:tc>
                <w:tcPr>
                  <w:tcW w:w="3078" w:type="dxa"/>
                  <w:shd w:val="clear" w:color="auto" w:fill="auto"/>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bCs/>
                      <w:sz w:val="21"/>
                      <w:szCs w:val="21"/>
                      <w:lang w:val="en-US" w:eastAsia="zh-CN"/>
                    </w:rPr>
                    <w:t>边角料和焊烟净化器收集的粉尘外售给可以回收利用的单位，不外排；生活垃圾采用垃圾桶收集后交由环卫部门统一处理；</w:t>
                  </w:r>
                  <w:r>
                    <w:rPr>
                      <w:rFonts w:hint="eastAsia" w:ascii="宋体" w:hAnsi="宋体" w:eastAsia="宋体" w:cs="宋体"/>
                      <w:sz w:val="21"/>
                      <w:szCs w:val="21"/>
                      <w:lang w:val="en-US" w:eastAsia="zh-CN"/>
                    </w:rPr>
                    <w:t>润滑油</w:t>
                  </w:r>
                  <w:r>
                    <w:rPr>
                      <w:rFonts w:hint="eastAsia" w:ascii="宋体" w:hAnsi="宋体" w:eastAsia="宋体" w:cs="宋体"/>
                      <w:sz w:val="21"/>
                      <w:szCs w:val="21"/>
                      <w:lang w:val="en-GB"/>
                    </w:rPr>
                    <w:t>、</w:t>
                  </w:r>
                  <w:r>
                    <w:rPr>
                      <w:rFonts w:hint="eastAsia" w:ascii="宋体" w:hAnsi="宋体" w:eastAsia="宋体" w:cs="宋体"/>
                      <w:sz w:val="21"/>
                      <w:szCs w:val="21"/>
                      <w:lang w:val="en-US" w:eastAsia="zh-CN"/>
                    </w:rPr>
                    <w:t>切削液</w:t>
                  </w:r>
                  <w:r>
                    <w:rPr>
                      <w:rFonts w:hint="eastAsia" w:ascii="宋体" w:hAnsi="宋体" w:eastAsia="宋体" w:cs="宋体"/>
                      <w:sz w:val="21"/>
                      <w:szCs w:val="21"/>
                      <w:lang w:val="en-GB"/>
                    </w:rPr>
                    <w:t>、废油漆桶、漆渣、废UV灯管、除漆雾循环水及废活性炭</w:t>
                  </w:r>
                  <w:r>
                    <w:rPr>
                      <w:rFonts w:hint="eastAsia" w:ascii="宋体" w:hAnsi="宋体" w:eastAsia="宋体" w:cs="宋体"/>
                      <w:sz w:val="21"/>
                      <w:szCs w:val="21"/>
                      <w:lang w:val="en-US" w:eastAsia="zh-CN"/>
                    </w:rPr>
                    <w:t>在在危废暂存间暂存，定期委托危险废物处置单位处置</w:t>
                  </w:r>
                  <w:r>
                    <w:rPr>
                      <w:rFonts w:hint="eastAsia" w:ascii="宋体" w:hAnsi="宋体" w:eastAsia="宋体" w:cs="宋体"/>
                      <w:sz w:val="21"/>
                      <w:szCs w:val="21"/>
                      <w:lang w:val="zh-CN" w:eastAsia="zh-CN"/>
                    </w:rPr>
                    <w:t>。</w:t>
                  </w:r>
                </w:p>
              </w:tc>
              <w:tc>
                <w:tcPr>
                  <w:tcW w:w="2895" w:type="dxa"/>
                  <w:shd w:val="clear" w:color="auto" w:fill="auto"/>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bCs/>
                      <w:sz w:val="21"/>
                      <w:szCs w:val="21"/>
                      <w:lang w:val="en-US" w:eastAsia="zh-CN"/>
                    </w:rPr>
                    <w:t>边角料和焊烟净化器收集的粉尘外售给可以回收利用的单位，不外排；生活垃圾采用垃圾桶收集后交由环卫部门统一处理；润滑油</w:t>
                  </w:r>
                  <w:r>
                    <w:rPr>
                      <w:rFonts w:hint="eastAsia" w:ascii="宋体" w:hAnsi="宋体" w:eastAsia="宋体" w:cs="宋体"/>
                      <w:bCs/>
                      <w:sz w:val="21"/>
                      <w:szCs w:val="21"/>
                      <w:lang w:val="en-GB" w:eastAsia="zh-CN"/>
                    </w:rPr>
                    <w:t>、</w:t>
                  </w:r>
                  <w:r>
                    <w:rPr>
                      <w:rFonts w:hint="eastAsia" w:ascii="宋体" w:hAnsi="宋体" w:eastAsia="宋体" w:cs="宋体"/>
                      <w:bCs/>
                      <w:sz w:val="21"/>
                      <w:szCs w:val="21"/>
                      <w:lang w:val="en-US" w:eastAsia="zh-CN"/>
                    </w:rPr>
                    <w:t>切削液</w:t>
                  </w:r>
                  <w:r>
                    <w:rPr>
                      <w:rFonts w:hint="eastAsia" w:ascii="宋体" w:hAnsi="宋体" w:eastAsia="宋体" w:cs="宋体"/>
                      <w:bCs/>
                      <w:sz w:val="21"/>
                      <w:szCs w:val="21"/>
                      <w:lang w:val="en-GB" w:eastAsia="zh-CN"/>
                    </w:rPr>
                    <w:t>、废油漆桶、漆渣、废UV灯管</w:t>
                  </w:r>
                  <w:r>
                    <w:rPr>
                      <w:rFonts w:hint="eastAsia" w:ascii="宋体" w:hAnsi="宋体" w:eastAsia="宋体" w:cs="宋体"/>
                      <w:sz w:val="21"/>
                      <w:szCs w:val="21"/>
                      <w:lang w:val="en-GB"/>
                    </w:rPr>
                    <w:t>、</w:t>
                  </w:r>
                  <w:r>
                    <w:rPr>
                      <w:rFonts w:hint="eastAsia" w:ascii="宋体" w:hAnsi="宋体" w:eastAsia="宋体" w:cs="宋体"/>
                      <w:sz w:val="21"/>
                      <w:szCs w:val="21"/>
                    </w:rPr>
                    <w:t>除漆雾循环水</w:t>
                  </w:r>
                  <w:r>
                    <w:rPr>
                      <w:rFonts w:hint="eastAsia" w:ascii="宋体" w:hAnsi="宋体" w:eastAsia="宋体" w:cs="宋体"/>
                      <w:sz w:val="21"/>
                      <w:szCs w:val="21"/>
                      <w:lang w:val="en-GB"/>
                    </w:rPr>
                    <w:t>及废活性炭</w:t>
                  </w:r>
                  <w:r>
                    <w:rPr>
                      <w:rFonts w:hint="eastAsia" w:ascii="宋体" w:hAnsi="宋体" w:eastAsia="宋体" w:cs="宋体"/>
                      <w:sz w:val="21"/>
                      <w:szCs w:val="21"/>
                      <w:lang w:val="en-US" w:eastAsia="zh-CN"/>
                    </w:rPr>
                    <w:t>在</w:t>
                  </w:r>
                  <w:r>
                    <w:rPr>
                      <w:rFonts w:hint="eastAsia" w:ascii="宋体" w:hAnsi="宋体" w:eastAsia="宋体" w:cs="宋体"/>
                      <w:bCs/>
                      <w:sz w:val="21"/>
                      <w:szCs w:val="21"/>
                      <w:lang w:val="en-US" w:eastAsia="zh-CN"/>
                    </w:rPr>
                    <w:t>在危废暂存间暂存，定期委托危险废物处置单位处置</w:t>
                  </w:r>
                  <w:r>
                    <w:rPr>
                      <w:rFonts w:hint="eastAsia" w:ascii="宋体" w:hAnsi="宋体" w:eastAsia="宋体" w:cs="宋体"/>
                      <w:sz w:val="21"/>
                      <w:szCs w:val="21"/>
                      <w:lang w:val="zh-CN" w:eastAsia="zh-CN"/>
                    </w:rPr>
                    <w:t>。</w:t>
                  </w:r>
                </w:p>
              </w:tc>
              <w:tc>
                <w:tcPr>
                  <w:tcW w:w="1669" w:type="dxa"/>
                  <w:shd w:val="clear" w:color="auto" w:fill="auto"/>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相符</w:t>
                  </w:r>
                </w:p>
              </w:tc>
            </w:tr>
          </w:tbl>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7、总量</w:t>
            </w:r>
          </w:p>
          <w:p>
            <w:pPr>
              <w:keepNext w:val="0"/>
              <w:keepLines w:val="0"/>
              <w:pageBreakBefore w:val="0"/>
              <w:widowControl w:val="0"/>
              <w:tabs>
                <w:tab w:val="left" w:pos="3585"/>
              </w:tabs>
              <w:kinsoku/>
              <w:wordWrap/>
              <w:overflowPunct/>
              <w:topLinePunct w:val="0"/>
              <w:bidi w:val="0"/>
              <w:adjustRightInd/>
              <w:snapToGrid/>
              <w:spacing w:after="0" w:line="360" w:lineRule="auto"/>
              <w:ind w:firstLine="480" w:firstLineChars="200"/>
              <w:contextualSpacing/>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zh-CN" w:eastAsia="zh-CN"/>
              </w:rPr>
              <w:t>本项目不涉及二氧化硫和氮氧化物废气。本项目</w:t>
            </w:r>
            <w:r>
              <w:rPr>
                <w:rFonts w:hint="eastAsia" w:ascii="宋体" w:hAnsi="宋体" w:eastAsia="宋体" w:cs="宋体"/>
                <w:b w:val="0"/>
                <w:bCs w:val="0"/>
                <w:color w:val="auto"/>
                <w:sz w:val="24"/>
                <w:szCs w:val="24"/>
                <w:lang w:val="en-US" w:eastAsia="zh-CN"/>
              </w:rPr>
              <w:t>不产生废水，不涉及</w:t>
            </w:r>
            <w:r>
              <w:rPr>
                <w:rFonts w:hint="eastAsia" w:ascii="宋体" w:hAnsi="宋体" w:eastAsia="宋体" w:cs="宋体"/>
                <w:b w:val="0"/>
                <w:bCs w:val="0"/>
                <w:color w:val="auto"/>
                <w:sz w:val="24"/>
                <w:szCs w:val="24"/>
                <w:lang w:val="zh-CN" w:eastAsia="zh-CN"/>
              </w:rPr>
              <w:t>COD</w:t>
            </w:r>
            <w:r>
              <w:rPr>
                <w:rFonts w:hint="eastAsia" w:ascii="宋体" w:hAnsi="宋体" w:eastAsia="宋体" w:cs="宋体"/>
                <w:b w:val="0"/>
                <w:bCs w:val="0"/>
                <w:color w:val="auto"/>
                <w:sz w:val="24"/>
                <w:szCs w:val="24"/>
                <w:lang w:val="en-US" w:eastAsia="zh-CN"/>
              </w:rPr>
              <w:t>和</w:t>
            </w:r>
            <w:r>
              <w:rPr>
                <w:rFonts w:hint="eastAsia" w:ascii="宋体" w:hAnsi="宋体" w:eastAsia="宋体" w:cs="宋体"/>
                <w:b w:val="0"/>
                <w:bCs w:val="0"/>
                <w:color w:val="auto"/>
                <w:sz w:val="24"/>
                <w:szCs w:val="24"/>
                <w:lang w:val="zh-CN" w:eastAsia="zh-CN"/>
              </w:rPr>
              <w:t>NH</w:t>
            </w:r>
            <w:r>
              <w:rPr>
                <w:rFonts w:hint="eastAsia" w:ascii="宋体" w:hAnsi="宋体" w:eastAsia="宋体" w:cs="宋体"/>
                <w:b w:val="0"/>
                <w:bCs w:val="0"/>
                <w:color w:val="auto"/>
                <w:sz w:val="24"/>
                <w:szCs w:val="24"/>
                <w:vertAlign w:val="subscript"/>
                <w:lang w:val="zh-CN" w:eastAsia="zh-CN"/>
              </w:rPr>
              <w:t>3</w:t>
            </w:r>
            <w:r>
              <w:rPr>
                <w:rFonts w:hint="eastAsia" w:ascii="宋体" w:hAnsi="宋体" w:eastAsia="宋体" w:cs="宋体"/>
                <w:b w:val="0"/>
                <w:bCs w:val="0"/>
                <w:color w:val="auto"/>
                <w:sz w:val="24"/>
                <w:szCs w:val="24"/>
                <w:lang w:val="zh-CN" w:eastAsia="zh-CN"/>
              </w:rPr>
              <w:t>-N。</w:t>
            </w:r>
          </w:p>
          <w:p>
            <w:pPr>
              <w:pStyle w:val="11"/>
              <w:numPr>
                <w:ilvl w:val="0"/>
                <w:numId w:val="0"/>
              </w:numPr>
              <w:ind w:leftChars="200"/>
              <w:rPr>
                <w:rFonts w:hint="eastAsia"/>
                <w:lang w:val="en-US" w:eastAsia="zh-CN"/>
              </w:rPr>
            </w:pPr>
          </w:p>
        </w:tc>
      </w:tr>
    </w:tbl>
    <w:p>
      <w:pPr>
        <w:rPr>
          <w:rFonts w:hint="eastAsia" w:eastAsia="宋体"/>
          <w:lang w:val="en-US" w:eastAsia="zh-CN"/>
        </w:rPr>
      </w:pPr>
      <w:r>
        <w:br w:type="page"/>
      </w:r>
    </w:p>
    <w:p>
      <w:pPr>
        <w:adjustRightInd w:val="0"/>
        <w:snapToGrid w:val="0"/>
        <w:spacing w:after="0" w:afterLines="0" w:line="360" w:lineRule="auto"/>
        <w:rPr>
          <w:rFonts w:ascii="Tahoma" w:hAnsi="Tahoma" w:eastAsia="仿宋_GB2312" w:cs="Times New Roman"/>
          <w:b/>
          <w:color w:val="000000"/>
          <w:kern w:val="0"/>
          <w:sz w:val="21"/>
          <w:szCs w:val="21"/>
        </w:rPr>
      </w:pPr>
      <w:r>
        <w:rPr>
          <w:rFonts w:ascii="Tahoma" w:hAnsi="Tahoma" w:eastAsia="仿宋_GB2312" w:cs="Times New Roman"/>
          <w:b/>
          <w:color w:val="000000"/>
          <w:kern w:val="0"/>
          <w:sz w:val="21"/>
          <w:szCs w:val="21"/>
        </w:rPr>
        <w:t>表四</w:t>
      </w:r>
    </w:p>
    <w:tbl>
      <w:tblPr>
        <w:tblStyle w:val="13"/>
        <w:tblW w:w="8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8940" w:type="dxa"/>
          </w:tcPr>
          <w:p>
            <w:pPr>
              <w:widowControl w:val="0"/>
              <w:spacing w:before="62" w:beforeLines="20" w:line="360" w:lineRule="auto"/>
              <w:jc w:val="both"/>
              <w:rPr>
                <w:rFonts w:hint="eastAsia" w:ascii="宋体" w:hAnsi="宋体" w:eastAsia="宋体"/>
                <w:b/>
                <w:bCs/>
                <w:color w:val="000000"/>
                <w:sz w:val="24"/>
                <w:szCs w:val="24"/>
              </w:rPr>
            </w:pPr>
            <w:r>
              <w:rPr>
                <w:rFonts w:hint="eastAsia" w:ascii="宋体" w:hAnsi="宋体" w:eastAsia="宋体"/>
                <w:b/>
                <w:bCs/>
                <w:color w:val="000000"/>
                <w:sz w:val="24"/>
                <w:szCs w:val="24"/>
              </w:rPr>
              <w:t>建设项目环境影响报告表主要结论及审批部门审批决定：</w:t>
            </w:r>
          </w:p>
          <w:p>
            <w:pPr>
              <w:widowControl w:val="0"/>
              <w:spacing w:after="21" w:line="360" w:lineRule="auto"/>
              <w:jc w:val="both"/>
              <w:rPr>
                <w:rFonts w:hint="eastAsia" w:ascii="宋体" w:hAnsi="宋体" w:eastAsia="宋体" w:cs="宋体"/>
                <w:color w:val="000000"/>
                <w:kern w:val="2"/>
                <w:sz w:val="24"/>
                <w:szCs w:val="24"/>
                <w:lang w:val="en-US" w:eastAsia="zh-CN" w:bidi="ar-SA"/>
              </w:rPr>
            </w:pPr>
            <w:bookmarkStart w:id="5" w:name="_Toc21861"/>
            <w:r>
              <w:rPr>
                <w:rFonts w:hint="eastAsia" w:ascii="宋体" w:hAnsi="宋体" w:eastAsia="宋体" w:cs="宋体"/>
                <w:b w:val="0"/>
                <w:bCs w:val="0"/>
                <w:sz w:val="24"/>
                <w:szCs w:val="24"/>
                <w:highlight w:val="none"/>
              </w:rPr>
              <w:t>1</w:t>
            </w:r>
            <w:r>
              <w:rPr>
                <w:rFonts w:hint="eastAsia" w:ascii="宋体" w:hAnsi="宋体" w:eastAsia="宋体" w:cs="宋体"/>
                <w:b w:val="0"/>
                <w:bCs w:val="0"/>
                <w:sz w:val="24"/>
                <w:szCs w:val="24"/>
                <w:highlight w:val="none"/>
                <w:lang w:eastAsia="zh-CN"/>
              </w:rPr>
              <w:t>、</w:t>
            </w:r>
            <w:r>
              <w:rPr>
                <w:rFonts w:hint="eastAsia" w:ascii="宋体" w:hAnsi="宋体" w:eastAsia="宋体" w:cs="宋体"/>
                <w:color w:val="000000"/>
                <w:kern w:val="2"/>
                <w:sz w:val="24"/>
                <w:szCs w:val="24"/>
                <w:lang w:val="en-US" w:eastAsia="zh-CN" w:bidi="ar-SA"/>
              </w:rPr>
              <w:t>建设项目环评报告表的主要结论与建议</w:t>
            </w:r>
            <w:bookmarkEnd w:id="5"/>
          </w:p>
          <w:p>
            <w:pPr>
              <w:widowControl w:val="0"/>
              <w:spacing w:after="21" w:line="360" w:lineRule="auto"/>
              <w:ind w:firstLine="480" w:firstLineChars="20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（1）环境影响可行性分析结论</w:t>
            </w:r>
          </w:p>
          <w:p>
            <w:pPr>
              <w:widowControl w:val="0"/>
              <w:spacing w:after="21" w:line="360" w:lineRule="auto"/>
              <w:ind w:firstLine="480" w:firstLineChars="20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废气：</w:t>
            </w:r>
            <w:r>
              <w:rPr>
                <w:rFonts w:hint="eastAsia" w:ascii="宋体" w:hAnsi="宋体" w:eastAsia="宋体" w:cs="宋体"/>
                <w:sz w:val="24"/>
                <w:szCs w:val="24"/>
                <w:lang w:val="en-GB"/>
              </w:rPr>
              <w:t>本项目切割、雕刻、台钻、焊接工段产生的粉尘</w:t>
            </w:r>
            <w:r>
              <w:rPr>
                <w:rFonts w:hint="eastAsia" w:ascii="宋体" w:hAnsi="宋体" w:eastAsia="宋体" w:cs="宋体"/>
                <w:sz w:val="24"/>
                <w:szCs w:val="24"/>
                <w:lang w:val="en-GB" w:eastAsia="zh-CN"/>
              </w:rPr>
              <w:t>：</w:t>
            </w:r>
            <w:r>
              <w:rPr>
                <w:rFonts w:hint="eastAsia" w:ascii="宋体" w:hAnsi="宋体" w:eastAsia="宋体" w:cs="宋体"/>
                <w:sz w:val="24"/>
                <w:szCs w:val="24"/>
                <w:lang w:val="en-GB"/>
              </w:rPr>
              <w:t>设置6个集气罩+1台焊烟净化器+1根15m高排气筒</w:t>
            </w:r>
            <w:r>
              <w:rPr>
                <w:rFonts w:hint="eastAsia" w:ascii="宋体" w:hAnsi="宋体" w:eastAsia="宋体" w:cs="宋体"/>
                <w:sz w:val="24"/>
                <w:szCs w:val="24"/>
                <w:lang w:val="en-GB" w:eastAsia="zh-CN"/>
              </w:rPr>
              <w:t>；</w:t>
            </w:r>
            <w:r>
              <w:rPr>
                <w:rFonts w:hint="eastAsia" w:ascii="宋体" w:hAnsi="宋体" w:eastAsia="宋体" w:cs="宋体"/>
                <w:sz w:val="24"/>
                <w:szCs w:val="24"/>
              </w:rPr>
              <w:t>喷塑废气：自带过滤除尘器回收系统+15m排气筒；喷漆、</w:t>
            </w:r>
            <w:r>
              <w:rPr>
                <w:rFonts w:hint="eastAsia" w:ascii="宋体" w:hAnsi="宋体" w:eastAsia="宋体" w:cs="宋体"/>
                <w:sz w:val="24"/>
                <w:szCs w:val="24"/>
                <w:lang w:val="en-US" w:eastAsia="zh-CN"/>
              </w:rPr>
              <w:t>固化</w:t>
            </w:r>
            <w:r>
              <w:rPr>
                <w:rFonts w:hint="eastAsia" w:ascii="宋体" w:hAnsi="宋体" w:eastAsia="宋体" w:cs="宋体"/>
                <w:sz w:val="24"/>
                <w:szCs w:val="24"/>
              </w:rPr>
              <w:t>、喷塑固化产生的漆雾和有机废气：设置收集废气系统+水帘柜+活性炭吸附+UV光解装置</w:t>
            </w:r>
            <w:r>
              <w:rPr>
                <w:rFonts w:hint="eastAsia" w:ascii="宋体" w:hAnsi="宋体" w:eastAsia="宋体" w:cs="宋体"/>
                <w:sz w:val="24"/>
                <w:szCs w:val="24"/>
                <w:lang w:val="en-GB"/>
              </w:rPr>
              <w:t>+15m高排气筒1根，经采取上述措施后，</w:t>
            </w:r>
            <w:r>
              <w:rPr>
                <w:rFonts w:hint="eastAsia" w:ascii="宋体" w:hAnsi="宋体" w:eastAsia="宋体" w:cs="宋体"/>
                <w:sz w:val="24"/>
                <w:szCs w:val="24"/>
              </w:rPr>
              <w:t>颗粒物</w:t>
            </w:r>
            <w:r>
              <w:rPr>
                <w:rFonts w:hint="eastAsia" w:ascii="宋体" w:hAnsi="宋体" w:eastAsia="宋体" w:cs="宋体"/>
                <w:sz w:val="24"/>
                <w:szCs w:val="24"/>
                <w:lang w:val="en-GB"/>
              </w:rPr>
              <w:t>能够满足《大气污染物综合排放标准》（GB16297-1996）表</w:t>
            </w:r>
            <w:r>
              <w:rPr>
                <w:rFonts w:hint="eastAsia" w:ascii="宋体" w:hAnsi="宋体" w:eastAsia="宋体" w:cs="宋体"/>
                <w:sz w:val="24"/>
                <w:szCs w:val="24"/>
              </w:rPr>
              <w:t>2二级</w:t>
            </w:r>
            <w:r>
              <w:rPr>
                <w:rFonts w:hint="eastAsia" w:ascii="宋体" w:hAnsi="宋体" w:eastAsia="宋体" w:cs="宋体"/>
                <w:sz w:val="24"/>
                <w:szCs w:val="24"/>
                <w:lang w:val="en-GB"/>
              </w:rPr>
              <w:t>标准要求，</w:t>
            </w:r>
            <w:r>
              <w:rPr>
                <w:rFonts w:hint="eastAsia" w:ascii="宋体" w:hAnsi="宋体" w:eastAsia="宋体" w:cs="宋体"/>
                <w:sz w:val="24"/>
                <w:szCs w:val="24"/>
              </w:rPr>
              <w:t>非甲烷总烃能满足《河南省关于全省开展工业企业挥发性有机物专项治理工作中排放建议值的通知》（豫环攻坚办[2017]162号）表面涂装业、《工业涂装工序挥发性有机物排放标准》</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"http://kjs.mee.gov.cn/hjbhbz/bzwb/dqhjbh/dqgdwrywrwpfbz/201906/W020190606587693632696.pdf" </w:instrText>
            </w:r>
            <w:r>
              <w:rPr>
                <w:rFonts w:hint="eastAsia" w:ascii="宋体" w:hAnsi="宋体" w:eastAsia="宋体" w:cs="宋体"/>
                <w:sz w:val="24"/>
                <w:szCs w:val="24"/>
              </w:rPr>
              <w:fldChar w:fldCharType="separate"/>
            </w:r>
            <w:r>
              <w:rPr>
                <w:rFonts w:hint="eastAsia" w:ascii="宋体" w:hAnsi="宋体" w:eastAsia="宋体" w:cs="宋体"/>
                <w:sz w:val="24"/>
                <w:szCs w:val="24"/>
              </w:rPr>
              <w:t>（DB41/1951—2020）</w:t>
            </w:r>
            <w:r>
              <w:rPr>
                <w:rFonts w:hint="eastAsia" w:ascii="宋体" w:hAnsi="宋体" w:eastAsia="宋体" w:cs="宋体"/>
                <w:sz w:val="24"/>
                <w:szCs w:val="24"/>
              </w:rPr>
              <w:fldChar w:fldCharType="end"/>
            </w:r>
            <w:r>
              <w:rPr>
                <w:rFonts w:hint="eastAsia" w:ascii="宋体" w:hAnsi="宋体" w:eastAsia="宋体" w:cs="宋体"/>
                <w:sz w:val="24"/>
                <w:szCs w:val="24"/>
              </w:rPr>
              <w:t>和《挥发性有机物无组织排放控制标准》</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"http://kjs.mee.gov.cn/hjbhbz/bzwb/dqhjbh/dqgdwrywrwpfbz/201906/W020190606587693632696.pdf" </w:instrText>
            </w:r>
            <w:r>
              <w:rPr>
                <w:rFonts w:hint="eastAsia" w:ascii="宋体" w:hAnsi="宋体" w:eastAsia="宋体" w:cs="宋体"/>
                <w:sz w:val="24"/>
                <w:szCs w:val="24"/>
              </w:rPr>
              <w:fldChar w:fldCharType="separate"/>
            </w:r>
            <w:r>
              <w:rPr>
                <w:rFonts w:hint="eastAsia" w:ascii="宋体" w:hAnsi="宋体" w:eastAsia="宋体" w:cs="宋体"/>
                <w:sz w:val="24"/>
                <w:szCs w:val="24"/>
              </w:rPr>
              <w:t>（GB37822-2019）</w:t>
            </w:r>
            <w:r>
              <w:rPr>
                <w:rFonts w:hint="eastAsia" w:ascii="宋体" w:hAnsi="宋体" w:eastAsia="宋体" w:cs="宋体"/>
                <w:sz w:val="24"/>
                <w:szCs w:val="24"/>
              </w:rPr>
              <w:fldChar w:fldCharType="end"/>
            </w:r>
            <w:r>
              <w:rPr>
                <w:rFonts w:hint="eastAsia" w:ascii="宋体" w:hAnsi="宋体" w:eastAsia="宋体" w:cs="宋体"/>
                <w:sz w:val="24"/>
                <w:szCs w:val="24"/>
              </w:rPr>
              <w:t>的排放限值要求；甲苯和二甲苯能满足《河南省关于全省开展工业企业挥发性有机物专项治理工作中排放建议值的通知》（豫环攻坚办[2017]162号）表面涂装业和《工业涂装工序挥发性有机物排放标准》</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"http://kjs.mee.gov.cn/hjbhbz/bzwb/dqhjbh/dqgdwrywrwpfbz/201906/W020190606587693632696.pdf" </w:instrText>
            </w:r>
            <w:r>
              <w:rPr>
                <w:rFonts w:hint="eastAsia" w:ascii="宋体" w:hAnsi="宋体" w:eastAsia="宋体" w:cs="宋体"/>
                <w:sz w:val="24"/>
                <w:szCs w:val="24"/>
              </w:rPr>
              <w:fldChar w:fldCharType="separate"/>
            </w:r>
            <w:r>
              <w:rPr>
                <w:rFonts w:hint="eastAsia" w:ascii="宋体" w:hAnsi="宋体" w:eastAsia="宋体" w:cs="宋体"/>
                <w:sz w:val="24"/>
                <w:szCs w:val="24"/>
              </w:rPr>
              <w:t>（DB41/1951—2020）</w:t>
            </w:r>
            <w:r>
              <w:rPr>
                <w:rFonts w:hint="eastAsia" w:ascii="宋体" w:hAnsi="宋体" w:eastAsia="宋体" w:cs="宋体"/>
                <w:sz w:val="24"/>
                <w:szCs w:val="24"/>
              </w:rPr>
              <w:fldChar w:fldCharType="end"/>
            </w:r>
            <w:r>
              <w:rPr>
                <w:rFonts w:hint="eastAsia" w:ascii="宋体" w:hAnsi="宋体" w:eastAsia="宋体" w:cs="宋体"/>
                <w:sz w:val="24"/>
                <w:szCs w:val="24"/>
              </w:rPr>
              <w:t>的排放限值要求</w:t>
            </w:r>
            <w:r>
              <w:rPr>
                <w:rFonts w:hint="eastAsia" w:ascii="宋体" w:hAnsi="宋体" w:eastAsia="宋体" w:cs="宋体"/>
                <w:sz w:val="24"/>
                <w:szCs w:val="24"/>
                <w:lang w:val="en-US" w:eastAsia="zh-CN"/>
              </w:rPr>
              <w:t>。</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color w:val="000000"/>
                <w:kern w:val="2"/>
                <w:sz w:val="24"/>
                <w:szCs w:val="24"/>
                <w:lang w:val="en-US" w:eastAsia="zh-CN" w:bidi="ar-SA"/>
              </w:rPr>
              <w:t>废水：</w:t>
            </w:r>
            <w:r>
              <w:rPr>
                <w:rFonts w:hint="eastAsia" w:ascii="宋体" w:hAnsi="宋体" w:eastAsia="宋体" w:cs="宋体"/>
                <w:sz w:val="24"/>
                <w:szCs w:val="24"/>
                <w:lang w:val="en-GB"/>
              </w:rPr>
              <w:t>本项目</w:t>
            </w:r>
            <w:r>
              <w:rPr>
                <w:rFonts w:hint="eastAsia" w:ascii="宋体" w:hAnsi="宋体" w:eastAsia="宋体" w:cs="宋体"/>
                <w:sz w:val="24"/>
                <w:szCs w:val="24"/>
              </w:rPr>
              <w:t>水帘柜除漆雾循环废水属于危险废物，定期由资质单位清运和处理处置；</w:t>
            </w:r>
            <w:r>
              <w:rPr>
                <w:rFonts w:hint="eastAsia" w:ascii="宋体" w:hAnsi="宋体" w:eastAsia="宋体" w:cs="宋体"/>
                <w:sz w:val="24"/>
                <w:szCs w:val="24"/>
                <w:lang w:val="en-GB"/>
              </w:rPr>
              <w:t>生活废水经化粪池处理后</w:t>
            </w:r>
            <w:r>
              <w:rPr>
                <w:rFonts w:hint="eastAsia" w:ascii="宋体" w:hAnsi="宋体" w:eastAsia="宋体" w:cs="宋体"/>
                <w:sz w:val="24"/>
                <w:szCs w:val="24"/>
              </w:rPr>
              <w:t>用抽粪车</w:t>
            </w:r>
            <w:r>
              <w:rPr>
                <w:rFonts w:hint="eastAsia" w:ascii="宋体" w:hAnsi="宋体" w:eastAsia="宋体" w:cs="宋体"/>
                <w:sz w:val="24"/>
                <w:szCs w:val="24"/>
                <w:lang w:val="en-GB"/>
              </w:rPr>
              <w:t>定期清运，作为农家肥施用于农田</w:t>
            </w:r>
            <w:r>
              <w:rPr>
                <w:rFonts w:hint="eastAsia" w:ascii="宋体" w:hAnsi="宋体" w:eastAsia="宋体" w:cs="宋体"/>
                <w:sz w:val="24"/>
                <w:szCs w:val="24"/>
                <w:lang w:val="en-US" w:eastAsia="zh-CN"/>
              </w:rPr>
              <w:t>。</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固废：边角料和焊烟净化器收集的粉尘外售给可以回收利用的单位，不外排；生活垃圾采用垃圾桶收集后交由环卫部门统一处理；润滑油</w:t>
            </w:r>
            <w:r>
              <w:rPr>
                <w:rFonts w:hint="eastAsia" w:ascii="宋体" w:hAnsi="宋体" w:eastAsia="宋体" w:cs="宋体"/>
                <w:sz w:val="24"/>
                <w:szCs w:val="24"/>
                <w:lang w:val="en-GB"/>
              </w:rPr>
              <w:t>、</w:t>
            </w:r>
            <w:r>
              <w:rPr>
                <w:rFonts w:hint="eastAsia" w:ascii="宋体" w:hAnsi="宋体" w:eastAsia="宋体" w:cs="宋体"/>
                <w:sz w:val="24"/>
                <w:szCs w:val="24"/>
                <w:lang w:val="en-US" w:eastAsia="zh-CN"/>
              </w:rPr>
              <w:t>切削液</w:t>
            </w:r>
            <w:r>
              <w:rPr>
                <w:rFonts w:hint="eastAsia" w:ascii="宋体" w:hAnsi="宋体" w:eastAsia="宋体" w:cs="宋体"/>
                <w:sz w:val="24"/>
                <w:szCs w:val="24"/>
                <w:lang w:val="en-GB"/>
              </w:rPr>
              <w:t>、</w:t>
            </w:r>
            <w:r>
              <w:rPr>
                <w:rFonts w:hint="eastAsia" w:ascii="宋体" w:hAnsi="宋体" w:eastAsia="宋体" w:cs="宋体"/>
                <w:sz w:val="24"/>
                <w:szCs w:val="24"/>
                <w:lang w:val="en-GB" w:eastAsia="zh-CN"/>
              </w:rPr>
              <w:t>废油漆桶、漆渣、废UV灯管、</w:t>
            </w:r>
            <w:r>
              <w:rPr>
                <w:rFonts w:hint="eastAsia" w:ascii="宋体" w:hAnsi="宋体" w:eastAsia="宋体" w:cs="宋体"/>
                <w:sz w:val="24"/>
                <w:szCs w:val="24"/>
                <w:lang w:val="zh-CN" w:eastAsia="zh-CN"/>
              </w:rPr>
              <w:t>除漆雾循环水</w:t>
            </w:r>
            <w:r>
              <w:rPr>
                <w:rFonts w:hint="eastAsia" w:ascii="宋体" w:hAnsi="宋体" w:eastAsia="宋体" w:cs="宋体"/>
                <w:sz w:val="24"/>
                <w:szCs w:val="24"/>
                <w:lang w:val="en-GB" w:eastAsia="zh-CN"/>
              </w:rPr>
              <w:t>及废活性炭</w:t>
            </w:r>
            <w:r>
              <w:rPr>
                <w:rFonts w:hint="eastAsia" w:ascii="宋体" w:hAnsi="宋体" w:eastAsia="宋体" w:cs="宋体"/>
                <w:sz w:val="24"/>
                <w:szCs w:val="24"/>
                <w:lang w:val="en-US" w:eastAsia="zh-CN"/>
              </w:rPr>
              <w:t>在在危废暂存间暂存，定期委托危险废物处置单位处置</w:t>
            </w:r>
            <w:r>
              <w:rPr>
                <w:rFonts w:hint="eastAsia" w:ascii="宋体" w:hAnsi="宋体" w:eastAsia="宋体" w:cs="宋体"/>
                <w:sz w:val="24"/>
                <w:szCs w:val="24"/>
                <w:lang w:val="zh-CN" w:eastAsia="zh-CN"/>
              </w:rPr>
              <w:t>。总之，本项目固体废物均能得到合理处置，对外环境影响很小。</w:t>
            </w:r>
          </w:p>
          <w:p>
            <w:pPr>
              <w:widowControl w:val="0"/>
              <w:spacing w:after="21" w:line="360" w:lineRule="auto"/>
              <w:ind w:firstLine="480" w:firstLineChars="200"/>
              <w:jc w:val="both"/>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噪声：</w:t>
            </w:r>
            <w:r>
              <w:rPr>
                <w:rFonts w:hint="eastAsia" w:ascii="宋体" w:hAnsi="宋体" w:eastAsia="宋体" w:cs="宋体"/>
                <w:sz w:val="24"/>
                <w:szCs w:val="24"/>
                <w:lang w:val="zh-CN" w:eastAsia="zh-CN"/>
              </w:rPr>
              <w:t>本项目噪声设备经采取减振、隔声等措施后，四厂界噪声可达到《工业企业环境噪声排放标准》（GB12348-2008）</w:t>
            </w:r>
            <w:r>
              <w:rPr>
                <w:rFonts w:hint="eastAsia" w:ascii="宋体" w:hAnsi="宋体" w:eastAsia="宋体" w:cs="宋体"/>
                <w:sz w:val="24"/>
                <w:szCs w:val="24"/>
                <w:lang w:val="en-US" w:eastAsia="zh-CN"/>
              </w:rPr>
              <w:t>2</w:t>
            </w:r>
            <w:r>
              <w:rPr>
                <w:rFonts w:hint="eastAsia" w:ascii="宋体" w:hAnsi="宋体" w:eastAsia="宋体" w:cs="宋体"/>
                <w:sz w:val="24"/>
                <w:szCs w:val="24"/>
                <w:lang w:val="zh-CN" w:eastAsia="zh-CN"/>
              </w:rPr>
              <w:t>类标准要求。本项目设备噪声对环境影响较小。</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（2）总量控制</w:t>
            </w:r>
          </w:p>
          <w:p>
            <w:pPr>
              <w:pStyle w:val="5"/>
              <w:widowControl w:val="0"/>
              <w:spacing w:line="360" w:lineRule="auto"/>
              <w:ind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本项目不涉及二氧化硫和氮氧化物废气。本项目</w:t>
            </w:r>
            <w:r>
              <w:rPr>
                <w:rFonts w:hint="eastAsia" w:ascii="宋体" w:hAnsi="宋体" w:eastAsia="宋体" w:cs="宋体"/>
                <w:color w:val="auto"/>
                <w:sz w:val="24"/>
                <w:szCs w:val="24"/>
                <w:lang w:val="en-US" w:eastAsia="zh-CN"/>
              </w:rPr>
              <w:t>不产生废水，不涉及</w:t>
            </w:r>
            <w:r>
              <w:rPr>
                <w:rFonts w:hint="eastAsia" w:ascii="宋体" w:hAnsi="宋体" w:eastAsia="宋体" w:cs="宋体"/>
                <w:color w:val="auto"/>
                <w:sz w:val="24"/>
                <w:szCs w:val="24"/>
              </w:rPr>
              <w:t>COD</w:t>
            </w:r>
            <w:r>
              <w:rPr>
                <w:rFonts w:hint="eastAsia" w:ascii="宋体" w:hAnsi="宋体" w:eastAsia="宋体" w:cs="宋体"/>
                <w:color w:val="auto"/>
                <w:sz w:val="24"/>
                <w:szCs w:val="24"/>
                <w:lang w:val="en-US" w:eastAsia="zh-CN"/>
              </w:rPr>
              <w:t>和</w:t>
            </w:r>
            <w:r>
              <w:rPr>
                <w:rFonts w:hint="eastAsia" w:ascii="宋体" w:hAnsi="宋体" w:eastAsia="宋体" w:cs="宋体"/>
                <w:color w:val="auto"/>
                <w:sz w:val="24"/>
                <w:szCs w:val="24"/>
              </w:rPr>
              <w:t>NH</w:t>
            </w:r>
            <w:r>
              <w:rPr>
                <w:rFonts w:hint="eastAsia" w:ascii="宋体" w:hAnsi="宋体" w:eastAsia="宋体" w:cs="宋体"/>
                <w:color w:val="auto"/>
                <w:sz w:val="24"/>
                <w:szCs w:val="24"/>
                <w:vertAlign w:val="subscript"/>
              </w:rPr>
              <w:t>3</w:t>
            </w:r>
            <w:r>
              <w:rPr>
                <w:rFonts w:hint="eastAsia" w:ascii="宋体" w:hAnsi="宋体" w:eastAsia="宋体" w:cs="宋体"/>
                <w:color w:val="auto"/>
                <w:sz w:val="24"/>
                <w:szCs w:val="24"/>
              </w:rPr>
              <w:t>-N</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特征污染因子</w:t>
            </w:r>
            <w:r>
              <w:rPr>
                <w:rFonts w:hint="eastAsia" w:ascii="宋体" w:hAnsi="宋体" w:eastAsia="宋体" w:cs="宋体"/>
                <w:color w:val="auto"/>
                <w:sz w:val="24"/>
                <w:szCs w:val="24"/>
                <w:lang w:val="en-US" w:eastAsia="zh-CN"/>
              </w:rPr>
              <w:t>挥发性有机物排放量为0.121</w:t>
            </w:r>
            <w:r>
              <w:rPr>
                <w:rFonts w:hint="eastAsia" w:ascii="宋体" w:hAnsi="宋体" w:eastAsia="宋体" w:cs="宋体"/>
                <w:color w:val="auto"/>
                <w:sz w:val="24"/>
                <w:szCs w:val="24"/>
              </w:rPr>
              <w:t>t/a</w:t>
            </w:r>
            <w:r>
              <w:rPr>
                <w:rFonts w:hint="eastAsia" w:ascii="宋体" w:hAnsi="宋体" w:eastAsia="宋体" w:cs="宋体"/>
                <w:color w:val="auto"/>
                <w:sz w:val="24"/>
                <w:szCs w:val="24"/>
                <w:lang w:eastAsia="zh-CN"/>
              </w:rPr>
              <w:t>。</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（3）厂址可行性分析</w:t>
            </w:r>
          </w:p>
          <w:p>
            <w:pPr>
              <w:widowControl w:val="0"/>
              <w:spacing w:after="21" w:line="360" w:lineRule="auto"/>
              <w:ind w:firstLine="480" w:firstLineChars="200"/>
              <w:jc w:val="both"/>
              <w:rPr>
                <w:rFonts w:hint="eastAsia" w:ascii="宋体" w:hAnsi="宋体" w:eastAsia="宋体" w:cs="宋体"/>
                <w:sz w:val="24"/>
                <w:szCs w:val="24"/>
                <w:lang w:val="zh-CN"/>
              </w:rPr>
            </w:pPr>
            <w:r>
              <w:rPr>
                <w:rFonts w:hint="eastAsia" w:ascii="宋体" w:hAnsi="宋体" w:eastAsia="宋体" w:cs="宋体"/>
                <w:sz w:val="24"/>
                <w:szCs w:val="24"/>
                <w:lang w:val="zh-CN"/>
              </w:rPr>
              <w:t>评价从厂址位置、与规划的关系、土地利用、厂址周围敏感点分布、环境现状监测、环境影响预测结果、厂区总平面布置、公众参与调查结果等方面的分析的基础上，认为在认真落实工程设计及环评提出的各项污染防治措施，确保环保设施的正常稳定运行前提下，工程拟选厂址可行。</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（4）污染防治措施可行性分析结论</w:t>
            </w:r>
          </w:p>
          <w:p>
            <w:pPr>
              <w:widowControl w:val="0"/>
              <w:spacing w:after="21" w:line="360" w:lineRule="auto"/>
              <w:ind w:firstLine="480" w:firstLineChars="200"/>
              <w:jc w:val="both"/>
              <w:rPr>
                <w:rFonts w:hint="eastAsia" w:ascii="宋体" w:hAnsi="宋体" w:eastAsia="宋体" w:cs="宋体"/>
                <w:sz w:val="24"/>
                <w:szCs w:val="24"/>
                <w:lang w:val="zh-CN"/>
              </w:rPr>
            </w:pPr>
            <w:r>
              <w:rPr>
                <w:rFonts w:hint="eastAsia" w:ascii="宋体" w:hAnsi="宋体" w:eastAsia="宋体" w:cs="宋体"/>
                <w:sz w:val="24"/>
                <w:szCs w:val="24"/>
                <w:lang w:val="zh-CN"/>
              </w:rPr>
              <w:t>综上所述：本项目符合国家的产业政策</w:t>
            </w:r>
            <w:r>
              <w:rPr>
                <w:rFonts w:hint="eastAsia" w:ascii="宋体" w:hAnsi="宋体" w:eastAsia="宋体" w:cs="宋体"/>
                <w:sz w:val="24"/>
                <w:szCs w:val="24"/>
                <w:lang w:val="zh-CN" w:eastAsia="zh-CN"/>
              </w:rPr>
              <w:t>，</w:t>
            </w:r>
            <w:r>
              <w:rPr>
                <w:rFonts w:hint="eastAsia" w:ascii="宋体" w:hAnsi="宋体" w:eastAsia="宋体" w:cs="宋体"/>
                <w:sz w:val="24"/>
                <w:szCs w:val="24"/>
                <w:lang w:val="zh-CN"/>
              </w:rPr>
              <w:t>在认真落实本评价提出的各项污染防治对策措施和加强环境管理的前提下，项目运营期排放的各项污染物对环境的影响是完全可以控制的，对环境影响很小。因此，从环境影响角度而言，该项目可行。</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二、建议</w:t>
            </w:r>
          </w:p>
          <w:p>
            <w:pPr>
              <w:widowControl w:val="0"/>
              <w:spacing w:after="21" w:line="360" w:lineRule="auto"/>
              <w:ind w:firstLine="480" w:firstLineChars="200"/>
              <w:jc w:val="both"/>
              <w:rPr>
                <w:rFonts w:hint="eastAsia" w:ascii="宋体" w:hAnsi="宋体" w:eastAsia="宋体" w:cs="宋体"/>
                <w:sz w:val="24"/>
                <w:szCs w:val="24"/>
                <w:lang w:val="en-GB"/>
              </w:rPr>
            </w:pPr>
            <w:bookmarkStart w:id="6" w:name="_Toc1948"/>
            <w:r>
              <w:rPr>
                <w:rFonts w:hint="eastAsia" w:ascii="宋体" w:hAnsi="宋体" w:eastAsia="宋体" w:cs="宋体"/>
                <w:sz w:val="24"/>
                <w:szCs w:val="24"/>
                <w:lang w:val="en-GB"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val="en-GB" w:eastAsia="zh-CN"/>
              </w:rPr>
              <w:t>）</w:t>
            </w:r>
            <w:r>
              <w:rPr>
                <w:rFonts w:hint="eastAsia" w:ascii="宋体" w:hAnsi="宋体" w:eastAsia="宋体" w:cs="宋体"/>
                <w:sz w:val="24"/>
                <w:szCs w:val="24"/>
                <w:lang w:val="en-GB"/>
              </w:rPr>
              <w:t>定期检查相关设备的运行状况，确保对周边环境无影响。</w:t>
            </w:r>
          </w:p>
          <w:p>
            <w:pPr>
              <w:widowControl w:val="0"/>
              <w:spacing w:after="21" w:line="360" w:lineRule="auto"/>
              <w:ind w:firstLine="480" w:firstLineChars="200"/>
              <w:jc w:val="both"/>
              <w:rPr>
                <w:rFonts w:hint="eastAsia" w:ascii="宋体" w:hAnsi="宋体" w:eastAsia="宋体" w:cs="宋体"/>
                <w:sz w:val="24"/>
                <w:szCs w:val="24"/>
                <w:lang w:val="en-GB"/>
              </w:rPr>
            </w:pPr>
            <w:r>
              <w:rPr>
                <w:rFonts w:hint="eastAsia" w:ascii="宋体" w:hAnsi="宋体" w:eastAsia="宋体" w:cs="宋体"/>
                <w:sz w:val="24"/>
                <w:szCs w:val="24"/>
                <w:lang w:val="en-GB"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val="en-GB" w:eastAsia="zh-CN"/>
              </w:rPr>
              <w:t>）</w:t>
            </w:r>
            <w:r>
              <w:rPr>
                <w:rFonts w:hint="eastAsia" w:ascii="宋体" w:hAnsi="宋体" w:eastAsia="宋体" w:cs="宋体"/>
                <w:sz w:val="24"/>
                <w:szCs w:val="24"/>
                <w:lang w:val="en-GB"/>
              </w:rPr>
              <w:t>加强员工劳动安全教育和环保知识教育，增强员工安全、环保意识。</w:t>
            </w:r>
          </w:p>
          <w:p>
            <w:pPr>
              <w:widowControl w:val="0"/>
              <w:spacing w:after="21" w:line="360" w:lineRule="auto"/>
              <w:ind w:firstLine="480" w:firstLineChars="200"/>
              <w:jc w:val="both"/>
              <w:rPr>
                <w:rFonts w:hint="eastAsia" w:ascii="宋体" w:hAnsi="宋体" w:eastAsia="宋体" w:cs="宋体"/>
                <w:sz w:val="24"/>
                <w:szCs w:val="24"/>
                <w:lang w:val="en-GB"/>
              </w:rPr>
            </w:pPr>
            <w:r>
              <w:rPr>
                <w:rFonts w:hint="eastAsia" w:ascii="宋体" w:hAnsi="宋体" w:eastAsia="宋体" w:cs="宋体"/>
                <w:sz w:val="24"/>
                <w:szCs w:val="24"/>
                <w:lang w:val="en-GB"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val="en-GB" w:eastAsia="zh-CN"/>
              </w:rPr>
              <w:t>）</w:t>
            </w:r>
            <w:r>
              <w:rPr>
                <w:rFonts w:hint="eastAsia" w:ascii="宋体" w:hAnsi="宋体" w:eastAsia="宋体" w:cs="宋体"/>
                <w:sz w:val="24"/>
                <w:szCs w:val="24"/>
                <w:lang w:val="en-GB"/>
              </w:rPr>
              <w:t>加强危险废物的储存和管理，避免对环境造成二次污染。</w:t>
            </w:r>
          </w:p>
          <w:p>
            <w:pPr>
              <w:widowControl w:val="0"/>
              <w:spacing w:after="21" w:line="360" w:lineRule="auto"/>
              <w:ind w:firstLine="480" w:firstLineChars="200"/>
              <w:jc w:val="both"/>
              <w:rPr>
                <w:rFonts w:hint="eastAsia" w:ascii="宋体" w:hAnsi="宋体" w:eastAsia="宋体" w:cs="宋体"/>
                <w:sz w:val="24"/>
                <w:szCs w:val="24"/>
                <w:lang w:val="zh-CN" w:eastAsia="zh-CN"/>
              </w:rPr>
            </w:pPr>
            <w:r>
              <w:rPr>
                <w:rFonts w:hint="eastAsia" w:ascii="宋体" w:hAnsi="宋体" w:eastAsia="宋体" w:cs="宋体"/>
                <w:sz w:val="24"/>
                <w:szCs w:val="24"/>
                <w:lang w:val="en-GB"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val="en-GB" w:eastAsia="zh-CN"/>
              </w:rPr>
              <w:t>）</w:t>
            </w:r>
            <w:r>
              <w:rPr>
                <w:rFonts w:hint="eastAsia" w:ascii="宋体" w:hAnsi="宋体" w:eastAsia="宋体" w:cs="宋体"/>
                <w:sz w:val="24"/>
                <w:szCs w:val="24"/>
                <w:lang w:val="en-GB"/>
              </w:rPr>
              <w:t>加强油漆等原料的储存管理，防止发生泄露事故，对环境造成影响</w:t>
            </w:r>
            <w:r>
              <w:rPr>
                <w:rFonts w:hint="eastAsia" w:ascii="宋体" w:hAnsi="宋体" w:eastAsia="宋体" w:cs="宋体"/>
                <w:sz w:val="24"/>
                <w:szCs w:val="24"/>
                <w:lang w:val="zh-CN" w:eastAsia="zh-CN"/>
              </w:rPr>
              <w:t>。</w:t>
            </w:r>
          </w:p>
          <w:p>
            <w:pPr>
              <w:widowControl w:val="0"/>
              <w:spacing w:after="21"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2、审批部门审批意见</w:t>
            </w:r>
            <w:bookmarkEnd w:id="6"/>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本次对</w:t>
            </w:r>
            <w:r>
              <w:rPr>
                <w:rFonts w:hint="eastAsia" w:ascii="宋体" w:hAnsi="宋体" w:eastAsia="宋体" w:cs="宋体"/>
                <w:sz w:val="24"/>
                <w:szCs w:val="24"/>
                <w:lang w:val="en-GB" w:eastAsia="zh-CN"/>
              </w:rPr>
              <w:t>鹤壁市广睿科技有限公司年产2000套灯光雕刻、标示标牌</w:t>
            </w:r>
            <w:r>
              <w:rPr>
                <w:rFonts w:hint="eastAsia" w:ascii="宋体" w:hAnsi="宋体" w:eastAsia="宋体" w:cs="宋体"/>
                <w:sz w:val="24"/>
                <w:szCs w:val="24"/>
                <w:lang w:val="en-US" w:eastAsia="zh-CN"/>
              </w:rPr>
              <w:t>项目和</w:t>
            </w:r>
            <w:r>
              <w:rPr>
                <w:rFonts w:hint="eastAsia" w:ascii="宋体" w:hAnsi="宋体" w:eastAsia="宋体" w:cs="宋体"/>
                <w:sz w:val="24"/>
                <w:szCs w:val="24"/>
                <w:lang w:val="en-GB" w:eastAsia="zh-CN"/>
              </w:rPr>
              <w:t>年产2000套灯光雕刻、标示标牌喷漆喷塑生产线建设项目</w:t>
            </w:r>
            <w:r>
              <w:rPr>
                <w:rFonts w:hint="eastAsia" w:ascii="宋体" w:hAnsi="宋体" w:eastAsia="宋体" w:cs="宋体"/>
                <w:sz w:val="24"/>
                <w:szCs w:val="24"/>
                <w:lang w:val="en-US" w:eastAsia="zh-CN"/>
              </w:rPr>
              <w:t>一块验收。</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2.1、《</w:t>
            </w:r>
            <w:r>
              <w:rPr>
                <w:rFonts w:hint="eastAsia" w:ascii="宋体" w:hAnsi="宋体" w:eastAsia="宋体" w:cs="宋体"/>
                <w:sz w:val="24"/>
                <w:szCs w:val="24"/>
                <w:lang w:val="en-GB" w:eastAsia="zh-CN"/>
              </w:rPr>
              <w:t>鹤壁市广睿科技有限公司年产2000套灯光雕刻、标示标牌</w:t>
            </w:r>
            <w:r>
              <w:rPr>
                <w:rFonts w:hint="eastAsia" w:ascii="宋体" w:hAnsi="宋体" w:eastAsia="宋体" w:cs="宋体"/>
                <w:sz w:val="24"/>
                <w:szCs w:val="24"/>
                <w:lang w:val="en-US" w:eastAsia="zh-CN"/>
              </w:rPr>
              <w:t>项目环境影响报告表的批复》（鹤环监表（2019）026号）</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GB"/>
              </w:rPr>
              <w:t>鹤壁市广睿科技有限公司年产2000套灯光雕刻、标示标牌项目</w:t>
            </w:r>
            <w:r>
              <w:rPr>
                <w:rFonts w:hint="eastAsia" w:ascii="宋体" w:hAnsi="宋体" w:eastAsia="宋体" w:cs="宋体"/>
                <w:sz w:val="24"/>
                <w:szCs w:val="24"/>
                <w:lang w:val="en-US" w:eastAsia="zh-CN"/>
              </w:rPr>
              <w:t>于2019年4月18日由鹤壁市生态环境局审批通过，并出具审批意见，批复文号为</w:t>
            </w:r>
            <w:r>
              <w:rPr>
                <w:rFonts w:hint="eastAsia" w:ascii="宋体" w:hAnsi="宋体" w:eastAsia="宋体" w:cs="宋体"/>
                <w:sz w:val="24"/>
                <w:szCs w:val="24"/>
                <w:lang w:val="en-GB"/>
              </w:rPr>
              <w:t>鹤环监表（2019）026号</w:t>
            </w:r>
            <w:r>
              <w:rPr>
                <w:rFonts w:hint="eastAsia" w:ascii="宋体" w:hAnsi="宋体" w:eastAsia="宋体" w:cs="宋体"/>
                <w:sz w:val="24"/>
                <w:szCs w:val="24"/>
                <w:lang w:val="en-US" w:eastAsia="zh-CN"/>
              </w:rPr>
              <w:t>。其批复如下：</w:t>
            </w:r>
          </w:p>
          <w:p>
            <w:pPr>
              <w:widowControl w:val="0"/>
              <w:spacing w:after="21" w:line="360" w:lineRule="auto"/>
              <w:ind w:firstLine="480" w:firstLineChars="200"/>
              <w:jc w:val="both"/>
              <w:rPr>
                <w:rFonts w:hint="eastAsia" w:ascii="宋体" w:hAnsi="宋体" w:eastAsia="宋体" w:cs="宋体"/>
                <w:sz w:val="24"/>
                <w:szCs w:val="24"/>
                <w:lang w:val="en-US" w:eastAsia="zh-CN"/>
              </w:rPr>
            </w:pPr>
            <w:bookmarkStart w:id="7" w:name="_Toc5520"/>
            <w:bookmarkStart w:id="8" w:name="_Toc32369"/>
            <w:bookmarkStart w:id="9" w:name="_Toc1760"/>
            <w:bookmarkStart w:id="10" w:name="_Toc14761"/>
            <w:r>
              <w:rPr>
                <w:rFonts w:hint="eastAsia" w:ascii="宋体" w:hAnsi="宋体" w:eastAsia="宋体" w:cs="宋体"/>
                <w:sz w:val="24"/>
                <w:szCs w:val="24"/>
                <w:lang w:val="en-US" w:eastAsia="zh-CN"/>
              </w:rPr>
              <w:t>一、</w:t>
            </w:r>
            <w:bookmarkEnd w:id="7"/>
            <w:bookmarkEnd w:id="8"/>
            <w:bookmarkEnd w:id="9"/>
            <w:bookmarkEnd w:id="10"/>
            <w:r>
              <w:rPr>
                <w:rFonts w:hint="eastAsia" w:ascii="宋体" w:hAnsi="宋体" w:eastAsia="宋体" w:cs="宋体"/>
                <w:sz w:val="24"/>
                <w:szCs w:val="24"/>
                <w:lang w:val="en-US" w:eastAsia="zh-CN"/>
              </w:rPr>
              <w:t>该项目位于鹤壁市淇滨区钜桥镇冢儿章村原宏光节能建材厂内3号车间（位置及周边情况详见《报告表》），租凭李得荣闲置厂房，不新增厂房，不新增用地。投资24万元，占地面积1500平方米。该项目原材料为不锈钢管、镀锌板、镀锌管、铝合金等，生产工艺流程：原料一切割一雕刻一握圆一焊接一台钻一组装-喷漆-成品，以切割机、焊机、握圆机、雕刻机等为主要生产设备，计划年产2000套灯光雕刻、标示标牌。</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w:t>
            </w:r>
            <w:bookmarkStart w:id="11" w:name="_Toc1691"/>
            <w:bookmarkStart w:id="12" w:name="_Toc25064"/>
            <w:bookmarkStart w:id="13" w:name="_Toc14681"/>
            <w:bookmarkStart w:id="14" w:name="_Toc9527"/>
            <w:r>
              <w:rPr>
                <w:rFonts w:hint="eastAsia" w:ascii="宋体" w:hAnsi="宋体" w:eastAsia="宋体" w:cs="宋体"/>
                <w:sz w:val="24"/>
                <w:szCs w:val="24"/>
                <w:lang w:val="en-US" w:eastAsia="zh-CN"/>
              </w:rPr>
              <w:t>该《报告表》内容符合国家有关法律法规要求和建设项目环境管理规定，评价结论可信。我局批准该《报告表》，原则同意你公司按照《报告表》所列项目的性质、规模、地点、采用的生产工艺和环境保护对策措施进行项目建设。</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w:t>
            </w:r>
            <w:bookmarkEnd w:id="11"/>
            <w:bookmarkEnd w:id="12"/>
            <w:bookmarkEnd w:id="13"/>
            <w:bookmarkEnd w:id="14"/>
            <w:r>
              <w:rPr>
                <w:rFonts w:hint="eastAsia" w:ascii="宋体" w:hAnsi="宋体" w:eastAsia="宋体" w:cs="宋体"/>
                <w:sz w:val="24"/>
                <w:szCs w:val="24"/>
                <w:lang w:val="en-US" w:eastAsia="zh-CN"/>
              </w:rPr>
              <w:t>你公司应向社会公众主动公开已经批准的《报告表》，并接受相关方咨询。</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四、你公司应全面落实《报告表》提出的各项环境保护措施，各项环境保护设施与主体工程同时设计、同时施工、同时投入使用，确保各项污染物达标排放。</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（一）向设计单位提供《报告表》和本批复文件，确保项目设计符合环境保护设计规范要求，落实防治环境污染和生态破坏的措施以及环保投资概算。</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（二）依据《报告表》和本批复文件，对项目建设过程中产生的废水、废气、固体废物、噪声等污染，以及施工对自然、生态环境造成的破坏，采取相应的防治措施。</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(三)项目运营期间外排污染物应满足以下要求。</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废水。生活废水经厂区化粪池沉淀处理后用于农田施肥，不外排。</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废气。焊接过程中产生的废气，通过安装在车间内的集气罩和引风装置强制抽集，经焊烟净化器装置处理后通过不低于15米高排气筒对外排放。废气排放需满足《大气污染物综合排放标准》GB16297-1996表2中的相应限值。</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噪声。对雕刻机、握圆机、切割机等高噪声设备采取减振、隔音等措施，确保厂界噪声满足《工业企业厂界环境噪声排放标准》（GB12348-2008）表1中2类标准要求。</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固废。生产过程中产生的边角料、生活垃圾、焊烟净化器收集的烟尘、润滑油、切削液，要严格分类管理，按照《一般工业固体废物贮存、处置场污染控制标准》（GB18599-2001）和《危险废物贮存染控制标准》（GB18597-2001）相关规定执行。边角料和焊烟净化器收集的烟尘全部集中收集外售，生活垃圾收集后送至环卫部门指定场所处理，不得乱堆乱放。设置危废暂存间，润滑油及切削液定期交由有资质的单位妥善处置。</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项目运营期间产品的喷漆工艺不得在本公司进行加工，须交由外面有喷漆工艺的单位进行代加工。</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五、项目建设必须严格执行环境保护“三同时”制度，项目建成后，及时按规定进行竣工环境保护验收。</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六、本项目环评批复有效期5年，自批准之日起计算，在有效期内未开工建设，本批复文件自动失效。项目性质、产品、规模、地点、采用的污染防治措施发生变动时，其环境影响报告表应报我局重新审核。</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七、鹤壁市生态环境局淇滨区分局负责项目实施期间环境保护监督管理工作，市环境监察支队定期到现场检查。</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2.2、《</w:t>
            </w:r>
            <w:r>
              <w:rPr>
                <w:rFonts w:hint="eastAsia" w:ascii="宋体" w:hAnsi="宋体" w:eastAsia="宋体" w:cs="宋体"/>
                <w:sz w:val="24"/>
                <w:szCs w:val="24"/>
                <w:lang w:val="en-GB"/>
              </w:rPr>
              <w:t>鹤壁市广睿科技有限公司</w:t>
            </w:r>
            <w:r>
              <w:rPr>
                <w:rFonts w:hint="eastAsia" w:ascii="宋体" w:hAnsi="宋体" w:eastAsia="宋体" w:cs="宋体"/>
                <w:sz w:val="24"/>
                <w:szCs w:val="24"/>
                <w:lang w:val="en-GB" w:eastAsia="zh-CN"/>
              </w:rPr>
              <w:t>年产2000套灯光雕刻、标示标牌喷漆喷塑生产线建设项目</w:t>
            </w:r>
            <w:r>
              <w:rPr>
                <w:rFonts w:hint="eastAsia" w:ascii="宋体" w:hAnsi="宋体" w:eastAsia="宋体" w:cs="宋体"/>
                <w:sz w:val="24"/>
                <w:szCs w:val="24"/>
              </w:rPr>
              <w:t>环境影响报告表</w:t>
            </w:r>
            <w:r>
              <w:rPr>
                <w:rFonts w:hint="eastAsia" w:ascii="宋体" w:hAnsi="宋体" w:eastAsia="宋体" w:cs="宋体"/>
                <w:sz w:val="24"/>
                <w:szCs w:val="24"/>
                <w:lang w:val="en-US" w:eastAsia="zh-CN"/>
              </w:rPr>
              <w:t>的批复》（</w:t>
            </w:r>
            <w:r>
              <w:rPr>
                <w:rFonts w:hint="eastAsia" w:ascii="宋体" w:hAnsi="宋体" w:eastAsia="宋体" w:cs="宋体"/>
                <w:sz w:val="24"/>
                <w:szCs w:val="24"/>
              </w:rPr>
              <w:t>鹤环监表（20</w:t>
            </w:r>
            <w:r>
              <w:rPr>
                <w:rFonts w:hint="eastAsia" w:ascii="宋体" w:hAnsi="宋体" w:eastAsia="宋体" w:cs="宋体"/>
                <w:sz w:val="24"/>
                <w:szCs w:val="24"/>
                <w:lang w:val="en-US" w:eastAsia="zh-CN"/>
              </w:rPr>
              <w:t>21</w:t>
            </w:r>
            <w:r>
              <w:rPr>
                <w:rFonts w:hint="eastAsia" w:ascii="宋体" w:hAnsi="宋体" w:eastAsia="宋体" w:cs="宋体"/>
                <w:sz w:val="24"/>
                <w:szCs w:val="24"/>
              </w:rPr>
              <w:t>）0</w:t>
            </w:r>
            <w:r>
              <w:rPr>
                <w:rFonts w:hint="eastAsia" w:ascii="宋体" w:hAnsi="宋体" w:eastAsia="宋体" w:cs="宋体"/>
                <w:sz w:val="24"/>
                <w:szCs w:val="24"/>
                <w:lang w:val="en-US" w:eastAsia="zh-CN"/>
              </w:rPr>
              <w:t>53</w:t>
            </w:r>
            <w:r>
              <w:rPr>
                <w:rFonts w:hint="eastAsia" w:ascii="宋体" w:hAnsi="宋体" w:eastAsia="宋体" w:cs="宋体"/>
                <w:sz w:val="24"/>
                <w:szCs w:val="24"/>
              </w:rPr>
              <w:t>号</w:t>
            </w:r>
            <w:r>
              <w:rPr>
                <w:rFonts w:hint="eastAsia" w:ascii="宋体" w:hAnsi="宋体" w:eastAsia="宋体" w:cs="宋体"/>
                <w:sz w:val="24"/>
                <w:szCs w:val="24"/>
                <w:lang w:val="en-US" w:eastAsia="zh-CN"/>
              </w:rPr>
              <w:t>）</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GB" w:eastAsia="zh-CN"/>
              </w:rPr>
              <w:t>鹤壁市广睿科技有限公司年产2000套灯光雕刻、标示标牌喷漆喷塑生产线建设项目</w:t>
            </w:r>
            <w:r>
              <w:rPr>
                <w:rFonts w:hint="eastAsia" w:ascii="宋体" w:hAnsi="宋体" w:eastAsia="宋体" w:cs="宋体"/>
                <w:sz w:val="24"/>
                <w:szCs w:val="24"/>
                <w:lang w:val="en-US" w:eastAsia="zh-CN"/>
              </w:rPr>
              <w:t>于2021年7月16日由鹤壁市生态环境局审批通过，并出具审批意见，批复文号为</w:t>
            </w:r>
            <w:r>
              <w:rPr>
                <w:rFonts w:hint="eastAsia" w:ascii="宋体" w:hAnsi="宋体" w:eastAsia="宋体" w:cs="宋体"/>
                <w:sz w:val="24"/>
                <w:szCs w:val="24"/>
                <w:lang w:val="en-GB" w:eastAsia="zh-CN"/>
              </w:rPr>
              <w:t>鹤环监表（2019）026号</w:t>
            </w:r>
            <w:r>
              <w:rPr>
                <w:rFonts w:hint="eastAsia" w:ascii="宋体" w:hAnsi="宋体" w:eastAsia="宋体" w:cs="宋体"/>
                <w:sz w:val="24"/>
                <w:szCs w:val="24"/>
                <w:lang w:val="en-US" w:eastAsia="zh-CN"/>
              </w:rPr>
              <w:t>。其批复如下：</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该项目位于鹤壁市淇滨区钜桥镇冢儿章村原宏光节能建材厂内3号车间（坐标：东经114.33099°北纬35.692586°），位置及周边情况详见《报告表》，项目投资200万元，环保投资65万元，占地面积3800㎡。项目原料为：塑粉、金属漆。主要生产设备为：塑粉喷涂机、纳米喷涂机、烤漆柜、烤塑柜、固化炉等。生产工艺流程：产品半成品-喷漆或喷塑一晾干或喷塑固化一检验一包装一成品。</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鹤壁市广睿科技有限公司《年产2000套灯光雕刻、标示标牌项目环境影响报告表》于2019年4月18日通过鹤壁市生态环境局环评审批，审批文号：鹤环监表［2019］026号。</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该《报告表》内容符合国家有关法律法规要求和建设项目环境管理规定，评价结论可信。我局批准该《报告表》，原则同意你公司按照《报告表》所列项目的性质、规模、地点、采用的生产工艺和环境保护对策措施进行项目建设。</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三、你公司应向社会公众主动公开已经批准的《报告表》，并接受相关方咨询。</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四、你公司应全面落实《报告表》提出的各项环境保护措施，各项环境保护设施与主体工程同时设计、同时施工、同时投入使用，确保各项污染物达标排放。</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（一）向设计单位提供《报告表》和本批复文件，确保项目设计符合环境保护设计规范要求，落实防治环境污染和生态破坏的措施以及环保投资概算。</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（二）依据《报告表》和本批复文件，对项目建设过程中产生的废水、废气、固体废物、噪声等污染，以及施工对自然、生态环境造成的破坏，采取相应的防治措施。</w:t>
            </w:r>
          </w:p>
          <w:p>
            <w:pPr>
              <w:widowControl w:val="0"/>
              <w:spacing w:after="21" w:line="360" w:lineRule="auto"/>
              <w:ind w:firstLine="720" w:firstLineChars="3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(三)项目运营期间外排污染物应满足以下要求。</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废水。无新增生活废水和生产废水。</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废气。喷塑过程产生的颗粒物经过滤除尘回收装置收集后，通过10m高排气筒（P1）排放。喷漆及晾干过程产生的废气经密闭负压＋水帘柜＋UV光解＋活性炭吸附处理后通过15m高排气筒（P2）排放，固化过程产生的废气经集气罩收集，由UV光解＋活性炭吸附处理后，通过15m高排气筒（P2）排放。废气排放需满足《大气污染物综合排放标准》（GB16297-1996）表2中二级标准。厂区有机废气排放需满足《挥发性有机物无组织排放控制标准》（GB37822-2019）、《工业涂装工序挥发性有机物排放标准》（DB41／1951-2020）中的排放要求，同时满足《河南省关于全省开展工业企业挥发性有机物专项治理工作中排放建议值的通知》（豫环攻坚办［2017］162号文）中，表面涂装业排放限值的要求。</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噪声。对塑粉喷涂机、纳米喷涂机、风机等高噪声设备采取减振、隔音等措施，确保厂界噪声满足《工业企业厂界环境噪声排放标准》（GB12348-2008）表1中2类标准要求。</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固废。设置危废暂存间，废油漆桶、漆渣、废活性炭、废UV灯管、水帘柜除漆雾循环水等暂存危废暂存间，并定期交由有资质的单位妥善处置。</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五、项目建设必须严格执行环境保护“三同时”制度，确保各项污染物达标排放，并满足总量控制要求。在项目投产前，取得污染物排放总量指标，并作为申报排污许可证的条件。按照规定及时进行竣工环境保护验收，验收合格后方可正式生产。</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六、本项目环评批复有效期5年，自批准之日起计算，在有效期内未开工建设，本批复文件自动失效。项目性质、产品、规模、地点、采用的污染防治措施发生变动时，其环境影响报告表应报我局重新审核。</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七、如果今后国家或我省颁布新标准，你公司应按新标准执行。</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八、你公司在本项目环评文件报批过程中，如有瞒报、虚报、漏报等情形，需承担由此产生的一切法律责任。</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九、该项目在实施过程中应接受鹤壁市生态环境局淇滨分局的监督管理，鹤壁市生态环境综合行政执法支队定期到现场检查。</w:t>
            </w:r>
          </w:p>
          <w:p>
            <w:pPr>
              <w:widowControl w:val="0"/>
              <w:jc w:val="both"/>
              <w:rPr>
                <w:rFonts w:hint="eastAsia" w:ascii="宋体" w:hAnsi="宋体" w:eastAsia="宋体" w:cs="宋体"/>
                <w:sz w:val="24"/>
                <w:szCs w:val="24"/>
                <w:lang w:val="en-US" w:eastAsia="zh-CN"/>
              </w:rPr>
            </w:pPr>
          </w:p>
          <w:p>
            <w:pPr>
              <w:pStyle w:val="7"/>
              <w:widowControl w:val="0"/>
              <w:rPr>
                <w:rFonts w:hint="eastAsia"/>
                <w:lang w:val="en-US" w:eastAsia="zh-CN"/>
              </w:rPr>
            </w:pPr>
          </w:p>
          <w:p>
            <w:pPr>
              <w:widowControl w:val="0"/>
              <w:spacing w:after="21" w:line="360" w:lineRule="auto"/>
              <w:ind w:firstLine="422" w:firstLineChars="200"/>
              <w:jc w:val="both"/>
              <w:rPr>
                <w:rFonts w:ascii="Tahoma" w:hAnsi="Tahoma" w:eastAsia="仿宋_GB2312" w:cs="Times New Roman"/>
                <w:b/>
                <w:color w:val="000000"/>
                <w:kern w:val="0"/>
                <w:sz w:val="21"/>
                <w:szCs w:val="21"/>
                <w:vertAlign w:val="baseline"/>
              </w:rPr>
            </w:pPr>
          </w:p>
        </w:tc>
      </w:tr>
    </w:tbl>
    <w:p>
      <w:pPr>
        <w:adjustRightInd w:val="0"/>
        <w:snapToGrid w:val="0"/>
        <w:spacing w:after="0" w:afterLines="0" w:line="360" w:lineRule="auto"/>
        <w:rPr>
          <w:rFonts w:hint="eastAsia" w:ascii="Tahoma" w:hAnsi="Tahoma" w:eastAsia="仿宋_GB2312" w:cs="Times New Roman"/>
          <w:b/>
          <w:color w:val="000000"/>
          <w:kern w:val="0"/>
          <w:sz w:val="21"/>
          <w:szCs w:val="21"/>
          <w:lang w:eastAsia="zh-CN"/>
        </w:rPr>
      </w:pPr>
      <w:r>
        <w:rPr>
          <w:rFonts w:hint="eastAsia" w:ascii="Tahoma" w:hAnsi="Tahoma" w:eastAsia="仿宋_GB2312" w:cs="Times New Roman"/>
          <w:b/>
          <w:color w:val="000000"/>
          <w:kern w:val="0"/>
          <w:sz w:val="21"/>
          <w:szCs w:val="21"/>
          <w:lang w:eastAsia="zh-CN"/>
        </w:rPr>
        <w:t>表五</w:t>
      </w:r>
    </w:p>
    <w:tbl>
      <w:tblPr>
        <w:tblStyle w:val="13"/>
        <w:tblW w:w="8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0" w:hRule="atLeast"/>
          <w:jc w:val="center"/>
        </w:trPr>
        <w:tc>
          <w:tcPr>
            <w:tcW w:w="8960" w:type="dxa"/>
          </w:tcPr>
          <w:p>
            <w:pPr>
              <w:widowControl w:val="0"/>
              <w:spacing w:before="62" w:beforeLines="20" w:line="360" w:lineRule="auto"/>
              <w:jc w:val="both"/>
              <w:rPr>
                <w:rFonts w:hint="eastAsia" w:ascii="宋体" w:hAnsi="宋体" w:eastAsia="宋体"/>
                <w:b/>
                <w:bCs/>
                <w:color w:val="000000"/>
                <w:sz w:val="24"/>
                <w:szCs w:val="24"/>
              </w:rPr>
            </w:pPr>
            <w:r>
              <w:rPr>
                <w:rFonts w:hint="eastAsia" w:ascii="宋体" w:hAnsi="宋体" w:eastAsia="宋体"/>
                <w:b/>
                <w:bCs/>
                <w:color w:val="000000"/>
                <w:sz w:val="24"/>
                <w:szCs w:val="24"/>
              </w:rPr>
              <w:t>验收监测质量保证及质量控制：</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2"/>
                <w:lang w:eastAsia="zh-CN"/>
              </w:rPr>
            </w:pPr>
            <w:bookmarkStart w:id="15" w:name="_Toc3462"/>
            <w:r>
              <w:rPr>
                <w:rFonts w:hint="eastAsia" w:ascii="宋体" w:hAnsi="宋体" w:eastAsia="宋体" w:cs="宋体"/>
                <w:sz w:val="24"/>
                <w:szCs w:val="22"/>
                <w:lang w:eastAsia="zh-CN"/>
              </w:rPr>
              <w:t>为了检验项目环保设施是否符合相应排放标准，委托河南永蓝检测技术有限公司于20</w:t>
            </w:r>
            <w:r>
              <w:rPr>
                <w:rFonts w:hint="eastAsia" w:ascii="宋体" w:hAnsi="宋体" w:eastAsia="宋体" w:cs="宋体"/>
                <w:sz w:val="24"/>
                <w:szCs w:val="22"/>
                <w:lang w:val="en-US" w:eastAsia="zh-CN"/>
              </w:rPr>
              <w:t>21</w:t>
            </w:r>
            <w:r>
              <w:rPr>
                <w:rFonts w:hint="eastAsia" w:ascii="宋体" w:hAnsi="宋体" w:eastAsia="宋体" w:cs="宋体"/>
                <w:sz w:val="24"/>
                <w:szCs w:val="22"/>
                <w:lang w:eastAsia="zh-CN"/>
              </w:rPr>
              <w:t>年</w:t>
            </w:r>
            <w:r>
              <w:rPr>
                <w:rFonts w:hint="eastAsia" w:ascii="宋体" w:hAnsi="宋体" w:eastAsia="宋体" w:cs="宋体"/>
                <w:sz w:val="24"/>
                <w:szCs w:val="22"/>
                <w:lang w:val="en-US" w:eastAsia="zh-CN"/>
              </w:rPr>
              <w:t>12</w:t>
            </w:r>
            <w:r>
              <w:rPr>
                <w:rFonts w:hint="eastAsia" w:ascii="宋体" w:hAnsi="宋体" w:eastAsia="宋体" w:cs="宋体"/>
                <w:sz w:val="24"/>
                <w:szCs w:val="22"/>
                <w:lang w:eastAsia="zh-CN"/>
              </w:rPr>
              <w:t>月</w:t>
            </w:r>
            <w:r>
              <w:rPr>
                <w:rFonts w:hint="eastAsia" w:ascii="宋体" w:hAnsi="宋体" w:eastAsia="宋体" w:cs="宋体"/>
                <w:sz w:val="24"/>
                <w:szCs w:val="22"/>
                <w:lang w:val="en-US" w:eastAsia="zh-CN"/>
              </w:rPr>
              <w:t>15</w:t>
            </w:r>
            <w:r>
              <w:rPr>
                <w:rFonts w:hint="eastAsia" w:ascii="宋体" w:hAnsi="宋体" w:eastAsia="宋体" w:cs="宋体"/>
                <w:sz w:val="24"/>
                <w:szCs w:val="22"/>
                <w:lang w:eastAsia="zh-CN"/>
              </w:rPr>
              <w:t>日至</w:t>
            </w:r>
            <w:r>
              <w:rPr>
                <w:rFonts w:hint="eastAsia" w:ascii="宋体" w:hAnsi="宋体" w:eastAsia="宋体" w:cs="宋体"/>
                <w:sz w:val="24"/>
                <w:szCs w:val="22"/>
                <w:lang w:val="en-US" w:eastAsia="zh-CN"/>
              </w:rPr>
              <w:t>12</w:t>
            </w:r>
            <w:r>
              <w:rPr>
                <w:rFonts w:hint="eastAsia" w:ascii="宋体" w:hAnsi="宋体" w:eastAsia="宋体" w:cs="宋体"/>
                <w:sz w:val="24"/>
                <w:szCs w:val="22"/>
                <w:lang w:eastAsia="zh-CN"/>
              </w:rPr>
              <w:t>月</w:t>
            </w:r>
            <w:r>
              <w:rPr>
                <w:rFonts w:hint="eastAsia" w:ascii="宋体" w:hAnsi="宋体" w:eastAsia="宋体" w:cs="宋体"/>
                <w:sz w:val="24"/>
                <w:szCs w:val="22"/>
                <w:lang w:val="en-US" w:eastAsia="zh-CN"/>
              </w:rPr>
              <w:t>16</w:t>
            </w:r>
            <w:r>
              <w:rPr>
                <w:rFonts w:hint="eastAsia" w:ascii="宋体" w:hAnsi="宋体" w:eastAsia="宋体" w:cs="宋体"/>
                <w:sz w:val="24"/>
                <w:szCs w:val="22"/>
                <w:lang w:eastAsia="zh-CN"/>
              </w:rPr>
              <w:t>日对项目排放的废气</w:t>
            </w:r>
            <w:r>
              <w:rPr>
                <w:rFonts w:hint="eastAsia" w:ascii="宋体" w:hAnsi="宋体" w:eastAsia="宋体" w:cs="宋体"/>
                <w:sz w:val="24"/>
                <w:szCs w:val="22"/>
                <w:lang w:val="en-US" w:eastAsia="zh-CN"/>
              </w:rPr>
              <w:t>、</w:t>
            </w:r>
            <w:r>
              <w:rPr>
                <w:rFonts w:hint="eastAsia" w:ascii="宋体" w:hAnsi="宋体" w:eastAsia="宋体" w:cs="宋体"/>
                <w:sz w:val="24"/>
                <w:szCs w:val="22"/>
                <w:lang w:eastAsia="zh-CN"/>
              </w:rPr>
              <w:t>噪声进行现场采样检测，并出具了《</w:t>
            </w:r>
            <w:r>
              <w:rPr>
                <w:rFonts w:hint="eastAsia" w:ascii="宋体" w:hAnsi="宋体" w:eastAsia="宋体" w:cs="宋体"/>
                <w:sz w:val="24"/>
                <w:szCs w:val="24"/>
                <w:lang w:val="en-GB" w:eastAsia="zh-CN"/>
              </w:rPr>
              <w:t>鹤壁市广睿科技有限公司年产2000套灯光雕刻、标示标牌喷漆喷塑生产线建设项目</w:t>
            </w:r>
            <w:r>
              <w:rPr>
                <w:rFonts w:hint="eastAsia" w:ascii="宋体" w:hAnsi="宋体" w:eastAsia="宋体" w:cs="宋体"/>
                <w:sz w:val="24"/>
                <w:szCs w:val="22"/>
                <w:lang w:eastAsia="zh-CN"/>
              </w:rPr>
              <w:t>检测报告》（</w:t>
            </w:r>
            <w:r>
              <w:rPr>
                <w:rFonts w:hint="eastAsia" w:ascii="宋体" w:hAnsi="宋体" w:eastAsia="宋体" w:cs="宋体"/>
                <w:sz w:val="24"/>
                <w:szCs w:val="22"/>
                <w:lang w:val="en-US" w:eastAsia="zh-CN"/>
              </w:rPr>
              <w:t>报告编号Y</w:t>
            </w:r>
            <w:r>
              <w:rPr>
                <w:rFonts w:hint="eastAsia" w:ascii="宋体" w:hAnsi="宋体" w:eastAsia="宋体" w:cs="宋体"/>
                <w:sz w:val="24"/>
                <w:szCs w:val="22"/>
                <w:lang w:eastAsia="zh-CN"/>
              </w:rPr>
              <w:t>LJC</w:t>
            </w:r>
            <w:r>
              <w:rPr>
                <w:rFonts w:hint="eastAsia" w:ascii="宋体" w:hAnsi="宋体" w:eastAsia="宋体" w:cs="宋体"/>
                <w:sz w:val="24"/>
                <w:szCs w:val="22"/>
                <w:lang w:val="en-US" w:eastAsia="zh-CN"/>
              </w:rPr>
              <w:t>21120</w:t>
            </w:r>
            <w:r>
              <w:rPr>
                <w:rFonts w:hint="eastAsia" w:ascii="宋体" w:hAnsi="宋体" w:eastAsia="宋体" w:cs="宋体"/>
                <w:sz w:val="24"/>
                <w:szCs w:val="22"/>
                <w:lang w:eastAsia="zh-CN"/>
              </w:rPr>
              <w:t>2</w:t>
            </w:r>
            <w:r>
              <w:rPr>
                <w:rFonts w:hint="eastAsia" w:ascii="宋体" w:hAnsi="宋体" w:eastAsia="宋体" w:cs="宋体"/>
                <w:sz w:val="24"/>
                <w:szCs w:val="22"/>
                <w:lang w:val="en-US" w:eastAsia="zh-CN"/>
              </w:rPr>
              <w:t>6Y</w:t>
            </w:r>
            <w:r>
              <w:rPr>
                <w:rFonts w:hint="eastAsia" w:ascii="宋体" w:hAnsi="宋体" w:eastAsia="宋体" w:cs="宋体"/>
                <w:sz w:val="24"/>
                <w:szCs w:val="22"/>
                <w:lang w:eastAsia="zh-CN"/>
              </w:rPr>
              <w:t>）。根据检测报告项目监测分析方法、检测仪器、检测质量保证如下：</w:t>
            </w:r>
          </w:p>
          <w:p>
            <w:pPr>
              <w:pStyle w:val="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1"/>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rPr>
              <w:t>质量保障体系</w:t>
            </w:r>
            <w:bookmarkEnd w:id="15"/>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bookmarkStart w:id="16" w:name="_Toc349134675"/>
            <w:r>
              <w:rPr>
                <w:rFonts w:hint="eastAsia" w:ascii="宋体" w:hAnsi="宋体" w:eastAsia="宋体" w:cs="宋体"/>
                <w:sz w:val="24"/>
                <w:szCs w:val="24"/>
              </w:rPr>
              <w:t>（1）严格按照《环境监测技术规范》和有关环境</w:t>
            </w:r>
            <w:r>
              <w:rPr>
                <w:rFonts w:hint="eastAsia" w:ascii="宋体" w:hAnsi="宋体" w:eastAsia="宋体" w:cs="宋体"/>
                <w:sz w:val="24"/>
                <w:szCs w:val="24"/>
                <w:lang w:eastAsia="zh-CN"/>
              </w:rPr>
              <w:t>监测</w:t>
            </w:r>
            <w:r>
              <w:rPr>
                <w:rFonts w:hint="eastAsia" w:ascii="宋体" w:hAnsi="宋体" w:eastAsia="宋体" w:cs="宋体"/>
                <w:sz w:val="24"/>
                <w:szCs w:val="24"/>
              </w:rPr>
              <w:t>质量保证的要求进行样品采集、保存、分析等，全程进行质量控制。</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（2）参加本项目检测人员均持证上岗，检测仪器均经计量部门检定合格并在有效期内。</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）声级计测量前后均经标准声源校准且合格，测试时无雨雪，无雷电，风速小于5.0m/s。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4</w:t>
            </w:r>
            <w:r>
              <w:rPr>
                <w:rFonts w:hint="eastAsia" w:ascii="宋体" w:hAnsi="宋体" w:eastAsia="宋体" w:cs="宋体"/>
                <w:sz w:val="24"/>
                <w:szCs w:val="24"/>
              </w:rPr>
              <w:t>）</w:t>
            </w:r>
            <w:r>
              <w:rPr>
                <w:rFonts w:hint="eastAsia" w:ascii="宋体" w:hAnsi="宋体" w:eastAsia="宋体" w:cs="宋体"/>
                <w:sz w:val="24"/>
                <w:szCs w:val="24"/>
                <w:lang w:eastAsia="zh-CN"/>
              </w:rPr>
              <w:t>监测</w:t>
            </w:r>
            <w:r>
              <w:rPr>
                <w:rFonts w:hint="eastAsia" w:ascii="宋体" w:hAnsi="宋体" w:eastAsia="宋体" w:cs="宋体"/>
                <w:sz w:val="24"/>
                <w:szCs w:val="24"/>
              </w:rPr>
              <w:t>数据严格执行三级审核制度。</w:t>
            </w:r>
            <w:bookmarkEnd w:id="16"/>
          </w:p>
          <w:p>
            <w:pPr>
              <w:pStyle w:val="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1"/>
              <w:rPr>
                <w:rFonts w:hint="eastAsia" w:ascii="宋体" w:hAnsi="宋体" w:eastAsia="宋体" w:cs="宋体"/>
                <w:b w:val="0"/>
                <w:bCs w:val="0"/>
                <w:sz w:val="24"/>
                <w:szCs w:val="24"/>
                <w:lang w:val="en-US" w:eastAsia="zh-CN"/>
              </w:rPr>
            </w:pPr>
            <w:bookmarkStart w:id="17" w:name="_Toc31715"/>
            <w:r>
              <w:rPr>
                <w:rFonts w:hint="eastAsia" w:ascii="宋体" w:hAnsi="宋体" w:eastAsia="宋体" w:cs="宋体"/>
                <w:b w:val="0"/>
                <w:bCs w:val="0"/>
                <w:sz w:val="24"/>
                <w:szCs w:val="24"/>
                <w:lang w:val="en-US" w:eastAsia="zh-CN"/>
              </w:rPr>
              <w:t>2、监测分析方法</w:t>
            </w:r>
            <w:bookmarkEnd w:id="17"/>
          </w:p>
          <w:p>
            <w:pPr>
              <w:pStyle w:val="4"/>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2"/>
              <w:rPr>
                <w:rFonts w:hint="eastAsia" w:ascii="宋体" w:hAnsi="宋体" w:eastAsia="宋体" w:cs="宋体"/>
                <w:color w:val="000000"/>
                <w:kern w:val="2"/>
                <w:sz w:val="24"/>
                <w:szCs w:val="24"/>
                <w:lang w:val="en-US" w:eastAsia="zh-CN" w:bidi="ar-SA"/>
              </w:rPr>
            </w:pPr>
            <w:bookmarkStart w:id="18" w:name="_Toc497001482"/>
            <w:bookmarkStart w:id="19" w:name="_Toc19537"/>
            <w:r>
              <w:rPr>
                <w:rFonts w:hint="eastAsia" w:ascii="宋体" w:hAnsi="宋体" w:eastAsia="宋体" w:cs="宋体"/>
                <w:color w:val="000000"/>
                <w:kern w:val="2"/>
                <w:sz w:val="24"/>
                <w:szCs w:val="24"/>
                <w:lang w:val="en-US" w:eastAsia="zh-CN" w:bidi="ar-SA"/>
              </w:rPr>
              <w:t>（1）监测点位、项目、频次</w:t>
            </w:r>
            <w:bookmarkEnd w:id="18"/>
            <w:bookmarkEnd w:id="19"/>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b w:val="0"/>
                <w:bCs w:val="0"/>
                <w:sz w:val="24"/>
                <w:szCs w:val="24"/>
                <w:lang w:val="en-US" w:eastAsia="zh-CN"/>
              </w:rPr>
              <w:t>监测点位、项目、频次见表5-1。</w:t>
            </w:r>
          </w:p>
          <w:p>
            <w:pPr>
              <w:pStyle w:val="5"/>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sz w:val="24"/>
                <w:szCs w:val="24"/>
                <w:highlight w:val="red"/>
                <w:lang w:eastAsia="zh-CN"/>
              </w:rPr>
            </w:pPr>
            <w:r>
              <w:rPr>
                <w:rFonts w:hint="eastAsia" w:ascii="宋体" w:hAnsi="宋体" w:eastAsia="宋体" w:cs="宋体"/>
                <w:b w:val="0"/>
                <w:bCs w:val="0"/>
                <w:sz w:val="24"/>
                <w:szCs w:val="24"/>
                <w:lang w:val="en-US" w:eastAsia="zh-CN"/>
              </w:rPr>
              <w:t>表5-1 监测点位、项目、频次及样品信息</w:t>
            </w:r>
          </w:p>
          <w:tbl>
            <w:tblPr>
              <w:tblStyle w:val="12"/>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359"/>
              <w:gridCol w:w="1816"/>
              <w:gridCol w:w="2171"/>
              <w:gridCol w:w="1709"/>
              <w:gridCol w:w="7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50" w:type="dxa"/>
                  <w:vAlign w:val="center"/>
                </w:tcPr>
                <w:p>
                  <w:pPr>
                    <w:spacing w:line="240" w:lineRule="auto"/>
                    <w:jc w:val="center"/>
                    <w:rPr>
                      <w:rFonts w:hint="eastAsia" w:asciiTheme="minorEastAsia" w:hAnsiTheme="minorEastAsia" w:eastAsiaTheme="minorEastAsia" w:cstheme="minorEastAsia"/>
                      <w:sz w:val="21"/>
                      <w:szCs w:val="21"/>
                    </w:rPr>
                  </w:pPr>
                  <w:bookmarkStart w:id="20" w:name="_Toc497001483"/>
                  <w:r>
                    <w:rPr>
                      <w:rFonts w:hint="eastAsia" w:asciiTheme="minorEastAsia" w:hAnsiTheme="minorEastAsia" w:eastAsiaTheme="minorEastAsia" w:cstheme="minorEastAsia"/>
                      <w:sz w:val="21"/>
                      <w:szCs w:val="21"/>
                    </w:rPr>
                    <w:t>序号</w:t>
                  </w:r>
                </w:p>
              </w:tc>
              <w:tc>
                <w:tcPr>
                  <w:tcW w:w="1359" w:type="dxa"/>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监测类别</w:t>
                  </w:r>
                </w:p>
              </w:tc>
              <w:tc>
                <w:tcPr>
                  <w:tcW w:w="1816" w:type="dxa"/>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监测点位名称</w:t>
                  </w:r>
                </w:p>
              </w:tc>
              <w:tc>
                <w:tcPr>
                  <w:tcW w:w="2171" w:type="dxa"/>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监测因子</w:t>
                  </w:r>
                </w:p>
              </w:tc>
              <w:tc>
                <w:tcPr>
                  <w:tcW w:w="1709" w:type="dxa"/>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监测频次</w:t>
                  </w:r>
                </w:p>
              </w:tc>
              <w:tc>
                <w:tcPr>
                  <w:tcW w:w="715" w:type="dxa"/>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50" w:type="dxa"/>
                  <w:vMerge w:val="restart"/>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w:t>
                  </w:r>
                </w:p>
              </w:tc>
              <w:tc>
                <w:tcPr>
                  <w:tcW w:w="1359" w:type="dxa"/>
                  <w:vMerge w:val="restart"/>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有组织废气</w:t>
                  </w:r>
                </w:p>
              </w:tc>
              <w:tc>
                <w:tcPr>
                  <w:tcW w:w="1816" w:type="dxa"/>
                  <w:vAlign w:val="center"/>
                </w:tcPr>
                <w:p>
                  <w:pPr>
                    <w:spacing w:line="240" w:lineRule="auto"/>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color w:val="auto"/>
                      <w:sz w:val="21"/>
                      <w:szCs w:val="21"/>
                    </w:rPr>
                    <w:t>喷塑+焊接袋式除尘器出口</w:t>
                  </w:r>
                </w:p>
              </w:tc>
              <w:tc>
                <w:tcPr>
                  <w:tcW w:w="2171" w:type="dxa"/>
                  <w:vAlign w:val="center"/>
                </w:tcPr>
                <w:p>
                  <w:pPr>
                    <w:spacing w:line="240" w:lineRule="auto"/>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废气量，颗粒物排放浓度及排放速率</w:t>
                  </w:r>
                </w:p>
              </w:tc>
              <w:tc>
                <w:tcPr>
                  <w:tcW w:w="1709" w:type="dxa"/>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连续检测2天</w:t>
                  </w:r>
                  <w:r>
                    <w:rPr>
                      <w:rFonts w:hint="default" w:asciiTheme="minorEastAsia" w:hAnsiTheme="minorEastAsia" w:eastAsiaTheme="minorEastAsia" w:cstheme="minorEastAsia"/>
                      <w:sz w:val="21"/>
                      <w:szCs w:val="21"/>
                      <w:lang w:val="en-US" w:eastAsia="zh-CN"/>
                    </w:rPr>
                    <w:t>，3次/</w:t>
                  </w:r>
                  <w:r>
                    <w:rPr>
                      <w:rFonts w:hint="eastAsia" w:asciiTheme="minorEastAsia" w:hAnsiTheme="minorEastAsia" w:eastAsiaTheme="minorEastAsia" w:cstheme="minorEastAsia"/>
                      <w:sz w:val="21"/>
                      <w:szCs w:val="21"/>
                      <w:lang w:val="en-US" w:eastAsia="zh-CN"/>
                    </w:rPr>
                    <w:t>天</w:t>
                  </w:r>
                </w:p>
              </w:tc>
              <w:tc>
                <w:tcPr>
                  <w:tcW w:w="715" w:type="dxa"/>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50" w:type="dxa"/>
                  <w:vMerge w:val="continue"/>
                  <w:vAlign w:val="center"/>
                </w:tcPr>
                <w:p>
                  <w:pPr>
                    <w:spacing w:line="240" w:lineRule="auto"/>
                    <w:jc w:val="center"/>
                    <w:rPr>
                      <w:rFonts w:hint="eastAsia" w:asciiTheme="minorEastAsia" w:hAnsiTheme="minorEastAsia" w:eastAsiaTheme="minorEastAsia" w:cstheme="minorEastAsia"/>
                      <w:sz w:val="21"/>
                      <w:szCs w:val="21"/>
                      <w:lang w:val="en-US" w:eastAsia="zh-CN"/>
                    </w:rPr>
                  </w:pPr>
                </w:p>
              </w:tc>
              <w:tc>
                <w:tcPr>
                  <w:tcW w:w="1359" w:type="dxa"/>
                  <w:vMerge w:val="continue"/>
                  <w:vAlign w:val="center"/>
                </w:tcPr>
                <w:p>
                  <w:pPr>
                    <w:spacing w:line="240" w:lineRule="auto"/>
                    <w:jc w:val="center"/>
                    <w:rPr>
                      <w:rFonts w:hint="eastAsia" w:asciiTheme="minorEastAsia" w:hAnsiTheme="minorEastAsia" w:eastAsiaTheme="minorEastAsia" w:cstheme="minorEastAsia"/>
                      <w:sz w:val="21"/>
                      <w:szCs w:val="21"/>
                      <w:lang w:val="en-US" w:eastAsia="zh-CN"/>
                    </w:rPr>
                  </w:pPr>
                </w:p>
              </w:tc>
              <w:tc>
                <w:tcPr>
                  <w:tcW w:w="1816" w:type="dxa"/>
                  <w:vAlign w:val="center"/>
                </w:tcPr>
                <w:p>
                  <w:pPr>
                    <w:spacing w:line="240" w:lineRule="auto"/>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sz w:val="21"/>
                      <w:szCs w:val="21"/>
                    </w:rPr>
                    <w:t>喷漆工序废气处理设施出口</w:t>
                  </w:r>
                </w:p>
              </w:tc>
              <w:tc>
                <w:tcPr>
                  <w:tcW w:w="2171" w:type="dxa"/>
                  <w:vAlign w:val="center"/>
                </w:tcPr>
                <w:p>
                  <w:pPr>
                    <w:spacing w:line="240" w:lineRule="auto"/>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废气量，颗粒物</w:t>
                  </w:r>
                  <w:r>
                    <w:rPr>
                      <w:rFonts w:hint="eastAsia" w:ascii="Times New Roman" w:hAnsi="Times New Roman" w:eastAsia="宋体" w:cs="Times New Roman"/>
                      <w:kern w:val="0"/>
                      <w:sz w:val="21"/>
                      <w:szCs w:val="21"/>
                      <w:lang w:val="en-US" w:eastAsia="zh-CN"/>
                    </w:rPr>
                    <w:t>、</w:t>
                  </w:r>
                  <w:r>
                    <w:rPr>
                      <w:rFonts w:hint="default" w:ascii="Times New Roman" w:hAnsi="Times New Roman" w:eastAsia="宋体" w:cs="Times New Roman"/>
                      <w:kern w:val="0"/>
                      <w:sz w:val="21"/>
                      <w:szCs w:val="21"/>
                      <w:lang w:val="en-US" w:eastAsia="zh-CN"/>
                    </w:rPr>
                    <w:t>非甲烷总烃、甲苯、二甲苯排放浓度及排放速率</w:t>
                  </w:r>
                </w:p>
              </w:tc>
              <w:tc>
                <w:tcPr>
                  <w:tcW w:w="1709" w:type="dxa"/>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连续检测2天</w:t>
                  </w:r>
                  <w:r>
                    <w:rPr>
                      <w:rFonts w:hint="default" w:asciiTheme="minorEastAsia" w:hAnsiTheme="minorEastAsia" w:eastAsiaTheme="minorEastAsia" w:cstheme="minorEastAsia"/>
                      <w:sz w:val="21"/>
                      <w:szCs w:val="21"/>
                      <w:lang w:val="en-US" w:eastAsia="zh-CN"/>
                    </w:rPr>
                    <w:t>，3次/</w:t>
                  </w:r>
                  <w:r>
                    <w:rPr>
                      <w:rFonts w:hint="eastAsia" w:asciiTheme="minorEastAsia" w:hAnsiTheme="minorEastAsia" w:eastAsiaTheme="minorEastAsia" w:cstheme="minorEastAsia"/>
                      <w:sz w:val="21"/>
                      <w:szCs w:val="21"/>
                      <w:lang w:val="en-US" w:eastAsia="zh-CN"/>
                    </w:rPr>
                    <w:t>天</w:t>
                  </w:r>
                </w:p>
              </w:tc>
              <w:tc>
                <w:tcPr>
                  <w:tcW w:w="715" w:type="dxa"/>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50" w:type="dxa"/>
                  <w:vMerge w:val="continue"/>
                  <w:vAlign w:val="center"/>
                </w:tcPr>
                <w:p>
                  <w:pPr>
                    <w:spacing w:line="240" w:lineRule="auto"/>
                    <w:jc w:val="center"/>
                    <w:rPr>
                      <w:rFonts w:hint="eastAsia" w:asciiTheme="minorEastAsia" w:hAnsiTheme="minorEastAsia" w:eastAsiaTheme="minorEastAsia" w:cstheme="minorEastAsia"/>
                      <w:sz w:val="21"/>
                      <w:szCs w:val="21"/>
                      <w:lang w:val="en-US" w:eastAsia="zh-CN"/>
                    </w:rPr>
                  </w:pPr>
                </w:p>
              </w:tc>
              <w:tc>
                <w:tcPr>
                  <w:tcW w:w="1359" w:type="dxa"/>
                  <w:vMerge w:val="continue"/>
                  <w:vAlign w:val="center"/>
                </w:tcPr>
                <w:p>
                  <w:pPr>
                    <w:spacing w:line="240" w:lineRule="auto"/>
                    <w:jc w:val="center"/>
                    <w:rPr>
                      <w:rFonts w:hint="default" w:asciiTheme="minorEastAsia" w:hAnsiTheme="minorEastAsia" w:eastAsiaTheme="minorEastAsia" w:cstheme="minorEastAsia"/>
                      <w:sz w:val="21"/>
                      <w:szCs w:val="21"/>
                      <w:lang w:val="en-US" w:eastAsia="zh-CN"/>
                    </w:rPr>
                  </w:pPr>
                </w:p>
              </w:tc>
              <w:tc>
                <w:tcPr>
                  <w:tcW w:w="1816" w:type="dxa"/>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eastAsia" w:ascii="Times New Roman" w:hAnsi="Times New Roman" w:eastAsia="宋体" w:cs="Times New Roman"/>
                      <w:sz w:val="21"/>
                      <w:szCs w:val="21"/>
                      <w:lang w:val="en-US" w:eastAsia="zh-CN"/>
                    </w:rPr>
                    <w:t>排气筒总排口</w:t>
                  </w:r>
                </w:p>
              </w:tc>
              <w:tc>
                <w:tcPr>
                  <w:tcW w:w="2171" w:type="dxa"/>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default" w:ascii="Times New Roman" w:hAnsi="Times New Roman" w:eastAsia="宋体" w:cs="Times New Roman"/>
                      <w:kern w:val="0"/>
                      <w:sz w:val="21"/>
                      <w:szCs w:val="21"/>
                      <w:lang w:val="en-US" w:eastAsia="zh-CN"/>
                    </w:rPr>
                    <w:t>废气量，颗粒物、甲苯、二甲苯、非甲烷总烃排放浓度及排放速率</w:t>
                  </w:r>
                </w:p>
              </w:tc>
              <w:tc>
                <w:tcPr>
                  <w:tcW w:w="1709" w:type="dxa"/>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连续检测2天</w:t>
                  </w:r>
                  <w:r>
                    <w:rPr>
                      <w:rFonts w:hint="default" w:asciiTheme="minorEastAsia" w:hAnsiTheme="minorEastAsia" w:eastAsiaTheme="minorEastAsia" w:cstheme="minorEastAsia"/>
                      <w:sz w:val="21"/>
                      <w:szCs w:val="21"/>
                      <w:lang w:val="en-US" w:eastAsia="zh-CN"/>
                    </w:rPr>
                    <w:t>，3次/</w:t>
                  </w:r>
                  <w:r>
                    <w:rPr>
                      <w:rFonts w:hint="eastAsia" w:asciiTheme="minorEastAsia" w:hAnsiTheme="minorEastAsia" w:eastAsiaTheme="minorEastAsia" w:cstheme="minorEastAsia"/>
                      <w:sz w:val="21"/>
                      <w:szCs w:val="21"/>
                      <w:lang w:val="en-US" w:eastAsia="zh-CN"/>
                    </w:rPr>
                    <w:t>天</w:t>
                  </w:r>
                </w:p>
              </w:tc>
              <w:tc>
                <w:tcPr>
                  <w:tcW w:w="715" w:type="dxa"/>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50" w:type="dxa"/>
                  <w:vAlign w:val="center"/>
                </w:tcPr>
                <w:p>
                  <w:pPr>
                    <w:spacing w:line="240" w:lineRule="auto"/>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2</w:t>
                  </w:r>
                </w:p>
              </w:tc>
              <w:tc>
                <w:tcPr>
                  <w:tcW w:w="1359" w:type="dxa"/>
                  <w:vAlign w:val="center"/>
                </w:tcPr>
                <w:p>
                  <w:pPr>
                    <w:spacing w:line="240" w:lineRule="auto"/>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无</w:t>
                  </w:r>
                  <w:r>
                    <w:rPr>
                      <w:rFonts w:hint="eastAsia" w:asciiTheme="minorEastAsia" w:hAnsiTheme="minorEastAsia" w:eastAsiaTheme="minorEastAsia" w:cstheme="minorEastAsia"/>
                      <w:sz w:val="21"/>
                      <w:szCs w:val="21"/>
                    </w:rPr>
                    <w:t>组织排放</w:t>
                  </w:r>
                  <w:r>
                    <w:rPr>
                      <w:rFonts w:hint="eastAsia" w:asciiTheme="minorEastAsia" w:hAnsiTheme="minorEastAsia" w:eastAsiaTheme="minorEastAsia" w:cstheme="minorEastAsia"/>
                      <w:sz w:val="21"/>
                      <w:szCs w:val="21"/>
                      <w:lang w:eastAsia="zh-CN"/>
                    </w:rPr>
                    <w:t>废气</w:t>
                  </w:r>
                </w:p>
              </w:tc>
              <w:tc>
                <w:tcPr>
                  <w:tcW w:w="1816" w:type="dxa"/>
                  <w:vAlign w:val="center"/>
                </w:tcPr>
                <w:p>
                  <w:pPr>
                    <w:spacing w:line="240" w:lineRule="auto"/>
                    <w:jc w:val="both"/>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上风向</w:t>
                  </w: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lang w:eastAsia="zh-CN"/>
                    </w:rPr>
                    <w:t>下风向</w:t>
                  </w: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lang w:eastAsia="zh-CN"/>
                    </w:rPr>
                    <w:t>下风向</w:t>
                  </w: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lang w:eastAsia="zh-CN"/>
                    </w:rPr>
                    <w:t>下风向</w:t>
                  </w:r>
                  <w:r>
                    <w:rPr>
                      <w:rFonts w:hint="eastAsia" w:asciiTheme="minorEastAsia" w:hAnsiTheme="minorEastAsia" w:eastAsiaTheme="minorEastAsia" w:cstheme="minorEastAsia"/>
                      <w:sz w:val="21"/>
                      <w:szCs w:val="21"/>
                      <w:lang w:val="en-US" w:eastAsia="zh-CN"/>
                    </w:rPr>
                    <w:t>4#</w:t>
                  </w:r>
                </w:p>
              </w:tc>
              <w:tc>
                <w:tcPr>
                  <w:tcW w:w="2171" w:type="dxa"/>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default" w:ascii="Times New Roman" w:hAnsi="Times New Roman" w:eastAsia="宋体" w:cs="Times New Roman"/>
                      <w:kern w:val="0"/>
                      <w:sz w:val="21"/>
                      <w:szCs w:val="21"/>
                      <w:lang w:val="en-US" w:eastAsia="zh-CN"/>
                    </w:rPr>
                    <w:t>甲苯、二甲苯、非甲烷总烃、颗粒物</w:t>
                  </w:r>
                </w:p>
              </w:tc>
              <w:tc>
                <w:tcPr>
                  <w:tcW w:w="1709" w:type="dxa"/>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连续监测2天，</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4</w:t>
                  </w:r>
                  <w:r>
                    <w:rPr>
                      <w:rFonts w:hint="default" w:asciiTheme="minorEastAsia" w:hAnsiTheme="minorEastAsia" w:eastAsiaTheme="minorEastAsia" w:cstheme="minorEastAsia"/>
                      <w:sz w:val="21"/>
                      <w:szCs w:val="21"/>
                      <w:lang w:val="en-US" w:eastAsia="zh-CN"/>
                    </w:rPr>
                    <w:t>次/</w:t>
                  </w:r>
                  <w:r>
                    <w:rPr>
                      <w:rFonts w:hint="eastAsia" w:asciiTheme="minorEastAsia" w:hAnsiTheme="minorEastAsia" w:eastAsiaTheme="minorEastAsia" w:cstheme="minorEastAsia"/>
                      <w:sz w:val="21"/>
                      <w:szCs w:val="21"/>
                      <w:lang w:val="en-US" w:eastAsia="zh-CN"/>
                    </w:rPr>
                    <w:t>天</w:t>
                  </w:r>
                </w:p>
              </w:tc>
              <w:tc>
                <w:tcPr>
                  <w:tcW w:w="715" w:type="dxa"/>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50" w:type="dxa"/>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w:t>
                  </w:r>
                </w:p>
              </w:tc>
              <w:tc>
                <w:tcPr>
                  <w:tcW w:w="1359" w:type="dxa"/>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噪声</w:t>
                  </w:r>
                </w:p>
              </w:tc>
              <w:tc>
                <w:tcPr>
                  <w:tcW w:w="1816" w:type="dxa"/>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厂界东1#▲</w:t>
                  </w:r>
                </w:p>
              </w:tc>
              <w:tc>
                <w:tcPr>
                  <w:tcW w:w="2171" w:type="dxa"/>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噪声</w:t>
                  </w:r>
                </w:p>
              </w:tc>
              <w:tc>
                <w:tcPr>
                  <w:tcW w:w="1709" w:type="dxa"/>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连续监测2天，</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昼夜各监测1次</w:t>
                  </w:r>
                </w:p>
              </w:tc>
              <w:tc>
                <w:tcPr>
                  <w:tcW w:w="715" w:type="dxa"/>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50" w:type="dxa"/>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w:t>
                  </w:r>
                </w:p>
              </w:tc>
              <w:tc>
                <w:tcPr>
                  <w:tcW w:w="1359" w:type="dxa"/>
                  <w:vMerge w:val="continue"/>
                  <w:vAlign w:val="center"/>
                </w:tcPr>
                <w:p>
                  <w:pPr>
                    <w:spacing w:line="240" w:lineRule="auto"/>
                    <w:jc w:val="center"/>
                    <w:rPr>
                      <w:rFonts w:hint="eastAsia" w:asciiTheme="minorEastAsia" w:hAnsiTheme="minorEastAsia" w:eastAsiaTheme="minorEastAsia" w:cstheme="minorEastAsia"/>
                      <w:sz w:val="21"/>
                      <w:szCs w:val="21"/>
                    </w:rPr>
                  </w:pPr>
                </w:p>
              </w:tc>
              <w:tc>
                <w:tcPr>
                  <w:tcW w:w="1816" w:type="dxa"/>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厂界南2#▲</w:t>
                  </w:r>
                </w:p>
              </w:tc>
              <w:tc>
                <w:tcPr>
                  <w:tcW w:w="2171" w:type="dxa"/>
                  <w:vMerge w:val="continue"/>
                  <w:vAlign w:val="center"/>
                </w:tcPr>
                <w:p>
                  <w:pPr>
                    <w:spacing w:line="240" w:lineRule="auto"/>
                    <w:jc w:val="center"/>
                    <w:rPr>
                      <w:rFonts w:hint="eastAsia" w:asciiTheme="minorEastAsia" w:hAnsiTheme="minorEastAsia" w:eastAsiaTheme="minorEastAsia" w:cstheme="minorEastAsia"/>
                      <w:sz w:val="21"/>
                      <w:szCs w:val="21"/>
                    </w:rPr>
                  </w:pPr>
                </w:p>
              </w:tc>
              <w:tc>
                <w:tcPr>
                  <w:tcW w:w="1709" w:type="dxa"/>
                  <w:vMerge w:val="continue"/>
                  <w:vAlign w:val="center"/>
                </w:tcPr>
                <w:p>
                  <w:pPr>
                    <w:spacing w:line="240" w:lineRule="auto"/>
                    <w:jc w:val="center"/>
                    <w:rPr>
                      <w:rFonts w:hint="eastAsia" w:asciiTheme="minorEastAsia" w:hAnsiTheme="minorEastAsia" w:eastAsiaTheme="minorEastAsia" w:cstheme="minorEastAsia"/>
                      <w:sz w:val="21"/>
                      <w:szCs w:val="21"/>
                    </w:rPr>
                  </w:pPr>
                </w:p>
              </w:tc>
              <w:tc>
                <w:tcPr>
                  <w:tcW w:w="715" w:type="dxa"/>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50" w:type="dxa"/>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w:t>
                  </w:r>
                </w:p>
              </w:tc>
              <w:tc>
                <w:tcPr>
                  <w:tcW w:w="1359" w:type="dxa"/>
                  <w:vMerge w:val="continue"/>
                  <w:vAlign w:val="center"/>
                </w:tcPr>
                <w:p>
                  <w:pPr>
                    <w:spacing w:line="240" w:lineRule="auto"/>
                    <w:jc w:val="center"/>
                    <w:rPr>
                      <w:rFonts w:hint="eastAsia" w:asciiTheme="minorEastAsia" w:hAnsiTheme="minorEastAsia" w:eastAsiaTheme="minorEastAsia" w:cstheme="minorEastAsia"/>
                      <w:sz w:val="21"/>
                      <w:szCs w:val="21"/>
                    </w:rPr>
                  </w:pPr>
                </w:p>
              </w:tc>
              <w:tc>
                <w:tcPr>
                  <w:tcW w:w="1816" w:type="dxa"/>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厂界西3#▲</w:t>
                  </w:r>
                </w:p>
              </w:tc>
              <w:tc>
                <w:tcPr>
                  <w:tcW w:w="2171" w:type="dxa"/>
                  <w:vMerge w:val="continue"/>
                  <w:vAlign w:val="center"/>
                </w:tcPr>
                <w:p>
                  <w:pPr>
                    <w:spacing w:line="240" w:lineRule="auto"/>
                    <w:jc w:val="center"/>
                    <w:rPr>
                      <w:rFonts w:hint="eastAsia" w:asciiTheme="minorEastAsia" w:hAnsiTheme="minorEastAsia" w:eastAsiaTheme="minorEastAsia" w:cstheme="minorEastAsia"/>
                      <w:sz w:val="21"/>
                      <w:szCs w:val="21"/>
                    </w:rPr>
                  </w:pPr>
                </w:p>
              </w:tc>
              <w:tc>
                <w:tcPr>
                  <w:tcW w:w="1709" w:type="dxa"/>
                  <w:vMerge w:val="continue"/>
                  <w:vAlign w:val="center"/>
                </w:tcPr>
                <w:p>
                  <w:pPr>
                    <w:spacing w:line="240" w:lineRule="auto"/>
                    <w:jc w:val="center"/>
                    <w:rPr>
                      <w:rFonts w:hint="eastAsia" w:asciiTheme="minorEastAsia" w:hAnsiTheme="minorEastAsia" w:eastAsiaTheme="minorEastAsia" w:cstheme="minorEastAsia"/>
                      <w:sz w:val="21"/>
                      <w:szCs w:val="21"/>
                    </w:rPr>
                  </w:pPr>
                </w:p>
              </w:tc>
              <w:tc>
                <w:tcPr>
                  <w:tcW w:w="715" w:type="dxa"/>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50" w:type="dxa"/>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w:t>
                  </w:r>
                </w:p>
              </w:tc>
              <w:tc>
                <w:tcPr>
                  <w:tcW w:w="1359" w:type="dxa"/>
                  <w:vMerge w:val="continue"/>
                  <w:vAlign w:val="center"/>
                </w:tcPr>
                <w:p>
                  <w:pPr>
                    <w:spacing w:line="240" w:lineRule="auto"/>
                    <w:jc w:val="center"/>
                    <w:rPr>
                      <w:rFonts w:hint="eastAsia" w:asciiTheme="minorEastAsia" w:hAnsiTheme="minorEastAsia" w:eastAsiaTheme="minorEastAsia" w:cstheme="minorEastAsia"/>
                      <w:sz w:val="21"/>
                      <w:szCs w:val="21"/>
                    </w:rPr>
                  </w:pPr>
                </w:p>
              </w:tc>
              <w:tc>
                <w:tcPr>
                  <w:tcW w:w="1816" w:type="dxa"/>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厂界北4#▲</w:t>
                  </w:r>
                </w:p>
              </w:tc>
              <w:tc>
                <w:tcPr>
                  <w:tcW w:w="2171" w:type="dxa"/>
                  <w:vMerge w:val="continue"/>
                  <w:vAlign w:val="center"/>
                </w:tcPr>
                <w:p>
                  <w:pPr>
                    <w:spacing w:line="240" w:lineRule="auto"/>
                    <w:jc w:val="center"/>
                    <w:rPr>
                      <w:rFonts w:hint="eastAsia" w:asciiTheme="minorEastAsia" w:hAnsiTheme="minorEastAsia" w:eastAsiaTheme="minorEastAsia" w:cstheme="minorEastAsia"/>
                      <w:sz w:val="21"/>
                      <w:szCs w:val="21"/>
                    </w:rPr>
                  </w:pPr>
                </w:p>
              </w:tc>
              <w:tc>
                <w:tcPr>
                  <w:tcW w:w="1709" w:type="dxa"/>
                  <w:vMerge w:val="continue"/>
                  <w:vAlign w:val="center"/>
                </w:tcPr>
                <w:p>
                  <w:pPr>
                    <w:spacing w:line="240" w:lineRule="auto"/>
                    <w:jc w:val="center"/>
                    <w:rPr>
                      <w:rFonts w:hint="eastAsia" w:asciiTheme="minorEastAsia" w:hAnsiTheme="minorEastAsia" w:eastAsiaTheme="minorEastAsia" w:cstheme="minorEastAsia"/>
                      <w:sz w:val="21"/>
                      <w:szCs w:val="21"/>
                    </w:rPr>
                  </w:pPr>
                </w:p>
              </w:tc>
              <w:tc>
                <w:tcPr>
                  <w:tcW w:w="715" w:type="dxa"/>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w:t>
                  </w:r>
                </w:p>
              </w:tc>
            </w:tr>
          </w:tbl>
          <w:p>
            <w:pPr>
              <w:pStyle w:val="4"/>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2"/>
              <w:rPr>
                <w:rFonts w:hint="eastAsia" w:asciiTheme="minorEastAsia" w:hAnsiTheme="minorEastAsia" w:eastAsiaTheme="minorEastAsia" w:cstheme="minorEastAsia"/>
                <w:b w:val="0"/>
                <w:bCs w:val="0"/>
                <w:sz w:val="24"/>
                <w:szCs w:val="24"/>
              </w:rPr>
            </w:pPr>
            <w:bookmarkStart w:id="21" w:name="_Toc31073"/>
            <w:r>
              <w:rPr>
                <w:rFonts w:hint="eastAsia" w:asciiTheme="minorEastAsia" w:hAnsiTheme="minorEastAsia" w:eastAsiaTheme="minorEastAsia" w:cstheme="minorEastAsia"/>
                <w:b w:val="0"/>
                <w:bCs w:val="0"/>
                <w:sz w:val="24"/>
                <w:szCs w:val="24"/>
                <w:lang w:val="en-US" w:eastAsia="zh-CN"/>
              </w:rPr>
              <w:t>3、监测分析方法</w:t>
            </w:r>
            <w:bookmarkEnd w:id="20"/>
            <w:bookmarkEnd w:id="21"/>
          </w:p>
          <w:p>
            <w:pPr>
              <w:pStyle w:val="5"/>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center"/>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表</w:t>
            </w:r>
            <w:r>
              <w:rPr>
                <w:rFonts w:hint="eastAsia" w:asciiTheme="minorEastAsia" w:hAnsiTheme="minorEastAsia" w:eastAsiaTheme="minorEastAsia" w:cstheme="minorEastAsia"/>
                <w:sz w:val="24"/>
                <w:szCs w:val="24"/>
                <w:lang w:val="en-US" w:eastAsia="zh-CN"/>
              </w:rPr>
              <w:t xml:space="preserve">5-2  </w:t>
            </w:r>
            <w:r>
              <w:rPr>
                <w:rFonts w:hint="eastAsia" w:asciiTheme="minorEastAsia" w:hAnsiTheme="minorEastAsia" w:eastAsiaTheme="minorEastAsia" w:cstheme="minorEastAsia"/>
                <w:sz w:val="24"/>
                <w:szCs w:val="24"/>
              </w:rPr>
              <w:t>监测依据及仪器信息表</w:t>
            </w:r>
          </w:p>
          <w:tbl>
            <w:tblPr>
              <w:tblStyle w:val="12"/>
              <w:tblW w:w="859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689"/>
              <w:gridCol w:w="1491"/>
              <w:gridCol w:w="3446"/>
              <w:gridCol w:w="197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77" w:hRule="atLeast"/>
                <w:jc w:val="center"/>
              </w:trPr>
              <w:tc>
                <w:tcPr>
                  <w:tcW w:w="1689" w:type="dxa"/>
                  <w:tcBorders>
                    <w:tl2br w:val="nil"/>
                    <w:tr2bl w:val="nil"/>
                  </w:tcBorders>
                  <w:noWrap w:val="0"/>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检测类别</w:t>
                  </w:r>
                </w:p>
              </w:tc>
              <w:tc>
                <w:tcPr>
                  <w:tcW w:w="1491" w:type="dxa"/>
                  <w:tcBorders>
                    <w:tl2br w:val="nil"/>
                    <w:tr2bl w:val="nil"/>
                  </w:tcBorders>
                  <w:noWrap w:val="0"/>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检测项目</w:t>
                  </w:r>
                </w:p>
              </w:tc>
              <w:tc>
                <w:tcPr>
                  <w:tcW w:w="3446" w:type="dxa"/>
                  <w:tcBorders>
                    <w:tl2br w:val="nil"/>
                    <w:tr2bl w:val="nil"/>
                  </w:tcBorders>
                  <w:noWrap w:val="0"/>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检测标准（方法）</w:t>
                  </w:r>
                </w:p>
              </w:tc>
              <w:tc>
                <w:tcPr>
                  <w:tcW w:w="1972" w:type="dxa"/>
                  <w:tcBorders>
                    <w:tl2br w:val="nil"/>
                    <w:tr2bl w:val="nil"/>
                  </w:tcBorders>
                  <w:noWrap w:val="0"/>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检测仪器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32" w:hRule="atLeast"/>
                <w:jc w:val="center"/>
              </w:trPr>
              <w:tc>
                <w:tcPr>
                  <w:tcW w:w="1689" w:type="dxa"/>
                  <w:vMerge w:val="restart"/>
                  <w:tcBorders>
                    <w:tl2br w:val="nil"/>
                    <w:tr2bl w:val="nil"/>
                  </w:tcBorders>
                  <w:noWrap w:val="0"/>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废气</w:t>
                  </w:r>
                </w:p>
              </w:tc>
              <w:tc>
                <w:tcPr>
                  <w:tcW w:w="1491" w:type="dxa"/>
                  <w:tcBorders>
                    <w:tl2br w:val="nil"/>
                    <w:tr2bl w:val="nil"/>
                  </w:tcBorders>
                  <w:noWrap w:val="0"/>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非甲烷总烃（有组织）</w:t>
                  </w:r>
                </w:p>
              </w:tc>
              <w:tc>
                <w:tcPr>
                  <w:tcW w:w="3446" w:type="dxa"/>
                  <w:tcBorders>
                    <w:tl2br w:val="nil"/>
                    <w:tr2bl w:val="nil"/>
                  </w:tcBorders>
                  <w:noWrap w:val="0"/>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固定污染源排气总烃、甲烷和非甲烷总烃的测定 气相色谱法 HJ38-2017</w:t>
                  </w:r>
                </w:p>
              </w:tc>
              <w:tc>
                <w:tcPr>
                  <w:tcW w:w="1972" w:type="dxa"/>
                  <w:tcBorders>
                    <w:tl2br w:val="nil"/>
                    <w:tr2bl w:val="nil"/>
                  </w:tcBorders>
                  <w:noWrap w:val="0"/>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气相色谱仪GC9790Ⅱ</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32" w:hRule="atLeast"/>
                <w:jc w:val="center"/>
              </w:trPr>
              <w:tc>
                <w:tcPr>
                  <w:tcW w:w="1689" w:type="dxa"/>
                  <w:vMerge w:val="continue"/>
                  <w:tcBorders>
                    <w:tl2br w:val="nil"/>
                    <w:tr2bl w:val="nil"/>
                  </w:tcBorders>
                  <w:noWrap w:val="0"/>
                  <w:vAlign w:val="center"/>
                </w:tcPr>
                <w:p>
                  <w:pPr>
                    <w:spacing w:line="240" w:lineRule="auto"/>
                    <w:jc w:val="center"/>
                    <w:rPr>
                      <w:rFonts w:hint="eastAsia" w:ascii="宋体" w:hAnsi="宋体" w:eastAsia="宋体" w:cs="宋体"/>
                      <w:sz w:val="21"/>
                      <w:szCs w:val="21"/>
                      <w:lang w:val="en-US" w:eastAsia="zh-CN"/>
                    </w:rPr>
                  </w:pPr>
                </w:p>
              </w:tc>
              <w:tc>
                <w:tcPr>
                  <w:tcW w:w="1491" w:type="dxa"/>
                  <w:tcBorders>
                    <w:tl2br w:val="nil"/>
                    <w:tr2bl w:val="nil"/>
                  </w:tcBorders>
                  <w:noWrap w:val="0"/>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颗粒物（有组织）</w:t>
                  </w:r>
                </w:p>
              </w:tc>
              <w:tc>
                <w:tcPr>
                  <w:tcW w:w="3446" w:type="dxa"/>
                  <w:tcBorders>
                    <w:tl2br w:val="nil"/>
                    <w:tr2bl w:val="nil"/>
                  </w:tcBorders>
                  <w:noWrap w:val="0"/>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color w:val="auto"/>
                      <w:sz w:val="21"/>
                      <w:szCs w:val="21"/>
                    </w:rPr>
                    <w:t>固定污染</w:t>
                  </w:r>
                  <w:r>
                    <w:rPr>
                      <w:rFonts w:hint="eastAsia" w:ascii="宋体" w:hAnsi="宋体" w:eastAsia="宋体" w:cs="宋体"/>
                      <w:color w:val="auto"/>
                      <w:sz w:val="21"/>
                      <w:szCs w:val="21"/>
                      <w:lang w:val="en-US" w:eastAsia="zh-CN"/>
                    </w:rPr>
                    <w:t>源废气 低浓度颗粒物的测定 重量法HJ836</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2017</w:t>
                  </w:r>
                </w:p>
              </w:tc>
              <w:tc>
                <w:tcPr>
                  <w:tcW w:w="1972" w:type="dxa"/>
                  <w:tcBorders>
                    <w:tl2br w:val="nil"/>
                    <w:tr2bl w:val="nil"/>
                  </w:tcBorders>
                  <w:noWrap w:val="0"/>
                  <w:vAlign w:val="center"/>
                </w:tcPr>
                <w:p>
                  <w:pPr>
                    <w:keepNext w:val="0"/>
                    <w:keepLines w:val="0"/>
                    <w:widowControl/>
                    <w:suppressLineNumbers w:val="0"/>
                    <w:spacing w:line="240" w:lineRule="auto"/>
                    <w:jc w:val="center"/>
                    <w:textAlignment w:val="center"/>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分析天平</w:t>
                  </w:r>
                </w:p>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i w:val="0"/>
                      <w:color w:val="auto"/>
                      <w:kern w:val="0"/>
                      <w:sz w:val="21"/>
                      <w:szCs w:val="21"/>
                      <w:u w:val="none"/>
                      <w:lang w:val="en-US" w:eastAsia="zh-CN" w:bidi="ar"/>
                    </w:rPr>
                    <w:t>AUW120D</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32" w:hRule="atLeast"/>
                <w:jc w:val="center"/>
              </w:trPr>
              <w:tc>
                <w:tcPr>
                  <w:tcW w:w="1689" w:type="dxa"/>
                  <w:vMerge w:val="continue"/>
                  <w:tcBorders>
                    <w:tl2br w:val="nil"/>
                    <w:tr2bl w:val="nil"/>
                  </w:tcBorders>
                  <w:noWrap w:val="0"/>
                  <w:vAlign w:val="center"/>
                </w:tcPr>
                <w:p>
                  <w:pPr>
                    <w:spacing w:line="240" w:lineRule="auto"/>
                    <w:jc w:val="center"/>
                    <w:rPr>
                      <w:rFonts w:hint="eastAsia" w:ascii="宋体" w:hAnsi="宋体" w:eastAsia="宋体" w:cs="宋体"/>
                      <w:sz w:val="21"/>
                      <w:szCs w:val="21"/>
                      <w:lang w:val="en-US" w:eastAsia="zh-CN"/>
                    </w:rPr>
                  </w:pPr>
                </w:p>
              </w:tc>
              <w:tc>
                <w:tcPr>
                  <w:tcW w:w="1491" w:type="dxa"/>
                  <w:tcBorders>
                    <w:tl2br w:val="nil"/>
                    <w:tr2bl w:val="nil"/>
                  </w:tcBorders>
                  <w:noWrap w:val="0"/>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rPr>
                    <w:t>甲苯、二甲苯</w:t>
                  </w:r>
                </w:p>
              </w:tc>
              <w:tc>
                <w:tcPr>
                  <w:tcW w:w="3446" w:type="dxa"/>
                  <w:tcBorders>
                    <w:tl2br w:val="nil"/>
                    <w:tr2bl w:val="nil"/>
                  </w:tcBorders>
                  <w:noWrap w:val="0"/>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napToGrid w:val="0"/>
                      <w:kern w:val="0"/>
                      <w:sz w:val="21"/>
                      <w:szCs w:val="21"/>
                      <w:lang w:eastAsia="zh-CN"/>
                    </w:rPr>
                    <w:t>环境空气 苯系物的测定 活性炭吸附/二硫化碳解吸-气相色谱法HJ584-2010</w:t>
                  </w:r>
                </w:p>
              </w:tc>
              <w:tc>
                <w:tcPr>
                  <w:tcW w:w="1972" w:type="dxa"/>
                  <w:tcBorders>
                    <w:tl2br w:val="nil"/>
                    <w:tr2bl w:val="nil"/>
                  </w:tcBorders>
                  <w:noWrap w:val="0"/>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color w:val="auto"/>
                      <w:kern w:val="0"/>
                      <w:sz w:val="21"/>
                      <w:szCs w:val="21"/>
                    </w:rPr>
                    <w:t>气相色谱仪GC79</w:t>
                  </w:r>
                  <w:r>
                    <w:rPr>
                      <w:rFonts w:hint="eastAsia" w:ascii="宋体" w:hAnsi="宋体" w:eastAsia="宋体" w:cs="宋体"/>
                      <w:color w:val="auto"/>
                      <w:kern w:val="0"/>
                      <w:sz w:val="21"/>
                      <w:szCs w:val="21"/>
                      <w:lang w:val="en-US" w:eastAsia="zh-CN"/>
                    </w:rPr>
                    <w:t>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48" w:hRule="atLeast"/>
                <w:jc w:val="center"/>
              </w:trPr>
              <w:tc>
                <w:tcPr>
                  <w:tcW w:w="1689" w:type="dxa"/>
                  <w:vMerge w:val="continue"/>
                  <w:tcBorders>
                    <w:tl2br w:val="nil"/>
                    <w:tr2bl w:val="nil"/>
                  </w:tcBorders>
                  <w:noWrap w:val="0"/>
                  <w:vAlign w:val="center"/>
                </w:tcPr>
                <w:p>
                  <w:pPr>
                    <w:spacing w:line="240" w:lineRule="auto"/>
                    <w:jc w:val="center"/>
                    <w:rPr>
                      <w:rFonts w:hint="eastAsia" w:ascii="宋体" w:hAnsi="宋体" w:eastAsia="宋体" w:cs="宋体"/>
                      <w:sz w:val="21"/>
                      <w:szCs w:val="21"/>
                      <w:lang w:val="en-US" w:eastAsia="zh-CN"/>
                    </w:rPr>
                  </w:pPr>
                </w:p>
              </w:tc>
              <w:tc>
                <w:tcPr>
                  <w:tcW w:w="1491" w:type="dxa"/>
                  <w:tcBorders>
                    <w:tl2br w:val="nil"/>
                    <w:tr2bl w:val="nil"/>
                  </w:tcBorders>
                  <w:noWrap w:val="0"/>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颗粒物（有组织）</w:t>
                  </w:r>
                </w:p>
              </w:tc>
              <w:tc>
                <w:tcPr>
                  <w:tcW w:w="3446" w:type="dxa"/>
                  <w:tcBorders>
                    <w:tl2br w:val="nil"/>
                    <w:tr2bl w:val="nil"/>
                  </w:tcBorders>
                  <w:noWrap w:val="0"/>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napToGrid w:val="0"/>
                      <w:color w:val="auto"/>
                      <w:kern w:val="0"/>
                      <w:sz w:val="21"/>
                      <w:szCs w:val="21"/>
                      <w:lang w:val="en-US" w:eastAsia="zh-CN" w:bidi="ar-SA"/>
                    </w:rPr>
                    <w:t>固定污染源废气 低浓度颗粒物的测定 重量法</w:t>
                  </w:r>
                  <w:r>
                    <w:rPr>
                      <w:rFonts w:hint="eastAsia" w:ascii="宋体" w:hAnsi="宋体" w:eastAsia="宋体" w:cs="宋体"/>
                      <w:sz w:val="21"/>
                      <w:szCs w:val="21"/>
                      <w:lang w:val="en-US" w:eastAsia="zh-CN"/>
                    </w:rPr>
                    <w:t xml:space="preserve"> </w:t>
                  </w:r>
                  <w:r>
                    <w:rPr>
                      <w:rFonts w:hint="eastAsia" w:ascii="宋体" w:hAnsi="宋体" w:eastAsia="宋体" w:cs="宋体"/>
                      <w:snapToGrid w:val="0"/>
                      <w:color w:val="auto"/>
                      <w:kern w:val="0"/>
                      <w:sz w:val="21"/>
                      <w:szCs w:val="21"/>
                      <w:lang w:val="en-US" w:eastAsia="zh-CN" w:bidi="ar-SA"/>
                    </w:rPr>
                    <w:t>HJ836-2017</w:t>
                  </w:r>
                </w:p>
              </w:tc>
              <w:tc>
                <w:tcPr>
                  <w:tcW w:w="1972" w:type="dxa"/>
                  <w:tcBorders>
                    <w:tl2br w:val="nil"/>
                    <w:tr2bl w:val="nil"/>
                  </w:tcBorders>
                  <w:noWrap w:val="0"/>
                  <w:vAlign w:val="center"/>
                </w:tcPr>
                <w:p>
                  <w:pPr>
                    <w:widowControl/>
                    <w:spacing w:line="240" w:lineRule="auto"/>
                    <w:jc w:val="center"/>
                    <w:textAlignment w:val="center"/>
                    <w:rPr>
                      <w:rFonts w:hint="eastAsia" w:ascii="宋体" w:hAnsi="宋体" w:eastAsia="宋体" w:cs="宋体"/>
                      <w:sz w:val="21"/>
                      <w:szCs w:val="21"/>
                      <w:lang w:val="en-US" w:eastAsia="zh-CN"/>
                    </w:rPr>
                  </w:pPr>
                  <w:r>
                    <w:rPr>
                      <w:rFonts w:hint="eastAsia" w:ascii="宋体" w:hAnsi="宋体" w:eastAsia="宋体" w:cs="宋体"/>
                      <w:color w:val="auto"/>
                      <w:kern w:val="2"/>
                      <w:sz w:val="21"/>
                      <w:szCs w:val="21"/>
                      <w:lang w:val="en-US" w:eastAsia="zh-CN" w:bidi="ar-SA"/>
                    </w:rPr>
                    <w:t>分析天平AUW120D</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48" w:hRule="atLeast"/>
                <w:jc w:val="center"/>
              </w:trPr>
              <w:tc>
                <w:tcPr>
                  <w:tcW w:w="1689" w:type="dxa"/>
                  <w:vMerge w:val="continue"/>
                  <w:tcBorders>
                    <w:tl2br w:val="nil"/>
                    <w:tr2bl w:val="nil"/>
                  </w:tcBorders>
                  <w:noWrap w:val="0"/>
                  <w:vAlign w:val="center"/>
                </w:tcPr>
                <w:p>
                  <w:pPr>
                    <w:spacing w:line="240" w:lineRule="auto"/>
                    <w:jc w:val="center"/>
                    <w:rPr>
                      <w:rFonts w:hint="eastAsia" w:ascii="宋体" w:hAnsi="宋体" w:eastAsia="宋体" w:cs="宋体"/>
                      <w:sz w:val="21"/>
                      <w:szCs w:val="21"/>
                      <w:lang w:val="en-US" w:eastAsia="zh-CN"/>
                    </w:rPr>
                  </w:pPr>
                </w:p>
              </w:tc>
              <w:tc>
                <w:tcPr>
                  <w:tcW w:w="1491" w:type="dxa"/>
                  <w:tcBorders>
                    <w:tl2br w:val="nil"/>
                    <w:tr2bl w:val="nil"/>
                  </w:tcBorders>
                  <w:noWrap w:val="0"/>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color w:val="auto"/>
                      <w:kern w:val="0"/>
                      <w:sz w:val="21"/>
                      <w:szCs w:val="21"/>
                      <w:lang w:val="en-US" w:eastAsia="zh-CN"/>
                    </w:rPr>
                    <w:t>总悬浮颗粒物</w:t>
                  </w:r>
                </w:p>
              </w:tc>
              <w:tc>
                <w:tcPr>
                  <w:tcW w:w="3446" w:type="dxa"/>
                  <w:tcBorders>
                    <w:tl2br w:val="nil"/>
                    <w:tr2bl w:val="nil"/>
                  </w:tcBorders>
                  <w:noWrap w:val="0"/>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napToGrid w:val="0"/>
                      <w:color w:val="auto"/>
                      <w:kern w:val="0"/>
                      <w:sz w:val="21"/>
                      <w:szCs w:val="21"/>
                      <w:lang w:val="en-US" w:eastAsia="zh-CN" w:bidi="ar-SA"/>
                    </w:rPr>
                    <w:t>环境空气 总悬浮颗粒物的测定 重量法GB/T15432-1995及修改单</w:t>
                  </w:r>
                </w:p>
              </w:tc>
              <w:tc>
                <w:tcPr>
                  <w:tcW w:w="1972" w:type="dxa"/>
                  <w:tcBorders>
                    <w:tl2br w:val="nil"/>
                    <w:tr2bl w:val="nil"/>
                  </w:tcBorders>
                  <w:noWrap w:val="0"/>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分析天平FA2004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48" w:hRule="atLeast"/>
                <w:jc w:val="center"/>
              </w:trPr>
              <w:tc>
                <w:tcPr>
                  <w:tcW w:w="1689" w:type="dxa"/>
                  <w:vMerge w:val="continue"/>
                  <w:tcBorders>
                    <w:tl2br w:val="nil"/>
                    <w:tr2bl w:val="nil"/>
                  </w:tcBorders>
                  <w:noWrap w:val="0"/>
                  <w:vAlign w:val="center"/>
                </w:tcPr>
                <w:p>
                  <w:pPr>
                    <w:spacing w:line="240" w:lineRule="auto"/>
                    <w:jc w:val="center"/>
                    <w:rPr>
                      <w:rFonts w:hint="eastAsia" w:ascii="宋体" w:hAnsi="宋体" w:eastAsia="宋体" w:cs="宋体"/>
                      <w:sz w:val="21"/>
                      <w:szCs w:val="21"/>
                      <w:lang w:val="en-US" w:eastAsia="zh-CN"/>
                    </w:rPr>
                  </w:pPr>
                </w:p>
              </w:tc>
              <w:tc>
                <w:tcPr>
                  <w:tcW w:w="1491" w:type="dxa"/>
                  <w:tcBorders>
                    <w:tl2br w:val="nil"/>
                    <w:tr2bl w:val="nil"/>
                  </w:tcBorders>
                  <w:noWrap w:val="0"/>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非甲烷总烃（无组织）</w:t>
                  </w:r>
                </w:p>
              </w:tc>
              <w:tc>
                <w:tcPr>
                  <w:tcW w:w="3446" w:type="dxa"/>
                  <w:tcBorders>
                    <w:tl2br w:val="nil"/>
                    <w:tr2bl w:val="nil"/>
                  </w:tcBorders>
                  <w:noWrap w:val="0"/>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napToGrid w:val="0"/>
                      <w:color w:val="auto"/>
                      <w:kern w:val="0"/>
                      <w:sz w:val="21"/>
                      <w:szCs w:val="21"/>
                    </w:rPr>
                    <w:t>环境空气 总烃、甲烷和非甲烷总烃的测定 直接进样-气相色谱法</w:t>
                  </w:r>
                  <w:r>
                    <w:rPr>
                      <w:rFonts w:hint="eastAsia" w:ascii="宋体" w:hAnsi="宋体" w:eastAsia="宋体" w:cs="宋体"/>
                      <w:sz w:val="21"/>
                      <w:szCs w:val="21"/>
                      <w:lang w:val="en-US" w:eastAsia="zh-CN"/>
                    </w:rPr>
                    <w:t xml:space="preserve"> </w:t>
                  </w:r>
                  <w:r>
                    <w:rPr>
                      <w:rFonts w:hint="eastAsia" w:ascii="宋体" w:hAnsi="宋体" w:eastAsia="宋体" w:cs="宋体"/>
                      <w:snapToGrid w:val="0"/>
                      <w:color w:val="auto"/>
                      <w:kern w:val="0"/>
                      <w:sz w:val="21"/>
                      <w:szCs w:val="21"/>
                    </w:rPr>
                    <w:t>HJ 604-2017</w:t>
                  </w:r>
                </w:p>
              </w:tc>
              <w:tc>
                <w:tcPr>
                  <w:tcW w:w="1972" w:type="dxa"/>
                  <w:tcBorders>
                    <w:tl2br w:val="nil"/>
                    <w:tr2bl w:val="nil"/>
                  </w:tcBorders>
                  <w:noWrap w:val="0"/>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color w:val="auto"/>
                      <w:kern w:val="0"/>
                      <w:sz w:val="21"/>
                      <w:szCs w:val="21"/>
                    </w:rPr>
                    <w:t>气相色谱仪GC7900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38" w:hRule="atLeast"/>
                <w:jc w:val="center"/>
              </w:trPr>
              <w:tc>
                <w:tcPr>
                  <w:tcW w:w="1689" w:type="dxa"/>
                  <w:tcBorders>
                    <w:tl2br w:val="nil"/>
                    <w:tr2bl w:val="nil"/>
                  </w:tcBorders>
                  <w:noWrap w:val="0"/>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噪声</w:t>
                  </w:r>
                </w:p>
              </w:tc>
              <w:tc>
                <w:tcPr>
                  <w:tcW w:w="1491" w:type="dxa"/>
                  <w:tcBorders>
                    <w:tl2br w:val="nil"/>
                    <w:tr2bl w:val="nil"/>
                  </w:tcBorders>
                  <w:noWrap w:val="0"/>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等效声级</w:t>
                  </w:r>
                </w:p>
              </w:tc>
              <w:tc>
                <w:tcPr>
                  <w:tcW w:w="3446" w:type="dxa"/>
                  <w:tcBorders>
                    <w:tl2br w:val="nil"/>
                    <w:tr2bl w:val="nil"/>
                  </w:tcBorders>
                  <w:noWrap w:val="0"/>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工业企业厂界环境噪声排放标准 GB 12348-2008</w:t>
                  </w:r>
                </w:p>
              </w:tc>
              <w:tc>
                <w:tcPr>
                  <w:tcW w:w="1972" w:type="dxa"/>
                  <w:tcBorders>
                    <w:tl2br w:val="nil"/>
                    <w:tr2bl w:val="nil"/>
                  </w:tcBorders>
                  <w:noWrap w:val="0"/>
                  <w:vAlign w:val="center"/>
                </w:tcPr>
                <w:p>
                  <w:pPr>
                    <w:spacing w:line="240" w:lineRule="auto"/>
                    <w:jc w:val="center"/>
                    <w:rPr>
                      <w:rFonts w:hint="eastAsia" w:ascii="宋体" w:hAnsi="宋体" w:eastAsia="宋体" w:cs="宋体"/>
                      <w:sz w:val="21"/>
                      <w:szCs w:val="21"/>
                      <w:lang w:val="en-US" w:eastAsia="zh-CN"/>
                    </w:rPr>
                  </w:pPr>
                  <w:r>
                    <w:rPr>
                      <w:rFonts w:hint="eastAsia" w:ascii="宋体" w:hAnsi="宋体" w:eastAsia="宋体" w:cs="宋体"/>
                      <w:kern w:val="0"/>
                      <w:sz w:val="21"/>
                      <w:szCs w:val="21"/>
                    </w:rPr>
                    <w:t>多功能声级计AWA5688</w:t>
                  </w:r>
                </w:p>
              </w:tc>
            </w:tr>
          </w:tbl>
          <w:p>
            <w:pPr>
              <w:pStyle w:val="5"/>
              <w:widowControl w:val="0"/>
              <w:jc w:val="both"/>
              <w:rPr>
                <w:rFonts w:hint="eastAsia"/>
                <w:vertAlign w:val="baseline"/>
                <w:lang w:eastAsia="zh-CN"/>
              </w:rPr>
            </w:pPr>
          </w:p>
          <w:p>
            <w:pPr>
              <w:pStyle w:val="5"/>
              <w:widowControl w:val="0"/>
              <w:jc w:val="both"/>
              <w:rPr>
                <w:rFonts w:hint="eastAsia"/>
                <w:vertAlign w:val="baseline"/>
                <w:lang w:eastAsia="zh-CN"/>
              </w:rPr>
            </w:pPr>
          </w:p>
          <w:p>
            <w:pPr>
              <w:pStyle w:val="5"/>
              <w:widowControl w:val="0"/>
              <w:jc w:val="both"/>
              <w:rPr>
                <w:rFonts w:hint="eastAsia"/>
                <w:vertAlign w:val="baseline"/>
                <w:lang w:eastAsia="zh-CN"/>
              </w:rPr>
            </w:pPr>
          </w:p>
          <w:p>
            <w:pPr>
              <w:pStyle w:val="5"/>
              <w:widowControl w:val="0"/>
              <w:jc w:val="both"/>
              <w:rPr>
                <w:rFonts w:hint="eastAsia"/>
                <w:vertAlign w:val="baseline"/>
                <w:lang w:eastAsia="zh-CN"/>
              </w:rPr>
            </w:pPr>
          </w:p>
          <w:p>
            <w:pPr>
              <w:pStyle w:val="5"/>
              <w:widowControl w:val="0"/>
              <w:ind w:left="0" w:leftChars="0" w:firstLine="0" w:firstLineChars="0"/>
              <w:jc w:val="both"/>
              <w:rPr>
                <w:rFonts w:hint="eastAsia"/>
                <w:vertAlign w:val="baseline"/>
                <w:lang w:eastAsia="zh-CN"/>
              </w:rPr>
            </w:pPr>
          </w:p>
        </w:tc>
      </w:tr>
    </w:tbl>
    <w:p>
      <w:pPr>
        <w:pStyle w:val="5"/>
        <w:rPr>
          <w:rFonts w:hint="eastAsia"/>
          <w:lang w:eastAsia="zh-CN"/>
        </w:rPr>
      </w:pPr>
    </w:p>
    <w:p>
      <w:pPr>
        <w:adjustRightInd w:val="0"/>
        <w:snapToGrid w:val="0"/>
        <w:spacing w:after="0" w:afterLines="0" w:line="360" w:lineRule="auto"/>
        <w:rPr>
          <w:rFonts w:hint="eastAsia" w:ascii="Tahoma" w:hAnsi="Tahoma" w:eastAsia="仿宋_GB2312" w:cs="Times New Roman"/>
          <w:b/>
          <w:color w:val="000000"/>
          <w:kern w:val="0"/>
          <w:sz w:val="21"/>
          <w:szCs w:val="21"/>
          <w:lang w:eastAsia="zh-CN"/>
        </w:rPr>
      </w:pPr>
      <w:r>
        <w:rPr>
          <w:rFonts w:hint="eastAsia" w:ascii="Tahoma" w:hAnsi="Tahoma" w:eastAsia="仿宋_GB2312" w:cs="Times New Roman"/>
          <w:b/>
          <w:color w:val="000000"/>
          <w:kern w:val="0"/>
          <w:sz w:val="21"/>
          <w:szCs w:val="21"/>
          <w:lang w:eastAsia="zh-CN"/>
        </w:rPr>
        <w:t>表六</w:t>
      </w:r>
    </w:p>
    <w:tbl>
      <w:tblPr>
        <w:tblStyle w:val="13"/>
        <w:tblW w:w="8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jc w:val="center"/>
        </w:trPr>
        <w:tc>
          <w:tcPr>
            <w:tcW w:w="8740" w:type="dxa"/>
          </w:tcPr>
          <w:p>
            <w:pPr>
              <w:widowControl w:val="0"/>
              <w:numPr>
                <w:ilvl w:val="0"/>
                <w:numId w:val="0"/>
              </w:numPr>
              <w:spacing w:after="151" w:line="360" w:lineRule="auto"/>
              <w:jc w:val="both"/>
              <w:rPr>
                <w:rFonts w:hint="eastAsia" w:ascii="宋体" w:hAnsi="宋体" w:eastAsia="宋体" w:cs="宋体"/>
                <w:b/>
                <w:bCs/>
                <w:sz w:val="24"/>
                <w:lang w:eastAsia="zh-CN"/>
              </w:rPr>
            </w:pPr>
            <w:r>
              <w:rPr>
                <w:rFonts w:ascii="宋体" w:hAnsi="宋体" w:eastAsia="宋体" w:cs="宋体"/>
                <w:b/>
                <w:bCs/>
                <w:sz w:val="24"/>
              </w:rPr>
              <w:t>验收监测内容</w:t>
            </w:r>
            <w:r>
              <w:rPr>
                <w:rFonts w:hint="eastAsia" w:ascii="宋体" w:hAnsi="宋体" w:eastAsia="宋体" w:cs="宋体"/>
                <w:b/>
                <w:bCs/>
                <w:sz w:val="24"/>
                <w:lang w:eastAsia="zh-CN"/>
              </w:rPr>
              <w:t>：</w:t>
            </w:r>
          </w:p>
          <w:p>
            <w:pPr>
              <w:widowControl w:val="0"/>
              <w:numPr>
                <w:ilvl w:val="0"/>
                <w:numId w:val="0"/>
              </w:numPr>
              <w:spacing w:after="151" w:line="360" w:lineRule="auto"/>
              <w:ind w:left="450" w:leftChars="0"/>
              <w:jc w:val="both"/>
              <w:rPr>
                <w:rFonts w:hint="eastAsia" w:ascii="宋体" w:hAnsi="宋体" w:eastAsia="宋体" w:cs="宋体"/>
                <w:sz w:val="24"/>
              </w:rPr>
            </w:pPr>
            <w:r>
              <w:rPr>
                <w:rFonts w:hint="eastAsia" w:ascii="宋体" w:hAnsi="宋体" w:eastAsia="宋体" w:cs="宋体"/>
                <w:sz w:val="24"/>
                <w:lang w:val="en-US" w:eastAsia="zh-CN"/>
              </w:rPr>
              <w:t>1、</w:t>
            </w:r>
            <w:r>
              <w:rPr>
                <w:rFonts w:hint="eastAsia" w:ascii="宋体" w:hAnsi="宋体" w:eastAsia="宋体" w:cs="宋体"/>
                <w:sz w:val="24"/>
              </w:rPr>
              <w:t>废气</w:t>
            </w:r>
          </w:p>
          <w:p>
            <w:pPr>
              <w:widowControl w:val="0"/>
              <w:numPr>
                <w:ilvl w:val="0"/>
                <w:numId w:val="0"/>
              </w:numPr>
              <w:spacing w:after="151" w:line="360" w:lineRule="auto"/>
              <w:ind w:firstLine="480" w:firstLineChars="200"/>
              <w:jc w:val="both"/>
              <w:rPr>
                <w:rFonts w:hint="eastAsia" w:ascii="宋体" w:hAnsi="宋体" w:eastAsia="宋体" w:cs="宋体"/>
                <w:sz w:val="24"/>
              </w:rPr>
            </w:pPr>
            <w:r>
              <w:rPr>
                <w:rFonts w:hint="eastAsia" w:ascii="宋体" w:hAnsi="宋体" w:eastAsia="宋体" w:cs="宋体"/>
                <w:sz w:val="24"/>
                <w:szCs w:val="24"/>
                <w:lang w:val="en-US" w:eastAsia="zh-CN"/>
              </w:rPr>
              <w:t>本项目焊接烟尘采用集气罩+1台袋式除尘器+1根15m排气筒；喷塑粉尘采用</w:t>
            </w:r>
            <w:r>
              <w:rPr>
                <w:rFonts w:hint="eastAsia" w:ascii="宋体" w:hAnsi="宋体" w:eastAsia="宋体" w:cs="宋体"/>
                <w:sz w:val="24"/>
                <w:szCs w:val="24"/>
                <w:lang w:val="en-GB" w:eastAsia="zh-CN"/>
              </w:rPr>
              <w:t>自带有粉末吸入回收系统（呈负压，该回收系统是一套圆筒形的过滤除尘装置）</w:t>
            </w:r>
            <w:r>
              <w:rPr>
                <w:rFonts w:hint="eastAsia" w:ascii="宋体" w:hAnsi="宋体" w:eastAsia="宋体" w:cs="宋体"/>
                <w:sz w:val="24"/>
                <w:szCs w:val="24"/>
                <w:lang w:val="en-US" w:eastAsia="zh-CN"/>
              </w:rPr>
              <w:t>+1台袋式除尘器+1根15m排气筒（与焊接烟尘共用1台袋式除尘器）；</w:t>
            </w:r>
            <w:r>
              <w:rPr>
                <w:rFonts w:hint="eastAsia" w:ascii="宋体" w:hAnsi="宋体" w:eastAsia="宋体" w:cs="宋体"/>
                <w:sz w:val="24"/>
                <w:szCs w:val="24"/>
                <w:lang w:val="en-GB" w:eastAsia="zh-CN"/>
              </w:rPr>
              <w:t>喷漆废气</w:t>
            </w:r>
            <w:r>
              <w:rPr>
                <w:rFonts w:hint="eastAsia" w:ascii="宋体" w:hAnsi="宋体" w:eastAsia="宋体" w:cs="宋体"/>
                <w:sz w:val="24"/>
                <w:szCs w:val="24"/>
                <w:lang w:val="en-US" w:eastAsia="zh-CN"/>
              </w:rPr>
              <w:t>采用</w:t>
            </w:r>
            <w:r>
              <w:rPr>
                <w:rFonts w:hint="eastAsia" w:ascii="宋体" w:hAnsi="宋体" w:eastAsia="宋体" w:cs="宋体"/>
                <w:sz w:val="24"/>
                <w:szCs w:val="24"/>
                <w:lang w:val="en-GB" w:eastAsia="zh-CN"/>
              </w:rPr>
              <w:t>1套水帘柜</w:t>
            </w:r>
            <w:r>
              <w:rPr>
                <w:rFonts w:hint="eastAsia" w:ascii="宋体" w:hAnsi="宋体" w:eastAsia="宋体" w:cs="宋体"/>
                <w:sz w:val="24"/>
                <w:szCs w:val="24"/>
                <w:lang w:val="en-US" w:eastAsia="zh-CN"/>
              </w:rPr>
              <w:t>处理后再通过</w:t>
            </w:r>
            <w:r>
              <w:rPr>
                <w:rFonts w:hint="eastAsia" w:ascii="宋体" w:hAnsi="宋体" w:eastAsia="宋体" w:cs="宋体"/>
                <w:sz w:val="24"/>
                <w:szCs w:val="24"/>
                <w:lang w:val="en-GB" w:eastAsia="zh-CN"/>
              </w:rPr>
              <w:t>1套活性炭吸附+1套UV光解装置</w:t>
            </w:r>
            <w:r>
              <w:rPr>
                <w:rFonts w:hint="eastAsia" w:ascii="宋体" w:hAnsi="宋体" w:eastAsia="宋体" w:cs="宋体"/>
                <w:sz w:val="24"/>
                <w:szCs w:val="24"/>
                <w:lang w:val="en-US" w:eastAsia="zh-CN"/>
              </w:rPr>
              <w:t>进行处理，达标后通过</w:t>
            </w:r>
            <w:r>
              <w:rPr>
                <w:rFonts w:hint="eastAsia" w:ascii="宋体" w:hAnsi="宋体" w:eastAsia="宋体" w:cs="宋体"/>
                <w:sz w:val="24"/>
                <w:szCs w:val="24"/>
                <w:lang w:val="en-GB" w:eastAsia="zh-CN"/>
              </w:rPr>
              <w:t>1个15m排气筒</w:t>
            </w:r>
            <w:r>
              <w:rPr>
                <w:rFonts w:hint="eastAsia" w:ascii="宋体" w:hAnsi="宋体" w:eastAsia="宋体" w:cs="宋体"/>
                <w:sz w:val="24"/>
                <w:szCs w:val="24"/>
                <w:lang w:val="en-US" w:eastAsia="zh-CN"/>
              </w:rPr>
              <w:t>排放；喷漆</w:t>
            </w:r>
            <w:r>
              <w:rPr>
                <w:rFonts w:hint="eastAsia" w:ascii="宋体" w:hAnsi="宋体" w:eastAsia="宋体" w:cs="宋体"/>
                <w:sz w:val="24"/>
                <w:szCs w:val="24"/>
                <w:lang w:val="en-GB" w:eastAsia="zh-CN"/>
              </w:rPr>
              <w:t>固化废气</w:t>
            </w:r>
            <w:r>
              <w:rPr>
                <w:rFonts w:hint="eastAsia" w:ascii="宋体" w:hAnsi="宋体" w:eastAsia="宋体" w:cs="宋体"/>
                <w:sz w:val="24"/>
                <w:szCs w:val="24"/>
                <w:lang w:val="en-US" w:eastAsia="zh-CN"/>
              </w:rPr>
              <w:t>和喷塑固化废气采用</w:t>
            </w:r>
            <w:r>
              <w:rPr>
                <w:rFonts w:hint="eastAsia" w:ascii="宋体" w:hAnsi="宋体" w:eastAsia="宋体" w:cs="宋体"/>
                <w:sz w:val="24"/>
                <w:szCs w:val="24"/>
                <w:lang w:val="en-GB" w:eastAsia="zh-CN"/>
              </w:rPr>
              <w:t>1套活性炭吸附+1套UV光解装置+1个15m排气筒，与喷漆废气共用1套活性炭吸附+UV光解装置处理排放。</w:t>
            </w:r>
            <w:r>
              <w:rPr>
                <w:rFonts w:hint="eastAsia" w:ascii="宋体" w:hAnsi="宋体" w:eastAsia="宋体" w:cs="宋体"/>
                <w:sz w:val="24"/>
                <w:szCs w:val="24"/>
                <w:lang w:val="en-US" w:eastAsia="zh-CN"/>
              </w:rPr>
              <w:t>所有废气共用一个排气筒排放。未被吸收的废气进行无组织排放</w:t>
            </w:r>
            <w:r>
              <w:rPr>
                <w:rFonts w:hint="eastAsia" w:ascii="宋体" w:hAnsi="宋体" w:eastAsia="宋体" w:cs="宋体"/>
                <w:sz w:val="24"/>
              </w:rPr>
              <w:t>。本次验收对废气污染物进行监测，具体监测项目、监测点位和采样周期频次详见表</w:t>
            </w:r>
            <w:r>
              <w:rPr>
                <w:rFonts w:hint="eastAsia" w:ascii="宋体" w:hAnsi="宋体" w:eastAsia="宋体" w:cs="宋体"/>
                <w:sz w:val="24"/>
                <w:lang w:val="en-US" w:eastAsia="zh-CN"/>
              </w:rPr>
              <w:t>6</w:t>
            </w:r>
            <w:r>
              <w:rPr>
                <w:rFonts w:hint="eastAsia" w:ascii="宋体" w:hAnsi="宋体" w:eastAsia="宋体" w:cs="宋体"/>
                <w:sz w:val="24"/>
              </w:rPr>
              <w:t>-</w:t>
            </w:r>
            <w:r>
              <w:rPr>
                <w:rFonts w:hint="eastAsia" w:ascii="宋体" w:hAnsi="宋体" w:eastAsia="宋体" w:cs="宋体"/>
                <w:sz w:val="24"/>
                <w:lang w:val="en-US" w:eastAsia="zh-CN"/>
              </w:rPr>
              <w:t>1</w:t>
            </w:r>
            <w:r>
              <w:rPr>
                <w:rFonts w:hint="eastAsia" w:ascii="宋体" w:hAnsi="宋体" w:eastAsia="宋体" w:cs="宋体"/>
                <w:sz w:val="24"/>
              </w:rPr>
              <w:t>。</w:t>
            </w:r>
          </w:p>
          <w:p>
            <w:pPr>
              <w:widowControl w:val="0"/>
              <w:numPr>
                <w:ilvl w:val="0"/>
                <w:numId w:val="0"/>
              </w:numPr>
              <w:spacing w:after="151" w:line="360" w:lineRule="auto"/>
              <w:ind w:firstLine="480" w:firstLineChars="200"/>
              <w:jc w:val="center"/>
              <w:rPr>
                <w:rFonts w:hint="eastAsia" w:ascii="宋体" w:hAnsi="宋体" w:eastAsia="宋体" w:cs="宋体"/>
                <w:sz w:val="24"/>
              </w:rPr>
            </w:pPr>
            <w:r>
              <w:rPr>
                <w:rFonts w:hint="eastAsia" w:ascii="宋体" w:hAnsi="宋体" w:eastAsia="宋体" w:cs="宋体"/>
                <w:sz w:val="24"/>
              </w:rPr>
              <w:t>表</w:t>
            </w:r>
            <w:r>
              <w:rPr>
                <w:rFonts w:hint="eastAsia" w:ascii="宋体" w:hAnsi="宋体" w:eastAsia="宋体" w:cs="宋体"/>
                <w:sz w:val="24"/>
                <w:lang w:val="en-US" w:eastAsia="zh-CN"/>
              </w:rPr>
              <w:t>6</w:t>
            </w:r>
            <w:r>
              <w:rPr>
                <w:rFonts w:hint="eastAsia" w:ascii="宋体" w:hAnsi="宋体" w:eastAsia="宋体" w:cs="宋体"/>
                <w:sz w:val="24"/>
              </w:rPr>
              <w:t>-</w:t>
            </w:r>
            <w:r>
              <w:rPr>
                <w:rFonts w:hint="eastAsia" w:ascii="宋体" w:hAnsi="宋体" w:eastAsia="宋体" w:cs="宋体"/>
                <w:sz w:val="24"/>
                <w:lang w:val="en-US" w:eastAsia="zh-CN"/>
              </w:rPr>
              <w:t>1</w:t>
            </w:r>
            <w:r>
              <w:rPr>
                <w:rFonts w:hint="eastAsia" w:ascii="宋体" w:hAnsi="宋体" w:eastAsia="宋体" w:cs="宋体"/>
                <w:sz w:val="24"/>
              </w:rPr>
              <w:t xml:space="preserve"> 废气监测内容</w:t>
            </w:r>
          </w:p>
          <w:tbl>
            <w:tblPr>
              <w:tblStyle w:val="13"/>
              <w:tblW w:w="85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5"/>
              <w:gridCol w:w="2188"/>
              <w:gridCol w:w="3030"/>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1175" w:type="dxa"/>
                  <w:vAlign w:val="top"/>
                </w:tcPr>
                <w:p>
                  <w:pPr>
                    <w:widowControl w:val="0"/>
                    <w:spacing w:after="0"/>
                    <w:ind w:right="3" w:rightChars="0"/>
                    <w:jc w:val="center"/>
                    <w:rPr>
                      <w:rFonts w:hint="eastAsia" w:ascii="宋体" w:hAnsi="宋体" w:eastAsia="宋体" w:cs="宋体"/>
                      <w:sz w:val="21"/>
                      <w:szCs w:val="21"/>
                      <w:vertAlign w:val="baseline"/>
                    </w:rPr>
                  </w:pPr>
                  <w:r>
                    <w:rPr>
                      <w:rFonts w:hint="eastAsia" w:ascii="宋体" w:hAnsi="宋体" w:eastAsia="宋体" w:cs="宋体"/>
                      <w:sz w:val="21"/>
                      <w:szCs w:val="21"/>
                    </w:rPr>
                    <w:t>项目</w:t>
                  </w:r>
                </w:p>
              </w:tc>
              <w:tc>
                <w:tcPr>
                  <w:tcW w:w="2188" w:type="dxa"/>
                  <w:vAlign w:val="top"/>
                </w:tcPr>
                <w:p>
                  <w:pPr>
                    <w:widowControl w:val="0"/>
                    <w:spacing w:after="0"/>
                    <w:ind w:right="4" w:rightChars="0"/>
                    <w:jc w:val="center"/>
                    <w:rPr>
                      <w:rFonts w:hint="eastAsia" w:ascii="宋体" w:hAnsi="宋体" w:eastAsia="宋体" w:cs="宋体"/>
                      <w:sz w:val="21"/>
                      <w:szCs w:val="21"/>
                      <w:vertAlign w:val="baseline"/>
                    </w:rPr>
                  </w:pPr>
                  <w:r>
                    <w:rPr>
                      <w:rFonts w:hint="eastAsia" w:ascii="宋体" w:hAnsi="宋体" w:eastAsia="宋体" w:cs="宋体"/>
                      <w:sz w:val="21"/>
                      <w:szCs w:val="21"/>
                    </w:rPr>
                    <w:t>监测点位</w:t>
                  </w:r>
                </w:p>
              </w:tc>
              <w:tc>
                <w:tcPr>
                  <w:tcW w:w="3030" w:type="dxa"/>
                  <w:vAlign w:val="top"/>
                </w:tcPr>
                <w:p>
                  <w:pPr>
                    <w:widowControl w:val="0"/>
                    <w:spacing w:after="0"/>
                    <w:ind w:right="3" w:rightChars="0"/>
                    <w:jc w:val="center"/>
                    <w:rPr>
                      <w:rFonts w:hint="eastAsia" w:ascii="宋体" w:hAnsi="宋体" w:eastAsia="宋体" w:cs="宋体"/>
                      <w:sz w:val="21"/>
                      <w:szCs w:val="21"/>
                      <w:vertAlign w:val="baseline"/>
                    </w:rPr>
                  </w:pPr>
                  <w:r>
                    <w:rPr>
                      <w:rFonts w:hint="eastAsia" w:ascii="宋体" w:hAnsi="宋体" w:eastAsia="宋体" w:cs="宋体"/>
                      <w:sz w:val="21"/>
                      <w:szCs w:val="21"/>
                    </w:rPr>
                    <w:t>监测内容</w:t>
                  </w:r>
                </w:p>
              </w:tc>
              <w:tc>
                <w:tcPr>
                  <w:tcW w:w="2131" w:type="dxa"/>
                  <w:vAlign w:val="top"/>
                </w:tcPr>
                <w:p>
                  <w:pPr>
                    <w:widowControl w:val="0"/>
                    <w:spacing w:after="0"/>
                    <w:ind w:right="3" w:rightChars="0"/>
                    <w:jc w:val="center"/>
                    <w:rPr>
                      <w:rFonts w:hint="eastAsia" w:ascii="宋体" w:hAnsi="宋体" w:eastAsia="宋体" w:cs="宋体"/>
                      <w:sz w:val="21"/>
                      <w:szCs w:val="21"/>
                      <w:vertAlign w:val="baseline"/>
                    </w:rPr>
                  </w:pPr>
                  <w:r>
                    <w:rPr>
                      <w:rFonts w:hint="eastAsia" w:ascii="宋体" w:hAnsi="宋体" w:eastAsia="宋体" w:cs="宋体"/>
                      <w:sz w:val="21"/>
                      <w:szCs w:val="21"/>
                    </w:rPr>
                    <w:t>采样周期与频次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1175" w:type="dxa"/>
                  <w:vMerge w:val="restart"/>
                  <w:vAlign w:val="center"/>
                </w:tcPr>
                <w:p>
                  <w:pPr>
                    <w:widowControl w:val="0"/>
                    <w:spacing w:line="240" w:lineRule="auto"/>
                    <w:jc w:val="center"/>
                    <w:rPr>
                      <w:rFonts w:hint="default" w:ascii="宋体" w:hAnsi="宋体" w:eastAsia="宋体" w:cs="宋体"/>
                      <w:sz w:val="21"/>
                      <w:szCs w:val="21"/>
                      <w:lang w:val="en-US" w:eastAsia="zh-CN"/>
                    </w:rPr>
                  </w:pPr>
                  <w:r>
                    <w:rPr>
                      <w:rFonts w:hint="eastAsia" w:asciiTheme="minorEastAsia" w:hAnsiTheme="minorEastAsia" w:eastAsiaTheme="minorEastAsia" w:cstheme="minorEastAsia"/>
                      <w:sz w:val="21"/>
                      <w:szCs w:val="21"/>
                      <w:lang w:val="en-US" w:eastAsia="zh-CN"/>
                    </w:rPr>
                    <w:t>有组织废气</w:t>
                  </w:r>
                </w:p>
              </w:tc>
              <w:tc>
                <w:tcPr>
                  <w:tcW w:w="2188" w:type="dxa"/>
                  <w:vAlign w:val="center"/>
                </w:tcPr>
                <w:p>
                  <w:pPr>
                    <w:widowControl w:val="0"/>
                    <w:spacing w:line="240" w:lineRule="auto"/>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color w:val="auto"/>
                      <w:sz w:val="21"/>
                      <w:szCs w:val="21"/>
                    </w:rPr>
                    <w:t>喷塑+焊接袋式除尘器出口</w:t>
                  </w:r>
                </w:p>
              </w:tc>
              <w:tc>
                <w:tcPr>
                  <w:tcW w:w="3030" w:type="dxa"/>
                  <w:vAlign w:val="center"/>
                </w:tcPr>
                <w:p>
                  <w:pPr>
                    <w:widowControl w:val="0"/>
                    <w:spacing w:line="240" w:lineRule="auto"/>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废气量，颗粒物排放浓度及排放速率</w:t>
                  </w:r>
                </w:p>
              </w:tc>
              <w:tc>
                <w:tcPr>
                  <w:tcW w:w="2131" w:type="dxa"/>
                  <w:vAlign w:val="center"/>
                </w:tcPr>
                <w:p>
                  <w:pPr>
                    <w:widowControl w:val="0"/>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连续检测2天</w:t>
                  </w:r>
                  <w:r>
                    <w:rPr>
                      <w:rFonts w:hint="default" w:asciiTheme="minorEastAsia" w:hAnsiTheme="minorEastAsia" w:eastAsiaTheme="minorEastAsia" w:cstheme="minorEastAsia"/>
                      <w:sz w:val="21"/>
                      <w:szCs w:val="21"/>
                      <w:lang w:val="en-US" w:eastAsia="zh-CN"/>
                    </w:rPr>
                    <w:t>，3次/</w:t>
                  </w:r>
                  <w:r>
                    <w:rPr>
                      <w:rFonts w:hint="eastAsia" w:asciiTheme="minorEastAsia" w:hAnsiTheme="minorEastAsia" w:eastAsiaTheme="minorEastAsia" w:cstheme="minorEastAsia"/>
                      <w:sz w:val="21"/>
                      <w:szCs w:val="21"/>
                      <w:lang w:val="en-US" w:eastAsia="zh-CN"/>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1175" w:type="dxa"/>
                  <w:vMerge w:val="continue"/>
                  <w:vAlign w:val="center"/>
                </w:tcPr>
                <w:p>
                  <w:pPr>
                    <w:widowControl w:val="0"/>
                    <w:spacing w:line="240" w:lineRule="auto"/>
                    <w:jc w:val="center"/>
                    <w:rPr>
                      <w:rFonts w:hint="eastAsia" w:asciiTheme="minorEastAsia" w:hAnsiTheme="minorEastAsia" w:eastAsiaTheme="minorEastAsia" w:cstheme="minorEastAsia"/>
                      <w:sz w:val="21"/>
                      <w:szCs w:val="21"/>
                      <w:lang w:val="en-US" w:eastAsia="zh-CN"/>
                    </w:rPr>
                  </w:pPr>
                </w:p>
              </w:tc>
              <w:tc>
                <w:tcPr>
                  <w:tcW w:w="2188" w:type="dxa"/>
                  <w:vAlign w:val="center"/>
                </w:tcPr>
                <w:p>
                  <w:pPr>
                    <w:widowControl w:val="0"/>
                    <w:spacing w:line="240" w:lineRule="auto"/>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sz w:val="21"/>
                      <w:szCs w:val="21"/>
                    </w:rPr>
                    <w:t>喷漆工序废气处理设施出口</w:t>
                  </w:r>
                </w:p>
              </w:tc>
              <w:tc>
                <w:tcPr>
                  <w:tcW w:w="3030" w:type="dxa"/>
                  <w:vAlign w:val="center"/>
                </w:tcPr>
                <w:p>
                  <w:pPr>
                    <w:widowControl w:val="0"/>
                    <w:spacing w:line="240" w:lineRule="auto"/>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废气量，颗粒物</w:t>
                  </w:r>
                  <w:r>
                    <w:rPr>
                      <w:rFonts w:hint="eastAsia" w:ascii="Times New Roman" w:hAnsi="Times New Roman" w:eastAsia="宋体" w:cs="Times New Roman"/>
                      <w:kern w:val="0"/>
                      <w:sz w:val="21"/>
                      <w:szCs w:val="21"/>
                      <w:lang w:val="en-US" w:eastAsia="zh-CN"/>
                    </w:rPr>
                    <w:t>、</w:t>
                  </w:r>
                  <w:r>
                    <w:rPr>
                      <w:rFonts w:hint="default" w:ascii="Times New Roman" w:hAnsi="Times New Roman" w:eastAsia="宋体" w:cs="Times New Roman"/>
                      <w:kern w:val="0"/>
                      <w:sz w:val="21"/>
                      <w:szCs w:val="21"/>
                      <w:lang w:val="en-US" w:eastAsia="zh-CN"/>
                    </w:rPr>
                    <w:t>非甲烷总烃、甲苯、二甲苯排放浓度及排放速率</w:t>
                  </w:r>
                </w:p>
              </w:tc>
              <w:tc>
                <w:tcPr>
                  <w:tcW w:w="2131" w:type="dxa"/>
                  <w:vAlign w:val="center"/>
                </w:tcPr>
                <w:p>
                  <w:pPr>
                    <w:widowControl w:val="0"/>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连续检测2天</w:t>
                  </w:r>
                  <w:r>
                    <w:rPr>
                      <w:rFonts w:hint="default" w:asciiTheme="minorEastAsia" w:hAnsiTheme="minorEastAsia" w:eastAsiaTheme="minorEastAsia" w:cstheme="minorEastAsia"/>
                      <w:sz w:val="21"/>
                      <w:szCs w:val="21"/>
                      <w:lang w:val="en-US" w:eastAsia="zh-CN"/>
                    </w:rPr>
                    <w:t>，3次/</w:t>
                  </w:r>
                  <w:r>
                    <w:rPr>
                      <w:rFonts w:hint="eastAsia" w:asciiTheme="minorEastAsia" w:hAnsiTheme="minorEastAsia" w:eastAsiaTheme="minorEastAsia" w:cstheme="minorEastAsia"/>
                      <w:sz w:val="21"/>
                      <w:szCs w:val="21"/>
                      <w:lang w:val="en-US" w:eastAsia="zh-CN"/>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1175" w:type="dxa"/>
                  <w:vMerge w:val="continue"/>
                  <w:vAlign w:val="center"/>
                </w:tcPr>
                <w:p>
                  <w:pPr>
                    <w:widowControl w:val="0"/>
                    <w:spacing w:line="240" w:lineRule="auto"/>
                    <w:jc w:val="center"/>
                    <w:rPr>
                      <w:rFonts w:hint="default" w:ascii="宋体" w:hAnsi="宋体" w:eastAsia="宋体" w:cs="宋体"/>
                      <w:sz w:val="21"/>
                      <w:szCs w:val="21"/>
                      <w:lang w:val="en-US" w:eastAsia="zh-CN"/>
                    </w:rPr>
                  </w:pPr>
                </w:p>
              </w:tc>
              <w:tc>
                <w:tcPr>
                  <w:tcW w:w="2188" w:type="dxa"/>
                  <w:vAlign w:val="center"/>
                </w:tcPr>
                <w:p>
                  <w:pPr>
                    <w:widowControl w:val="0"/>
                    <w:spacing w:line="240" w:lineRule="auto"/>
                    <w:jc w:val="center"/>
                    <w:rPr>
                      <w:rFonts w:hint="eastAsia" w:ascii="宋体" w:hAnsi="宋体" w:eastAsia="宋体" w:cs="宋体"/>
                      <w:sz w:val="21"/>
                      <w:szCs w:val="21"/>
                      <w:lang w:eastAsia="zh-CN"/>
                    </w:rPr>
                  </w:pPr>
                  <w:r>
                    <w:rPr>
                      <w:rFonts w:hint="eastAsia" w:ascii="Times New Roman" w:hAnsi="Times New Roman" w:eastAsia="宋体" w:cs="Times New Roman"/>
                      <w:sz w:val="21"/>
                      <w:szCs w:val="21"/>
                      <w:lang w:val="en-US" w:eastAsia="zh-CN"/>
                    </w:rPr>
                    <w:t>排气筒总排口</w:t>
                  </w:r>
                </w:p>
              </w:tc>
              <w:tc>
                <w:tcPr>
                  <w:tcW w:w="3030" w:type="dxa"/>
                  <w:vAlign w:val="center"/>
                </w:tcPr>
                <w:p>
                  <w:pPr>
                    <w:widowControl w:val="0"/>
                    <w:spacing w:line="240" w:lineRule="auto"/>
                    <w:jc w:val="center"/>
                    <w:rPr>
                      <w:rFonts w:hint="eastAsia" w:ascii="宋体" w:hAnsi="宋体" w:eastAsia="宋体" w:cs="宋体"/>
                      <w:color w:val="000000"/>
                      <w:kern w:val="2"/>
                      <w:sz w:val="21"/>
                      <w:szCs w:val="21"/>
                      <w:lang w:val="en-US" w:eastAsia="zh-CN" w:bidi="ar-SA"/>
                    </w:rPr>
                  </w:pPr>
                  <w:r>
                    <w:rPr>
                      <w:rFonts w:hint="default" w:ascii="Times New Roman" w:hAnsi="Times New Roman" w:eastAsia="宋体" w:cs="Times New Roman"/>
                      <w:kern w:val="0"/>
                      <w:sz w:val="21"/>
                      <w:szCs w:val="21"/>
                      <w:lang w:val="en-US" w:eastAsia="zh-CN"/>
                    </w:rPr>
                    <w:t>废气量，颗粒物、甲苯、二甲苯、非甲烷总烃排放浓度及排放速率</w:t>
                  </w:r>
                </w:p>
              </w:tc>
              <w:tc>
                <w:tcPr>
                  <w:tcW w:w="2131" w:type="dxa"/>
                  <w:vAlign w:val="center"/>
                </w:tcPr>
                <w:p>
                  <w:pPr>
                    <w:widowControl w:val="0"/>
                    <w:spacing w:line="240" w:lineRule="auto"/>
                    <w:jc w:val="center"/>
                    <w:rPr>
                      <w:rFonts w:hint="eastAsia" w:ascii="宋体" w:hAnsi="宋体" w:eastAsia="宋体" w:cs="宋体"/>
                      <w:sz w:val="21"/>
                      <w:szCs w:val="21"/>
                    </w:rPr>
                  </w:pPr>
                  <w:r>
                    <w:rPr>
                      <w:rFonts w:hint="eastAsia" w:asciiTheme="minorEastAsia" w:hAnsiTheme="minorEastAsia" w:eastAsiaTheme="minorEastAsia" w:cstheme="minorEastAsia"/>
                      <w:sz w:val="21"/>
                      <w:szCs w:val="21"/>
                      <w:lang w:val="en-US" w:eastAsia="zh-CN"/>
                    </w:rPr>
                    <w:t>连续检测2天</w:t>
                  </w:r>
                  <w:r>
                    <w:rPr>
                      <w:rFonts w:hint="default" w:asciiTheme="minorEastAsia" w:hAnsiTheme="minorEastAsia" w:eastAsiaTheme="minorEastAsia" w:cstheme="minorEastAsia"/>
                      <w:sz w:val="21"/>
                      <w:szCs w:val="21"/>
                      <w:lang w:val="en-US" w:eastAsia="zh-CN"/>
                    </w:rPr>
                    <w:t>，3次/</w:t>
                  </w:r>
                  <w:r>
                    <w:rPr>
                      <w:rFonts w:hint="eastAsia" w:asciiTheme="minorEastAsia" w:hAnsiTheme="minorEastAsia" w:eastAsiaTheme="minorEastAsia" w:cstheme="minorEastAsia"/>
                      <w:sz w:val="21"/>
                      <w:szCs w:val="21"/>
                      <w:lang w:val="en-US" w:eastAsia="zh-CN"/>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1175" w:type="dxa"/>
                  <w:vAlign w:val="center"/>
                </w:tcPr>
                <w:p>
                  <w:pPr>
                    <w:widowControl w:val="0"/>
                    <w:spacing w:line="240" w:lineRule="auto"/>
                    <w:jc w:val="center"/>
                    <w:rPr>
                      <w:rFonts w:hint="eastAsia" w:ascii="宋体" w:hAnsi="宋体" w:eastAsia="宋体" w:cs="宋体"/>
                      <w:sz w:val="21"/>
                      <w:szCs w:val="21"/>
                      <w:lang w:val="en-US" w:eastAsia="zh-CN"/>
                    </w:rPr>
                  </w:pPr>
                  <w:r>
                    <w:rPr>
                      <w:rFonts w:hint="eastAsia" w:asciiTheme="minorEastAsia" w:hAnsiTheme="minorEastAsia" w:eastAsiaTheme="minorEastAsia" w:cstheme="minorEastAsia"/>
                      <w:sz w:val="21"/>
                      <w:szCs w:val="21"/>
                      <w:lang w:eastAsia="zh-CN"/>
                    </w:rPr>
                    <w:t>无</w:t>
                  </w:r>
                  <w:r>
                    <w:rPr>
                      <w:rFonts w:hint="eastAsia" w:asciiTheme="minorEastAsia" w:hAnsiTheme="minorEastAsia" w:eastAsiaTheme="minorEastAsia" w:cstheme="minorEastAsia"/>
                      <w:sz w:val="21"/>
                      <w:szCs w:val="21"/>
                    </w:rPr>
                    <w:t>组织排放</w:t>
                  </w:r>
                  <w:r>
                    <w:rPr>
                      <w:rFonts w:hint="eastAsia" w:asciiTheme="minorEastAsia" w:hAnsiTheme="minorEastAsia" w:eastAsiaTheme="minorEastAsia" w:cstheme="minorEastAsia"/>
                      <w:sz w:val="21"/>
                      <w:szCs w:val="21"/>
                      <w:lang w:eastAsia="zh-CN"/>
                    </w:rPr>
                    <w:t>废气</w:t>
                  </w:r>
                </w:p>
              </w:tc>
              <w:tc>
                <w:tcPr>
                  <w:tcW w:w="2188" w:type="dxa"/>
                  <w:vAlign w:val="center"/>
                </w:tcPr>
                <w:p>
                  <w:pPr>
                    <w:widowControl w:val="0"/>
                    <w:spacing w:line="240" w:lineRule="auto"/>
                    <w:jc w:val="both"/>
                    <w:rPr>
                      <w:rFonts w:hint="eastAsia" w:ascii="宋体" w:hAnsi="宋体" w:eastAsia="宋体" w:cs="宋体"/>
                      <w:sz w:val="21"/>
                      <w:szCs w:val="21"/>
                      <w:lang w:val="en-US" w:eastAsia="zh-CN"/>
                    </w:rPr>
                  </w:pPr>
                  <w:r>
                    <w:rPr>
                      <w:rFonts w:hint="eastAsia" w:asciiTheme="minorEastAsia" w:hAnsiTheme="minorEastAsia" w:eastAsiaTheme="minorEastAsia" w:cstheme="minorEastAsia"/>
                      <w:sz w:val="21"/>
                      <w:szCs w:val="21"/>
                      <w:lang w:eastAsia="zh-CN"/>
                    </w:rPr>
                    <w:t>上风向</w:t>
                  </w: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lang w:eastAsia="zh-CN"/>
                    </w:rPr>
                    <w:t>下风向</w:t>
                  </w: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lang w:eastAsia="zh-CN"/>
                    </w:rPr>
                    <w:t>下风向</w:t>
                  </w: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lang w:eastAsia="zh-CN"/>
                    </w:rPr>
                    <w:t>下风向</w:t>
                  </w:r>
                  <w:r>
                    <w:rPr>
                      <w:rFonts w:hint="eastAsia" w:asciiTheme="minorEastAsia" w:hAnsiTheme="minorEastAsia" w:eastAsiaTheme="minorEastAsia" w:cstheme="minorEastAsia"/>
                      <w:sz w:val="21"/>
                      <w:szCs w:val="21"/>
                      <w:lang w:val="en-US" w:eastAsia="zh-CN"/>
                    </w:rPr>
                    <w:t>4#</w:t>
                  </w:r>
                </w:p>
              </w:tc>
              <w:tc>
                <w:tcPr>
                  <w:tcW w:w="3030" w:type="dxa"/>
                  <w:vAlign w:val="center"/>
                </w:tcPr>
                <w:p>
                  <w:pPr>
                    <w:widowControl w:val="0"/>
                    <w:spacing w:line="240" w:lineRule="auto"/>
                    <w:jc w:val="center"/>
                    <w:rPr>
                      <w:rFonts w:hint="default" w:ascii="宋体" w:hAnsi="宋体" w:eastAsia="宋体" w:cs="宋体"/>
                      <w:color w:val="000000"/>
                      <w:kern w:val="2"/>
                      <w:sz w:val="21"/>
                      <w:szCs w:val="21"/>
                      <w:lang w:val="en-US" w:eastAsia="zh-CN" w:bidi="ar-SA"/>
                    </w:rPr>
                  </w:pPr>
                  <w:r>
                    <w:rPr>
                      <w:rFonts w:hint="default" w:ascii="Times New Roman" w:hAnsi="Times New Roman" w:eastAsia="宋体" w:cs="Times New Roman"/>
                      <w:kern w:val="0"/>
                      <w:sz w:val="21"/>
                      <w:szCs w:val="21"/>
                      <w:lang w:val="en-US" w:eastAsia="zh-CN"/>
                    </w:rPr>
                    <w:t>甲苯、二甲苯、非甲烷总烃、颗粒物</w:t>
                  </w:r>
                </w:p>
              </w:tc>
              <w:tc>
                <w:tcPr>
                  <w:tcW w:w="2131" w:type="dxa"/>
                  <w:vAlign w:val="center"/>
                </w:tcPr>
                <w:p>
                  <w:pPr>
                    <w:pStyle w:val="18"/>
                    <w:widowControl w:val="0"/>
                    <w:spacing w:line="24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sz w:val="21"/>
                      <w:szCs w:val="21"/>
                    </w:rPr>
                    <w:t>连续监测2天，每天</w:t>
                  </w:r>
                  <w:r>
                    <w:rPr>
                      <w:rFonts w:hint="eastAsia" w:ascii="宋体" w:hAnsi="宋体" w:eastAsia="宋体" w:cs="宋体"/>
                      <w:sz w:val="21"/>
                      <w:szCs w:val="21"/>
                      <w:lang w:val="en-US" w:eastAsia="zh-CN"/>
                    </w:rPr>
                    <w:t>4</w:t>
                  </w:r>
                  <w:r>
                    <w:rPr>
                      <w:rFonts w:hint="eastAsia" w:ascii="宋体" w:hAnsi="宋体" w:eastAsia="宋体" w:cs="宋体"/>
                      <w:sz w:val="21"/>
                      <w:szCs w:val="21"/>
                    </w:rPr>
                    <w:t>次</w:t>
                  </w:r>
                </w:p>
              </w:tc>
            </w:tr>
          </w:tbl>
          <w:p>
            <w:pPr>
              <w:widowControl w:val="0"/>
              <w:spacing w:after="143" w:line="360" w:lineRule="auto"/>
              <w:ind w:left="420"/>
              <w:jc w:val="both"/>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厂界噪声</w:t>
            </w:r>
          </w:p>
          <w:p>
            <w:pPr>
              <w:widowControl w:val="0"/>
              <w:numPr>
                <w:ilvl w:val="0"/>
                <w:numId w:val="0"/>
              </w:numPr>
              <w:spacing w:after="15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rPr>
              <w:t>本项目噪声源主要为</w:t>
            </w:r>
            <w:r>
              <w:rPr>
                <w:rFonts w:hint="eastAsia" w:ascii="宋体" w:hAnsi="宋体" w:eastAsia="宋体" w:cs="宋体"/>
                <w:sz w:val="24"/>
                <w:szCs w:val="24"/>
                <w:lang w:val="en-US" w:eastAsia="zh-CN"/>
              </w:rPr>
              <w:t>设备</w:t>
            </w:r>
            <w:r>
              <w:rPr>
                <w:rFonts w:hint="eastAsia" w:ascii="宋体" w:hAnsi="宋体" w:eastAsia="宋体" w:cs="宋体"/>
                <w:sz w:val="24"/>
                <w:szCs w:val="24"/>
              </w:rPr>
              <w:t>运行产生的噪声。经</w:t>
            </w:r>
            <w:r>
              <w:rPr>
                <w:rFonts w:hint="eastAsia" w:ascii="宋体" w:hAnsi="宋体" w:eastAsia="宋体" w:cs="宋体"/>
                <w:sz w:val="24"/>
                <w:szCs w:val="24"/>
                <w:lang w:val="zh-CN"/>
              </w:rPr>
              <w:t>经采取减振、隔声等措施后</w:t>
            </w:r>
            <w:r>
              <w:rPr>
                <w:rFonts w:hint="eastAsia" w:ascii="宋体" w:hAnsi="宋体" w:eastAsia="宋体" w:cs="宋体"/>
                <w:kern w:val="0"/>
                <w:sz w:val="24"/>
                <w:szCs w:val="24"/>
              </w:rPr>
              <w:t>，</w:t>
            </w:r>
            <w:r>
              <w:rPr>
                <w:rFonts w:hint="eastAsia" w:ascii="宋体" w:hAnsi="宋体" w:eastAsia="宋体" w:cs="宋体"/>
                <w:sz w:val="24"/>
                <w:szCs w:val="24"/>
              </w:rPr>
              <w:t>对厂界产生影响较小。本项目四周厂界外1m处各布设1个厂界噪声监测点；具体监测项目、监测点位和采样周期频次详见表</w:t>
            </w:r>
            <w:r>
              <w:rPr>
                <w:rFonts w:hint="eastAsia" w:ascii="宋体" w:hAnsi="宋体" w:eastAsia="宋体" w:cs="宋体"/>
                <w:sz w:val="24"/>
                <w:szCs w:val="24"/>
                <w:lang w:val="en-US" w:eastAsia="zh-CN"/>
              </w:rPr>
              <w:t>6</w:t>
            </w: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eastAsia" w:ascii="宋体" w:hAnsi="宋体" w:eastAsia="宋体" w:cs="宋体"/>
                <w:sz w:val="24"/>
                <w:szCs w:val="24"/>
                <w:lang w:val="en-US" w:eastAsia="zh-CN"/>
              </w:rPr>
              <w:t xml:space="preserve">      </w:t>
            </w:r>
          </w:p>
          <w:p>
            <w:pPr>
              <w:widowControl w:val="0"/>
              <w:numPr>
                <w:ilvl w:val="0"/>
                <w:numId w:val="0"/>
              </w:numPr>
              <w:spacing w:after="151" w:line="360" w:lineRule="auto"/>
              <w:ind w:firstLine="480" w:firstLineChars="200"/>
              <w:jc w:val="center"/>
              <w:rPr>
                <w:rFonts w:hint="eastAsia" w:ascii="宋体" w:hAnsi="宋体" w:eastAsia="宋体" w:cs="宋体"/>
                <w:sz w:val="24"/>
                <w:szCs w:val="24"/>
              </w:rPr>
            </w:pPr>
            <w:r>
              <w:rPr>
                <w:rFonts w:hint="eastAsia" w:ascii="宋体" w:hAnsi="宋体" w:eastAsia="宋体" w:cs="宋体"/>
                <w:sz w:val="24"/>
                <w:szCs w:val="24"/>
              </w:rPr>
              <w:t>表</w:t>
            </w:r>
            <w:r>
              <w:rPr>
                <w:rFonts w:hint="eastAsia" w:ascii="宋体" w:hAnsi="宋体" w:eastAsia="宋体" w:cs="宋体"/>
                <w:sz w:val="24"/>
                <w:szCs w:val="24"/>
                <w:lang w:val="en-US" w:eastAsia="zh-CN"/>
              </w:rPr>
              <w:t>6</w:t>
            </w: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噪声监测内容</w:t>
            </w:r>
          </w:p>
          <w:tbl>
            <w:tblPr>
              <w:tblStyle w:val="13"/>
              <w:tblW w:w="8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9"/>
              <w:gridCol w:w="2189"/>
              <w:gridCol w:w="2220"/>
              <w:gridCol w:w="31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9" w:type="dxa"/>
                  <w:vAlign w:val="top"/>
                </w:tcPr>
                <w:p>
                  <w:pPr>
                    <w:widowControl w:val="0"/>
                    <w:spacing w:after="0"/>
                    <w:ind w:right="3" w:rightChars="0"/>
                    <w:jc w:val="center"/>
                    <w:rPr>
                      <w:rFonts w:hint="eastAsia" w:ascii="宋体" w:hAnsi="宋体" w:eastAsia="宋体" w:cs="宋体"/>
                      <w:sz w:val="21"/>
                      <w:szCs w:val="21"/>
                      <w:vertAlign w:val="baseline"/>
                    </w:rPr>
                  </w:pPr>
                  <w:r>
                    <w:rPr>
                      <w:rFonts w:hint="eastAsia" w:ascii="宋体" w:hAnsi="宋体" w:eastAsia="宋体" w:cs="宋体"/>
                      <w:sz w:val="21"/>
                      <w:szCs w:val="21"/>
                    </w:rPr>
                    <w:t>项目</w:t>
                  </w:r>
                </w:p>
              </w:tc>
              <w:tc>
                <w:tcPr>
                  <w:tcW w:w="2189" w:type="dxa"/>
                  <w:vAlign w:val="top"/>
                </w:tcPr>
                <w:p>
                  <w:pPr>
                    <w:widowControl w:val="0"/>
                    <w:spacing w:after="0"/>
                    <w:ind w:right="4" w:rightChars="0"/>
                    <w:jc w:val="center"/>
                    <w:rPr>
                      <w:rFonts w:hint="eastAsia" w:ascii="宋体" w:hAnsi="宋体" w:eastAsia="宋体" w:cs="宋体"/>
                      <w:sz w:val="21"/>
                      <w:szCs w:val="21"/>
                      <w:vertAlign w:val="baseline"/>
                    </w:rPr>
                  </w:pPr>
                  <w:r>
                    <w:rPr>
                      <w:rFonts w:hint="eastAsia" w:ascii="宋体" w:hAnsi="宋体" w:eastAsia="宋体" w:cs="宋体"/>
                      <w:sz w:val="21"/>
                      <w:szCs w:val="21"/>
                    </w:rPr>
                    <w:t>监测点位</w:t>
                  </w:r>
                </w:p>
              </w:tc>
              <w:tc>
                <w:tcPr>
                  <w:tcW w:w="2220" w:type="dxa"/>
                  <w:vAlign w:val="top"/>
                </w:tcPr>
                <w:p>
                  <w:pPr>
                    <w:widowControl w:val="0"/>
                    <w:spacing w:after="0"/>
                    <w:ind w:right="3" w:rightChars="0"/>
                    <w:jc w:val="center"/>
                    <w:rPr>
                      <w:rFonts w:hint="eastAsia" w:ascii="宋体" w:hAnsi="宋体" w:eastAsia="宋体" w:cs="宋体"/>
                      <w:sz w:val="21"/>
                      <w:szCs w:val="21"/>
                      <w:vertAlign w:val="baseline"/>
                    </w:rPr>
                  </w:pPr>
                  <w:r>
                    <w:rPr>
                      <w:rFonts w:hint="eastAsia" w:ascii="宋体" w:hAnsi="宋体" w:eastAsia="宋体" w:cs="宋体"/>
                      <w:sz w:val="21"/>
                      <w:szCs w:val="21"/>
                    </w:rPr>
                    <w:t>监测内容</w:t>
                  </w:r>
                </w:p>
              </w:tc>
              <w:tc>
                <w:tcPr>
                  <w:tcW w:w="3196" w:type="dxa"/>
                  <w:vAlign w:val="top"/>
                </w:tcPr>
                <w:p>
                  <w:pPr>
                    <w:widowControl w:val="0"/>
                    <w:spacing w:after="0"/>
                    <w:ind w:right="3" w:rightChars="0"/>
                    <w:jc w:val="center"/>
                    <w:rPr>
                      <w:rFonts w:hint="eastAsia" w:ascii="宋体" w:hAnsi="宋体" w:eastAsia="宋体" w:cs="宋体"/>
                      <w:sz w:val="21"/>
                      <w:szCs w:val="21"/>
                      <w:vertAlign w:val="baseline"/>
                    </w:rPr>
                  </w:pPr>
                  <w:r>
                    <w:rPr>
                      <w:rFonts w:hint="eastAsia" w:ascii="宋体" w:hAnsi="宋体" w:eastAsia="宋体" w:cs="宋体"/>
                      <w:sz w:val="21"/>
                      <w:szCs w:val="21"/>
                    </w:rPr>
                    <w:t>采样周期与频次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9" w:type="dxa"/>
                  <w:vAlign w:val="top"/>
                </w:tcPr>
                <w:p>
                  <w:pPr>
                    <w:widowControl w:val="0"/>
                    <w:spacing w:after="0"/>
                    <w:ind w:right="4" w:rightChars="0"/>
                    <w:jc w:val="center"/>
                    <w:rPr>
                      <w:rFonts w:hint="eastAsia" w:ascii="宋体" w:hAnsi="宋体" w:eastAsia="宋体" w:cs="宋体"/>
                      <w:sz w:val="21"/>
                      <w:szCs w:val="21"/>
                      <w:lang w:val="en-US" w:eastAsia="zh-CN"/>
                    </w:rPr>
                  </w:pPr>
                  <w:r>
                    <w:rPr>
                      <w:rFonts w:hint="eastAsia" w:ascii="宋体" w:hAnsi="宋体" w:eastAsia="宋体" w:cs="宋体"/>
                      <w:sz w:val="21"/>
                      <w:szCs w:val="21"/>
                    </w:rPr>
                    <w:t>厂界</w:t>
                  </w:r>
                </w:p>
              </w:tc>
              <w:tc>
                <w:tcPr>
                  <w:tcW w:w="2189" w:type="dxa"/>
                  <w:vAlign w:val="top"/>
                </w:tcPr>
                <w:p>
                  <w:pPr>
                    <w:widowControl w:val="0"/>
                    <w:spacing w:after="0"/>
                    <w:ind w:right="4" w:rightChars="0"/>
                    <w:jc w:val="center"/>
                    <w:rPr>
                      <w:rFonts w:hint="eastAsia" w:ascii="宋体" w:hAnsi="宋体" w:eastAsia="宋体" w:cs="宋体"/>
                      <w:sz w:val="21"/>
                      <w:szCs w:val="21"/>
                      <w:lang w:val="en-US" w:eastAsia="zh-CN"/>
                    </w:rPr>
                  </w:pPr>
                  <w:r>
                    <w:rPr>
                      <w:rFonts w:hint="eastAsia" w:ascii="宋体" w:hAnsi="宋体" w:eastAsia="宋体" w:cs="宋体"/>
                      <w:sz w:val="21"/>
                      <w:szCs w:val="21"/>
                    </w:rPr>
                    <w:t>厂界噪声</w:t>
                  </w:r>
                </w:p>
              </w:tc>
              <w:tc>
                <w:tcPr>
                  <w:tcW w:w="2220" w:type="dxa"/>
                  <w:vAlign w:val="top"/>
                </w:tcPr>
                <w:p>
                  <w:pPr>
                    <w:widowControl w:val="0"/>
                    <w:spacing w:after="0"/>
                    <w:ind w:right="4" w:rightChars="0"/>
                    <w:jc w:val="center"/>
                    <w:rPr>
                      <w:rFonts w:hint="eastAsia" w:ascii="宋体" w:hAnsi="宋体" w:eastAsia="宋体" w:cs="宋体"/>
                      <w:sz w:val="21"/>
                      <w:szCs w:val="21"/>
                      <w:lang w:val="en-US" w:eastAsia="zh-CN"/>
                    </w:rPr>
                  </w:pPr>
                  <w:r>
                    <w:rPr>
                      <w:rFonts w:hint="eastAsia" w:ascii="宋体" w:hAnsi="宋体" w:eastAsia="宋体" w:cs="宋体"/>
                      <w:sz w:val="21"/>
                      <w:szCs w:val="21"/>
                    </w:rPr>
                    <w:t>等效噪声级</w:t>
                  </w:r>
                </w:p>
              </w:tc>
              <w:tc>
                <w:tcPr>
                  <w:tcW w:w="3196" w:type="dxa"/>
                  <w:vAlign w:val="top"/>
                </w:tcPr>
                <w:p>
                  <w:pPr>
                    <w:widowControl w:val="0"/>
                    <w:spacing w:after="0"/>
                    <w:ind w:right="4" w:rightChars="0"/>
                    <w:jc w:val="center"/>
                    <w:rPr>
                      <w:rFonts w:hint="eastAsia" w:ascii="宋体" w:hAnsi="宋体" w:eastAsia="宋体" w:cs="宋体"/>
                      <w:sz w:val="21"/>
                      <w:szCs w:val="21"/>
                      <w:lang w:val="en-US" w:eastAsia="zh-CN"/>
                    </w:rPr>
                  </w:pPr>
                  <w:r>
                    <w:rPr>
                      <w:rFonts w:hint="eastAsia" w:ascii="宋体" w:hAnsi="宋体" w:eastAsia="宋体" w:cs="宋体"/>
                      <w:sz w:val="21"/>
                      <w:szCs w:val="21"/>
                    </w:rPr>
                    <w:t>连续监测2天，每天昼间、夜</w:t>
                  </w:r>
                </w:p>
              </w:tc>
            </w:tr>
          </w:tbl>
          <w:p>
            <w:pPr>
              <w:widowControl w:val="0"/>
              <w:numPr>
                <w:ilvl w:val="0"/>
                <w:numId w:val="0"/>
              </w:numPr>
              <w:spacing w:after="151" w:line="360" w:lineRule="auto"/>
              <w:jc w:val="both"/>
              <w:rPr>
                <w:rFonts w:ascii="黑体" w:hAnsi="黑体" w:eastAsia="黑体" w:cs="黑体"/>
                <w:sz w:val="24"/>
              </w:rPr>
            </w:pPr>
            <w:r>
              <w:rPr>
                <w:rFonts w:hint="eastAsia" w:ascii="黑体" w:hAnsi="黑体" w:eastAsia="黑体" w:cs="黑体"/>
                <w:sz w:val="24"/>
                <w:lang w:eastAsia="zh-CN"/>
              </w:rPr>
              <w:drawing>
                <wp:inline distT="0" distB="0" distL="114300" distR="114300">
                  <wp:extent cx="5293360" cy="2038350"/>
                  <wp:effectExtent l="0" t="0" r="10160" b="3810"/>
                  <wp:docPr id="1" name="图片 1" descr="图片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3"/>
                          <pic:cNvPicPr>
                            <a:picLocks noChangeAspect="1"/>
                          </pic:cNvPicPr>
                        </pic:nvPicPr>
                        <pic:blipFill>
                          <a:blip r:embed="rId19"/>
                          <a:srcRect l="17048"/>
                          <a:stretch>
                            <a:fillRect/>
                          </a:stretch>
                        </pic:blipFill>
                        <pic:spPr>
                          <a:xfrm>
                            <a:off x="0" y="0"/>
                            <a:ext cx="5293360" cy="2038350"/>
                          </a:xfrm>
                          <a:prstGeom prst="rect">
                            <a:avLst/>
                          </a:prstGeom>
                        </pic:spPr>
                      </pic:pic>
                    </a:graphicData>
                  </a:graphic>
                </wp:inline>
              </w:drawing>
            </w:r>
          </w:p>
          <w:p>
            <w:pPr>
              <w:widowControl w:val="0"/>
              <w:numPr>
                <w:ilvl w:val="0"/>
                <w:numId w:val="0"/>
              </w:numPr>
              <w:spacing w:after="151" w:line="360" w:lineRule="auto"/>
              <w:jc w:val="center"/>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图 </w:t>
            </w:r>
            <w:r>
              <w:rPr>
                <w:rFonts w:hint="eastAsia" w:ascii="宋体" w:hAnsi="宋体" w:eastAsia="宋体" w:cs="宋体"/>
                <w:b w:val="0"/>
                <w:bCs w:val="0"/>
                <w:color w:val="auto"/>
                <w:sz w:val="24"/>
                <w:lang w:val="en-US" w:eastAsia="zh-CN"/>
              </w:rPr>
              <w:t>6</w:t>
            </w:r>
            <w:r>
              <w:rPr>
                <w:rFonts w:hint="eastAsia" w:ascii="宋体" w:hAnsi="宋体" w:eastAsia="宋体" w:cs="宋体"/>
                <w:b w:val="0"/>
                <w:bCs w:val="0"/>
                <w:color w:val="auto"/>
                <w:sz w:val="24"/>
              </w:rPr>
              <w:t>-1 噪声监测点位布置示意图</w:t>
            </w:r>
          </w:p>
          <w:p>
            <w:pPr>
              <w:widowControl w:val="0"/>
              <w:numPr>
                <w:ilvl w:val="0"/>
                <w:numId w:val="0"/>
              </w:numPr>
              <w:spacing w:after="151" w:line="360" w:lineRule="auto"/>
              <w:ind w:left="450" w:leftChars="0"/>
              <w:jc w:val="both"/>
              <w:rPr>
                <w:rFonts w:hint="eastAsia" w:ascii="宋体" w:hAnsi="宋体" w:eastAsia="宋体" w:cs="宋体"/>
                <w:sz w:val="24"/>
                <w:lang w:eastAsia="zh-CN"/>
              </w:rPr>
            </w:pPr>
            <w:r>
              <w:rPr>
                <w:rFonts w:hint="eastAsia" w:ascii="宋体" w:hAnsi="宋体" w:eastAsia="宋体" w:cs="宋体"/>
                <w:sz w:val="24"/>
                <w:lang w:val="en-US" w:eastAsia="zh-CN"/>
              </w:rPr>
              <w:t>3、</w:t>
            </w:r>
            <w:r>
              <w:rPr>
                <w:rFonts w:hint="eastAsia" w:ascii="宋体" w:hAnsi="宋体" w:eastAsia="宋体" w:cs="宋体"/>
                <w:sz w:val="24"/>
              </w:rPr>
              <w:t>废</w:t>
            </w:r>
            <w:r>
              <w:rPr>
                <w:rFonts w:hint="eastAsia" w:ascii="宋体" w:hAnsi="宋体" w:eastAsia="宋体" w:cs="宋体"/>
                <w:sz w:val="24"/>
                <w:lang w:eastAsia="zh-CN"/>
              </w:rPr>
              <w:t>水</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GB"/>
              </w:rPr>
              <w:t>本项目</w:t>
            </w:r>
            <w:r>
              <w:rPr>
                <w:rFonts w:hint="eastAsia" w:ascii="宋体" w:hAnsi="宋体" w:eastAsia="宋体" w:cs="宋体"/>
                <w:sz w:val="24"/>
                <w:szCs w:val="24"/>
              </w:rPr>
              <w:t>水帘柜除漆雾循环废水属于危险废物，定期由资质单位清运和处理处置；</w:t>
            </w:r>
            <w:r>
              <w:rPr>
                <w:rFonts w:hint="eastAsia" w:ascii="宋体" w:hAnsi="宋体" w:eastAsia="宋体" w:cs="宋体"/>
                <w:sz w:val="24"/>
                <w:szCs w:val="24"/>
                <w:lang w:val="en-GB"/>
              </w:rPr>
              <w:t>生活废水经化粪池处理后</w:t>
            </w:r>
            <w:r>
              <w:rPr>
                <w:rFonts w:hint="eastAsia" w:ascii="宋体" w:hAnsi="宋体" w:eastAsia="宋体" w:cs="宋体"/>
                <w:sz w:val="24"/>
                <w:szCs w:val="24"/>
              </w:rPr>
              <w:t>用抽粪车</w:t>
            </w:r>
            <w:r>
              <w:rPr>
                <w:rFonts w:hint="eastAsia" w:ascii="宋体" w:hAnsi="宋体" w:eastAsia="宋体" w:cs="宋体"/>
                <w:sz w:val="24"/>
                <w:szCs w:val="24"/>
                <w:lang w:val="en-GB"/>
              </w:rPr>
              <w:t>定期清运，作为农家肥施用于农田。</w:t>
            </w:r>
          </w:p>
          <w:p>
            <w:pPr>
              <w:pStyle w:val="11"/>
              <w:widowControl w:val="0"/>
              <w:jc w:val="both"/>
              <w:rPr>
                <w:rFonts w:hint="eastAsia"/>
                <w:lang w:val="en-US" w:eastAsia="zh-CN"/>
              </w:rPr>
            </w:pPr>
          </w:p>
          <w:p>
            <w:pPr>
              <w:pStyle w:val="16"/>
              <w:jc w:val="both"/>
              <w:rPr>
                <w:rFonts w:hint="eastAsia" w:ascii="宋体" w:hAnsi="宋体" w:eastAsia="宋体" w:cs="宋体"/>
                <w:color w:val="000000"/>
                <w:kern w:val="2"/>
                <w:sz w:val="24"/>
                <w:szCs w:val="22"/>
                <w:lang w:val="en-US" w:eastAsia="zh-CN" w:bidi="ar-SA"/>
              </w:rPr>
            </w:pPr>
          </w:p>
          <w:p>
            <w:pPr>
              <w:pStyle w:val="16"/>
              <w:jc w:val="both"/>
              <w:rPr>
                <w:rFonts w:hint="eastAsia" w:ascii="宋体" w:hAnsi="宋体" w:eastAsia="宋体" w:cs="宋体"/>
                <w:color w:val="000000"/>
                <w:kern w:val="2"/>
                <w:sz w:val="24"/>
                <w:szCs w:val="22"/>
                <w:lang w:val="en-US" w:eastAsia="zh-CN" w:bidi="ar-SA"/>
              </w:rPr>
            </w:pPr>
          </w:p>
          <w:p>
            <w:pPr>
              <w:pStyle w:val="16"/>
              <w:jc w:val="both"/>
              <w:rPr>
                <w:rFonts w:hint="eastAsia" w:ascii="宋体" w:hAnsi="宋体" w:eastAsia="宋体" w:cs="宋体"/>
                <w:color w:val="000000"/>
                <w:kern w:val="2"/>
                <w:sz w:val="24"/>
                <w:szCs w:val="22"/>
                <w:lang w:val="en-US" w:eastAsia="zh-CN" w:bidi="ar-SA"/>
              </w:rPr>
            </w:pPr>
          </w:p>
          <w:p>
            <w:pPr>
              <w:pStyle w:val="11"/>
              <w:widowControl w:val="0"/>
              <w:jc w:val="both"/>
            </w:pPr>
          </w:p>
          <w:p>
            <w:pPr>
              <w:widowControl w:val="0"/>
              <w:jc w:val="both"/>
            </w:pPr>
          </w:p>
          <w:p>
            <w:pPr>
              <w:pStyle w:val="11"/>
              <w:widowControl w:val="0"/>
              <w:jc w:val="both"/>
            </w:pPr>
          </w:p>
          <w:p>
            <w:pPr>
              <w:widowControl w:val="0"/>
              <w:jc w:val="both"/>
            </w:pPr>
          </w:p>
          <w:p>
            <w:pPr>
              <w:pStyle w:val="11"/>
              <w:widowControl w:val="0"/>
              <w:jc w:val="both"/>
            </w:pPr>
          </w:p>
          <w:p>
            <w:pPr>
              <w:widowControl w:val="0"/>
              <w:jc w:val="both"/>
            </w:pPr>
          </w:p>
          <w:p>
            <w:pPr>
              <w:pStyle w:val="11"/>
              <w:widowControl w:val="0"/>
              <w:jc w:val="both"/>
            </w:pPr>
          </w:p>
          <w:p>
            <w:pPr>
              <w:widowControl w:val="0"/>
              <w:jc w:val="both"/>
            </w:pPr>
          </w:p>
          <w:p>
            <w:pPr>
              <w:widowControl w:val="0"/>
              <w:jc w:val="both"/>
            </w:pPr>
          </w:p>
          <w:p>
            <w:pPr>
              <w:pStyle w:val="11"/>
              <w:widowControl w:val="0"/>
              <w:jc w:val="both"/>
            </w:pPr>
          </w:p>
          <w:p>
            <w:pPr>
              <w:widowControl w:val="0"/>
              <w:jc w:val="both"/>
            </w:pPr>
          </w:p>
          <w:p>
            <w:pPr>
              <w:pStyle w:val="11"/>
              <w:widowControl w:val="0"/>
              <w:jc w:val="both"/>
            </w:pPr>
          </w:p>
          <w:p>
            <w:pPr>
              <w:widowControl w:val="0"/>
              <w:jc w:val="both"/>
            </w:pPr>
          </w:p>
          <w:p>
            <w:pPr>
              <w:widowControl w:val="0"/>
              <w:jc w:val="both"/>
            </w:pPr>
          </w:p>
          <w:p>
            <w:pPr>
              <w:widowControl w:val="0"/>
              <w:spacing w:after="0"/>
              <w:jc w:val="both"/>
              <w:rPr>
                <w:rFonts w:ascii="仿宋" w:hAnsi="仿宋" w:eastAsia="仿宋" w:cs="仿宋"/>
                <w:sz w:val="21"/>
                <w:vertAlign w:val="baseline"/>
              </w:rPr>
            </w:pPr>
          </w:p>
        </w:tc>
      </w:tr>
    </w:tbl>
    <w:p>
      <w:r>
        <w:br w:type="page"/>
      </w:r>
    </w:p>
    <w:p>
      <w:pPr>
        <w:adjustRightInd w:val="0"/>
        <w:snapToGrid w:val="0"/>
        <w:spacing w:after="0" w:afterLines="0" w:line="360" w:lineRule="auto"/>
        <w:rPr>
          <w:rFonts w:hint="eastAsia" w:ascii="Tahoma" w:hAnsi="Tahoma" w:eastAsia="仿宋_GB2312" w:cs="Times New Roman"/>
          <w:b/>
          <w:color w:val="000000"/>
          <w:kern w:val="0"/>
          <w:sz w:val="21"/>
          <w:szCs w:val="21"/>
          <w:lang w:eastAsia="zh-CN"/>
        </w:rPr>
      </w:pPr>
      <w:r>
        <w:rPr>
          <w:rFonts w:ascii="Tahoma" w:hAnsi="Tahoma" w:eastAsia="仿宋_GB2312" w:cs="Times New Roman"/>
          <w:b/>
          <w:color w:val="000000"/>
          <w:kern w:val="0"/>
          <w:sz w:val="21"/>
          <w:szCs w:val="21"/>
        </w:rPr>
        <w:t>表</w:t>
      </w:r>
      <w:r>
        <w:rPr>
          <w:rFonts w:hint="eastAsia" w:ascii="Tahoma" w:hAnsi="Tahoma" w:eastAsia="仿宋_GB2312" w:cs="Times New Roman"/>
          <w:b/>
          <w:color w:val="000000"/>
          <w:kern w:val="0"/>
          <w:sz w:val="21"/>
          <w:szCs w:val="21"/>
          <w:lang w:eastAsia="zh-CN"/>
        </w:rPr>
        <w:t>七</w:t>
      </w:r>
    </w:p>
    <w:tbl>
      <w:tblPr>
        <w:tblStyle w:val="13"/>
        <w:tblW w:w="8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jc w:val="center"/>
        </w:trPr>
        <w:tc>
          <w:tcPr>
            <w:tcW w:w="8940" w:type="dxa"/>
          </w:tcPr>
          <w:p>
            <w:pPr>
              <w:widowControl w:val="0"/>
              <w:spacing w:before="62" w:beforeLines="20" w:line="360" w:lineRule="auto"/>
              <w:jc w:val="both"/>
              <w:rPr>
                <w:rFonts w:hint="eastAsia" w:ascii="宋体" w:hAnsi="宋体" w:eastAsia="宋体"/>
                <w:b/>
                <w:bCs/>
                <w:color w:val="000000"/>
                <w:sz w:val="24"/>
                <w:szCs w:val="24"/>
              </w:rPr>
            </w:pPr>
            <w:r>
              <w:rPr>
                <w:rFonts w:hint="eastAsia" w:ascii="宋体" w:hAnsi="宋体" w:eastAsia="宋体"/>
                <w:b/>
                <w:bCs/>
                <w:color w:val="000000"/>
                <w:sz w:val="24"/>
                <w:szCs w:val="24"/>
              </w:rPr>
              <w:t>验收监测期间生产工况记录：</w:t>
            </w:r>
          </w:p>
          <w:p>
            <w:pPr>
              <w:widowControl w:val="0"/>
              <w:spacing w:after="21" w:line="360" w:lineRule="auto"/>
              <w:ind w:firstLine="480" w:firstLineChars="200"/>
              <w:jc w:val="both"/>
              <w:rPr>
                <w:rFonts w:hint="eastAsia"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color w:val="auto"/>
                <w:kern w:val="0"/>
                <w:sz w:val="24"/>
                <w:szCs w:val="24"/>
              </w:rPr>
              <w:t>河南永蓝检测技术有限公司</w:t>
            </w:r>
            <w:r>
              <w:rPr>
                <w:rFonts w:hint="eastAsia" w:ascii="Times New Roman" w:hAnsi="Times New Roman" w:eastAsia="宋体" w:cs="Times New Roman"/>
                <w:color w:val="auto"/>
                <w:kern w:val="0"/>
                <w:sz w:val="24"/>
                <w:szCs w:val="24"/>
                <w:lang w:eastAsia="zh-CN"/>
              </w:rPr>
              <w:t>于20</w:t>
            </w:r>
            <w:r>
              <w:rPr>
                <w:rFonts w:hint="eastAsia" w:ascii="Times New Roman" w:hAnsi="Times New Roman" w:eastAsia="宋体" w:cs="Times New Roman"/>
                <w:color w:val="auto"/>
                <w:kern w:val="0"/>
                <w:sz w:val="24"/>
                <w:szCs w:val="24"/>
                <w:lang w:val="en-US" w:eastAsia="zh-CN"/>
              </w:rPr>
              <w:t>21</w:t>
            </w:r>
            <w:r>
              <w:rPr>
                <w:rFonts w:hint="eastAsia" w:ascii="Times New Roman" w:hAnsi="Times New Roman" w:eastAsia="宋体" w:cs="Times New Roman"/>
                <w:color w:val="auto"/>
                <w:kern w:val="0"/>
                <w:sz w:val="24"/>
                <w:szCs w:val="24"/>
                <w:lang w:eastAsia="zh-CN"/>
              </w:rPr>
              <w:t>年</w:t>
            </w:r>
            <w:r>
              <w:rPr>
                <w:rFonts w:hint="eastAsia" w:ascii="Times New Roman" w:hAnsi="Times New Roman" w:eastAsia="宋体" w:cs="Times New Roman"/>
                <w:color w:val="auto"/>
                <w:kern w:val="0"/>
                <w:sz w:val="24"/>
                <w:szCs w:val="24"/>
                <w:lang w:val="en-US" w:eastAsia="zh-CN"/>
              </w:rPr>
              <w:t>12</w:t>
            </w:r>
            <w:r>
              <w:rPr>
                <w:rFonts w:hint="eastAsia" w:ascii="Times New Roman" w:hAnsi="Times New Roman" w:eastAsia="宋体" w:cs="Times New Roman"/>
                <w:color w:val="auto"/>
                <w:kern w:val="0"/>
                <w:sz w:val="24"/>
                <w:szCs w:val="24"/>
                <w:lang w:eastAsia="zh-CN"/>
              </w:rPr>
              <w:t>月</w:t>
            </w:r>
            <w:r>
              <w:rPr>
                <w:rFonts w:hint="eastAsia" w:ascii="Times New Roman" w:hAnsi="Times New Roman" w:eastAsia="宋体" w:cs="Times New Roman"/>
                <w:color w:val="auto"/>
                <w:kern w:val="0"/>
                <w:sz w:val="24"/>
                <w:szCs w:val="24"/>
                <w:lang w:val="en-US" w:eastAsia="zh-CN"/>
              </w:rPr>
              <w:t>15</w:t>
            </w:r>
            <w:r>
              <w:rPr>
                <w:rFonts w:hint="eastAsia" w:ascii="Times New Roman" w:hAnsi="Times New Roman" w:eastAsia="宋体" w:cs="Times New Roman"/>
                <w:color w:val="auto"/>
                <w:kern w:val="0"/>
                <w:sz w:val="24"/>
                <w:szCs w:val="24"/>
                <w:lang w:eastAsia="zh-CN"/>
              </w:rPr>
              <w:t>日至</w:t>
            </w:r>
            <w:r>
              <w:rPr>
                <w:rFonts w:hint="eastAsia" w:ascii="Times New Roman" w:hAnsi="Times New Roman" w:eastAsia="宋体" w:cs="Times New Roman"/>
                <w:color w:val="auto"/>
                <w:kern w:val="0"/>
                <w:sz w:val="24"/>
                <w:szCs w:val="24"/>
                <w:lang w:val="en-US" w:eastAsia="zh-CN"/>
              </w:rPr>
              <w:t>12</w:t>
            </w:r>
            <w:r>
              <w:rPr>
                <w:rFonts w:hint="eastAsia" w:ascii="Times New Roman" w:hAnsi="Times New Roman" w:eastAsia="宋体" w:cs="Times New Roman"/>
                <w:color w:val="auto"/>
                <w:kern w:val="0"/>
                <w:sz w:val="24"/>
                <w:szCs w:val="24"/>
                <w:lang w:eastAsia="zh-CN"/>
              </w:rPr>
              <w:t>月</w:t>
            </w:r>
            <w:r>
              <w:rPr>
                <w:rFonts w:hint="eastAsia" w:ascii="Times New Roman" w:hAnsi="Times New Roman" w:eastAsia="宋体" w:cs="Times New Roman"/>
                <w:color w:val="auto"/>
                <w:kern w:val="0"/>
                <w:sz w:val="24"/>
                <w:szCs w:val="24"/>
                <w:lang w:val="en-US" w:eastAsia="zh-CN"/>
              </w:rPr>
              <w:t>16</w:t>
            </w:r>
            <w:r>
              <w:rPr>
                <w:rFonts w:hint="eastAsia" w:ascii="Times New Roman" w:hAnsi="Times New Roman" w:eastAsia="宋体" w:cs="Times New Roman"/>
                <w:color w:val="auto"/>
                <w:kern w:val="0"/>
                <w:sz w:val="24"/>
                <w:szCs w:val="24"/>
                <w:lang w:eastAsia="zh-CN"/>
              </w:rPr>
              <w:t>日进行了竣工验收检测并出具监测报告。</w:t>
            </w:r>
            <w:r>
              <w:rPr>
                <w:rFonts w:hint="eastAsia" w:ascii="Times New Roman" w:hAnsi="Times New Roman" w:eastAsia="宋体" w:cs="Times New Roman"/>
                <w:color w:val="auto"/>
                <w:kern w:val="0"/>
                <w:sz w:val="24"/>
                <w:szCs w:val="24"/>
              </w:rPr>
              <w:t>监测期间，企业生产负荷</w:t>
            </w:r>
            <w:r>
              <w:rPr>
                <w:rFonts w:hint="eastAsia" w:ascii="Times New Roman" w:hAnsi="Times New Roman" w:eastAsia="宋体" w:cs="Times New Roman"/>
                <w:color w:val="auto"/>
                <w:kern w:val="0"/>
                <w:sz w:val="24"/>
                <w:szCs w:val="24"/>
                <w:lang w:eastAsia="zh-CN"/>
              </w:rPr>
              <w:t>分别为</w:t>
            </w:r>
            <w:r>
              <w:rPr>
                <w:rFonts w:hint="eastAsia" w:ascii="Times New Roman" w:hAnsi="Times New Roman" w:eastAsia="宋体" w:cs="Times New Roman"/>
                <w:color w:val="auto"/>
                <w:kern w:val="0"/>
                <w:sz w:val="24"/>
                <w:szCs w:val="24"/>
                <w:lang w:val="en-US" w:eastAsia="zh-CN"/>
              </w:rPr>
              <w:t>75</w:t>
            </w:r>
            <w:r>
              <w:rPr>
                <w:rFonts w:hint="eastAsia" w:ascii="Times New Roman" w:hAnsi="Times New Roman" w:eastAsia="宋体" w:cs="Times New Roman"/>
                <w:color w:val="auto"/>
                <w:kern w:val="0"/>
                <w:sz w:val="24"/>
                <w:szCs w:val="24"/>
                <w:lang w:eastAsia="zh-CN"/>
              </w:rPr>
              <w:t>%、</w:t>
            </w:r>
            <w:r>
              <w:rPr>
                <w:rFonts w:hint="eastAsia" w:ascii="Times New Roman" w:hAnsi="Times New Roman" w:eastAsia="宋体" w:cs="Times New Roman"/>
                <w:color w:val="auto"/>
                <w:kern w:val="0"/>
                <w:sz w:val="24"/>
                <w:szCs w:val="24"/>
                <w:lang w:val="en-US" w:eastAsia="zh-CN"/>
              </w:rPr>
              <w:t>89.95</w:t>
            </w:r>
            <w:r>
              <w:rPr>
                <w:rFonts w:hint="eastAsia" w:ascii="Times New Roman" w:hAnsi="Times New Roman" w:eastAsia="宋体" w:cs="Times New Roman"/>
                <w:color w:val="auto"/>
                <w:kern w:val="0"/>
                <w:sz w:val="24"/>
                <w:szCs w:val="24"/>
                <w:lang w:eastAsia="zh-CN"/>
              </w:rPr>
              <w:t>%，满足环</w:t>
            </w:r>
            <w:r>
              <w:rPr>
                <w:rFonts w:hint="eastAsia" w:ascii="Times New Roman" w:hAnsi="Times New Roman" w:eastAsia="宋体" w:cs="Times New Roman"/>
                <w:color w:val="auto"/>
                <w:kern w:val="0"/>
                <w:sz w:val="24"/>
                <w:szCs w:val="24"/>
              </w:rPr>
              <w:t>保验收</w:t>
            </w:r>
            <w:r>
              <w:rPr>
                <w:rFonts w:hint="eastAsia" w:ascii="Times New Roman" w:hAnsi="Times New Roman" w:eastAsia="宋体" w:cs="Times New Roman"/>
                <w:color w:val="auto"/>
                <w:kern w:val="0"/>
                <w:sz w:val="24"/>
                <w:szCs w:val="24"/>
                <w:lang w:eastAsia="zh-CN"/>
              </w:rPr>
              <w:t>监测</w:t>
            </w:r>
            <w:r>
              <w:rPr>
                <w:rFonts w:hint="eastAsia" w:ascii="Times New Roman" w:hAnsi="Times New Roman" w:eastAsia="宋体" w:cs="Times New Roman"/>
                <w:color w:val="auto"/>
                <w:kern w:val="0"/>
                <w:sz w:val="24"/>
                <w:szCs w:val="24"/>
              </w:rPr>
              <w:t>技术要求</w:t>
            </w:r>
            <w:r>
              <w:rPr>
                <w:rFonts w:hint="eastAsia" w:ascii="Times New Roman" w:hAnsi="Times New Roman" w:eastAsia="宋体" w:cs="Times New Roman"/>
                <w:color w:val="auto"/>
                <w:kern w:val="0"/>
                <w:sz w:val="24"/>
                <w:szCs w:val="24"/>
                <w:lang w:eastAsia="zh-CN"/>
              </w:rPr>
              <w:t>。根据</w:t>
            </w:r>
            <w:r>
              <w:rPr>
                <w:rFonts w:hint="eastAsia" w:ascii="Times New Roman" w:hAnsi="Times New Roman" w:eastAsia="宋体" w:cs="Times New Roman"/>
                <w:color w:val="auto"/>
                <w:kern w:val="0"/>
                <w:sz w:val="24"/>
                <w:szCs w:val="24"/>
              </w:rPr>
              <w:t>《建设项目竣工环境保护验收技术指南污染影响类》（生态环境部公告，2018年9号）</w:t>
            </w:r>
            <w:r>
              <w:rPr>
                <w:rFonts w:hint="eastAsia" w:ascii="Times New Roman" w:hAnsi="Times New Roman" w:eastAsia="宋体" w:cs="Times New Roman"/>
                <w:color w:val="auto"/>
                <w:kern w:val="0"/>
                <w:sz w:val="24"/>
                <w:szCs w:val="24"/>
                <w:lang w:eastAsia="zh-CN"/>
              </w:rPr>
              <w:t>不再强调生产工况的生产</w:t>
            </w:r>
            <w:r>
              <w:rPr>
                <w:rFonts w:hint="eastAsia" w:ascii="Times New Roman" w:hAnsi="Times New Roman" w:eastAsia="宋体" w:cs="Times New Roman"/>
                <w:color w:val="auto"/>
                <w:kern w:val="0"/>
                <w:sz w:val="24"/>
                <w:szCs w:val="24"/>
              </w:rPr>
              <w:t>负荷</w:t>
            </w:r>
            <w:r>
              <w:rPr>
                <w:rFonts w:hint="eastAsia" w:ascii="Times New Roman" w:hAnsi="Times New Roman" w:eastAsia="宋体" w:cs="Times New Roman"/>
                <w:color w:val="auto"/>
                <w:kern w:val="0"/>
                <w:sz w:val="24"/>
                <w:szCs w:val="24"/>
                <w:lang w:eastAsia="zh-CN"/>
              </w:rPr>
              <w:t>达到</w:t>
            </w:r>
            <w:r>
              <w:rPr>
                <w:rFonts w:hint="eastAsia" w:ascii="Times New Roman" w:hAnsi="Times New Roman" w:eastAsia="宋体" w:cs="Times New Roman"/>
                <w:color w:val="auto"/>
                <w:kern w:val="0"/>
                <w:sz w:val="24"/>
                <w:szCs w:val="24"/>
                <w:lang w:val="en-US" w:eastAsia="zh-CN"/>
              </w:rPr>
              <w:t>75%。</w:t>
            </w:r>
          </w:p>
          <w:p>
            <w:pPr>
              <w:widowControl w:val="0"/>
              <w:spacing w:after="21" w:line="360" w:lineRule="auto"/>
              <w:ind w:firstLine="480" w:firstLineChars="200"/>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表 </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验收监测期间生产工况调查表</w:t>
            </w:r>
          </w:p>
          <w:tbl>
            <w:tblPr>
              <w:tblStyle w:val="1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3"/>
              <w:gridCol w:w="2364"/>
              <w:gridCol w:w="2352"/>
              <w:gridCol w:w="19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903" w:type="dxa"/>
                  <w:noWrap w:val="0"/>
                  <w:vAlign w:val="top"/>
                </w:tcPr>
                <w:p>
                  <w:pPr>
                    <w:spacing w:after="21" w:line="24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日期</w:t>
                  </w:r>
                </w:p>
              </w:tc>
              <w:tc>
                <w:tcPr>
                  <w:tcW w:w="2364" w:type="dxa"/>
                  <w:noWrap w:val="0"/>
                  <w:vAlign w:val="top"/>
                </w:tcPr>
                <w:p>
                  <w:pPr>
                    <w:spacing w:after="21"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设计生产能力（件）</w:t>
                  </w:r>
                </w:p>
              </w:tc>
              <w:tc>
                <w:tcPr>
                  <w:tcW w:w="2352" w:type="dxa"/>
                  <w:noWrap w:val="0"/>
                  <w:vAlign w:val="top"/>
                </w:tcPr>
                <w:p>
                  <w:pPr>
                    <w:spacing w:after="21" w:line="24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实际</w:t>
                  </w:r>
                  <w:r>
                    <w:rPr>
                      <w:rFonts w:hint="eastAsia" w:ascii="宋体" w:hAnsi="宋体" w:eastAsia="宋体" w:cs="宋体"/>
                      <w:color w:val="auto"/>
                      <w:sz w:val="21"/>
                      <w:szCs w:val="21"/>
                      <w:lang w:val="en-US" w:eastAsia="zh-CN"/>
                    </w:rPr>
                    <w:t>生产能力（件）</w:t>
                  </w:r>
                </w:p>
              </w:tc>
              <w:tc>
                <w:tcPr>
                  <w:tcW w:w="1903" w:type="dxa"/>
                  <w:noWrap w:val="0"/>
                  <w:vAlign w:val="top"/>
                </w:tcPr>
                <w:p>
                  <w:pPr>
                    <w:spacing w:after="21" w:line="24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生产负荷%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1903" w:type="dxa"/>
                  <w:noWrap w:val="0"/>
                  <w:vAlign w:val="top"/>
                </w:tcPr>
                <w:p>
                  <w:pPr>
                    <w:spacing w:after="21"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20</w:t>
                  </w:r>
                  <w:r>
                    <w:rPr>
                      <w:rFonts w:hint="eastAsia" w:ascii="宋体" w:hAnsi="宋体" w:eastAsia="宋体" w:cs="宋体"/>
                      <w:color w:val="auto"/>
                      <w:sz w:val="21"/>
                      <w:szCs w:val="21"/>
                      <w:lang w:val="en-US" w:eastAsia="zh-CN"/>
                    </w:rPr>
                    <w:t>21</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12</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15</w:t>
                  </w:r>
                </w:p>
              </w:tc>
              <w:tc>
                <w:tcPr>
                  <w:tcW w:w="2364" w:type="dxa"/>
                  <w:noWrap w:val="0"/>
                  <w:vAlign w:val="top"/>
                </w:tcPr>
                <w:p>
                  <w:pPr>
                    <w:spacing w:after="21"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生产</w:t>
                  </w:r>
                  <w:r>
                    <w:rPr>
                      <w:rFonts w:hint="eastAsia" w:ascii="宋体" w:hAnsi="宋体" w:eastAsia="宋体" w:cs="宋体"/>
                      <w:color w:val="auto"/>
                      <w:sz w:val="21"/>
                      <w:szCs w:val="21"/>
                      <w:lang w:val="en-GB" w:eastAsia="zh-CN"/>
                    </w:rPr>
                    <w:t>标示标牌</w:t>
                  </w:r>
                  <w:r>
                    <w:rPr>
                      <w:rFonts w:hint="eastAsia" w:ascii="宋体" w:hAnsi="宋体" w:eastAsia="宋体" w:cs="宋体"/>
                      <w:color w:val="auto"/>
                      <w:sz w:val="21"/>
                      <w:szCs w:val="21"/>
                      <w:lang w:val="en-US" w:eastAsia="zh-CN"/>
                    </w:rPr>
                    <w:t>6.67套/d</w:t>
                  </w:r>
                </w:p>
              </w:tc>
              <w:tc>
                <w:tcPr>
                  <w:tcW w:w="2352" w:type="dxa"/>
                  <w:noWrap w:val="0"/>
                  <w:vAlign w:val="top"/>
                </w:tcPr>
                <w:p>
                  <w:pPr>
                    <w:spacing w:after="21"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生产</w:t>
                  </w:r>
                  <w:r>
                    <w:rPr>
                      <w:rFonts w:hint="eastAsia" w:ascii="宋体" w:hAnsi="宋体" w:eastAsia="宋体" w:cs="宋体"/>
                      <w:color w:val="auto"/>
                      <w:sz w:val="21"/>
                      <w:szCs w:val="21"/>
                      <w:lang w:val="en-GB" w:eastAsia="zh-CN"/>
                    </w:rPr>
                    <w:t>标示标牌</w:t>
                  </w:r>
                  <w:r>
                    <w:rPr>
                      <w:rFonts w:hint="eastAsia" w:ascii="宋体" w:hAnsi="宋体" w:eastAsia="宋体" w:cs="宋体"/>
                      <w:color w:val="auto"/>
                      <w:sz w:val="21"/>
                      <w:szCs w:val="21"/>
                      <w:lang w:val="en-US" w:eastAsia="zh-CN"/>
                    </w:rPr>
                    <w:t>5套/d</w:t>
                  </w:r>
                </w:p>
              </w:tc>
              <w:tc>
                <w:tcPr>
                  <w:tcW w:w="1903" w:type="dxa"/>
                  <w:noWrap w:val="0"/>
                  <w:vAlign w:val="top"/>
                </w:tcPr>
                <w:p>
                  <w:pPr>
                    <w:spacing w:after="21"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3" w:type="dxa"/>
                  <w:noWrap w:val="0"/>
                  <w:vAlign w:val="top"/>
                </w:tcPr>
                <w:p>
                  <w:pPr>
                    <w:spacing w:after="21"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20</w:t>
                  </w:r>
                  <w:r>
                    <w:rPr>
                      <w:rFonts w:hint="eastAsia" w:ascii="宋体" w:hAnsi="宋体" w:eastAsia="宋体" w:cs="宋体"/>
                      <w:color w:val="auto"/>
                      <w:sz w:val="21"/>
                      <w:szCs w:val="21"/>
                      <w:lang w:val="en-US" w:eastAsia="zh-CN"/>
                    </w:rPr>
                    <w:t>21</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12</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16</w:t>
                  </w:r>
                </w:p>
              </w:tc>
              <w:tc>
                <w:tcPr>
                  <w:tcW w:w="2364" w:type="dxa"/>
                  <w:noWrap w:val="0"/>
                  <w:vAlign w:val="top"/>
                </w:tcPr>
                <w:p>
                  <w:pPr>
                    <w:spacing w:after="21"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生产</w:t>
                  </w:r>
                  <w:r>
                    <w:rPr>
                      <w:rFonts w:hint="eastAsia" w:ascii="宋体" w:hAnsi="宋体" w:eastAsia="宋体" w:cs="宋体"/>
                      <w:color w:val="auto"/>
                      <w:sz w:val="21"/>
                      <w:szCs w:val="21"/>
                      <w:lang w:val="en-GB" w:eastAsia="zh-CN"/>
                    </w:rPr>
                    <w:t>标示标牌</w:t>
                  </w:r>
                  <w:r>
                    <w:rPr>
                      <w:rFonts w:hint="eastAsia" w:ascii="宋体" w:hAnsi="宋体" w:eastAsia="宋体" w:cs="宋体"/>
                      <w:color w:val="auto"/>
                      <w:sz w:val="21"/>
                      <w:szCs w:val="21"/>
                      <w:lang w:val="en-US" w:eastAsia="zh-CN"/>
                    </w:rPr>
                    <w:t>6.67套/d</w:t>
                  </w:r>
                </w:p>
              </w:tc>
              <w:tc>
                <w:tcPr>
                  <w:tcW w:w="2352" w:type="dxa"/>
                  <w:noWrap w:val="0"/>
                  <w:vAlign w:val="top"/>
                </w:tcPr>
                <w:p>
                  <w:pPr>
                    <w:spacing w:after="21"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生产</w:t>
                  </w:r>
                  <w:r>
                    <w:rPr>
                      <w:rFonts w:hint="eastAsia" w:ascii="宋体" w:hAnsi="宋体" w:eastAsia="宋体" w:cs="宋体"/>
                      <w:color w:val="auto"/>
                      <w:sz w:val="21"/>
                      <w:szCs w:val="21"/>
                      <w:lang w:val="en-GB" w:eastAsia="zh-CN"/>
                    </w:rPr>
                    <w:t>标示标牌</w:t>
                  </w:r>
                  <w:r>
                    <w:rPr>
                      <w:rFonts w:hint="eastAsia" w:ascii="宋体" w:hAnsi="宋体" w:eastAsia="宋体" w:cs="宋体"/>
                      <w:color w:val="auto"/>
                      <w:sz w:val="21"/>
                      <w:szCs w:val="21"/>
                      <w:lang w:val="en-US" w:eastAsia="zh-CN"/>
                    </w:rPr>
                    <w:t>6套/d</w:t>
                  </w:r>
                </w:p>
              </w:tc>
              <w:tc>
                <w:tcPr>
                  <w:tcW w:w="1903" w:type="dxa"/>
                  <w:noWrap w:val="0"/>
                  <w:vAlign w:val="top"/>
                </w:tcPr>
                <w:p>
                  <w:pPr>
                    <w:spacing w:after="21"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89.95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4"/>
                  <w:noWrap w:val="0"/>
                  <w:vAlign w:val="top"/>
                </w:tcPr>
                <w:p>
                  <w:pPr>
                    <w:spacing w:after="21"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注：</w:t>
                  </w:r>
                  <w:r>
                    <w:rPr>
                      <w:rFonts w:hint="eastAsia" w:ascii="宋体" w:hAnsi="宋体" w:eastAsia="宋体" w:cs="宋体"/>
                      <w:color w:val="auto"/>
                      <w:sz w:val="21"/>
                      <w:szCs w:val="21"/>
                      <w:shd w:val="clear"/>
                      <w:lang w:val="en-US" w:eastAsia="zh-CN"/>
                    </w:rPr>
                    <w:t>生产工况依据附件三。</w:t>
                  </w:r>
                </w:p>
              </w:tc>
            </w:tr>
          </w:tbl>
          <w:p>
            <w:pPr>
              <w:widowControl w:val="0"/>
              <w:spacing w:before="62" w:beforeLines="20" w:line="360" w:lineRule="auto"/>
              <w:jc w:val="both"/>
              <w:rPr>
                <w:rFonts w:hint="eastAsia" w:ascii="宋体" w:hAnsi="宋体" w:eastAsia="宋体"/>
                <w:b/>
                <w:bCs/>
                <w:color w:val="000000"/>
                <w:sz w:val="24"/>
                <w:szCs w:val="24"/>
              </w:rPr>
            </w:pPr>
            <w:r>
              <w:rPr>
                <w:rFonts w:hint="eastAsia" w:ascii="宋体" w:hAnsi="宋体" w:eastAsia="宋体"/>
                <w:b/>
                <w:bCs/>
                <w:color w:val="000000"/>
                <w:sz w:val="24"/>
                <w:szCs w:val="24"/>
              </w:rPr>
              <w:t>验收监测结果：</w:t>
            </w:r>
          </w:p>
          <w:p>
            <w:pPr>
              <w:widowControl w:val="0"/>
              <w:spacing w:after="21"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废气监测结果及分析</w:t>
            </w:r>
          </w:p>
          <w:p>
            <w:pPr>
              <w:widowControl w:val="0"/>
              <w:spacing w:after="21"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lang w:val="en-US" w:eastAsia="zh-CN"/>
              </w:rPr>
              <w:t>本项目焊接烟尘采用集气罩+1台袋式除尘器+1根15m排气筒；喷塑粉尘采用</w:t>
            </w:r>
            <w:r>
              <w:rPr>
                <w:rFonts w:hint="eastAsia" w:ascii="宋体" w:hAnsi="宋体" w:eastAsia="宋体" w:cs="宋体"/>
                <w:sz w:val="24"/>
                <w:szCs w:val="24"/>
                <w:lang w:val="en-GB" w:eastAsia="zh-CN"/>
              </w:rPr>
              <w:t>自带有粉末吸入回收系统（呈负压，该回收系统是一套圆筒形的过滤除尘装置）</w:t>
            </w:r>
            <w:r>
              <w:rPr>
                <w:rFonts w:hint="eastAsia" w:ascii="宋体" w:hAnsi="宋体" w:eastAsia="宋体" w:cs="宋体"/>
                <w:sz w:val="24"/>
                <w:szCs w:val="24"/>
                <w:lang w:val="en-US" w:eastAsia="zh-CN"/>
              </w:rPr>
              <w:t>+1台袋式除尘器+1根15m排气筒（与焊接烟尘共用1台袋式除尘器）；</w:t>
            </w:r>
            <w:r>
              <w:rPr>
                <w:rFonts w:hint="eastAsia" w:ascii="宋体" w:hAnsi="宋体" w:eastAsia="宋体" w:cs="宋体"/>
                <w:sz w:val="24"/>
                <w:szCs w:val="24"/>
                <w:lang w:val="en-GB" w:eastAsia="zh-CN"/>
              </w:rPr>
              <w:t>喷漆废气</w:t>
            </w:r>
            <w:r>
              <w:rPr>
                <w:rFonts w:hint="eastAsia" w:ascii="宋体" w:hAnsi="宋体" w:eastAsia="宋体" w:cs="宋体"/>
                <w:sz w:val="24"/>
                <w:szCs w:val="24"/>
                <w:lang w:val="en-US" w:eastAsia="zh-CN"/>
              </w:rPr>
              <w:t>采用</w:t>
            </w:r>
            <w:r>
              <w:rPr>
                <w:rFonts w:hint="eastAsia" w:ascii="宋体" w:hAnsi="宋体" w:eastAsia="宋体" w:cs="宋体"/>
                <w:sz w:val="24"/>
                <w:szCs w:val="24"/>
                <w:lang w:val="en-GB" w:eastAsia="zh-CN"/>
              </w:rPr>
              <w:t>1套水帘柜</w:t>
            </w:r>
            <w:r>
              <w:rPr>
                <w:rFonts w:hint="eastAsia" w:ascii="宋体" w:hAnsi="宋体" w:eastAsia="宋体" w:cs="宋体"/>
                <w:sz w:val="24"/>
                <w:szCs w:val="24"/>
                <w:lang w:val="en-US" w:eastAsia="zh-CN"/>
              </w:rPr>
              <w:t>处理后再通过</w:t>
            </w:r>
            <w:r>
              <w:rPr>
                <w:rFonts w:hint="eastAsia" w:ascii="宋体" w:hAnsi="宋体" w:eastAsia="宋体" w:cs="宋体"/>
                <w:sz w:val="24"/>
                <w:szCs w:val="24"/>
                <w:lang w:val="en-GB" w:eastAsia="zh-CN"/>
              </w:rPr>
              <w:t>1套活性炭吸附+1套UV光解装置</w:t>
            </w:r>
            <w:r>
              <w:rPr>
                <w:rFonts w:hint="eastAsia" w:ascii="宋体" w:hAnsi="宋体" w:eastAsia="宋体" w:cs="宋体"/>
                <w:sz w:val="24"/>
                <w:szCs w:val="24"/>
                <w:lang w:val="en-US" w:eastAsia="zh-CN"/>
              </w:rPr>
              <w:t>进行处理，达标后通过</w:t>
            </w:r>
            <w:r>
              <w:rPr>
                <w:rFonts w:hint="eastAsia" w:ascii="宋体" w:hAnsi="宋体" w:eastAsia="宋体" w:cs="宋体"/>
                <w:sz w:val="24"/>
                <w:szCs w:val="24"/>
                <w:lang w:val="en-GB" w:eastAsia="zh-CN"/>
              </w:rPr>
              <w:t>1个15m排气筒</w:t>
            </w:r>
            <w:r>
              <w:rPr>
                <w:rFonts w:hint="eastAsia" w:ascii="宋体" w:hAnsi="宋体" w:eastAsia="宋体" w:cs="宋体"/>
                <w:sz w:val="24"/>
                <w:szCs w:val="24"/>
                <w:lang w:val="en-US" w:eastAsia="zh-CN"/>
              </w:rPr>
              <w:t>排放；喷漆</w:t>
            </w:r>
            <w:r>
              <w:rPr>
                <w:rFonts w:hint="eastAsia" w:ascii="宋体" w:hAnsi="宋体" w:eastAsia="宋体" w:cs="宋体"/>
                <w:sz w:val="24"/>
                <w:szCs w:val="24"/>
                <w:lang w:val="en-GB" w:eastAsia="zh-CN"/>
              </w:rPr>
              <w:t>固化废气</w:t>
            </w:r>
            <w:r>
              <w:rPr>
                <w:rFonts w:hint="eastAsia" w:ascii="宋体" w:hAnsi="宋体" w:eastAsia="宋体" w:cs="宋体"/>
                <w:sz w:val="24"/>
                <w:szCs w:val="24"/>
                <w:lang w:val="en-US" w:eastAsia="zh-CN"/>
              </w:rPr>
              <w:t>和喷塑固化废气采用</w:t>
            </w:r>
            <w:r>
              <w:rPr>
                <w:rFonts w:hint="eastAsia" w:ascii="宋体" w:hAnsi="宋体" w:eastAsia="宋体" w:cs="宋体"/>
                <w:sz w:val="24"/>
                <w:szCs w:val="24"/>
                <w:lang w:val="en-GB" w:eastAsia="zh-CN"/>
              </w:rPr>
              <w:t>1套活性炭吸附+1套UV光解装置+1个15m排气筒，与喷漆废气共用1套活性炭吸附+UV光解装置处理排放。</w:t>
            </w:r>
            <w:r>
              <w:rPr>
                <w:rFonts w:hint="eastAsia" w:ascii="宋体" w:hAnsi="宋体" w:eastAsia="宋体" w:cs="宋体"/>
                <w:sz w:val="24"/>
                <w:szCs w:val="24"/>
                <w:lang w:val="en-US" w:eastAsia="zh-CN"/>
              </w:rPr>
              <w:t>所有废气共用一个排气筒排放。未被吸收的废气进行无组织排放</w:t>
            </w:r>
            <w:r>
              <w:rPr>
                <w:rFonts w:hint="eastAsia" w:ascii="宋体" w:hAnsi="宋体" w:eastAsia="宋体" w:cs="宋体"/>
                <w:sz w:val="24"/>
              </w:rPr>
              <w:t>。</w:t>
            </w:r>
            <w:r>
              <w:rPr>
                <w:rFonts w:hint="default" w:ascii="Times New Roman" w:hAnsi="Times New Roman" w:eastAsia="宋体" w:cs="Times New Roman"/>
                <w:color w:val="auto"/>
                <w:kern w:val="0"/>
                <w:sz w:val="24"/>
                <w:szCs w:val="24"/>
              </w:rPr>
              <w:t>河南永蓝检测技术有限公司</w:t>
            </w:r>
            <w:r>
              <w:rPr>
                <w:rFonts w:hint="eastAsia" w:ascii="宋体" w:hAnsi="宋体" w:eastAsia="宋体" w:cs="宋体"/>
                <w:sz w:val="24"/>
                <w:szCs w:val="22"/>
                <w:lang w:eastAsia="zh-CN"/>
              </w:rPr>
              <w:t>于20</w:t>
            </w:r>
            <w:r>
              <w:rPr>
                <w:rFonts w:hint="eastAsia" w:ascii="宋体" w:hAnsi="宋体" w:eastAsia="宋体" w:cs="宋体"/>
                <w:sz w:val="24"/>
                <w:szCs w:val="22"/>
                <w:lang w:val="en-US" w:eastAsia="zh-CN"/>
              </w:rPr>
              <w:t>21</w:t>
            </w:r>
            <w:r>
              <w:rPr>
                <w:rFonts w:hint="eastAsia" w:ascii="宋体" w:hAnsi="宋体" w:eastAsia="宋体" w:cs="宋体"/>
                <w:sz w:val="24"/>
                <w:szCs w:val="22"/>
                <w:lang w:eastAsia="zh-CN"/>
              </w:rPr>
              <w:t>年</w:t>
            </w:r>
            <w:r>
              <w:rPr>
                <w:rFonts w:hint="eastAsia" w:ascii="宋体" w:hAnsi="宋体" w:eastAsia="宋体" w:cs="宋体"/>
                <w:sz w:val="24"/>
                <w:szCs w:val="22"/>
                <w:lang w:val="en-US" w:eastAsia="zh-CN"/>
              </w:rPr>
              <w:t>12</w:t>
            </w:r>
            <w:r>
              <w:rPr>
                <w:rFonts w:hint="eastAsia" w:ascii="宋体" w:hAnsi="宋体" w:eastAsia="宋体" w:cs="宋体"/>
                <w:sz w:val="24"/>
                <w:szCs w:val="22"/>
                <w:lang w:eastAsia="zh-CN"/>
              </w:rPr>
              <w:t>月</w:t>
            </w:r>
            <w:r>
              <w:rPr>
                <w:rFonts w:hint="eastAsia" w:ascii="宋体" w:hAnsi="宋体" w:eastAsia="宋体" w:cs="宋体"/>
                <w:sz w:val="24"/>
                <w:szCs w:val="22"/>
                <w:lang w:val="en-US" w:eastAsia="zh-CN"/>
              </w:rPr>
              <w:t>15</w:t>
            </w:r>
            <w:r>
              <w:rPr>
                <w:rFonts w:hint="eastAsia" w:ascii="宋体" w:hAnsi="宋体" w:eastAsia="宋体" w:cs="宋体"/>
                <w:sz w:val="24"/>
                <w:szCs w:val="22"/>
                <w:lang w:eastAsia="zh-CN"/>
              </w:rPr>
              <w:t>日至</w:t>
            </w:r>
            <w:r>
              <w:rPr>
                <w:rFonts w:hint="eastAsia" w:ascii="宋体" w:hAnsi="宋体" w:eastAsia="宋体" w:cs="宋体"/>
                <w:sz w:val="24"/>
                <w:szCs w:val="22"/>
                <w:lang w:val="en-US" w:eastAsia="zh-CN"/>
              </w:rPr>
              <w:t>12</w:t>
            </w:r>
            <w:r>
              <w:rPr>
                <w:rFonts w:hint="eastAsia" w:ascii="宋体" w:hAnsi="宋体" w:eastAsia="宋体" w:cs="宋体"/>
                <w:sz w:val="24"/>
                <w:szCs w:val="22"/>
                <w:lang w:eastAsia="zh-CN"/>
              </w:rPr>
              <w:t>月</w:t>
            </w:r>
            <w:r>
              <w:rPr>
                <w:rFonts w:hint="eastAsia" w:ascii="宋体" w:hAnsi="宋体" w:eastAsia="宋体" w:cs="宋体"/>
                <w:sz w:val="24"/>
                <w:szCs w:val="22"/>
                <w:lang w:val="en-US" w:eastAsia="zh-CN"/>
              </w:rPr>
              <w:t>16</w:t>
            </w:r>
            <w:r>
              <w:rPr>
                <w:rFonts w:hint="eastAsia" w:ascii="宋体" w:hAnsi="宋体" w:eastAsia="宋体" w:cs="宋体"/>
                <w:sz w:val="24"/>
                <w:szCs w:val="22"/>
                <w:lang w:eastAsia="zh-CN"/>
              </w:rPr>
              <w:t>日</w:t>
            </w:r>
            <w:r>
              <w:rPr>
                <w:rFonts w:hint="eastAsia" w:ascii="宋体" w:hAnsi="宋体" w:eastAsia="宋体" w:cs="宋体"/>
                <w:sz w:val="24"/>
                <w:szCs w:val="24"/>
              </w:rPr>
              <w:t>对本项目废气进行了监测，监测结果见</w:t>
            </w:r>
            <w:r>
              <w:rPr>
                <w:rFonts w:hint="eastAsia" w:ascii="宋体" w:hAnsi="宋体" w:eastAsia="宋体" w:cs="宋体"/>
                <w:sz w:val="24"/>
                <w:szCs w:val="24"/>
                <w:lang w:val="en-US" w:eastAsia="zh-CN"/>
              </w:rPr>
              <w:t>下</w:t>
            </w:r>
            <w:r>
              <w:rPr>
                <w:rFonts w:hint="eastAsia" w:ascii="宋体" w:hAnsi="宋体" w:eastAsia="宋体" w:cs="宋体"/>
                <w:sz w:val="24"/>
                <w:szCs w:val="24"/>
              </w:rPr>
              <w:t>表。</w:t>
            </w:r>
          </w:p>
          <w:p>
            <w:pPr>
              <w:pStyle w:val="11"/>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表 </w:t>
            </w:r>
            <w:r>
              <w:rPr>
                <w:rFonts w:hint="eastAsia" w:ascii="宋体" w:hAnsi="宋体" w:eastAsia="宋体" w:cs="宋体"/>
                <w:sz w:val="24"/>
                <w:szCs w:val="24"/>
                <w:lang w:val="en-US" w:eastAsia="zh-CN"/>
              </w:rPr>
              <w:t>7</w:t>
            </w: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 xml:space="preserve"> </w:t>
            </w:r>
            <w:r>
              <w:rPr>
                <w:rFonts w:hint="eastAsia" w:ascii="宋体" w:hAnsi="宋体" w:cs="宋体"/>
                <w:sz w:val="24"/>
                <w:szCs w:val="24"/>
                <w:lang w:val="en-US" w:eastAsia="zh-CN"/>
              </w:rPr>
              <w:t>有</w:t>
            </w:r>
            <w:r>
              <w:rPr>
                <w:rFonts w:hint="eastAsia" w:ascii="宋体" w:hAnsi="宋体" w:eastAsia="宋体" w:cs="宋体"/>
                <w:sz w:val="24"/>
                <w:szCs w:val="24"/>
                <w:lang w:eastAsia="zh-CN"/>
              </w:rPr>
              <w:t>组织</w:t>
            </w:r>
            <w:r>
              <w:rPr>
                <w:rFonts w:hint="eastAsia" w:ascii="宋体" w:hAnsi="宋体" w:cs="宋体"/>
                <w:sz w:val="24"/>
                <w:szCs w:val="24"/>
                <w:lang w:val="en-US" w:eastAsia="zh-CN"/>
              </w:rPr>
              <w:t>废气(颗粒物)</w:t>
            </w:r>
            <w:r>
              <w:rPr>
                <w:rFonts w:hint="eastAsia" w:ascii="宋体" w:hAnsi="宋体" w:eastAsia="宋体" w:cs="宋体"/>
                <w:sz w:val="24"/>
                <w:szCs w:val="24"/>
              </w:rPr>
              <w:t>监测结果 单位：mg/m</w:t>
            </w:r>
            <w:r>
              <w:rPr>
                <w:rFonts w:hint="eastAsia" w:ascii="宋体" w:hAnsi="宋体" w:eastAsia="宋体" w:cs="宋体"/>
                <w:sz w:val="24"/>
                <w:szCs w:val="24"/>
                <w:vertAlign w:val="superscript"/>
              </w:rPr>
              <w:t>3</w:t>
            </w:r>
          </w:p>
          <w:tbl>
            <w:tblPr>
              <w:tblStyle w:val="13"/>
              <w:tblW w:w="86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4"/>
              <w:gridCol w:w="1843"/>
              <w:gridCol w:w="2294"/>
              <w:gridCol w:w="1241"/>
              <w:gridCol w:w="13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004" w:type="dxa"/>
                </w:tcPr>
                <w:p>
                  <w:pPr>
                    <w:widowControl w:val="0"/>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采样时间</w:t>
                  </w:r>
                </w:p>
              </w:tc>
              <w:tc>
                <w:tcPr>
                  <w:tcW w:w="1843" w:type="dxa"/>
                </w:tcPr>
                <w:p>
                  <w:pPr>
                    <w:widowControl w:val="0"/>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采样点位</w:t>
                  </w:r>
                </w:p>
              </w:tc>
              <w:tc>
                <w:tcPr>
                  <w:tcW w:w="2294"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颗粒物监测最大排放浓度</w:t>
                  </w:r>
                  <w:r>
                    <w:rPr>
                      <w:rFonts w:hint="eastAsia" w:ascii="宋体" w:hAnsi="宋体" w:eastAsia="宋体" w:cs="宋体"/>
                      <w:sz w:val="21"/>
                      <w:szCs w:val="21"/>
                      <w:lang w:eastAsia="zh-CN"/>
                    </w:rPr>
                    <w:t>（mg/m</w:t>
                  </w:r>
                  <w:r>
                    <w:rPr>
                      <w:rFonts w:hint="eastAsia" w:ascii="宋体" w:hAnsi="宋体" w:eastAsia="宋体" w:cs="宋体"/>
                      <w:color w:val="000000"/>
                      <w:kern w:val="2"/>
                      <w:sz w:val="21"/>
                      <w:szCs w:val="21"/>
                      <w:vertAlign w:val="superscript"/>
                      <w:lang w:val="en-US" w:eastAsia="zh-CN" w:bidi="ar-SA"/>
                    </w:rPr>
                    <w:t>3</w:t>
                  </w:r>
                  <w:r>
                    <w:rPr>
                      <w:rFonts w:hint="eastAsia" w:ascii="宋体" w:hAnsi="宋体" w:eastAsia="宋体" w:cs="宋体"/>
                      <w:sz w:val="21"/>
                      <w:szCs w:val="21"/>
                      <w:lang w:eastAsia="zh-CN"/>
                    </w:rPr>
                    <w:t>）</w:t>
                  </w:r>
                </w:p>
              </w:tc>
              <w:tc>
                <w:tcPr>
                  <w:tcW w:w="1241"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验收标准</w:t>
                  </w:r>
                </w:p>
              </w:tc>
              <w:tc>
                <w:tcPr>
                  <w:tcW w:w="1316"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达标情况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2004"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2021.12.15</w:t>
                  </w:r>
                </w:p>
              </w:tc>
              <w:tc>
                <w:tcPr>
                  <w:tcW w:w="1843" w:type="dxa"/>
                  <w:vMerge w:val="restart"/>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color w:val="auto"/>
                      <w:sz w:val="21"/>
                      <w:szCs w:val="21"/>
                    </w:rPr>
                    <w:t>喷塑+焊接袋式除尘器出口</w:t>
                  </w:r>
                </w:p>
              </w:tc>
              <w:tc>
                <w:tcPr>
                  <w:tcW w:w="2294"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4.5</w:t>
                  </w:r>
                </w:p>
              </w:tc>
              <w:tc>
                <w:tcPr>
                  <w:tcW w:w="1241"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120.0</w:t>
                  </w:r>
                </w:p>
              </w:tc>
              <w:tc>
                <w:tcPr>
                  <w:tcW w:w="1316"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2004"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2021.12.16</w:t>
                  </w:r>
                </w:p>
              </w:tc>
              <w:tc>
                <w:tcPr>
                  <w:tcW w:w="1843" w:type="dxa"/>
                  <w:vMerge w:val="continue"/>
                  <w:vAlign w:val="top"/>
                </w:tcPr>
                <w:p>
                  <w:pPr>
                    <w:widowControl w:val="0"/>
                    <w:spacing w:after="21" w:line="240" w:lineRule="auto"/>
                    <w:jc w:val="center"/>
                    <w:rPr>
                      <w:rFonts w:hint="eastAsia" w:ascii="宋体" w:hAnsi="宋体" w:eastAsia="宋体" w:cs="宋体"/>
                      <w:sz w:val="21"/>
                      <w:szCs w:val="21"/>
                      <w:lang w:eastAsia="zh-CN"/>
                    </w:rPr>
                  </w:pPr>
                </w:p>
              </w:tc>
              <w:tc>
                <w:tcPr>
                  <w:tcW w:w="2294"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4.8</w:t>
                  </w:r>
                </w:p>
              </w:tc>
              <w:tc>
                <w:tcPr>
                  <w:tcW w:w="1241" w:type="dxa"/>
                  <w:vAlign w:val="top"/>
                </w:tcPr>
                <w:p>
                  <w:pPr>
                    <w:widowControl w:val="0"/>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120.0</w:t>
                  </w:r>
                </w:p>
              </w:tc>
              <w:tc>
                <w:tcPr>
                  <w:tcW w:w="1316" w:type="dxa"/>
                  <w:vAlign w:val="top"/>
                </w:tcPr>
                <w:p>
                  <w:pPr>
                    <w:widowControl w:val="0"/>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达标</w:t>
                  </w:r>
                </w:p>
              </w:tc>
            </w:tr>
          </w:tbl>
          <w:p>
            <w:pPr>
              <w:pStyle w:val="11"/>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表 </w:t>
            </w:r>
            <w:r>
              <w:rPr>
                <w:rFonts w:hint="eastAsia" w:ascii="宋体" w:hAnsi="宋体" w:eastAsia="宋体" w:cs="宋体"/>
                <w:sz w:val="24"/>
                <w:szCs w:val="24"/>
                <w:lang w:val="en-US" w:eastAsia="zh-CN"/>
              </w:rPr>
              <w:t>7</w:t>
            </w:r>
            <w:r>
              <w:rPr>
                <w:rFonts w:hint="eastAsia" w:ascii="宋体" w:hAnsi="宋体" w:eastAsia="宋体" w:cs="宋体"/>
                <w:sz w:val="24"/>
                <w:szCs w:val="24"/>
              </w:rPr>
              <w:t>-</w:t>
            </w:r>
            <w:r>
              <w:rPr>
                <w:rFonts w:hint="eastAsia" w:ascii="宋体" w:hAnsi="宋体" w:cs="宋体"/>
                <w:sz w:val="24"/>
                <w:szCs w:val="24"/>
                <w:lang w:val="en-US" w:eastAsia="zh-CN"/>
              </w:rPr>
              <w:t>3</w:t>
            </w:r>
            <w:r>
              <w:rPr>
                <w:rFonts w:hint="eastAsia" w:ascii="宋体" w:hAnsi="宋体" w:eastAsia="宋体" w:cs="宋体"/>
                <w:sz w:val="24"/>
                <w:szCs w:val="24"/>
              </w:rPr>
              <w:t xml:space="preserve"> </w:t>
            </w:r>
            <w:r>
              <w:rPr>
                <w:rFonts w:hint="eastAsia" w:ascii="宋体" w:hAnsi="宋体" w:cs="宋体"/>
                <w:sz w:val="24"/>
                <w:szCs w:val="24"/>
                <w:lang w:val="en-US" w:eastAsia="zh-CN"/>
              </w:rPr>
              <w:t>有</w:t>
            </w:r>
            <w:r>
              <w:rPr>
                <w:rFonts w:hint="eastAsia" w:ascii="宋体" w:hAnsi="宋体" w:eastAsia="宋体" w:cs="宋体"/>
                <w:sz w:val="24"/>
                <w:szCs w:val="24"/>
                <w:lang w:eastAsia="zh-CN"/>
              </w:rPr>
              <w:t>组织</w:t>
            </w:r>
            <w:r>
              <w:rPr>
                <w:rFonts w:hint="eastAsia" w:ascii="宋体" w:hAnsi="宋体" w:cs="宋体"/>
                <w:sz w:val="24"/>
                <w:szCs w:val="24"/>
                <w:lang w:val="en-US" w:eastAsia="zh-CN"/>
              </w:rPr>
              <w:t>废气(有机废气)</w:t>
            </w:r>
            <w:r>
              <w:rPr>
                <w:rFonts w:hint="eastAsia" w:ascii="宋体" w:hAnsi="宋体" w:eastAsia="宋体" w:cs="宋体"/>
                <w:sz w:val="24"/>
                <w:szCs w:val="24"/>
              </w:rPr>
              <w:t>监测结果 单位：mg/m</w:t>
            </w:r>
            <w:r>
              <w:rPr>
                <w:rFonts w:hint="eastAsia" w:ascii="宋体" w:hAnsi="宋体" w:eastAsia="宋体" w:cs="宋体"/>
                <w:sz w:val="24"/>
                <w:szCs w:val="24"/>
                <w:vertAlign w:val="superscript"/>
              </w:rPr>
              <w:t>3</w:t>
            </w:r>
          </w:p>
          <w:tbl>
            <w:tblPr>
              <w:tblStyle w:val="13"/>
              <w:tblW w:w="87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9"/>
              <w:gridCol w:w="1176"/>
              <w:gridCol w:w="1464"/>
              <w:gridCol w:w="792"/>
              <w:gridCol w:w="840"/>
              <w:gridCol w:w="1637"/>
              <w:gridCol w:w="804"/>
              <w:gridCol w:w="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9" w:type="dxa"/>
                </w:tcPr>
                <w:p>
                  <w:pPr>
                    <w:widowControl w:val="0"/>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采样时间</w:t>
                  </w:r>
                </w:p>
              </w:tc>
              <w:tc>
                <w:tcPr>
                  <w:tcW w:w="1176" w:type="dxa"/>
                </w:tcPr>
                <w:p>
                  <w:pPr>
                    <w:widowControl w:val="0"/>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采样点位</w:t>
                  </w:r>
                </w:p>
              </w:tc>
              <w:tc>
                <w:tcPr>
                  <w:tcW w:w="1464"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颗粒物监测最大排放浓度</w:t>
                  </w:r>
                  <w:r>
                    <w:rPr>
                      <w:rFonts w:hint="eastAsia" w:ascii="宋体" w:hAnsi="宋体" w:eastAsia="宋体" w:cs="宋体"/>
                      <w:sz w:val="21"/>
                      <w:szCs w:val="21"/>
                      <w:lang w:eastAsia="zh-CN"/>
                    </w:rPr>
                    <w:t>（mg/m</w:t>
                  </w:r>
                  <w:r>
                    <w:rPr>
                      <w:rFonts w:hint="eastAsia" w:ascii="宋体" w:hAnsi="宋体" w:eastAsia="宋体" w:cs="宋体"/>
                      <w:color w:val="000000"/>
                      <w:kern w:val="2"/>
                      <w:sz w:val="21"/>
                      <w:szCs w:val="21"/>
                      <w:vertAlign w:val="superscript"/>
                      <w:lang w:val="en-US" w:eastAsia="zh-CN" w:bidi="ar-SA"/>
                    </w:rPr>
                    <w:t>3</w:t>
                  </w:r>
                  <w:r>
                    <w:rPr>
                      <w:rFonts w:hint="eastAsia" w:ascii="宋体" w:hAnsi="宋体" w:eastAsia="宋体" w:cs="宋体"/>
                      <w:sz w:val="21"/>
                      <w:szCs w:val="21"/>
                      <w:lang w:eastAsia="zh-CN"/>
                    </w:rPr>
                    <w:t>）</w:t>
                  </w:r>
                </w:p>
              </w:tc>
              <w:tc>
                <w:tcPr>
                  <w:tcW w:w="792"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验收标准</w:t>
                  </w:r>
                </w:p>
              </w:tc>
              <w:tc>
                <w:tcPr>
                  <w:tcW w:w="840"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达标情况</w:t>
                  </w:r>
                </w:p>
              </w:tc>
              <w:tc>
                <w:tcPr>
                  <w:tcW w:w="1637" w:type="dxa"/>
                  <w:vAlign w:val="top"/>
                </w:tcPr>
                <w:p>
                  <w:pPr>
                    <w:widowControl w:val="0"/>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甲苯二甲苯监测最大排放浓度</w:t>
                  </w:r>
                  <w:r>
                    <w:rPr>
                      <w:rFonts w:hint="eastAsia" w:ascii="宋体" w:hAnsi="宋体" w:eastAsia="宋体" w:cs="宋体"/>
                      <w:sz w:val="21"/>
                      <w:szCs w:val="21"/>
                      <w:lang w:eastAsia="zh-CN"/>
                    </w:rPr>
                    <w:t>（mg/m</w:t>
                  </w:r>
                  <w:r>
                    <w:rPr>
                      <w:rFonts w:hint="eastAsia" w:ascii="宋体" w:hAnsi="宋体" w:eastAsia="宋体" w:cs="宋体"/>
                      <w:color w:val="000000"/>
                      <w:kern w:val="2"/>
                      <w:sz w:val="21"/>
                      <w:szCs w:val="21"/>
                      <w:vertAlign w:val="superscript"/>
                      <w:lang w:val="en-US" w:eastAsia="zh-CN" w:bidi="ar-SA"/>
                    </w:rPr>
                    <w:t>3</w:t>
                  </w:r>
                  <w:r>
                    <w:rPr>
                      <w:rFonts w:hint="eastAsia" w:ascii="宋体" w:hAnsi="宋体" w:eastAsia="宋体" w:cs="宋体"/>
                      <w:sz w:val="21"/>
                      <w:szCs w:val="21"/>
                      <w:lang w:eastAsia="zh-CN"/>
                    </w:rPr>
                    <w:t>）</w:t>
                  </w:r>
                </w:p>
              </w:tc>
              <w:tc>
                <w:tcPr>
                  <w:tcW w:w="804" w:type="dxa"/>
                  <w:vAlign w:val="top"/>
                </w:tcPr>
                <w:p>
                  <w:pPr>
                    <w:widowControl w:val="0"/>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验收标准</w:t>
                  </w:r>
                </w:p>
              </w:tc>
              <w:tc>
                <w:tcPr>
                  <w:tcW w:w="732" w:type="dxa"/>
                  <w:vAlign w:val="top"/>
                </w:tcPr>
                <w:p>
                  <w:pPr>
                    <w:widowControl w:val="0"/>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达标情况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9"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2021.12.15</w:t>
                  </w:r>
                </w:p>
              </w:tc>
              <w:tc>
                <w:tcPr>
                  <w:tcW w:w="1176" w:type="dxa"/>
                  <w:vMerge w:val="restart"/>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color w:val="auto"/>
                      <w:sz w:val="21"/>
                      <w:szCs w:val="21"/>
                    </w:rPr>
                    <w:t>喷漆工序</w:t>
                  </w:r>
                  <w:r>
                    <w:rPr>
                      <w:rFonts w:hint="eastAsia" w:ascii="宋体" w:hAnsi="宋体" w:eastAsia="宋体" w:cs="宋体"/>
                      <w:color w:val="auto"/>
                      <w:sz w:val="21"/>
                      <w:szCs w:val="21"/>
                      <w:lang w:val="en-US" w:eastAsia="zh-CN"/>
                    </w:rPr>
                    <w:t>+喷塑固化</w:t>
                  </w:r>
                  <w:r>
                    <w:rPr>
                      <w:rFonts w:hint="eastAsia" w:ascii="宋体" w:hAnsi="宋体" w:eastAsia="宋体" w:cs="宋体"/>
                      <w:color w:val="auto"/>
                      <w:sz w:val="21"/>
                      <w:szCs w:val="21"/>
                    </w:rPr>
                    <w:t>废气处理设施出口</w:t>
                  </w:r>
                </w:p>
              </w:tc>
              <w:tc>
                <w:tcPr>
                  <w:tcW w:w="1464"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5.8</w:t>
                  </w:r>
                </w:p>
              </w:tc>
              <w:tc>
                <w:tcPr>
                  <w:tcW w:w="792"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120.0</w:t>
                  </w:r>
                </w:p>
              </w:tc>
              <w:tc>
                <w:tcPr>
                  <w:tcW w:w="840"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达标</w:t>
                  </w:r>
                </w:p>
              </w:tc>
              <w:tc>
                <w:tcPr>
                  <w:tcW w:w="1637"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甲苯0.122；二甲苯0.439</w:t>
                  </w:r>
                </w:p>
              </w:tc>
              <w:tc>
                <w:tcPr>
                  <w:tcW w:w="804"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20.0</w:t>
                  </w:r>
                </w:p>
              </w:tc>
              <w:tc>
                <w:tcPr>
                  <w:tcW w:w="732"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9"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2021.12.16</w:t>
                  </w:r>
                </w:p>
              </w:tc>
              <w:tc>
                <w:tcPr>
                  <w:tcW w:w="1176" w:type="dxa"/>
                  <w:vMerge w:val="continue"/>
                  <w:vAlign w:val="top"/>
                </w:tcPr>
                <w:p>
                  <w:pPr>
                    <w:widowControl w:val="0"/>
                    <w:spacing w:after="21" w:line="240" w:lineRule="auto"/>
                    <w:jc w:val="center"/>
                    <w:rPr>
                      <w:rFonts w:hint="eastAsia" w:ascii="宋体" w:hAnsi="宋体" w:eastAsia="宋体" w:cs="宋体"/>
                      <w:sz w:val="21"/>
                      <w:szCs w:val="21"/>
                      <w:lang w:eastAsia="zh-CN"/>
                    </w:rPr>
                  </w:pPr>
                </w:p>
              </w:tc>
              <w:tc>
                <w:tcPr>
                  <w:tcW w:w="1464"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6.0</w:t>
                  </w:r>
                </w:p>
              </w:tc>
              <w:tc>
                <w:tcPr>
                  <w:tcW w:w="792" w:type="dxa"/>
                  <w:vAlign w:val="top"/>
                </w:tcPr>
                <w:p>
                  <w:pPr>
                    <w:widowControl w:val="0"/>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120.0</w:t>
                  </w:r>
                </w:p>
              </w:tc>
              <w:tc>
                <w:tcPr>
                  <w:tcW w:w="840" w:type="dxa"/>
                  <w:vAlign w:val="top"/>
                </w:tcPr>
                <w:p>
                  <w:pPr>
                    <w:widowControl w:val="0"/>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达标</w:t>
                  </w:r>
                </w:p>
              </w:tc>
              <w:tc>
                <w:tcPr>
                  <w:tcW w:w="1637"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甲苯0.123；二甲苯0.442</w:t>
                  </w:r>
                </w:p>
              </w:tc>
              <w:tc>
                <w:tcPr>
                  <w:tcW w:w="804" w:type="dxa"/>
                  <w:vAlign w:val="top"/>
                </w:tcPr>
                <w:p>
                  <w:pPr>
                    <w:widowControl w:val="0"/>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20.0</w:t>
                  </w:r>
                </w:p>
              </w:tc>
              <w:tc>
                <w:tcPr>
                  <w:tcW w:w="732" w:type="dxa"/>
                  <w:vAlign w:val="top"/>
                </w:tcPr>
                <w:p>
                  <w:pPr>
                    <w:widowControl w:val="0"/>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9"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采样时间</w:t>
                  </w:r>
                </w:p>
              </w:tc>
              <w:tc>
                <w:tcPr>
                  <w:tcW w:w="1176" w:type="dxa"/>
                  <w:vAlign w:val="top"/>
                </w:tcPr>
                <w:p>
                  <w:pPr>
                    <w:widowControl w:val="0"/>
                    <w:spacing w:after="21" w:line="240" w:lineRule="auto"/>
                    <w:jc w:val="center"/>
                    <w:rPr>
                      <w:rFonts w:hint="eastAsia" w:ascii="宋体" w:hAnsi="宋体" w:eastAsia="宋体" w:cs="宋体"/>
                      <w:kern w:val="0"/>
                      <w:sz w:val="21"/>
                      <w:szCs w:val="21"/>
                      <w:lang w:val="en-US" w:eastAsia="zh-CN"/>
                    </w:rPr>
                  </w:pPr>
                  <w:r>
                    <w:rPr>
                      <w:rFonts w:hint="eastAsia" w:ascii="宋体" w:hAnsi="宋体" w:eastAsia="宋体" w:cs="宋体"/>
                      <w:sz w:val="21"/>
                      <w:szCs w:val="21"/>
                      <w:lang w:eastAsia="zh-CN"/>
                    </w:rPr>
                    <w:t>采样点位</w:t>
                  </w:r>
                </w:p>
              </w:tc>
              <w:tc>
                <w:tcPr>
                  <w:tcW w:w="1464"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非甲烷总烃监测最大排放浓度</w:t>
                  </w:r>
                  <w:r>
                    <w:rPr>
                      <w:rFonts w:hint="eastAsia" w:ascii="宋体" w:hAnsi="宋体" w:eastAsia="宋体" w:cs="宋体"/>
                      <w:sz w:val="21"/>
                      <w:szCs w:val="21"/>
                      <w:lang w:eastAsia="zh-CN"/>
                    </w:rPr>
                    <w:t>（mg/m</w:t>
                  </w:r>
                  <w:r>
                    <w:rPr>
                      <w:rFonts w:hint="eastAsia" w:ascii="宋体" w:hAnsi="宋体" w:eastAsia="宋体" w:cs="宋体"/>
                      <w:color w:val="000000"/>
                      <w:kern w:val="2"/>
                      <w:sz w:val="21"/>
                      <w:szCs w:val="21"/>
                      <w:vertAlign w:val="superscript"/>
                      <w:lang w:val="en-US" w:eastAsia="zh-CN" w:bidi="ar-SA"/>
                    </w:rPr>
                    <w:t>3</w:t>
                  </w:r>
                  <w:r>
                    <w:rPr>
                      <w:rFonts w:hint="eastAsia" w:ascii="宋体" w:hAnsi="宋体" w:eastAsia="宋体" w:cs="宋体"/>
                      <w:sz w:val="21"/>
                      <w:szCs w:val="21"/>
                      <w:lang w:eastAsia="zh-CN"/>
                    </w:rPr>
                    <w:t>）</w:t>
                  </w:r>
                </w:p>
              </w:tc>
              <w:tc>
                <w:tcPr>
                  <w:tcW w:w="792"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验收标准</w:t>
                  </w:r>
                </w:p>
              </w:tc>
              <w:tc>
                <w:tcPr>
                  <w:tcW w:w="840"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达标情况</w:t>
                  </w:r>
                </w:p>
              </w:tc>
              <w:tc>
                <w:tcPr>
                  <w:tcW w:w="1637"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c>
                <w:tcPr>
                  <w:tcW w:w="804"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c>
                <w:tcPr>
                  <w:tcW w:w="732"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9"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2021.12.15</w:t>
                  </w:r>
                </w:p>
              </w:tc>
              <w:tc>
                <w:tcPr>
                  <w:tcW w:w="1176" w:type="dxa"/>
                  <w:vMerge w:val="restart"/>
                  <w:vAlign w:val="top"/>
                </w:tcPr>
                <w:p>
                  <w:pPr>
                    <w:widowControl w:val="0"/>
                    <w:spacing w:after="21" w:line="240" w:lineRule="auto"/>
                    <w:jc w:val="center"/>
                    <w:rPr>
                      <w:rFonts w:hint="eastAsia" w:ascii="宋体" w:hAnsi="宋体" w:eastAsia="宋体" w:cs="宋体"/>
                      <w:kern w:val="0"/>
                      <w:sz w:val="21"/>
                      <w:szCs w:val="21"/>
                      <w:lang w:val="en-US" w:eastAsia="zh-CN"/>
                    </w:rPr>
                  </w:pPr>
                  <w:r>
                    <w:rPr>
                      <w:rFonts w:hint="eastAsia" w:ascii="宋体" w:hAnsi="宋体" w:eastAsia="宋体" w:cs="宋体"/>
                      <w:color w:val="auto"/>
                      <w:sz w:val="21"/>
                      <w:szCs w:val="21"/>
                    </w:rPr>
                    <w:t>喷漆工序</w:t>
                  </w:r>
                  <w:r>
                    <w:rPr>
                      <w:rFonts w:hint="eastAsia" w:ascii="宋体" w:hAnsi="宋体" w:eastAsia="宋体" w:cs="宋体"/>
                      <w:color w:val="auto"/>
                      <w:sz w:val="21"/>
                      <w:szCs w:val="21"/>
                      <w:lang w:val="en-US" w:eastAsia="zh-CN"/>
                    </w:rPr>
                    <w:t>+喷塑固化</w:t>
                  </w:r>
                  <w:r>
                    <w:rPr>
                      <w:rFonts w:hint="eastAsia" w:ascii="宋体" w:hAnsi="宋体" w:eastAsia="宋体" w:cs="宋体"/>
                      <w:color w:val="auto"/>
                      <w:sz w:val="21"/>
                      <w:szCs w:val="21"/>
                    </w:rPr>
                    <w:t>废气处理设施出口</w:t>
                  </w:r>
                </w:p>
              </w:tc>
              <w:tc>
                <w:tcPr>
                  <w:tcW w:w="1464"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8.18</w:t>
                  </w:r>
                </w:p>
              </w:tc>
              <w:tc>
                <w:tcPr>
                  <w:tcW w:w="792"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50.0</w:t>
                  </w:r>
                </w:p>
              </w:tc>
              <w:tc>
                <w:tcPr>
                  <w:tcW w:w="840"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达标</w:t>
                  </w:r>
                </w:p>
              </w:tc>
              <w:tc>
                <w:tcPr>
                  <w:tcW w:w="1637"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c>
                <w:tcPr>
                  <w:tcW w:w="804"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c>
                <w:tcPr>
                  <w:tcW w:w="732"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9"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2021.12.16</w:t>
                  </w:r>
                </w:p>
              </w:tc>
              <w:tc>
                <w:tcPr>
                  <w:tcW w:w="1176" w:type="dxa"/>
                  <w:vMerge w:val="continue"/>
                  <w:vAlign w:val="top"/>
                </w:tcPr>
                <w:p>
                  <w:pPr>
                    <w:widowControl w:val="0"/>
                    <w:spacing w:after="21" w:line="240" w:lineRule="auto"/>
                    <w:jc w:val="center"/>
                    <w:rPr>
                      <w:rFonts w:hint="eastAsia" w:ascii="宋体" w:hAnsi="宋体" w:eastAsia="宋体" w:cs="宋体"/>
                      <w:kern w:val="0"/>
                      <w:sz w:val="21"/>
                      <w:szCs w:val="21"/>
                      <w:lang w:val="en-US" w:eastAsia="zh-CN"/>
                    </w:rPr>
                  </w:pPr>
                </w:p>
              </w:tc>
              <w:tc>
                <w:tcPr>
                  <w:tcW w:w="1464"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8.85</w:t>
                  </w:r>
                </w:p>
              </w:tc>
              <w:tc>
                <w:tcPr>
                  <w:tcW w:w="792"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50.0</w:t>
                  </w:r>
                </w:p>
              </w:tc>
              <w:tc>
                <w:tcPr>
                  <w:tcW w:w="840"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达标</w:t>
                  </w:r>
                </w:p>
              </w:tc>
              <w:tc>
                <w:tcPr>
                  <w:tcW w:w="1637"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c>
                <w:tcPr>
                  <w:tcW w:w="804"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c>
                <w:tcPr>
                  <w:tcW w:w="732"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r>
          </w:tbl>
          <w:p>
            <w:pPr>
              <w:pStyle w:val="11"/>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表 </w:t>
            </w:r>
            <w:r>
              <w:rPr>
                <w:rFonts w:hint="eastAsia" w:ascii="宋体" w:hAnsi="宋体" w:eastAsia="宋体" w:cs="宋体"/>
                <w:sz w:val="24"/>
                <w:szCs w:val="24"/>
                <w:lang w:val="en-US" w:eastAsia="zh-CN"/>
              </w:rPr>
              <w:t>7</w:t>
            </w:r>
            <w:r>
              <w:rPr>
                <w:rFonts w:hint="eastAsia" w:ascii="宋体" w:hAnsi="宋体" w:eastAsia="宋体" w:cs="宋体"/>
                <w:sz w:val="24"/>
                <w:szCs w:val="24"/>
              </w:rPr>
              <w:t>-</w:t>
            </w:r>
            <w:r>
              <w:rPr>
                <w:rFonts w:hint="eastAsia" w:ascii="宋体" w:hAnsi="宋体" w:eastAsia="宋体" w:cs="宋体"/>
                <w:sz w:val="24"/>
                <w:szCs w:val="24"/>
                <w:lang w:val="en-US" w:eastAsia="zh-CN"/>
              </w:rPr>
              <w:t>4</w:t>
            </w:r>
            <w:r>
              <w:rPr>
                <w:rFonts w:hint="eastAsia" w:ascii="宋体" w:hAnsi="宋体" w:eastAsia="宋体" w:cs="宋体"/>
                <w:sz w:val="24"/>
                <w:szCs w:val="24"/>
              </w:rPr>
              <w:t xml:space="preserve"> </w:t>
            </w:r>
            <w:r>
              <w:rPr>
                <w:rFonts w:hint="eastAsia" w:ascii="宋体" w:hAnsi="宋体" w:cs="宋体"/>
                <w:sz w:val="24"/>
                <w:szCs w:val="24"/>
                <w:lang w:val="en-US" w:eastAsia="zh-CN"/>
              </w:rPr>
              <w:t>有</w:t>
            </w:r>
            <w:r>
              <w:rPr>
                <w:rFonts w:hint="eastAsia" w:ascii="宋体" w:hAnsi="宋体" w:eastAsia="宋体" w:cs="宋体"/>
                <w:sz w:val="24"/>
                <w:szCs w:val="24"/>
                <w:lang w:eastAsia="zh-CN"/>
              </w:rPr>
              <w:t>组织</w:t>
            </w:r>
            <w:r>
              <w:rPr>
                <w:rFonts w:hint="eastAsia" w:ascii="宋体" w:hAnsi="宋体" w:eastAsia="宋体" w:cs="宋体"/>
                <w:sz w:val="24"/>
                <w:szCs w:val="24"/>
                <w:lang w:val="en-US" w:eastAsia="zh-CN"/>
              </w:rPr>
              <w:t>废气（</w:t>
            </w:r>
            <w:r>
              <w:rPr>
                <w:rFonts w:hint="default" w:ascii="宋体" w:hAnsi="宋体" w:eastAsia="宋体" w:cs="宋体"/>
                <w:sz w:val="24"/>
                <w:szCs w:val="24"/>
              </w:rPr>
              <w:t>排气筒总排口</w:t>
            </w:r>
            <w:r>
              <w:rPr>
                <w:rFonts w:hint="eastAsia" w:ascii="宋体" w:hAnsi="宋体" w:eastAsia="宋体" w:cs="宋体"/>
                <w:sz w:val="24"/>
                <w:szCs w:val="24"/>
                <w:lang w:val="en-US" w:eastAsia="zh-CN"/>
              </w:rPr>
              <w:t>）</w:t>
            </w:r>
            <w:r>
              <w:rPr>
                <w:rFonts w:hint="eastAsia" w:ascii="宋体" w:hAnsi="宋体" w:eastAsia="宋体" w:cs="宋体"/>
                <w:sz w:val="24"/>
                <w:szCs w:val="24"/>
              </w:rPr>
              <w:t>监测结果 单位：mg/m</w:t>
            </w:r>
            <w:r>
              <w:rPr>
                <w:rFonts w:hint="eastAsia" w:ascii="宋体" w:hAnsi="宋体" w:eastAsia="宋体" w:cs="宋体"/>
                <w:sz w:val="24"/>
                <w:szCs w:val="24"/>
                <w:vertAlign w:val="superscript"/>
              </w:rPr>
              <w:t>3</w:t>
            </w:r>
          </w:p>
          <w:tbl>
            <w:tblPr>
              <w:tblStyle w:val="13"/>
              <w:tblW w:w="87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9"/>
              <w:gridCol w:w="1176"/>
              <w:gridCol w:w="1464"/>
              <w:gridCol w:w="792"/>
              <w:gridCol w:w="840"/>
              <w:gridCol w:w="1637"/>
              <w:gridCol w:w="804"/>
              <w:gridCol w:w="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9" w:type="dxa"/>
                </w:tcPr>
                <w:p>
                  <w:pPr>
                    <w:widowControl w:val="0"/>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采样时间</w:t>
                  </w:r>
                </w:p>
              </w:tc>
              <w:tc>
                <w:tcPr>
                  <w:tcW w:w="1176" w:type="dxa"/>
                </w:tcPr>
                <w:p>
                  <w:pPr>
                    <w:widowControl w:val="0"/>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采样点位</w:t>
                  </w:r>
                </w:p>
              </w:tc>
              <w:tc>
                <w:tcPr>
                  <w:tcW w:w="1464"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颗粒物监测最大排放浓度</w:t>
                  </w:r>
                  <w:r>
                    <w:rPr>
                      <w:rFonts w:hint="eastAsia" w:ascii="宋体" w:hAnsi="宋体" w:eastAsia="宋体" w:cs="宋体"/>
                      <w:sz w:val="21"/>
                      <w:szCs w:val="21"/>
                      <w:lang w:eastAsia="zh-CN"/>
                    </w:rPr>
                    <w:t>（mg/m</w:t>
                  </w:r>
                  <w:r>
                    <w:rPr>
                      <w:rFonts w:hint="eastAsia" w:ascii="宋体" w:hAnsi="宋体" w:eastAsia="宋体" w:cs="宋体"/>
                      <w:color w:val="000000"/>
                      <w:kern w:val="2"/>
                      <w:sz w:val="21"/>
                      <w:szCs w:val="21"/>
                      <w:vertAlign w:val="superscript"/>
                      <w:lang w:val="en-US" w:eastAsia="zh-CN" w:bidi="ar-SA"/>
                    </w:rPr>
                    <w:t>3</w:t>
                  </w:r>
                  <w:r>
                    <w:rPr>
                      <w:rFonts w:hint="eastAsia" w:ascii="宋体" w:hAnsi="宋体" w:eastAsia="宋体" w:cs="宋体"/>
                      <w:sz w:val="21"/>
                      <w:szCs w:val="21"/>
                      <w:lang w:eastAsia="zh-CN"/>
                    </w:rPr>
                    <w:t>）</w:t>
                  </w:r>
                </w:p>
              </w:tc>
              <w:tc>
                <w:tcPr>
                  <w:tcW w:w="792"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验收标准</w:t>
                  </w:r>
                </w:p>
              </w:tc>
              <w:tc>
                <w:tcPr>
                  <w:tcW w:w="840"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达标情况</w:t>
                  </w:r>
                </w:p>
              </w:tc>
              <w:tc>
                <w:tcPr>
                  <w:tcW w:w="1637" w:type="dxa"/>
                  <w:vAlign w:val="top"/>
                </w:tcPr>
                <w:p>
                  <w:pPr>
                    <w:widowControl w:val="0"/>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甲苯二甲苯监测最大排放浓度</w:t>
                  </w:r>
                  <w:r>
                    <w:rPr>
                      <w:rFonts w:hint="eastAsia" w:ascii="宋体" w:hAnsi="宋体" w:eastAsia="宋体" w:cs="宋体"/>
                      <w:sz w:val="21"/>
                      <w:szCs w:val="21"/>
                      <w:lang w:eastAsia="zh-CN"/>
                    </w:rPr>
                    <w:t>（mg/m</w:t>
                  </w:r>
                  <w:r>
                    <w:rPr>
                      <w:rFonts w:hint="eastAsia" w:ascii="宋体" w:hAnsi="宋体" w:eastAsia="宋体" w:cs="宋体"/>
                      <w:color w:val="000000"/>
                      <w:kern w:val="2"/>
                      <w:sz w:val="21"/>
                      <w:szCs w:val="21"/>
                      <w:vertAlign w:val="superscript"/>
                      <w:lang w:val="en-US" w:eastAsia="zh-CN" w:bidi="ar-SA"/>
                    </w:rPr>
                    <w:t>3</w:t>
                  </w:r>
                  <w:r>
                    <w:rPr>
                      <w:rFonts w:hint="eastAsia" w:ascii="宋体" w:hAnsi="宋体" w:eastAsia="宋体" w:cs="宋体"/>
                      <w:sz w:val="21"/>
                      <w:szCs w:val="21"/>
                      <w:lang w:eastAsia="zh-CN"/>
                    </w:rPr>
                    <w:t>）</w:t>
                  </w:r>
                </w:p>
              </w:tc>
              <w:tc>
                <w:tcPr>
                  <w:tcW w:w="804" w:type="dxa"/>
                  <w:vAlign w:val="top"/>
                </w:tcPr>
                <w:p>
                  <w:pPr>
                    <w:widowControl w:val="0"/>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验收标准</w:t>
                  </w:r>
                </w:p>
              </w:tc>
              <w:tc>
                <w:tcPr>
                  <w:tcW w:w="732" w:type="dxa"/>
                  <w:vAlign w:val="top"/>
                </w:tcPr>
                <w:p>
                  <w:pPr>
                    <w:widowControl w:val="0"/>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达标情况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9"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2021.12.15</w:t>
                  </w:r>
                </w:p>
              </w:tc>
              <w:tc>
                <w:tcPr>
                  <w:tcW w:w="1176" w:type="dxa"/>
                  <w:vMerge w:val="restart"/>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color w:val="auto"/>
                      <w:sz w:val="21"/>
                      <w:szCs w:val="21"/>
                    </w:rPr>
                    <w:t>排气筒总排口</w:t>
                  </w:r>
                </w:p>
              </w:tc>
              <w:tc>
                <w:tcPr>
                  <w:tcW w:w="1464"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4.2</w:t>
                  </w:r>
                </w:p>
              </w:tc>
              <w:tc>
                <w:tcPr>
                  <w:tcW w:w="792"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120.0</w:t>
                  </w:r>
                </w:p>
              </w:tc>
              <w:tc>
                <w:tcPr>
                  <w:tcW w:w="840"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达标</w:t>
                  </w:r>
                </w:p>
              </w:tc>
              <w:tc>
                <w:tcPr>
                  <w:tcW w:w="1637"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甲苯0.115；二甲苯0.441</w:t>
                  </w:r>
                </w:p>
              </w:tc>
              <w:tc>
                <w:tcPr>
                  <w:tcW w:w="804"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20.0</w:t>
                  </w:r>
                </w:p>
              </w:tc>
              <w:tc>
                <w:tcPr>
                  <w:tcW w:w="732"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9"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2021.12.16</w:t>
                  </w:r>
                </w:p>
              </w:tc>
              <w:tc>
                <w:tcPr>
                  <w:tcW w:w="1176" w:type="dxa"/>
                  <w:vMerge w:val="continue"/>
                  <w:vAlign w:val="top"/>
                </w:tcPr>
                <w:p>
                  <w:pPr>
                    <w:widowControl w:val="0"/>
                    <w:spacing w:after="21" w:line="240" w:lineRule="auto"/>
                    <w:jc w:val="center"/>
                    <w:rPr>
                      <w:rFonts w:hint="eastAsia" w:ascii="宋体" w:hAnsi="宋体" w:eastAsia="宋体" w:cs="宋体"/>
                      <w:sz w:val="21"/>
                      <w:szCs w:val="21"/>
                      <w:lang w:eastAsia="zh-CN"/>
                    </w:rPr>
                  </w:pPr>
                </w:p>
              </w:tc>
              <w:tc>
                <w:tcPr>
                  <w:tcW w:w="1464"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5.1</w:t>
                  </w:r>
                </w:p>
              </w:tc>
              <w:tc>
                <w:tcPr>
                  <w:tcW w:w="792" w:type="dxa"/>
                  <w:vAlign w:val="top"/>
                </w:tcPr>
                <w:p>
                  <w:pPr>
                    <w:widowControl w:val="0"/>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120.0</w:t>
                  </w:r>
                </w:p>
              </w:tc>
              <w:tc>
                <w:tcPr>
                  <w:tcW w:w="840" w:type="dxa"/>
                  <w:vAlign w:val="top"/>
                </w:tcPr>
                <w:p>
                  <w:pPr>
                    <w:widowControl w:val="0"/>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达标</w:t>
                  </w:r>
                </w:p>
              </w:tc>
              <w:tc>
                <w:tcPr>
                  <w:tcW w:w="1637"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甲苯0.135；二甲苯0.462</w:t>
                  </w:r>
                </w:p>
              </w:tc>
              <w:tc>
                <w:tcPr>
                  <w:tcW w:w="804" w:type="dxa"/>
                  <w:vAlign w:val="top"/>
                </w:tcPr>
                <w:p>
                  <w:pPr>
                    <w:widowControl w:val="0"/>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20.0</w:t>
                  </w:r>
                </w:p>
              </w:tc>
              <w:tc>
                <w:tcPr>
                  <w:tcW w:w="732" w:type="dxa"/>
                  <w:vAlign w:val="top"/>
                </w:tcPr>
                <w:p>
                  <w:pPr>
                    <w:widowControl w:val="0"/>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9"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采样时间</w:t>
                  </w:r>
                </w:p>
              </w:tc>
              <w:tc>
                <w:tcPr>
                  <w:tcW w:w="1176" w:type="dxa"/>
                  <w:vAlign w:val="top"/>
                </w:tcPr>
                <w:p>
                  <w:pPr>
                    <w:widowControl w:val="0"/>
                    <w:spacing w:after="21" w:line="240" w:lineRule="auto"/>
                    <w:jc w:val="center"/>
                    <w:rPr>
                      <w:rFonts w:hint="eastAsia" w:ascii="宋体" w:hAnsi="宋体" w:eastAsia="宋体" w:cs="宋体"/>
                      <w:kern w:val="0"/>
                      <w:sz w:val="21"/>
                      <w:szCs w:val="21"/>
                      <w:lang w:val="en-US" w:eastAsia="zh-CN"/>
                    </w:rPr>
                  </w:pPr>
                  <w:r>
                    <w:rPr>
                      <w:rFonts w:hint="eastAsia" w:ascii="宋体" w:hAnsi="宋体" w:eastAsia="宋体" w:cs="宋体"/>
                      <w:sz w:val="21"/>
                      <w:szCs w:val="21"/>
                      <w:lang w:eastAsia="zh-CN"/>
                    </w:rPr>
                    <w:t>采样点位</w:t>
                  </w:r>
                </w:p>
              </w:tc>
              <w:tc>
                <w:tcPr>
                  <w:tcW w:w="1464"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非甲烷总烃监测最大排放浓度</w:t>
                  </w:r>
                  <w:r>
                    <w:rPr>
                      <w:rFonts w:hint="eastAsia" w:ascii="宋体" w:hAnsi="宋体" w:eastAsia="宋体" w:cs="宋体"/>
                      <w:sz w:val="21"/>
                      <w:szCs w:val="21"/>
                      <w:lang w:eastAsia="zh-CN"/>
                    </w:rPr>
                    <w:t>（mg/m</w:t>
                  </w:r>
                  <w:r>
                    <w:rPr>
                      <w:rFonts w:hint="eastAsia" w:ascii="宋体" w:hAnsi="宋体" w:eastAsia="宋体" w:cs="宋体"/>
                      <w:color w:val="000000"/>
                      <w:kern w:val="2"/>
                      <w:sz w:val="21"/>
                      <w:szCs w:val="21"/>
                      <w:vertAlign w:val="superscript"/>
                      <w:lang w:val="en-US" w:eastAsia="zh-CN" w:bidi="ar-SA"/>
                    </w:rPr>
                    <w:t>3</w:t>
                  </w:r>
                  <w:r>
                    <w:rPr>
                      <w:rFonts w:hint="eastAsia" w:ascii="宋体" w:hAnsi="宋体" w:eastAsia="宋体" w:cs="宋体"/>
                      <w:sz w:val="21"/>
                      <w:szCs w:val="21"/>
                      <w:lang w:eastAsia="zh-CN"/>
                    </w:rPr>
                    <w:t>）</w:t>
                  </w:r>
                </w:p>
              </w:tc>
              <w:tc>
                <w:tcPr>
                  <w:tcW w:w="792"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验收标准</w:t>
                  </w:r>
                </w:p>
              </w:tc>
              <w:tc>
                <w:tcPr>
                  <w:tcW w:w="840"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达标情况</w:t>
                  </w:r>
                </w:p>
              </w:tc>
              <w:tc>
                <w:tcPr>
                  <w:tcW w:w="1637"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c>
                <w:tcPr>
                  <w:tcW w:w="804"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c>
                <w:tcPr>
                  <w:tcW w:w="732"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9"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2021.12.15</w:t>
                  </w:r>
                </w:p>
              </w:tc>
              <w:tc>
                <w:tcPr>
                  <w:tcW w:w="1176" w:type="dxa"/>
                  <w:vMerge w:val="restart"/>
                  <w:vAlign w:val="top"/>
                </w:tcPr>
                <w:p>
                  <w:pPr>
                    <w:widowControl w:val="0"/>
                    <w:spacing w:after="21" w:line="240" w:lineRule="auto"/>
                    <w:jc w:val="center"/>
                    <w:rPr>
                      <w:rFonts w:hint="eastAsia" w:ascii="宋体" w:hAnsi="宋体" w:eastAsia="宋体" w:cs="宋体"/>
                      <w:kern w:val="0"/>
                      <w:sz w:val="21"/>
                      <w:szCs w:val="21"/>
                      <w:lang w:val="en-US" w:eastAsia="zh-CN"/>
                    </w:rPr>
                  </w:pPr>
                  <w:r>
                    <w:rPr>
                      <w:rFonts w:hint="eastAsia" w:ascii="宋体" w:hAnsi="宋体" w:eastAsia="宋体" w:cs="宋体"/>
                      <w:color w:val="auto"/>
                      <w:sz w:val="21"/>
                      <w:szCs w:val="21"/>
                    </w:rPr>
                    <w:t>排气筒总排口</w:t>
                  </w:r>
                </w:p>
              </w:tc>
              <w:tc>
                <w:tcPr>
                  <w:tcW w:w="1464"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6.97</w:t>
                  </w:r>
                </w:p>
              </w:tc>
              <w:tc>
                <w:tcPr>
                  <w:tcW w:w="792"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50.0</w:t>
                  </w:r>
                </w:p>
              </w:tc>
              <w:tc>
                <w:tcPr>
                  <w:tcW w:w="840"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达标</w:t>
                  </w:r>
                </w:p>
              </w:tc>
              <w:tc>
                <w:tcPr>
                  <w:tcW w:w="1637"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c>
                <w:tcPr>
                  <w:tcW w:w="804"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c>
                <w:tcPr>
                  <w:tcW w:w="732"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9"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2021.12.16</w:t>
                  </w:r>
                </w:p>
              </w:tc>
              <w:tc>
                <w:tcPr>
                  <w:tcW w:w="1176" w:type="dxa"/>
                  <w:vMerge w:val="continue"/>
                  <w:vAlign w:val="top"/>
                </w:tcPr>
                <w:p>
                  <w:pPr>
                    <w:widowControl w:val="0"/>
                    <w:spacing w:after="21" w:line="240" w:lineRule="auto"/>
                    <w:jc w:val="center"/>
                    <w:rPr>
                      <w:rFonts w:hint="eastAsia" w:ascii="宋体" w:hAnsi="宋体" w:eastAsia="宋体" w:cs="宋体"/>
                      <w:kern w:val="0"/>
                      <w:sz w:val="21"/>
                      <w:szCs w:val="21"/>
                      <w:lang w:val="en-US" w:eastAsia="zh-CN"/>
                    </w:rPr>
                  </w:pPr>
                </w:p>
              </w:tc>
              <w:tc>
                <w:tcPr>
                  <w:tcW w:w="1464"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7.01</w:t>
                  </w:r>
                </w:p>
              </w:tc>
              <w:tc>
                <w:tcPr>
                  <w:tcW w:w="792"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50.0</w:t>
                  </w:r>
                </w:p>
              </w:tc>
              <w:tc>
                <w:tcPr>
                  <w:tcW w:w="840"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达标</w:t>
                  </w:r>
                </w:p>
              </w:tc>
              <w:tc>
                <w:tcPr>
                  <w:tcW w:w="1637"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c>
                <w:tcPr>
                  <w:tcW w:w="804"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c>
                <w:tcPr>
                  <w:tcW w:w="732"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r>
          </w:tbl>
          <w:p>
            <w:pPr>
              <w:pStyle w:val="11"/>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表 </w:t>
            </w:r>
            <w:r>
              <w:rPr>
                <w:rFonts w:hint="eastAsia" w:ascii="宋体" w:hAnsi="宋体" w:eastAsia="宋体" w:cs="宋体"/>
                <w:sz w:val="24"/>
                <w:szCs w:val="24"/>
                <w:lang w:val="en-US" w:eastAsia="zh-CN"/>
              </w:rPr>
              <w:t>7</w:t>
            </w:r>
            <w:r>
              <w:rPr>
                <w:rFonts w:hint="eastAsia" w:ascii="宋体" w:hAnsi="宋体" w:eastAsia="宋体" w:cs="宋体"/>
                <w:sz w:val="24"/>
                <w:szCs w:val="24"/>
              </w:rPr>
              <w:t>-</w:t>
            </w:r>
            <w:r>
              <w:rPr>
                <w:rFonts w:hint="eastAsia" w:ascii="宋体" w:hAnsi="宋体" w:cs="宋体"/>
                <w:sz w:val="24"/>
                <w:szCs w:val="24"/>
                <w:lang w:val="en-US" w:eastAsia="zh-CN"/>
              </w:rPr>
              <w:t>5</w:t>
            </w:r>
            <w:r>
              <w:rPr>
                <w:rFonts w:hint="eastAsia" w:ascii="宋体" w:hAnsi="宋体" w:eastAsia="宋体" w:cs="宋体"/>
                <w:sz w:val="24"/>
                <w:szCs w:val="24"/>
              </w:rPr>
              <w:t xml:space="preserve"> </w:t>
            </w:r>
            <w:r>
              <w:rPr>
                <w:rFonts w:hint="eastAsia" w:ascii="宋体" w:hAnsi="宋体" w:eastAsia="宋体" w:cs="宋体"/>
                <w:sz w:val="24"/>
                <w:szCs w:val="24"/>
                <w:lang w:eastAsia="zh-CN"/>
              </w:rPr>
              <w:t>无组织</w:t>
            </w:r>
            <w:r>
              <w:rPr>
                <w:rFonts w:hint="eastAsia" w:ascii="宋体" w:hAnsi="宋体" w:cs="宋体"/>
                <w:sz w:val="24"/>
                <w:szCs w:val="24"/>
                <w:lang w:val="en-US" w:eastAsia="zh-CN"/>
              </w:rPr>
              <w:t>废气</w:t>
            </w:r>
            <w:r>
              <w:rPr>
                <w:rFonts w:hint="eastAsia" w:ascii="宋体" w:hAnsi="宋体" w:eastAsia="宋体" w:cs="宋体"/>
                <w:sz w:val="24"/>
                <w:szCs w:val="24"/>
              </w:rPr>
              <w:t>监测结果 单位：mg/m</w:t>
            </w:r>
            <w:r>
              <w:rPr>
                <w:rFonts w:hint="eastAsia" w:ascii="宋体" w:hAnsi="宋体" w:eastAsia="宋体" w:cs="宋体"/>
                <w:sz w:val="24"/>
                <w:szCs w:val="24"/>
                <w:vertAlign w:val="superscript"/>
              </w:rPr>
              <w:t>3</w:t>
            </w:r>
          </w:p>
          <w:tbl>
            <w:tblPr>
              <w:tblStyle w:val="12"/>
              <w:tblW w:w="87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1"/>
              <w:gridCol w:w="816"/>
              <w:gridCol w:w="756"/>
              <w:gridCol w:w="744"/>
              <w:gridCol w:w="684"/>
              <w:gridCol w:w="636"/>
              <w:gridCol w:w="564"/>
              <w:gridCol w:w="720"/>
              <w:gridCol w:w="586"/>
              <w:gridCol w:w="5"/>
              <w:gridCol w:w="504"/>
              <w:gridCol w:w="835"/>
              <w:gridCol w:w="600"/>
              <w:gridCol w:w="5"/>
              <w:gridCol w:w="5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761" w:type="dxa"/>
                  <w:vMerge w:val="restart"/>
                  <w:noWrap w:val="0"/>
                  <w:vAlign w:val="center"/>
                </w:tcPr>
                <w:p>
                  <w:pPr>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采样</w:t>
                  </w:r>
                </w:p>
                <w:p>
                  <w:pPr>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时间</w:t>
                  </w:r>
                </w:p>
              </w:tc>
              <w:tc>
                <w:tcPr>
                  <w:tcW w:w="2316" w:type="dxa"/>
                  <w:gridSpan w:val="3"/>
                  <w:noWrap w:val="0"/>
                  <w:vAlign w:val="center"/>
                </w:tcPr>
                <w:p>
                  <w:pPr>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颗粒物</w:t>
                  </w:r>
                  <w:r>
                    <w:rPr>
                      <w:rFonts w:hint="eastAsia" w:ascii="宋体" w:hAnsi="宋体" w:eastAsia="宋体" w:cs="宋体"/>
                      <w:sz w:val="21"/>
                      <w:szCs w:val="21"/>
                      <w:lang w:eastAsia="zh-CN"/>
                    </w:rPr>
                    <w:t>（mg/m</w:t>
                  </w:r>
                  <w:r>
                    <w:rPr>
                      <w:rFonts w:hint="eastAsia" w:ascii="宋体" w:hAnsi="宋体" w:eastAsia="宋体" w:cs="宋体"/>
                      <w:color w:val="000000"/>
                      <w:kern w:val="2"/>
                      <w:sz w:val="21"/>
                      <w:szCs w:val="21"/>
                      <w:vertAlign w:val="superscript"/>
                      <w:lang w:val="en-US" w:eastAsia="zh-CN" w:bidi="ar-SA"/>
                    </w:rPr>
                    <w:t>3</w:t>
                  </w:r>
                  <w:r>
                    <w:rPr>
                      <w:rFonts w:hint="eastAsia" w:ascii="宋体" w:hAnsi="宋体" w:eastAsia="宋体" w:cs="宋体"/>
                      <w:sz w:val="21"/>
                      <w:szCs w:val="21"/>
                      <w:lang w:eastAsia="zh-CN"/>
                    </w:rPr>
                    <w:t>）</w:t>
                  </w:r>
                </w:p>
              </w:tc>
              <w:tc>
                <w:tcPr>
                  <w:tcW w:w="1884" w:type="dxa"/>
                  <w:gridSpan w:val="3"/>
                  <w:noWrap w:val="0"/>
                  <w:vAlign w:val="center"/>
                </w:tcPr>
                <w:p>
                  <w:pPr>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非甲烷总</w:t>
                  </w:r>
                  <w:r>
                    <w:rPr>
                      <w:rFonts w:hint="eastAsia" w:ascii="宋体" w:hAnsi="宋体" w:eastAsia="宋体" w:cs="宋体"/>
                      <w:sz w:val="21"/>
                      <w:szCs w:val="21"/>
                      <w:lang w:eastAsia="zh-CN"/>
                    </w:rPr>
                    <w:t>（mg/m</w:t>
                  </w:r>
                  <w:r>
                    <w:rPr>
                      <w:rFonts w:hint="eastAsia" w:ascii="宋体" w:hAnsi="宋体" w:eastAsia="宋体" w:cs="宋体"/>
                      <w:color w:val="000000"/>
                      <w:kern w:val="2"/>
                      <w:sz w:val="21"/>
                      <w:szCs w:val="21"/>
                      <w:vertAlign w:val="superscript"/>
                      <w:lang w:val="en-US" w:eastAsia="zh-CN" w:bidi="ar-SA"/>
                    </w:rPr>
                    <w:t>3</w:t>
                  </w:r>
                  <w:r>
                    <w:rPr>
                      <w:rFonts w:hint="eastAsia" w:ascii="宋体" w:hAnsi="宋体" w:eastAsia="宋体" w:cs="宋体"/>
                      <w:sz w:val="21"/>
                      <w:szCs w:val="21"/>
                      <w:lang w:eastAsia="zh-CN"/>
                    </w:rPr>
                    <w:t>）</w:t>
                  </w:r>
                </w:p>
              </w:tc>
              <w:tc>
                <w:tcPr>
                  <w:tcW w:w="1815" w:type="dxa"/>
                  <w:gridSpan w:val="4"/>
                  <w:noWrap w:val="0"/>
                  <w:vAlign w:val="center"/>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甲苯</w:t>
                  </w:r>
                  <w:r>
                    <w:rPr>
                      <w:rFonts w:hint="eastAsia" w:ascii="宋体" w:hAnsi="宋体" w:eastAsia="宋体" w:cs="宋体"/>
                      <w:sz w:val="21"/>
                      <w:szCs w:val="21"/>
                      <w:lang w:eastAsia="zh-CN"/>
                    </w:rPr>
                    <w:t>（mg/m</w:t>
                  </w:r>
                  <w:r>
                    <w:rPr>
                      <w:rFonts w:hint="eastAsia" w:ascii="宋体" w:hAnsi="宋体" w:eastAsia="宋体" w:cs="宋体"/>
                      <w:color w:val="000000"/>
                      <w:kern w:val="2"/>
                      <w:sz w:val="21"/>
                      <w:szCs w:val="21"/>
                      <w:vertAlign w:val="superscript"/>
                      <w:lang w:val="en-US" w:eastAsia="zh-CN" w:bidi="ar-SA"/>
                    </w:rPr>
                    <w:t>3</w:t>
                  </w:r>
                  <w:r>
                    <w:rPr>
                      <w:rFonts w:hint="eastAsia" w:ascii="宋体" w:hAnsi="宋体" w:eastAsia="宋体" w:cs="宋体"/>
                      <w:sz w:val="21"/>
                      <w:szCs w:val="21"/>
                      <w:lang w:eastAsia="zh-CN"/>
                    </w:rPr>
                    <w:t>）</w:t>
                  </w:r>
                </w:p>
              </w:tc>
              <w:tc>
                <w:tcPr>
                  <w:tcW w:w="1958" w:type="dxa"/>
                  <w:gridSpan w:val="4"/>
                  <w:noWrap w:val="0"/>
                  <w:vAlign w:val="center"/>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二甲苯</w:t>
                  </w:r>
                  <w:r>
                    <w:rPr>
                      <w:rFonts w:hint="eastAsia" w:ascii="宋体" w:hAnsi="宋体" w:eastAsia="宋体" w:cs="宋体"/>
                      <w:sz w:val="21"/>
                      <w:szCs w:val="21"/>
                      <w:lang w:eastAsia="zh-CN"/>
                    </w:rPr>
                    <w:t>（mg/m</w:t>
                  </w:r>
                  <w:r>
                    <w:rPr>
                      <w:rFonts w:hint="eastAsia" w:ascii="宋体" w:hAnsi="宋体" w:eastAsia="宋体" w:cs="宋体"/>
                      <w:color w:val="000000"/>
                      <w:kern w:val="2"/>
                      <w:sz w:val="21"/>
                      <w:szCs w:val="21"/>
                      <w:vertAlign w:val="superscript"/>
                      <w:lang w:val="en-US" w:eastAsia="zh-CN" w:bidi="ar-SA"/>
                    </w:rPr>
                    <w:t>3</w:t>
                  </w:r>
                  <w:r>
                    <w:rPr>
                      <w:rFonts w:hint="eastAsia" w:ascii="宋体" w:hAnsi="宋体" w:eastAsia="宋体" w:cs="宋体"/>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70" w:hRule="atLeast"/>
                <w:jc w:val="center"/>
              </w:trPr>
              <w:tc>
                <w:tcPr>
                  <w:tcW w:w="761" w:type="dxa"/>
                  <w:vMerge w:val="continue"/>
                  <w:noWrap w:val="0"/>
                  <w:vAlign w:val="center"/>
                </w:tcPr>
                <w:p>
                  <w:pPr>
                    <w:spacing w:after="21" w:line="240" w:lineRule="auto"/>
                    <w:jc w:val="center"/>
                    <w:rPr>
                      <w:rFonts w:hint="eastAsia" w:ascii="宋体" w:hAnsi="宋体" w:eastAsia="宋体" w:cs="宋体"/>
                      <w:sz w:val="21"/>
                      <w:szCs w:val="21"/>
                      <w:lang w:eastAsia="zh-CN"/>
                    </w:rPr>
                  </w:pPr>
                </w:p>
              </w:tc>
              <w:tc>
                <w:tcPr>
                  <w:tcW w:w="816" w:type="dxa"/>
                  <w:tcBorders>
                    <w:bottom w:val="single" w:color="auto" w:sz="4" w:space="0"/>
                  </w:tcBorders>
                  <w:noWrap w:val="0"/>
                  <w:vAlign w:val="center"/>
                </w:tcPr>
                <w:p>
                  <w:pPr>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厂周界最大浓度值</w:t>
                  </w:r>
                </w:p>
              </w:tc>
              <w:tc>
                <w:tcPr>
                  <w:tcW w:w="756" w:type="dxa"/>
                  <w:tcBorders>
                    <w:bottom w:val="single" w:color="auto" w:sz="4" w:space="0"/>
                  </w:tcBorders>
                  <w:noWrap w:val="0"/>
                  <w:vAlign w:val="center"/>
                </w:tcPr>
                <w:p>
                  <w:pPr>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验收标准</w:t>
                  </w:r>
                </w:p>
              </w:tc>
              <w:tc>
                <w:tcPr>
                  <w:tcW w:w="744" w:type="dxa"/>
                  <w:tcBorders>
                    <w:bottom w:val="single" w:color="auto" w:sz="4" w:space="0"/>
                  </w:tcBorders>
                  <w:noWrap w:val="0"/>
                  <w:vAlign w:val="center"/>
                </w:tcPr>
                <w:p>
                  <w:pPr>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达标情况</w:t>
                  </w:r>
                </w:p>
              </w:tc>
              <w:tc>
                <w:tcPr>
                  <w:tcW w:w="684" w:type="dxa"/>
                  <w:tcBorders>
                    <w:bottom w:val="single" w:color="auto" w:sz="4" w:space="0"/>
                  </w:tcBorders>
                  <w:noWrap w:val="0"/>
                  <w:vAlign w:val="center"/>
                </w:tcPr>
                <w:p>
                  <w:pPr>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厂周界最大浓度值</w:t>
                  </w:r>
                </w:p>
              </w:tc>
              <w:tc>
                <w:tcPr>
                  <w:tcW w:w="636" w:type="dxa"/>
                  <w:tcBorders>
                    <w:bottom w:val="single" w:color="auto" w:sz="4" w:space="0"/>
                  </w:tcBorders>
                  <w:noWrap w:val="0"/>
                  <w:vAlign w:val="center"/>
                </w:tcPr>
                <w:p>
                  <w:pPr>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验收标准</w:t>
                  </w:r>
                </w:p>
              </w:tc>
              <w:tc>
                <w:tcPr>
                  <w:tcW w:w="564" w:type="dxa"/>
                  <w:tcBorders>
                    <w:bottom w:val="single" w:color="auto" w:sz="4" w:space="0"/>
                  </w:tcBorders>
                  <w:noWrap w:val="0"/>
                  <w:vAlign w:val="center"/>
                </w:tcPr>
                <w:p>
                  <w:pPr>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达标情况</w:t>
                  </w:r>
                </w:p>
              </w:tc>
              <w:tc>
                <w:tcPr>
                  <w:tcW w:w="720" w:type="dxa"/>
                  <w:tcBorders>
                    <w:bottom w:val="single" w:color="auto" w:sz="4" w:space="0"/>
                  </w:tcBorders>
                  <w:noWrap w:val="0"/>
                  <w:vAlign w:val="center"/>
                </w:tcPr>
                <w:p>
                  <w:pPr>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厂周界最大浓度值</w:t>
                  </w:r>
                </w:p>
              </w:tc>
              <w:tc>
                <w:tcPr>
                  <w:tcW w:w="586" w:type="dxa"/>
                  <w:tcBorders>
                    <w:bottom w:val="single" w:color="auto" w:sz="4" w:space="0"/>
                  </w:tcBorders>
                  <w:noWrap w:val="0"/>
                  <w:vAlign w:val="center"/>
                </w:tcPr>
                <w:p>
                  <w:pPr>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验收标准</w:t>
                  </w:r>
                </w:p>
              </w:tc>
              <w:tc>
                <w:tcPr>
                  <w:tcW w:w="509" w:type="dxa"/>
                  <w:gridSpan w:val="2"/>
                  <w:tcBorders>
                    <w:bottom w:val="single" w:color="auto" w:sz="4" w:space="0"/>
                  </w:tcBorders>
                  <w:noWrap w:val="0"/>
                  <w:vAlign w:val="center"/>
                </w:tcPr>
                <w:p>
                  <w:pPr>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达标情况</w:t>
                  </w:r>
                </w:p>
              </w:tc>
              <w:tc>
                <w:tcPr>
                  <w:tcW w:w="835" w:type="dxa"/>
                  <w:tcBorders>
                    <w:bottom w:val="single" w:color="auto" w:sz="4" w:space="0"/>
                  </w:tcBorders>
                  <w:noWrap w:val="0"/>
                  <w:vAlign w:val="center"/>
                </w:tcPr>
                <w:p>
                  <w:pPr>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厂周界最大浓度值</w:t>
                  </w:r>
                </w:p>
              </w:tc>
              <w:tc>
                <w:tcPr>
                  <w:tcW w:w="600" w:type="dxa"/>
                  <w:tcBorders>
                    <w:bottom w:val="single" w:color="auto" w:sz="4" w:space="0"/>
                  </w:tcBorders>
                  <w:noWrap w:val="0"/>
                  <w:vAlign w:val="center"/>
                </w:tcPr>
                <w:p>
                  <w:pPr>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验收标准</w:t>
                  </w:r>
                </w:p>
              </w:tc>
              <w:tc>
                <w:tcPr>
                  <w:tcW w:w="523" w:type="dxa"/>
                  <w:gridSpan w:val="2"/>
                  <w:tcBorders>
                    <w:bottom w:val="single" w:color="auto" w:sz="4" w:space="0"/>
                  </w:tcBorders>
                  <w:noWrap w:val="0"/>
                  <w:vAlign w:val="center"/>
                </w:tcPr>
                <w:p>
                  <w:pPr>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达标情况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6" w:hRule="atLeast"/>
                <w:jc w:val="center"/>
              </w:trPr>
              <w:tc>
                <w:tcPr>
                  <w:tcW w:w="761" w:type="dxa"/>
                  <w:noWrap w:val="0"/>
                  <w:vAlign w:val="center"/>
                </w:tcPr>
                <w:p>
                  <w:pPr>
                    <w:spacing w:after="21" w:line="240" w:lineRule="auto"/>
                    <w:jc w:val="center"/>
                    <w:rPr>
                      <w:rFonts w:hint="eastAsia" w:ascii="宋体" w:hAnsi="宋体" w:eastAsia="宋体" w:cs="宋体"/>
                      <w:sz w:val="21"/>
                      <w:szCs w:val="21"/>
                      <w:lang w:val="en-US" w:eastAsia="zh-CN"/>
                    </w:rPr>
                  </w:pPr>
                  <w:r>
                    <w:rPr>
                      <w:rFonts w:hint="default" w:ascii="宋体" w:hAnsi="宋体" w:eastAsia="宋体" w:cs="宋体"/>
                      <w:sz w:val="21"/>
                      <w:szCs w:val="21"/>
                      <w:lang w:val="en-US" w:eastAsia="zh-CN"/>
                    </w:rPr>
                    <w:t>2021.12.15</w:t>
                  </w:r>
                </w:p>
              </w:tc>
              <w:tc>
                <w:tcPr>
                  <w:tcW w:w="816" w:type="dxa"/>
                  <w:noWrap w:val="0"/>
                  <w:vAlign w:val="center"/>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0.312</w:t>
                  </w:r>
                </w:p>
              </w:tc>
              <w:tc>
                <w:tcPr>
                  <w:tcW w:w="756" w:type="dxa"/>
                  <w:noWrap w:val="0"/>
                  <w:vAlign w:val="center"/>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744" w:type="dxa"/>
                  <w:noWrap w:val="0"/>
                  <w:vAlign w:val="center"/>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达标</w:t>
                  </w:r>
                </w:p>
              </w:tc>
              <w:tc>
                <w:tcPr>
                  <w:tcW w:w="684" w:type="dxa"/>
                  <w:noWrap w:val="0"/>
                  <w:vAlign w:val="center"/>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0.68</w:t>
                  </w:r>
                </w:p>
              </w:tc>
              <w:tc>
                <w:tcPr>
                  <w:tcW w:w="636" w:type="dxa"/>
                  <w:noWrap w:val="0"/>
                  <w:vAlign w:val="center"/>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2.0</w:t>
                  </w:r>
                </w:p>
              </w:tc>
              <w:tc>
                <w:tcPr>
                  <w:tcW w:w="564" w:type="dxa"/>
                  <w:noWrap w:val="0"/>
                  <w:vAlign w:val="center"/>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达标</w:t>
                  </w:r>
                </w:p>
              </w:tc>
              <w:tc>
                <w:tcPr>
                  <w:tcW w:w="720" w:type="dxa"/>
                  <w:noWrap w:val="0"/>
                  <w:vAlign w:val="center"/>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0.0032</w:t>
                  </w:r>
                </w:p>
              </w:tc>
              <w:tc>
                <w:tcPr>
                  <w:tcW w:w="591" w:type="dxa"/>
                  <w:gridSpan w:val="2"/>
                  <w:noWrap w:val="0"/>
                  <w:vAlign w:val="center"/>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0.6</w:t>
                  </w:r>
                </w:p>
              </w:tc>
              <w:tc>
                <w:tcPr>
                  <w:tcW w:w="504" w:type="dxa"/>
                  <w:noWrap w:val="0"/>
                  <w:vAlign w:val="center"/>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达标</w:t>
                  </w:r>
                </w:p>
              </w:tc>
              <w:tc>
                <w:tcPr>
                  <w:tcW w:w="835" w:type="dxa"/>
                  <w:noWrap w:val="0"/>
                  <w:vAlign w:val="center"/>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0.0080</w:t>
                  </w:r>
                </w:p>
              </w:tc>
              <w:tc>
                <w:tcPr>
                  <w:tcW w:w="605" w:type="dxa"/>
                  <w:gridSpan w:val="2"/>
                  <w:noWrap w:val="0"/>
                  <w:vAlign w:val="center"/>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0.2</w:t>
                  </w:r>
                </w:p>
              </w:tc>
              <w:tc>
                <w:tcPr>
                  <w:tcW w:w="518" w:type="dxa"/>
                  <w:noWrap w:val="0"/>
                  <w:vAlign w:val="center"/>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6" w:hRule="atLeast"/>
                <w:jc w:val="center"/>
              </w:trPr>
              <w:tc>
                <w:tcPr>
                  <w:tcW w:w="761" w:type="dxa"/>
                  <w:noWrap w:val="0"/>
                  <w:vAlign w:val="center"/>
                </w:tcPr>
                <w:p>
                  <w:pPr>
                    <w:spacing w:after="21" w:line="240" w:lineRule="auto"/>
                    <w:jc w:val="center"/>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2021.12.1</w:t>
                  </w:r>
                  <w:r>
                    <w:rPr>
                      <w:rFonts w:hint="eastAsia" w:ascii="宋体" w:hAnsi="宋体" w:eastAsia="宋体" w:cs="宋体"/>
                      <w:sz w:val="21"/>
                      <w:szCs w:val="21"/>
                      <w:lang w:val="en-US" w:eastAsia="zh-CN"/>
                    </w:rPr>
                    <w:t>6</w:t>
                  </w:r>
                </w:p>
              </w:tc>
              <w:tc>
                <w:tcPr>
                  <w:tcW w:w="816" w:type="dxa"/>
                  <w:noWrap w:val="0"/>
                  <w:vAlign w:val="center"/>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0.312</w:t>
                  </w:r>
                </w:p>
              </w:tc>
              <w:tc>
                <w:tcPr>
                  <w:tcW w:w="756" w:type="dxa"/>
                  <w:noWrap w:val="0"/>
                  <w:vAlign w:val="center"/>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744" w:type="dxa"/>
                  <w:noWrap w:val="0"/>
                  <w:vAlign w:val="center"/>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达标</w:t>
                  </w:r>
                </w:p>
              </w:tc>
              <w:tc>
                <w:tcPr>
                  <w:tcW w:w="684" w:type="dxa"/>
                  <w:noWrap w:val="0"/>
                  <w:vAlign w:val="center"/>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0.72</w:t>
                  </w:r>
                </w:p>
              </w:tc>
              <w:tc>
                <w:tcPr>
                  <w:tcW w:w="636" w:type="dxa"/>
                  <w:noWrap w:val="0"/>
                  <w:vAlign w:val="center"/>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2.0</w:t>
                  </w:r>
                </w:p>
              </w:tc>
              <w:tc>
                <w:tcPr>
                  <w:tcW w:w="564" w:type="dxa"/>
                  <w:noWrap w:val="0"/>
                  <w:vAlign w:val="center"/>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达标</w:t>
                  </w:r>
                </w:p>
              </w:tc>
              <w:tc>
                <w:tcPr>
                  <w:tcW w:w="720" w:type="dxa"/>
                  <w:noWrap w:val="0"/>
                  <w:vAlign w:val="center"/>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0.0032</w:t>
                  </w:r>
                </w:p>
              </w:tc>
              <w:tc>
                <w:tcPr>
                  <w:tcW w:w="591" w:type="dxa"/>
                  <w:gridSpan w:val="2"/>
                  <w:noWrap w:val="0"/>
                  <w:vAlign w:val="center"/>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0.6</w:t>
                  </w:r>
                </w:p>
              </w:tc>
              <w:tc>
                <w:tcPr>
                  <w:tcW w:w="504" w:type="dxa"/>
                  <w:noWrap w:val="0"/>
                  <w:vAlign w:val="center"/>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达标</w:t>
                  </w:r>
                </w:p>
              </w:tc>
              <w:tc>
                <w:tcPr>
                  <w:tcW w:w="835" w:type="dxa"/>
                  <w:noWrap w:val="0"/>
                  <w:vAlign w:val="center"/>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0.0076</w:t>
                  </w:r>
                </w:p>
              </w:tc>
              <w:tc>
                <w:tcPr>
                  <w:tcW w:w="605" w:type="dxa"/>
                  <w:gridSpan w:val="2"/>
                  <w:noWrap w:val="0"/>
                  <w:vAlign w:val="center"/>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0.2</w:t>
                  </w:r>
                </w:p>
              </w:tc>
              <w:tc>
                <w:tcPr>
                  <w:tcW w:w="518" w:type="dxa"/>
                  <w:noWrap w:val="0"/>
                  <w:vAlign w:val="center"/>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达标</w:t>
                  </w:r>
                </w:p>
              </w:tc>
            </w:tr>
          </w:tbl>
          <w:p>
            <w:pPr>
              <w:widowControl w:val="0"/>
              <w:spacing w:after="21" w:line="360" w:lineRule="auto"/>
              <w:ind w:firstLine="480" w:firstLineChars="200"/>
              <w:jc w:val="both"/>
              <w:rPr>
                <w:rFonts w:hint="eastAsia" w:ascii="宋体" w:hAnsi="宋体" w:eastAsia="宋体" w:cs="宋体"/>
                <w:color w:val="auto"/>
                <w:sz w:val="24"/>
                <w:lang w:val="en-US" w:eastAsia="zh-CN"/>
              </w:rPr>
            </w:pPr>
            <w:r>
              <w:rPr>
                <w:rFonts w:hint="eastAsia" w:ascii="宋体" w:hAnsi="宋体" w:eastAsia="宋体" w:cs="宋体"/>
                <w:color w:val="auto"/>
                <w:sz w:val="24"/>
              </w:rPr>
              <w:t>根据</w:t>
            </w:r>
            <w:r>
              <w:rPr>
                <w:rFonts w:hint="eastAsia" w:ascii="宋体" w:hAnsi="宋体" w:eastAsia="宋体" w:cs="宋体"/>
                <w:color w:val="auto"/>
                <w:sz w:val="24"/>
                <w:lang w:val="en-US" w:eastAsia="zh-CN"/>
              </w:rPr>
              <w:t>表7-2</w:t>
            </w:r>
            <w:r>
              <w:rPr>
                <w:rFonts w:hint="eastAsia" w:ascii="宋体" w:hAnsi="宋体" w:eastAsia="宋体" w:cs="宋体"/>
                <w:color w:val="auto"/>
                <w:sz w:val="24"/>
              </w:rPr>
              <w:t>监测结果可知，验收期间</w:t>
            </w:r>
            <w:r>
              <w:rPr>
                <w:rFonts w:hint="eastAsia" w:ascii="宋体" w:hAnsi="宋体" w:eastAsia="宋体" w:cs="宋体"/>
                <w:color w:val="auto"/>
                <w:sz w:val="24"/>
                <w:lang w:val="en-US" w:eastAsia="zh-CN"/>
              </w:rPr>
              <w:t>焊接和喷塑产生的颗粒物有组织排放</w:t>
            </w:r>
            <w:r>
              <w:rPr>
                <w:rFonts w:hint="eastAsia" w:ascii="宋体" w:hAnsi="宋体" w:eastAsia="宋体" w:cs="宋体"/>
                <w:color w:val="auto"/>
                <w:sz w:val="24"/>
                <w:lang w:eastAsia="zh-CN"/>
              </w:rPr>
              <w:t>最大</w:t>
            </w:r>
            <w:r>
              <w:rPr>
                <w:rFonts w:hint="eastAsia" w:ascii="宋体" w:hAnsi="宋体" w:eastAsia="宋体" w:cs="宋体"/>
                <w:color w:val="auto"/>
                <w:sz w:val="24"/>
              </w:rPr>
              <w:t>浓度</w:t>
            </w:r>
            <w:r>
              <w:rPr>
                <w:rFonts w:hint="eastAsia" w:ascii="宋体" w:hAnsi="宋体" w:eastAsia="宋体" w:cs="宋体"/>
                <w:color w:val="auto"/>
                <w:sz w:val="24"/>
                <w:lang w:eastAsia="zh-CN"/>
              </w:rPr>
              <w:t>值</w:t>
            </w:r>
            <w:r>
              <w:rPr>
                <w:rFonts w:hint="eastAsia" w:ascii="宋体" w:hAnsi="宋体" w:eastAsia="宋体" w:cs="宋体"/>
                <w:color w:val="auto"/>
                <w:sz w:val="24"/>
              </w:rPr>
              <w:t>为</w:t>
            </w:r>
            <w:r>
              <w:rPr>
                <w:rFonts w:hint="eastAsia" w:ascii="宋体" w:hAnsi="宋体" w:eastAsia="宋体" w:cs="宋体"/>
                <w:color w:val="auto"/>
                <w:sz w:val="24"/>
                <w:lang w:val="en-US" w:eastAsia="zh-CN"/>
              </w:rPr>
              <w:t>4.8</w:t>
            </w:r>
            <w:r>
              <w:rPr>
                <w:rFonts w:hint="eastAsia" w:ascii="宋体" w:hAnsi="宋体" w:eastAsia="宋体" w:cs="宋体"/>
                <w:color w:val="auto"/>
                <w:sz w:val="24"/>
              </w:rPr>
              <w:t>mg/m</w:t>
            </w:r>
            <w:r>
              <w:rPr>
                <w:rFonts w:hint="eastAsia" w:ascii="宋体" w:hAnsi="宋体" w:eastAsia="宋体" w:cs="宋体"/>
                <w:color w:val="auto"/>
                <w:sz w:val="24"/>
                <w:vertAlign w:val="superscript"/>
              </w:rPr>
              <w:t>3</w:t>
            </w:r>
            <w:r>
              <w:rPr>
                <w:rFonts w:hint="eastAsia" w:ascii="宋体" w:hAnsi="宋体" w:eastAsia="宋体" w:cs="宋体"/>
                <w:color w:val="auto"/>
                <w:sz w:val="24"/>
              </w:rPr>
              <w:t>，</w:t>
            </w:r>
            <w:r>
              <w:rPr>
                <w:rFonts w:hint="eastAsia" w:ascii="宋体" w:hAnsi="宋体" w:eastAsia="宋体" w:cs="宋体"/>
                <w:color w:val="auto"/>
                <w:sz w:val="24"/>
                <w:lang w:val="en-US" w:eastAsia="zh-CN"/>
              </w:rPr>
              <w:t>可满</w:t>
            </w:r>
            <w:r>
              <w:rPr>
                <w:rFonts w:hint="eastAsia" w:ascii="宋体" w:hAnsi="宋体" w:eastAsia="宋体" w:cs="宋体"/>
                <w:color w:val="auto"/>
                <w:sz w:val="24"/>
              </w:rPr>
              <w:t>足</w:t>
            </w:r>
            <w:r>
              <w:rPr>
                <w:rFonts w:hint="eastAsia" w:ascii="宋体" w:hAnsi="宋体" w:eastAsia="宋体" w:cs="宋体"/>
                <w:color w:val="auto"/>
                <w:sz w:val="24"/>
                <w:lang w:val="en-US" w:eastAsia="zh-CN"/>
              </w:rPr>
              <w:t>《大气污染物综合排放标准》（GB16297-1996）表2二级的要求。</w:t>
            </w:r>
          </w:p>
          <w:p>
            <w:pPr>
              <w:widowControl w:val="0"/>
              <w:spacing w:after="0" w:line="360" w:lineRule="auto"/>
              <w:ind w:firstLine="480" w:firstLineChars="200"/>
              <w:contextualSpacing/>
              <w:jc w:val="both"/>
              <w:rPr>
                <w:rFonts w:hint="eastAsia" w:ascii="宋体" w:hAnsi="宋体" w:eastAsia="宋体" w:cs="宋体"/>
                <w:bCs/>
                <w:sz w:val="24"/>
                <w:szCs w:val="24"/>
                <w:lang w:val="en-US" w:eastAsia="zh-CN"/>
              </w:rPr>
            </w:pPr>
            <w:r>
              <w:rPr>
                <w:rFonts w:hint="eastAsia" w:ascii="宋体" w:hAnsi="宋体" w:eastAsia="宋体" w:cs="宋体"/>
                <w:color w:val="auto"/>
                <w:sz w:val="24"/>
              </w:rPr>
              <w:t>根据</w:t>
            </w:r>
            <w:r>
              <w:rPr>
                <w:rFonts w:hint="eastAsia" w:ascii="宋体" w:hAnsi="宋体" w:eastAsia="宋体" w:cs="宋体"/>
                <w:color w:val="auto"/>
                <w:sz w:val="24"/>
                <w:lang w:val="en-US" w:eastAsia="zh-CN"/>
              </w:rPr>
              <w:t>表7-3</w:t>
            </w:r>
            <w:r>
              <w:rPr>
                <w:rFonts w:hint="eastAsia" w:ascii="宋体" w:hAnsi="宋体" w:eastAsia="宋体" w:cs="宋体"/>
                <w:color w:val="auto"/>
                <w:sz w:val="24"/>
              </w:rPr>
              <w:t>监测结果可知，验收期间</w:t>
            </w:r>
            <w:r>
              <w:rPr>
                <w:rFonts w:hint="eastAsia" w:ascii="宋体" w:hAnsi="宋体" w:eastAsia="宋体" w:cs="宋体"/>
                <w:color w:val="auto"/>
                <w:sz w:val="24"/>
                <w:lang w:val="en-US" w:eastAsia="zh-CN"/>
              </w:rPr>
              <w:t>喷漆工序产生的漆雾有组织排放</w:t>
            </w:r>
            <w:r>
              <w:rPr>
                <w:rFonts w:hint="eastAsia" w:ascii="宋体" w:hAnsi="宋体" w:eastAsia="宋体" w:cs="宋体"/>
                <w:color w:val="auto"/>
                <w:sz w:val="24"/>
                <w:lang w:eastAsia="zh-CN"/>
              </w:rPr>
              <w:t>最大</w:t>
            </w:r>
            <w:r>
              <w:rPr>
                <w:rFonts w:hint="eastAsia" w:ascii="宋体" w:hAnsi="宋体" w:eastAsia="宋体" w:cs="宋体"/>
                <w:color w:val="auto"/>
                <w:sz w:val="24"/>
              </w:rPr>
              <w:t>浓度</w:t>
            </w:r>
            <w:r>
              <w:rPr>
                <w:rFonts w:hint="eastAsia" w:ascii="宋体" w:hAnsi="宋体" w:eastAsia="宋体" w:cs="宋体"/>
                <w:color w:val="auto"/>
                <w:sz w:val="24"/>
                <w:lang w:eastAsia="zh-CN"/>
              </w:rPr>
              <w:t>值</w:t>
            </w:r>
            <w:r>
              <w:rPr>
                <w:rFonts w:hint="eastAsia" w:ascii="宋体" w:hAnsi="宋体" w:eastAsia="宋体" w:cs="宋体"/>
                <w:color w:val="auto"/>
                <w:sz w:val="24"/>
              </w:rPr>
              <w:t>为</w:t>
            </w:r>
            <w:r>
              <w:rPr>
                <w:rFonts w:hint="eastAsia" w:ascii="宋体" w:hAnsi="宋体" w:eastAsia="宋体" w:cs="宋体"/>
                <w:color w:val="auto"/>
                <w:sz w:val="24"/>
                <w:lang w:val="en-US" w:eastAsia="zh-CN"/>
              </w:rPr>
              <w:t>6.0</w:t>
            </w:r>
            <w:r>
              <w:rPr>
                <w:rFonts w:hint="eastAsia" w:ascii="宋体" w:hAnsi="宋体" w:eastAsia="宋体" w:cs="宋体"/>
                <w:color w:val="auto"/>
                <w:sz w:val="24"/>
              </w:rPr>
              <w:t>mg/m</w:t>
            </w:r>
            <w:r>
              <w:rPr>
                <w:rFonts w:hint="eastAsia" w:ascii="宋体" w:hAnsi="宋体" w:eastAsia="宋体" w:cs="宋体"/>
                <w:color w:val="auto"/>
                <w:sz w:val="24"/>
                <w:vertAlign w:val="superscript"/>
              </w:rPr>
              <w:t>3</w:t>
            </w:r>
            <w:r>
              <w:rPr>
                <w:rFonts w:hint="eastAsia" w:ascii="宋体" w:hAnsi="宋体" w:eastAsia="宋体" w:cs="宋体"/>
                <w:color w:val="auto"/>
                <w:sz w:val="24"/>
              </w:rPr>
              <w:t>，</w:t>
            </w:r>
            <w:r>
              <w:rPr>
                <w:rFonts w:hint="eastAsia" w:ascii="宋体" w:hAnsi="宋体" w:eastAsia="宋体" w:cs="宋体"/>
                <w:color w:val="auto"/>
                <w:sz w:val="24"/>
                <w:lang w:val="en-US" w:eastAsia="zh-CN"/>
              </w:rPr>
              <w:t>可满</w:t>
            </w:r>
            <w:r>
              <w:rPr>
                <w:rFonts w:hint="eastAsia" w:ascii="宋体" w:hAnsi="宋体" w:eastAsia="宋体" w:cs="宋体"/>
                <w:color w:val="auto"/>
                <w:sz w:val="24"/>
              </w:rPr>
              <w:t>足</w:t>
            </w:r>
            <w:r>
              <w:rPr>
                <w:rFonts w:hint="eastAsia" w:ascii="宋体" w:hAnsi="宋体" w:eastAsia="宋体" w:cs="宋体"/>
                <w:color w:val="auto"/>
                <w:sz w:val="24"/>
                <w:lang w:val="en-US" w:eastAsia="zh-CN"/>
              </w:rPr>
              <w:t>《大气污染物综合排放标准》（GB16297-1996）表2二级的要求</w:t>
            </w:r>
            <w:r>
              <w:rPr>
                <w:rFonts w:hint="eastAsia" w:ascii="宋体" w:hAnsi="宋体" w:eastAsia="宋体" w:cs="宋体"/>
                <w:color w:val="auto"/>
                <w:kern w:val="2"/>
                <w:sz w:val="24"/>
                <w:szCs w:val="24"/>
                <w:lang w:val="en-US" w:eastAsia="zh-CN" w:bidi="ar-SA"/>
              </w:rPr>
              <w:t>；</w:t>
            </w:r>
            <w:r>
              <w:rPr>
                <w:rFonts w:hint="eastAsia" w:ascii="宋体" w:hAnsi="宋体" w:eastAsia="宋体" w:cs="宋体"/>
                <w:color w:val="auto"/>
                <w:sz w:val="24"/>
                <w:szCs w:val="24"/>
                <w:lang w:val="en-US" w:eastAsia="zh-CN"/>
              </w:rPr>
              <w:t>非甲烷总烃</w:t>
            </w:r>
            <w:r>
              <w:rPr>
                <w:rFonts w:hint="eastAsia" w:ascii="宋体" w:hAnsi="宋体" w:eastAsia="宋体" w:cs="宋体"/>
                <w:color w:val="auto"/>
                <w:sz w:val="24"/>
                <w:lang w:val="en-US" w:eastAsia="zh-CN"/>
              </w:rPr>
              <w:t>有组织排放</w:t>
            </w:r>
            <w:r>
              <w:rPr>
                <w:rFonts w:hint="eastAsia" w:ascii="宋体" w:hAnsi="宋体" w:eastAsia="宋体" w:cs="宋体"/>
                <w:color w:val="auto"/>
                <w:sz w:val="24"/>
                <w:lang w:eastAsia="zh-CN"/>
              </w:rPr>
              <w:t>最大</w:t>
            </w:r>
            <w:r>
              <w:rPr>
                <w:rFonts w:hint="eastAsia" w:ascii="宋体" w:hAnsi="宋体" w:eastAsia="宋体" w:cs="宋体"/>
                <w:color w:val="auto"/>
                <w:sz w:val="24"/>
              </w:rPr>
              <w:t>浓度</w:t>
            </w:r>
            <w:r>
              <w:rPr>
                <w:rFonts w:hint="eastAsia" w:ascii="宋体" w:hAnsi="宋体" w:eastAsia="宋体" w:cs="宋体"/>
                <w:color w:val="auto"/>
                <w:sz w:val="24"/>
                <w:lang w:eastAsia="zh-CN"/>
              </w:rPr>
              <w:t>值</w:t>
            </w:r>
            <w:r>
              <w:rPr>
                <w:rFonts w:hint="eastAsia" w:ascii="宋体" w:hAnsi="宋体" w:eastAsia="宋体" w:cs="宋体"/>
                <w:color w:val="auto"/>
                <w:sz w:val="24"/>
              </w:rPr>
              <w:t>为</w:t>
            </w:r>
            <w:r>
              <w:rPr>
                <w:rFonts w:hint="eastAsia" w:ascii="宋体" w:hAnsi="宋体" w:eastAsia="宋体" w:cs="宋体"/>
                <w:color w:val="auto"/>
                <w:sz w:val="24"/>
                <w:lang w:val="en-US" w:eastAsia="zh-CN"/>
              </w:rPr>
              <w:t>8.85</w:t>
            </w:r>
            <w:r>
              <w:rPr>
                <w:rFonts w:hint="eastAsia" w:ascii="宋体" w:hAnsi="宋体" w:eastAsia="宋体" w:cs="宋体"/>
                <w:color w:val="auto"/>
                <w:sz w:val="24"/>
              </w:rPr>
              <w:t>mg/m</w:t>
            </w:r>
            <w:r>
              <w:rPr>
                <w:rFonts w:hint="eastAsia" w:ascii="宋体" w:hAnsi="宋体" w:eastAsia="宋体" w:cs="宋体"/>
                <w:color w:val="auto"/>
                <w:sz w:val="24"/>
                <w:vertAlign w:val="superscript"/>
              </w:rPr>
              <w:t>3</w:t>
            </w:r>
            <w:r>
              <w:rPr>
                <w:rFonts w:hint="eastAsia" w:ascii="宋体" w:hAnsi="宋体" w:eastAsia="宋体" w:cs="宋体"/>
                <w:color w:val="auto"/>
                <w:sz w:val="24"/>
              </w:rPr>
              <w:t>，</w:t>
            </w:r>
            <w:r>
              <w:rPr>
                <w:rFonts w:hint="eastAsia" w:ascii="宋体" w:hAnsi="宋体" w:eastAsia="宋体" w:cs="宋体"/>
                <w:color w:val="auto"/>
                <w:sz w:val="24"/>
                <w:szCs w:val="24"/>
                <w:lang w:val="en-US" w:eastAsia="zh-CN"/>
              </w:rPr>
              <w:t>能满足《河南省关于全省开展工业企业挥发性有机物专项治理工作中排放建议值的通知》（豫环攻坚办[2017]162号）表面涂装业、《工业涂装工序挥发性有机物排放标准》</w:t>
            </w:r>
            <w:r>
              <w:rPr>
                <w:rFonts w:hint="eastAsia" w:ascii="宋体" w:hAnsi="宋体" w:eastAsia="宋体" w:cs="宋体"/>
                <w:color w:val="auto"/>
                <w:sz w:val="24"/>
                <w:szCs w:val="24"/>
                <w:lang w:val="en-US" w:eastAsia="zh-CN"/>
              </w:rPr>
              <w:fldChar w:fldCharType="begin"/>
            </w:r>
            <w:r>
              <w:rPr>
                <w:rFonts w:hint="eastAsia" w:ascii="宋体" w:hAnsi="宋体" w:eastAsia="宋体" w:cs="宋体"/>
                <w:color w:val="auto"/>
                <w:sz w:val="24"/>
                <w:szCs w:val="24"/>
                <w:lang w:val="en-US" w:eastAsia="zh-CN"/>
              </w:rPr>
              <w:instrText xml:space="preserve"> HYPERLINK "http://kjs.mee.gov.cn/hjbhbz/bzwb/dqhjbh/dqgdwrywrwpfbz/201906/W020190606587693632696.pdf" </w:instrText>
            </w:r>
            <w:r>
              <w:rPr>
                <w:rFonts w:hint="eastAsia" w:ascii="宋体" w:hAnsi="宋体" w:eastAsia="宋体" w:cs="宋体"/>
                <w:color w:val="auto"/>
                <w:sz w:val="24"/>
                <w:szCs w:val="24"/>
                <w:lang w:val="en-US" w:eastAsia="zh-CN"/>
              </w:rPr>
              <w:fldChar w:fldCharType="separate"/>
            </w:r>
            <w:r>
              <w:rPr>
                <w:rFonts w:hint="eastAsia" w:ascii="宋体" w:hAnsi="宋体" w:eastAsia="宋体" w:cs="宋体"/>
                <w:color w:val="auto"/>
                <w:sz w:val="24"/>
                <w:szCs w:val="24"/>
                <w:lang w:val="en-US" w:eastAsia="zh-CN"/>
              </w:rPr>
              <w:t>（DB41/1951—2020）</w:t>
            </w:r>
            <w:r>
              <w:rPr>
                <w:rFonts w:hint="eastAsia" w:ascii="宋体" w:hAnsi="宋体" w:eastAsia="宋体" w:cs="宋体"/>
                <w:color w:val="auto"/>
                <w:sz w:val="24"/>
                <w:szCs w:val="24"/>
                <w:lang w:val="en-US" w:eastAsia="zh-CN"/>
              </w:rPr>
              <w:fldChar w:fldCharType="end"/>
            </w:r>
            <w:r>
              <w:rPr>
                <w:rFonts w:hint="eastAsia" w:ascii="宋体" w:hAnsi="宋体" w:eastAsia="宋体" w:cs="宋体"/>
                <w:color w:val="auto"/>
                <w:sz w:val="24"/>
                <w:szCs w:val="24"/>
                <w:lang w:val="en-US" w:eastAsia="zh-CN"/>
              </w:rPr>
              <w:t>的排放限值要求；甲苯和二甲苯</w:t>
            </w:r>
            <w:r>
              <w:rPr>
                <w:rFonts w:hint="eastAsia" w:ascii="宋体" w:hAnsi="宋体" w:eastAsia="宋体" w:cs="宋体"/>
                <w:color w:val="auto"/>
                <w:sz w:val="24"/>
                <w:lang w:val="en-US" w:eastAsia="zh-CN"/>
              </w:rPr>
              <w:t>有组织</w:t>
            </w:r>
            <w:r>
              <w:rPr>
                <w:rFonts w:hint="eastAsia" w:ascii="宋体" w:hAnsi="宋体" w:eastAsia="宋体" w:cs="宋体"/>
                <w:color w:val="auto"/>
                <w:sz w:val="24"/>
                <w:lang w:eastAsia="zh-CN"/>
              </w:rPr>
              <w:t>最大</w:t>
            </w:r>
            <w:r>
              <w:rPr>
                <w:rFonts w:hint="eastAsia" w:ascii="宋体" w:hAnsi="宋体" w:eastAsia="宋体" w:cs="宋体"/>
                <w:color w:val="auto"/>
                <w:sz w:val="24"/>
              </w:rPr>
              <w:t>浓度</w:t>
            </w:r>
            <w:r>
              <w:rPr>
                <w:rFonts w:hint="eastAsia" w:ascii="宋体" w:hAnsi="宋体" w:eastAsia="宋体" w:cs="宋体"/>
                <w:color w:val="auto"/>
                <w:sz w:val="24"/>
                <w:lang w:eastAsia="zh-CN"/>
              </w:rPr>
              <w:t>值</w:t>
            </w:r>
            <w:r>
              <w:rPr>
                <w:rFonts w:hint="eastAsia" w:ascii="宋体" w:hAnsi="宋体" w:eastAsia="宋体" w:cs="宋体"/>
                <w:color w:val="auto"/>
                <w:sz w:val="24"/>
                <w:lang w:val="en-US" w:eastAsia="zh-CN"/>
              </w:rPr>
              <w:t>分别</w:t>
            </w:r>
            <w:r>
              <w:rPr>
                <w:rFonts w:hint="eastAsia" w:ascii="宋体" w:hAnsi="宋体" w:eastAsia="宋体" w:cs="宋体"/>
                <w:color w:val="auto"/>
                <w:sz w:val="24"/>
              </w:rPr>
              <w:t>为</w:t>
            </w:r>
            <w:r>
              <w:rPr>
                <w:rFonts w:hint="eastAsia" w:ascii="宋体" w:hAnsi="宋体" w:eastAsia="宋体" w:cs="宋体"/>
                <w:color w:val="auto"/>
                <w:sz w:val="24"/>
                <w:lang w:val="en-US" w:eastAsia="zh-CN"/>
              </w:rPr>
              <w:t>0.123</w:t>
            </w:r>
            <w:r>
              <w:rPr>
                <w:rFonts w:hint="eastAsia" w:ascii="宋体" w:hAnsi="宋体" w:eastAsia="宋体" w:cs="宋体"/>
                <w:color w:val="auto"/>
                <w:sz w:val="24"/>
              </w:rPr>
              <w:t>mg/m</w:t>
            </w:r>
            <w:r>
              <w:rPr>
                <w:rFonts w:hint="eastAsia" w:ascii="宋体" w:hAnsi="宋体" w:eastAsia="宋体" w:cs="宋体"/>
                <w:color w:val="auto"/>
                <w:sz w:val="24"/>
                <w:vertAlign w:val="superscript"/>
              </w:rPr>
              <w:t>3</w:t>
            </w:r>
            <w:r>
              <w:rPr>
                <w:rFonts w:hint="eastAsia" w:ascii="宋体" w:hAnsi="宋体" w:eastAsia="宋体" w:cs="宋体"/>
                <w:color w:val="auto"/>
                <w:sz w:val="24"/>
                <w:szCs w:val="24"/>
                <w:lang w:val="zh-CN"/>
              </w:rPr>
              <w:t>、</w:t>
            </w:r>
            <w:r>
              <w:rPr>
                <w:rFonts w:hint="eastAsia" w:ascii="宋体" w:hAnsi="宋体" w:eastAsia="宋体" w:cs="宋体"/>
                <w:color w:val="auto"/>
                <w:sz w:val="24"/>
                <w:lang w:val="en-US" w:eastAsia="zh-CN"/>
              </w:rPr>
              <w:t>0.442</w:t>
            </w:r>
            <w:r>
              <w:rPr>
                <w:rFonts w:hint="eastAsia" w:ascii="宋体" w:hAnsi="宋体" w:eastAsia="宋体" w:cs="宋体"/>
                <w:color w:val="auto"/>
                <w:sz w:val="24"/>
              </w:rPr>
              <w:t>mg/m</w:t>
            </w:r>
            <w:r>
              <w:rPr>
                <w:rFonts w:hint="eastAsia" w:ascii="宋体" w:hAnsi="宋体" w:eastAsia="宋体" w:cs="宋体"/>
                <w:color w:val="auto"/>
                <w:sz w:val="24"/>
                <w:vertAlign w:val="superscript"/>
              </w:rPr>
              <w:t>3</w:t>
            </w:r>
            <w:r>
              <w:rPr>
                <w:rFonts w:hint="eastAsia" w:ascii="宋体" w:hAnsi="宋体" w:eastAsia="宋体" w:cs="宋体"/>
                <w:color w:val="auto"/>
                <w:sz w:val="24"/>
                <w:lang w:val="en-US" w:eastAsia="zh-CN"/>
              </w:rPr>
              <w:t>，</w:t>
            </w:r>
            <w:r>
              <w:rPr>
                <w:rFonts w:hint="eastAsia" w:ascii="宋体" w:hAnsi="宋体" w:eastAsia="宋体" w:cs="宋体"/>
                <w:color w:val="auto"/>
                <w:sz w:val="24"/>
                <w:szCs w:val="24"/>
                <w:lang w:val="en-US" w:eastAsia="zh-CN"/>
              </w:rPr>
              <w:t>能满足《河南省关于全省开展工业企业挥发性有机物专项治理工作中排</w:t>
            </w:r>
            <w:r>
              <w:rPr>
                <w:rFonts w:hint="eastAsia" w:ascii="宋体" w:hAnsi="宋体" w:eastAsia="宋体" w:cs="宋体"/>
                <w:bCs/>
                <w:sz w:val="24"/>
                <w:szCs w:val="24"/>
                <w:lang w:val="en-US" w:eastAsia="zh-CN"/>
              </w:rPr>
              <w:t>放建议值的通知》（豫环攻坚办[2017]162号）表面涂装业和《工业涂装工序挥发性有机物排放标准》</w:t>
            </w:r>
            <w:r>
              <w:rPr>
                <w:rFonts w:hint="eastAsia" w:ascii="宋体" w:hAnsi="宋体" w:eastAsia="宋体" w:cs="宋体"/>
                <w:bCs/>
                <w:sz w:val="24"/>
                <w:szCs w:val="24"/>
                <w:lang w:val="en-US" w:eastAsia="zh-CN"/>
              </w:rPr>
              <w:fldChar w:fldCharType="begin"/>
            </w:r>
            <w:r>
              <w:rPr>
                <w:rFonts w:hint="eastAsia" w:ascii="宋体" w:hAnsi="宋体" w:eastAsia="宋体" w:cs="宋体"/>
                <w:bCs/>
                <w:sz w:val="24"/>
                <w:szCs w:val="24"/>
                <w:lang w:val="en-US" w:eastAsia="zh-CN"/>
              </w:rPr>
              <w:instrText xml:space="preserve"> HYPERLINK "http://kjs.mee.gov.cn/hjbhbz/bzwb/dqhjbh/dqgdwrywrwpfbz/201906/W020190606587693632696.pdf" </w:instrText>
            </w:r>
            <w:r>
              <w:rPr>
                <w:rFonts w:hint="eastAsia" w:ascii="宋体" w:hAnsi="宋体" w:eastAsia="宋体" w:cs="宋体"/>
                <w:bCs/>
                <w:sz w:val="24"/>
                <w:szCs w:val="24"/>
                <w:lang w:val="en-US" w:eastAsia="zh-CN"/>
              </w:rPr>
              <w:fldChar w:fldCharType="separate"/>
            </w:r>
            <w:r>
              <w:rPr>
                <w:rFonts w:hint="eastAsia" w:ascii="宋体" w:hAnsi="宋体" w:eastAsia="宋体" w:cs="宋体"/>
                <w:bCs/>
                <w:sz w:val="24"/>
                <w:szCs w:val="24"/>
                <w:lang w:val="en-US" w:eastAsia="zh-CN"/>
              </w:rPr>
              <w:t>（DB41/1951—2020）</w:t>
            </w:r>
            <w:r>
              <w:rPr>
                <w:rFonts w:hint="eastAsia" w:ascii="宋体" w:hAnsi="宋体" w:eastAsia="宋体" w:cs="宋体"/>
                <w:bCs/>
                <w:sz w:val="24"/>
                <w:szCs w:val="24"/>
                <w:lang w:val="en-US" w:eastAsia="zh-CN"/>
              </w:rPr>
              <w:fldChar w:fldCharType="end"/>
            </w:r>
            <w:r>
              <w:rPr>
                <w:rFonts w:hint="eastAsia" w:ascii="宋体" w:hAnsi="宋体" w:eastAsia="宋体" w:cs="宋体"/>
                <w:bCs/>
                <w:sz w:val="24"/>
                <w:szCs w:val="24"/>
                <w:lang w:val="en-US" w:eastAsia="zh-CN"/>
              </w:rPr>
              <w:t>的排放限值要求。</w:t>
            </w:r>
          </w:p>
          <w:p>
            <w:pPr>
              <w:widowControl w:val="0"/>
              <w:spacing w:after="0" w:line="360" w:lineRule="auto"/>
              <w:ind w:firstLine="480" w:firstLineChars="200"/>
              <w:contextualSpacing/>
              <w:jc w:val="both"/>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根据</w:t>
            </w:r>
            <w:r>
              <w:rPr>
                <w:rFonts w:hint="eastAsia" w:ascii="宋体" w:hAnsi="宋体" w:eastAsia="宋体" w:cs="宋体"/>
                <w:bCs/>
                <w:sz w:val="24"/>
                <w:szCs w:val="24"/>
                <w:lang w:val="en-US" w:eastAsia="zh-CN"/>
              </w:rPr>
              <w:t>表7-4</w:t>
            </w:r>
            <w:r>
              <w:rPr>
                <w:rFonts w:hint="eastAsia" w:ascii="宋体" w:hAnsi="宋体" w:eastAsia="宋体" w:cs="宋体"/>
                <w:bCs/>
                <w:sz w:val="24"/>
                <w:szCs w:val="24"/>
                <w:lang w:eastAsia="zh-CN"/>
              </w:rPr>
              <w:t>监测结果可知，验收期间</w:t>
            </w:r>
            <w:r>
              <w:rPr>
                <w:rFonts w:hint="eastAsia" w:ascii="宋体" w:hAnsi="宋体" w:eastAsia="宋体" w:cs="宋体"/>
                <w:bCs/>
                <w:sz w:val="24"/>
                <w:szCs w:val="24"/>
                <w:lang w:val="en-US" w:eastAsia="zh-CN"/>
              </w:rPr>
              <w:t>排气筒总排口的颗粒物有组织排放</w:t>
            </w:r>
            <w:r>
              <w:rPr>
                <w:rFonts w:hint="eastAsia" w:ascii="宋体" w:hAnsi="宋体" w:eastAsia="宋体" w:cs="宋体"/>
                <w:bCs/>
                <w:sz w:val="24"/>
                <w:szCs w:val="24"/>
                <w:lang w:eastAsia="zh-CN"/>
              </w:rPr>
              <w:t>最大</w:t>
            </w:r>
            <w:r>
              <w:rPr>
                <w:rFonts w:hint="eastAsia" w:ascii="宋体" w:hAnsi="宋体" w:eastAsia="宋体" w:cs="宋体"/>
                <w:color w:val="auto"/>
                <w:sz w:val="24"/>
                <w:szCs w:val="24"/>
              </w:rPr>
              <w:t>浓度</w:t>
            </w:r>
            <w:r>
              <w:rPr>
                <w:rFonts w:hint="eastAsia" w:ascii="宋体" w:hAnsi="宋体" w:eastAsia="宋体" w:cs="宋体"/>
                <w:color w:val="auto"/>
                <w:sz w:val="24"/>
                <w:szCs w:val="24"/>
                <w:lang w:eastAsia="zh-CN"/>
              </w:rPr>
              <w:t>值</w:t>
            </w:r>
            <w:r>
              <w:rPr>
                <w:rFonts w:hint="eastAsia" w:ascii="宋体" w:hAnsi="宋体" w:eastAsia="宋体" w:cs="宋体"/>
                <w:color w:val="auto"/>
                <w:sz w:val="24"/>
                <w:szCs w:val="24"/>
              </w:rPr>
              <w:t>为</w:t>
            </w:r>
            <w:r>
              <w:rPr>
                <w:rFonts w:hint="eastAsia" w:ascii="宋体" w:hAnsi="宋体" w:eastAsia="宋体" w:cs="宋体"/>
                <w:color w:val="auto"/>
                <w:sz w:val="24"/>
                <w:szCs w:val="24"/>
                <w:lang w:val="en-US" w:eastAsia="zh-CN"/>
              </w:rPr>
              <w:t>5.1</w:t>
            </w:r>
            <w:r>
              <w:rPr>
                <w:rFonts w:hint="eastAsia" w:ascii="宋体" w:hAnsi="宋体" w:eastAsia="宋体" w:cs="宋体"/>
                <w:color w:val="auto"/>
                <w:sz w:val="24"/>
                <w:szCs w:val="24"/>
              </w:rPr>
              <w:t>mg/m</w:t>
            </w:r>
            <w:r>
              <w:rPr>
                <w:rFonts w:hint="eastAsia" w:ascii="宋体" w:hAnsi="宋体" w:eastAsia="宋体" w:cs="宋体"/>
                <w:color w:val="auto"/>
                <w:sz w:val="24"/>
                <w:szCs w:val="24"/>
                <w:vertAlign w:val="superscript"/>
              </w:rPr>
              <w:t>3</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可满</w:t>
            </w:r>
            <w:r>
              <w:rPr>
                <w:rFonts w:hint="eastAsia" w:ascii="宋体" w:hAnsi="宋体" w:eastAsia="宋体" w:cs="宋体"/>
                <w:color w:val="auto"/>
                <w:sz w:val="24"/>
                <w:szCs w:val="24"/>
              </w:rPr>
              <w:t>足</w:t>
            </w:r>
            <w:r>
              <w:rPr>
                <w:rFonts w:hint="eastAsia" w:ascii="宋体" w:hAnsi="宋体" w:eastAsia="宋体" w:cs="宋体"/>
                <w:color w:val="auto"/>
                <w:sz w:val="24"/>
                <w:szCs w:val="24"/>
                <w:lang w:val="en-US" w:eastAsia="zh-CN"/>
              </w:rPr>
              <w:t>《大气污染物综合排放标准》（GB16297-1996）表2二级的要求；非甲烷总烃有组织排放</w:t>
            </w:r>
            <w:r>
              <w:rPr>
                <w:rFonts w:hint="eastAsia" w:ascii="宋体" w:hAnsi="宋体" w:eastAsia="宋体" w:cs="宋体"/>
                <w:color w:val="auto"/>
                <w:sz w:val="24"/>
                <w:szCs w:val="24"/>
                <w:lang w:eastAsia="zh-CN"/>
              </w:rPr>
              <w:t>最大</w:t>
            </w:r>
            <w:r>
              <w:rPr>
                <w:rFonts w:hint="eastAsia" w:ascii="宋体" w:hAnsi="宋体" w:eastAsia="宋体" w:cs="宋体"/>
                <w:color w:val="auto"/>
                <w:sz w:val="24"/>
                <w:szCs w:val="24"/>
              </w:rPr>
              <w:t>浓度</w:t>
            </w:r>
            <w:r>
              <w:rPr>
                <w:rFonts w:hint="eastAsia" w:ascii="宋体" w:hAnsi="宋体" w:eastAsia="宋体" w:cs="宋体"/>
                <w:color w:val="auto"/>
                <w:sz w:val="24"/>
                <w:szCs w:val="24"/>
                <w:lang w:eastAsia="zh-CN"/>
              </w:rPr>
              <w:t>值</w:t>
            </w:r>
            <w:r>
              <w:rPr>
                <w:rFonts w:hint="eastAsia" w:ascii="宋体" w:hAnsi="宋体" w:eastAsia="宋体" w:cs="宋体"/>
                <w:color w:val="auto"/>
                <w:sz w:val="24"/>
                <w:szCs w:val="24"/>
              </w:rPr>
              <w:t>为</w:t>
            </w:r>
            <w:r>
              <w:rPr>
                <w:rFonts w:hint="eastAsia" w:ascii="宋体" w:hAnsi="宋体" w:eastAsia="宋体" w:cs="宋体"/>
                <w:color w:val="auto"/>
                <w:sz w:val="24"/>
                <w:szCs w:val="24"/>
                <w:lang w:val="en-US" w:eastAsia="zh-CN"/>
              </w:rPr>
              <w:t>7.01</w:t>
            </w:r>
            <w:r>
              <w:rPr>
                <w:rFonts w:hint="eastAsia" w:ascii="宋体" w:hAnsi="宋体" w:eastAsia="宋体" w:cs="宋体"/>
                <w:color w:val="auto"/>
                <w:sz w:val="24"/>
                <w:szCs w:val="24"/>
              </w:rPr>
              <w:t>mg/m</w:t>
            </w:r>
            <w:r>
              <w:rPr>
                <w:rFonts w:hint="eastAsia" w:ascii="宋体" w:hAnsi="宋体" w:eastAsia="宋体" w:cs="宋体"/>
                <w:color w:val="auto"/>
                <w:sz w:val="24"/>
                <w:szCs w:val="24"/>
                <w:vertAlign w:val="superscript"/>
              </w:rPr>
              <w:t>3</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能满足《河南省关于全省开展工业企业挥发性有机物专项治理工作中排放建议值的通知》（豫环攻坚办[2017]162号）表面涂装业、《工业涂装工序挥发性有机物排放标准》</w:t>
            </w:r>
            <w:r>
              <w:rPr>
                <w:rFonts w:hint="eastAsia" w:ascii="宋体" w:hAnsi="宋体" w:eastAsia="宋体" w:cs="宋体"/>
                <w:color w:val="auto"/>
                <w:sz w:val="24"/>
                <w:szCs w:val="24"/>
                <w:lang w:val="en-US" w:eastAsia="zh-CN"/>
              </w:rPr>
              <w:fldChar w:fldCharType="begin"/>
            </w:r>
            <w:r>
              <w:rPr>
                <w:rFonts w:hint="eastAsia" w:ascii="宋体" w:hAnsi="宋体" w:eastAsia="宋体" w:cs="宋体"/>
                <w:color w:val="auto"/>
                <w:sz w:val="24"/>
                <w:szCs w:val="24"/>
                <w:lang w:val="en-US" w:eastAsia="zh-CN"/>
              </w:rPr>
              <w:instrText xml:space="preserve"> HYPERLINK "http://kjs.mee.gov.cn/hjbhbz/bzwb/dqhjbh/dqgdwrywrwpfbz/201906/W020190606587693632696.pdf" </w:instrText>
            </w:r>
            <w:r>
              <w:rPr>
                <w:rFonts w:hint="eastAsia" w:ascii="宋体" w:hAnsi="宋体" w:eastAsia="宋体" w:cs="宋体"/>
                <w:color w:val="auto"/>
                <w:sz w:val="24"/>
                <w:szCs w:val="24"/>
                <w:lang w:val="en-US" w:eastAsia="zh-CN"/>
              </w:rPr>
              <w:fldChar w:fldCharType="separate"/>
            </w:r>
            <w:r>
              <w:rPr>
                <w:rFonts w:hint="eastAsia" w:ascii="宋体" w:hAnsi="宋体" w:eastAsia="宋体" w:cs="宋体"/>
                <w:color w:val="auto"/>
                <w:sz w:val="24"/>
                <w:szCs w:val="24"/>
                <w:lang w:val="en-US" w:eastAsia="zh-CN"/>
              </w:rPr>
              <w:t>（DB41/1951—2020）</w:t>
            </w:r>
            <w:r>
              <w:rPr>
                <w:rFonts w:hint="eastAsia" w:ascii="宋体" w:hAnsi="宋体" w:eastAsia="宋体" w:cs="宋体"/>
                <w:color w:val="auto"/>
                <w:sz w:val="24"/>
                <w:szCs w:val="24"/>
                <w:lang w:val="en-US" w:eastAsia="zh-CN"/>
              </w:rPr>
              <w:fldChar w:fldCharType="end"/>
            </w:r>
            <w:r>
              <w:rPr>
                <w:rFonts w:hint="eastAsia" w:ascii="宋体" w:hAnsi="宋体" w:eastAsia="宋体" w:cs="宋体"/>
                <w:color w:val="auto"/>
                <w:sz w:val="24"/>
                <w:szCs w:val="24"/>
                <w:lang w:val="en-US" w:eastAsia="zh-CN"/>
              </w:rPr>
              <w:t>的排放限值要求；甲苯和二甲苯有组织</w:t>
            </w:r>
            <w:r>
              <w:rPr>
                <w:rFonts w:hint="eastAsia" w:ascii="宋体" w:hAnsi="宋体" w:eastAsia="宋体" w:cs="宋体"/>
                <w:color w:val="auto"/>
                <w:sz w:val="24"/>
                <w:szCs w:val="24"/>
                <w:lang w:eastAsia="zh-CN"/>
              </w:rPr>
              <w:t>最大</w:t>
            </w:r>
            <w:r>
              <w:rPr>
                <w:rFonts w:hint="eastAsia" w:ascii="宋体" w:hAnsi="宋体" w:eastAsia="宋体" w:cs="宋体"/>
                <w:color w:val="auto"/>
                <w:sz w:val="24"/>
                <w:szCs w:val="24"/>
              </w:rPr>
              <w:t>浓度</w:t>
            </w:r>
            <w:r>
              <w:rPr>
                <w:rFonts w:hint="eastAsia" w:ascii="宋体" w:hAnsi="宋体" w:eastAsia="宋体" w:cs="宋体"/>
                <w:color w:val="auto"/>
                <w:sz w:val="24"/>
                <w:szCs w:val="24"/>
                <w:lang w:eastAsia="zh-CN"/>
              </w:rPr>
              <w:t>值</w:t>
            </w:r>
            <w:r>
              <w:rPr>
                <w:rFonts w:hint="eastAsia" w:ascii="宋体" w:hAnsi="宋体" w:eastAsia="宋体" w:cs="宋体"/>
                <w:color w:val="auto"/>
                <w:sz w:val="24"/>
                <w:szCs w:val="24"/>
                <w:lang w:val="en-US" w:eastAsia="zh-CN"/>
              </w:rPr>
              <w:t>分别</w:t>
            </w:r>
            <w:r>
              <w:rPr>
                <w:rFonts w:hint="eastAsia" w:ascii="宋体" w:hAnsi="宋体" w:eastAsia="宋体" w:cs="宋体"/>
                <w:color w:val="auto"/>
                <w:sz w:val="24"/>
                <w:szCs w:val="24"/>
              </w:rPr>
              <w:t>为</w:t>
            </w:r>
            <w:r>
              <w:rPr>
                <w:rFonts w:hint="eastAsia" w:ascii="宋体" w:hAnsi="宋体" w:eastAsia="宋体" w:cs="宋体"/>
                <w:color w:val="auto"/>
                <w:sz w:val="24"/>
                <w:szCs w:val="24"/>
                <w:lang w:val="en-US" w:eastAsia="zh-CN"/>
              </w:rPr>
              <w:t>0.135</w:t>
            </w:r>
            <w:r>
              <w:rPr>
                <w:rFonts w:hint="eastAsia" w:ascii="宋体" w:hAnsi="宋体" w:eastAsia="宋体" w:cs="宋体"/>
                <w:color w:val="auto"/>
                <w:sz w:val="24"/>
                <w:szCs w:val="24"/>
              </w:rPr>
              <w:t>mg/m</w:t>
            </w:r>
            <w:r>
              <w:rPr>
                <w:rFonts w:hint="eastAsia" w:ascii="宋体" w:hAnsi="宋体" w:eastAsia="宋体" w:cs="宋体"/>
                <w:color w:val="auto"/>
                <w:sz w:val="24"/>
                <w:szCs w:val="24"/>
                <w:vertAlign w:val="superscript"/>
              </w:rPr>
              <w:t>3</w:t>
            </w:r>
            <w:r>
              <w:rPr>
                <w:rFonts w:hint="eastAsia" w:ascii="宋体" w:hAnsi="宋体" w:eastAsia="宋体" w:cs="宋体"/>
                <w:color w:val="auto"/>
                <w:sz w:val="24"/>
                <w:szCs w:val="24"/>
                <w:lang w:val="zh-CN"/>
              </w:rPr>
              <w:t>、</w:t>
            </w:r>
            <w:r>
              <w:rPr>
                <w:rFonts w:hint="eastAsia" w:ascii="宋体" w:hAnsi="宋体" w:eastAsia="宋体" w:cs="宋体"/>
                <w:color w:val="auto"/>
                <w:sz w:val="24"/>
                <w:szCs w:val="24"/>
                <w:lang w:val="en-US" w:eastAsia="zh-CN"/>
              </w:rPr>
              <w:t>0.462</w:t>
            </w:r>
            <w:r>
              <w:rPr>
                <w:rFonts w:hint="eastAsia" w:ascii="宋体" w:hAnsi="宋体" w:eastAsia="宋体" w:cs="宋体"/>
                <w:color w:val="auto"/>
                <w:sz w:val="24"/>
                <w:szCs w:val="24"/>
              </w:rPr>
              <w:t>mg/m</w:t>
            </w:r>
            <w:r>
              <w:rPr>
                <w:rFonts w:hint="eastAsia" w:ascii="宋体" w:hAnsi="宋体" w:eastAsia="宋体" w:cs="宋体"/>
                <w:color w:val="auto"/>
                <w:sz w:val="24"/>
                <w:szCs w:val="24"/>
                <w:vertAlign w:val="superscript"/>
              </w:rPr>
              <w:t>3</w:t>
            </w:r>
            <w:r>
              <w:rPr>
                <w:rFonts w:hint="eastAsia" w:ascii="宋体" w:hAnsi="宋体" w:eastAsia="宋体" w:cs="宋体"/>
                <w:color w:val="auto"/>
                <w:sz w:val="24"/>
                <w:szCs w:val="24"/>
                <w:lang w:val="en-US" w:eastAsia="zh-CN"/>
              </w:rPr>
              <w:t>，能满足《河南省关于全省开展工业企业挥发性有机物专项治理工作中排</w:t>
            </w:r>
            <w:r>
              <w:rPr>
                <w:rFonts w:hint="eastAsia" w:ascii="宋体" w:hAnsi="宋体" w:eastAsia="宋体" w:cs="宋体"/>
                <w:bCs/>
                <w:sz w:val="24"/>
                <w:szCs w:val="24"/>
                <w:lang w:val="en-US" w:eastAsia="zh-CN"/>
              </w:rPr>
              <w:t>放建议值的通知》（豫环攻坚办[2017]162号）表面涂装业和《工业涂装工序挥发性有机物排放标准》</w:t>
            </w:r>
            <w:r>
              <w:rPr>
                <w:rFonts w:hint="eastAsia" w:ascii="宋体" w:hAnsi="宋体" w:eastAsia="宋体" w:cs="宋体"/>
                <w:bCs/>
                <w:sz w:val="24"/>
                <w:szCs w:val="24"/>
                <w:lang w:val="en-US" w:eastAsia="zh-CN"/>
              </w:rPr>
              <w:fldChar w:fldCharType="begin"/>
            </w:r>
            <w:r>
              <w:rPr>
                <w:rFonts w:hint="eastAsia" w:ascii="宋体" w:hAnsi="宋体" w:eastAsia="宋体" w:cs="宋体"/>
                <w:bCs/>
                <w:sz w:val="24"/>
                <w:szCs w:val="24"/>
                <w:lang w:val="en-US" w:eastAsia="zh-CN"/>
              </w:rPr>
              <w:instrText xml:space="preserve"> HYPERLINK "http://kjs.mee.gov.cn/hjbhbz/bzwb/dqhjbh/dqgdwrywrwpfbz/201906/W020190606587693632696.pdf" </w:instrText>
            </w:r>
            <w:r>
              <w:rPr>
                <w:rFonts w:hint="eastAsia" w:ascii="宋体" w:hAnsi="宋体" w:eastAsia="宋体" w:cs="宋体"/>
                <w:bCs/>
                <w:sz w:val="24"/>
                <w:szCs w:val="24"/>
                <w:lang w:val="en-US" w:eastAsia="zh-CN"/>
              </w:rPr>
              <w:fldChar w:fldCharType="separate"/>
            </w:r>
            <w:r>
              <w:rPr>
                <w:rFonts w:hint="eastAsia" w:ascii="宋体" w:hAnsi="宋体" w:eastAsia="宋体" w:cs="宋体"/>
                <w:bCs/>
                <w:sz w:val="24"/>
                <w:szCs w:val="24"/>
                <w:lang w:val="en-US" w:eastAsia="zh-CN"/>
              </w:rPr>
              <w:t>（DB41/1951—2020）</w:t>
            </w:r>
            <w:r>
              <w:rPr>
                <w:rFonts w:hint="eastAsia" w:ascii="宋体" w:hAnsi="宋体" w:eastAsia="宋体" w:cs="宋体"/>
                <w:bCs/>
                <w:sz w:val="24"/>
                <w:szCs w:val="24"/>
                <w:lang w:val="en-US" w:eastAsia="zh-CN"/>
              </w:rPr>
              <w:fldChar w:fldCharType="end"/>
            </w:r>
            <w:r>
              <w:rPr>
                <w:rFonts w:hint="eastAsia" w:ascii="宋体" w:hAnsi="宋体" w:eastAsia="宋体" w:cs="宋体"/>
                <w:bCs/>
                <w:sz w:val="24"/>
                <w:szCs w:val="24"/>
                <w:lang w:val="en-US" w:eastAsia="zh-CN"/>
              </w:rPr>
              <w:t>的排放限值要求。</w:t>
            </w:r>
          </w:p>
          <w:p>
            <w:pPr>
              <w:widowControl w:val="0"/>
              <w:spacing w:after="0" w:line="360" w:lineRule="auto"/>
              <w:ind w:firstLine="480" w:firstLineChars="200"/>
              <w:contextualSpacing/>
              <w:jc w:val="both"/>
              <w:rPr>
                <w:rFonts w:hint="eastAsia" w:ascii="宋体" w:hAnsi="宋体" w:eastAsia="宋体" w:cs="宋体"/>
                <w:color w:val="auto"/>
                <w:sz w:val="24"/>
                <w:szCs w:val="24"/>
                <w:lang w:val="en-US" w:eastAsia="zh-CN"/>
              </w:rPr>
            </w:pPr>
            <w:r>
              <w:rPr>
                <w:rFonts w:hint="eastAsia" w:ascii="宋体" w:hAnsi="宋体" w:eastAsia="宋体" w:cs="宋体"/>
                <w:bCs/>
                <w:sz w:val="24"/>
                <w:szCs w:val="24"/>
                <w:lang w:val="en-US" w:eastAsia="zh-CN"/>
              </w:rPr>
              <w:t>根据表7-5监测结果可知，验收期间厂界颗粒物无组织排放最大浓度值</w:t>
            </w:r>
            <w:r>
              <w:rPr>
                <w:rFonts w:hint="eastAsia" w:ascii="宋体" w:hAnsi="宋体" w:eastAsia="宋体" w:cs="宋体"/>
                <w:color w:val="auto"/>
                <w:sz w:val="24"/>
                <w:szCs w:val="24"/>
              </w:rPr>
              <w:t>为</w:t>
            </w:r>
            <w:r>
              <w:rPr>
                <w:rFonts w:hint="eastAsia" w:ascii="宋体" w:hAnsi="宋体" w:eastAsia="宋体" w:cs="宋体"/>
                <w:color w:val="auto"/>
                <w:sz w:val="24"/>
                <w:szCs w:val="24"/>
                <w:lang w:val="en-US" w:eastAsia="zh-CN"/>
              </w:rPr>
              <w:t>0.312</w:t>
            </w:r>
            <w:r>
              <w:rPr>
                <w:rFonts w:hint="eastAsia" w:ascii="宋体" w:hAnsi="宋体" w:eastAsia="宋体" w:cs="宋体"/>
                <w:color w:val="auto"/>
                <w:sz w:val="24"/>
                <w:szCs w:val="24"/>
              </w:rPr>
              <w:t>mg/m</w:t>
            </w:r>
            <w:r>
              <w:rPr>
                <w:rFonts w:hint="eastAsia" w:ascii="宋体" w:hAnsi="宋体" w:eastAsia="宋体" w:cs="宋体"/>
                <w:color w:val="auto"/>
                <w:sz w:val="24"/>
                <w:szCs w:val="24"/>
                <w:vertAlign w:val="superscript"/>
              </w:rPr>
              <w:t>3</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可满</w:t>
            </w:r>
            <w:r>
              <w:rPr>
                <w:rFonts w:hint="eastAsia" w:ascii="宋体" w:hAnsi="宋体" w:eastAsia="宋体" w:cs="宋体"/>
                <w:color w:val="auto"/>
                <w:sz w:val="24"/>
                <w:szCs w:val="24"/>
              </w:rPr>
              <w:t>足</w:t>
            </w:r>
            <w:r>
              <w:rPr>
                <w:rFonts w:hint="eastAsia" w:ascii="宋体" w:hAnsi="宋体" w:eastAsia="宋体" w:cs="宋体"/>
                <w:color w:val="auto"/>
                <w:sz w:val="24"/>
                <w:szCs w:val="24"/>
                <w:lang w:val="en-US" w:eastAsia="zh-CN"/>
              </w:rPr>
              <w:t>《大气污染物综合排放标准》（GB16297-1996）</w:t>
            </w:r>
            <w:r>
              <w:rPr>
                <w:rFonts w:hint="eastAsia" w:ascii="宋体" w:hAnsi="宋体" w:eastAsia="宋体" w:cs="宋体"/>
                <w:color w:val="auto"/>
                <w:kern w:val="2"/>
                <w:sz w:val="24"/>
                <w:szCs w:val="24"/>
                <w:lang w:val="en-US" w:eastAsia="zh-CN" w:bidi="ar-SA"/>
              </w:rPr>
              <w:t>中颗粒物无组织排放监控浓度限值；</w:t>
            </w:r>
            <w:r>
              <w:rPr>
                <w:rFonts w:hint="eastAsia" w:ascii="宋体" w:hAnsi="宋体" w:eastAsia="宋体" w:cs="宋体"/>
                <w:color w:val="auto"/>
                <w:sz w:val="24"/>
                <w:szCs w:val="24"/>
                <w:lang w:val="en-US" w:eastAsia="zh-CN"/>
              </w:rPr>
              <w:t>非甲烷总烃无组织排放</w:t>
            </w:r>
            <w:r>
              <w:rPr>
                <w:rFonts w:hint="eastAsia" w:ascii="宋体" w:hAnsi="宋体" w:eastAsia="宋体" w:cs="宋体"/>
                <w:color w:val="auto"/>
                <w:sz w:val="24"/>
                <w:szCs w:val="24"/>
                <w:lang w:eastAsia="zh-CN"/>
              </w:rPr>
              <w:t>最大</w:t>
            </w:r>
            <w:r>
              <w:rPr>
                <w:rFonts w:hint="eastAsia" w:ascii="宋体" w:hAnsi="宋体" w:eastAsia="宋体" w:cs="宋体"/>
                <w:color w:val="auto"/>
                <w:sz w:val="24"/>
                <w:szCs w:val="24"/>
              </w:rPr>
              <w:t>浓度</w:t>
            </w:r>
            <w:r>
              <w:rPr>
                <w:rFonts w:hint="eastAsia" w:ascii="宋体" w:hAnsi="宋体" w:eastAsia="宋体" w:cs="宋体"/>
                <w:color w:val="auto"/>
                <w:sz w:val="24"/>
                <w:szCs w:val="24"/>
                <w:lang w:eastAsia="zh-CN"/>
              </w:rPr>
              <w:t>值</w:t>
            </w:r>
            <w:r>
              <w:rPr>
                <w:rFonts w:hint="eastAsia" w:ascii="宋体" w:hAnsi="宋体" w:eastAsia="宋体" w:cs="宋体"/>
                <w:color w:val="auto"/>
                <w:sz w:val="24"/>
                <w:szCs w:val="24"/>
              </w:rPr>
              <w:t>为</w:t>
            </w:r>
            <w:r>
              <w:rPr>
                <w:rFonts w:hint="eastAsia" w:ascii="宋体" w:hAnsi="宋体" w:eastAsia="宋体" w:cs="宋体"/>
                <w:color w:val="auto"/>
                <w:sz w:val="24"/>
                <w:szCs w:val="24"/>
                <w:lang w:val="en-US" w:eastAsia="zh-CN"/>
              </w:rPr>
              <w:t>0.72</w:t>
            </w:r>
            <w:r>
              <w:rPr>
                <w:rFonts w:hint="eastAsia" w:ascii="宋体" w:hAnsi="宋体" w:eastAsia="宋体" w:cs="宋体"/>
                <w:color w:val="auto"/>
                <w:sz w:val="24"/>
                <w:szCs w:val="24"/>
              </w:rPr>
              <w:t>mg/m</w:t>
            </w:r>
            <w:r>
              <w:rPr>
                <w:rFonts w:hint="eastAsia" w:ascii="宋体" w:hAnsi="宋体" w:eastAsia="宋体" w:cs="宋体"/>
                <w:color w:val="auto"/>
                <w:sz w:val="24"/>
                <w:szCs w:val="24"/>
                <w:vertAlign w:val="superscript"/>
              </w:rPr>
              <w:t>3</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能满足《河南省关于全省开展工业企业挥发性有机物专项治理工作中排放建议值的通知》（豫环攻坚办[2017]162号）、《挥发性有机物无组织排放控制标准》</w:t>
            </w:r>
            <w:r>
              <w:rPr>
                <w:rFonts w:hint="eastAsia" w:ascii="宋体" w:hAnsi="宋体" w:eastAsia="宋体" w:cs="宋体"/>
                <w:color w:val="auto"/>
                <w:sz w:val="24"/>
                <w:szCs w:val="24"/>
                <w:lang w:val="en-US" w:eastAsia="zh-CN"/>
              </w:rPr>
              <w:fldChar w:fldCharType="begin"/>
            </w:r>
            <w:r>
              <w:rPr>
                <w:rFonts w:hint="eastAsia" w:ascii="宋体" w:hAnsi="宋体" w:eastAsia="宋体" w:cs="宋体"/>
                <w:color w:val="auto"/>
                <w:sz w:val="24"/>
                <w:szCs w:val="24"/>
                <w:lang w:val="en-US" w:eastAsia="zh-CN"/>
              </w:rPr>
              <w:instrText xml:space="preserve"> HYPERLINK "http://kjs.mee.gov.cn/hjbhbz/bzwb/dqhjbh/dqgdwrywrwpfbz/201906/W020190606587693632696.pdf" </w:instrText>
            </w:r>
            <w:r>
              <w:rPr>
                <w:rFonts w:hint="eastAsia" w:ascii="宋体" w:hAnsi="宋体" w:eastAsia="宋体" w:cs="宋体"/>
                <w:color w:val="auto"/>
                <w:sz w:val="24"/>
                <w:szCs w:val="24"/>
                <w:lang w:val="en-US" w:eastAsia="zh-CN"/>
              </w:rPr>
              <w:fldChar w:fldCharType="separate"/>
            </w:r>
            <w:r>
              <w:rPr>
                <w:rFonts w:hint="eastAsia" w:ascii="宋体" w:hAnsi="宋体" w:eastAsia="宋体" w:cs="宋体"/>
                <w:color w:val="auto"/>
                <w:sz w:val="24"/>
                <w:szCs w:val="24"/>
                <w:lang w:val="en-US" w:eastAsia="zh-CN"/>
              </w:rPr>
              <w:t>（GB37822-2019）</w:t>
            </w:r>
            <w:r>
              <w:rPr>
                <w:rFonts w:hint="eastAsia" w:ascii="宋体" w:hAnsi="宋体" w:eastAsia="宋体" w:cs="宋体"/>
                <w:color w:val="auto"/>
                <w:sz w:val="24"/>
                <w:szCs w:val="24"/>
                <w:lang w:val="en-US" w:eastAsia="zh-CN"/>
              </w:rPr>
              <w:fldChar w:fldCharType="end"/>
            </w:r>
            <w:r>
              <w:rPr>
                <w:rFonts w:hint="eastAsia" w:ascii="宋体" w:hAnsi="宋体" w:eastAsia="宋体" w:cs="宋体"/>
                <w:color w:val="auto"/>
                <w:sz w:val="24"/>
                <w:szCs w:val="24"/>
                <w:lang w:val="en-US" w:eastAsia="zh-CN"/>
              </w:rPr>
              <w:t>的排放限值要求；甲苯和二甲苯有组织</w:t>
            </w:r>
            <w:r>
              <w:rPr>
                <w:rFonts w:hint="eastAsia" w:ascii="宋体" w:hAnsi="宋体" w:eastAsia="宋体" w:cs="宋体"/>
                <w:color w:val="auto"/>
                <w:sz w:val="24"/>
                <w:szCs w:val="24"/>
                <w:lang w:eastAsia="zh-CN"/>
              </w:rPr>
              <w:t>最大</w:t>
            </w:r>
            <w:r>
              <w:rPr>
                <w:rFonts w:hint="eastAsia" w:ascii="宋体" w:hAnsi="宋体" w:eastAsia="宋体" w:cs="宋体"/>
                <w:color w:val="auto"/>
                <w:sz w:val="24"/>
                <w:szCs w:val="24"/>
              </w:rPr>
              <w:t>浓度</w:t>
            </w:r>
            <w:r>
              <w:rPr>
                <w:rFonts w:hint="eastAsia" w:ascii="宋体" w:hAnsi="宋体" w:eastAsia="宋体" w:cs="宋体"/>
                <w:color w:val="auto"/>
                <w:sz w:val="24"/>
                <w:szCs w:val="24"/>
                <w:lang w:eastAsia="zh-CN"/>
              </w:rPr>
              <w:t>值</w:t>
            </w:r>
            <w:r>
              <w:rPr>
                <w:rFonts w:hint="eastAsia" w:ascii="宋体" w:hAnsi="宋体" w:eastAsia="宋体" w:cs="宋体"/>
                <w:color w:val="auto"/>
                <w:sz w:val="24"/>
                <w:szCs w:val="24"/>
                <w:lang w:val="en-US" w:eastAsia="zh-CN"/>
              </w:rPr>
              <w:t>分别</w:t>
            </w:r>
            <w:r>
              <w:rPr>
                <w:rFonts w:hint="eastAsia" w:ascii="宋体" w:hAnsi="宋体" w:eastAsia="宋体" w:cs="宋体"/>
                <w:color w:val="auto"/>
                <w:sz w:val="24"/>
                <w:szCs w:val="24"/>
              </w:rPr>
              <w:t>为</w:t>
            </w:r>
            <w:r>
              <w:rPr>
                <w:rFonts w:hint="eastAsia" w:ascii="宋体" w:hAnsi="宋体" w:eastAsia="宋体" w:cs="宋体"/>
                <w:color w:val="auto"/>
                <w:sz w:val="24"/>
                <w:szCs w:val="24"/>
                <w:lang w:val="en-US" w:eastAsia="zh-CN"/>
              </w:rPr>
              <w:t>0.0032</w:t>
            </w:r>
            <w:r>
              <w:rPr>
                <w:rFonts w:hint="eastAsia" w:ascii="宋体" w:hAnsi="宋体" w:eastAsia="宋体" w:cs="宋体"/>
                <w:color w:val="auto"/>
                <w:sz w:val="24"/>
                <w:szCs w:val="24"/>
              </w:rPr>
              <w:t>mg/m</w:t>
            </w:r>
            <w:r>
              <w:rPr>
                <w:rFonts w:hint="eastAsia" w:ascii="宋体" w:hAnsi="宋体" w:eastAsia="宋体" w:cs="宋体"/>
                <w:color w:val="auto"/>
                <w:sz w:val="24"/>
                <w:szCs w:val="24"/>
                <w:vertAlign w:val="superscript"/>
              </w:rPr>
              <w:t>3</w:t>
            </w:r>
            <w:r>
              <w:rPr>
                <w:rFonts w:hint="eastAsia" w:ascii="宋体" w:hAnsi="宋体" w:eastAsia="宋体" w:cs="宋体"/>
                <w:color w:val="auto"/>
                <w:sz w:val="24"/>
                <w:szCs w:val="24"/>
                <w:lang w:val="zh-CN"/>
              </w:rPr>
              <w:t>、</w:t>
            </w:r>
            <w:r>
              <w:rPr>
                <w:rFonts w:hint="eastAsia" w:ascii="宋体" w:hAnsi="宋体" w:eastAsia="宋体" w:cs="宋体"/>
                <w:color w:val="auto"/>
                <w:sz w:val="24"/>
                <w:szCs w:val="24"/>
                <w:lang w:val="en-US" w:eastAsia="zh-CN"/>
              </w:rPr>
              <w:t>0.0080</w:t>
            </w:r>
            <w:r>
              <w:rPr>
                <w:rFonts w:hint="eastAsia" w:ascii="宋体" w:hAnsi="宋体" w:eastAsia="宋体" w:cs="宋体"/>
                <w:color w:val="auto"/>
                <w:sz w:val="24"/>
                <w:szCs w:val="24"/>
              </w:rPr>
              <w:t>mg/m</w:t>
            </w:r>
            <w:r>
              <w:rPr>
                <w:rFonts w:hint="eastAsia" w:ascii="宋体" w:hAnsi="宋体" w:eastAsia="宋体" w:cs="宋体"/>
                <w:color w:val="auto"/>
                <w:sz w:val="24"/>
                <w:szCs w:val="24"/>
                <w:vertAlign w:val="superscript"/>
              </w:rPr>
              <w:t>3</w:t>
            </w:r>
            <w:r>
              <w:rPr>
                <w:rFonts w:hint="eastAsia" w:ascii="宋体" w:hAnsi="宋体" w:eastAsia="宋体" w:cs="宋体"/>
                <w:color w:val="auto"/>
                <w:sz w:val="24"/>
                <w:szCs w:val="24"/>
                <w:lang w:val="en-US" w:eastAsia="zh-CN"/>
              </w:rPr>
              <w:t>，能满足《河南省关于全省开展工业企业挥发性有机物专项治理工作中排放建议值的通知》（豫环攻坚办[2017]162号）的排放限值要求。</w:t>
            </w:r>
          </w:p>
          <w:p>
            <w:pPr>
              <w:widowControl w:val="0"/>
              <w:spacing w:after="21" w:line="360" w:lineRule="auto"/>
              <w:ind w:firstLine="480" w:firstLineChars="200"/>
              <w:jc w:val="both"/>
              <w:rPr>
                <w:rFonts w:hint="eastAsia" w:ascii="宋体" w:hAnsi="宋体" w:eastAsia="宋体" w:cs="宋体"/>
                <w:sz w:val="24"/>
              </w:rPr>
            </w:pPr>
            <w:r>
              <w:rPr>
                <w:rFonts w:hint="eastAsia" w:ascii="宋体" w:hAnsi="宋体" w:eastAsia="宋体" w:cs="宋体"/>
                <w:sz w:val="24"/>
                <w:lang w:val="en-US" w:eastAsia="zh-CN"/>
              </w:rPr>
              <w:t>2、</w:t>
            </w:r>
            <w:r>
              <w:rPr>
                <w:rFonts w:hint="eastAsia" w:ascii="宋体" w:hAnsi="宋体" w:eastAsia="宋体" w:cs="宋体"/>
                <w:sz w:val="24"/>
              </w:rPr>
              <w:t>噪声监测结果及分析</w:t>
            </w:r>
          </w:p>
          <w:p>
            <w:pPr>
              <w:widowControl w:val="0"/>
              <w:spacing w:after="21" w:line="360" w:lineRule="auto"/>
              <w:ind w:firstLine="480" w:firstLineChars="200"/>
              <w:jc w:val="both"/>
              <w:rPr>
                <w:rFonts w:hint="eastAsia" w:ascii="宋体" w:hAnsi="宋体" w:eastAsia="宋体" w:cs="宋体"/>
                <w:sz w:val="24"/>
              </w:rPr>
            </w:pPr>
            <w:r>
              <w:rPr>
                <w:rFonts w:hint="eastAsia" w:ascii="宋体" w:hAnsi="宋体" w:eastAsia="宋体" w:cs="宋体"/>
                <w:sz w:val="24"/>
              </w:rPr>
              <w:t>本项目噪声源主要为</w:t>
            </w:r>
            <w:r>
              <w:rPr>
                <w:rFonts w:hint="eastAsia" w:ascii="宋体" w:hAnsi="宋体" w:eastAsia="宋体" w:cs="宋体"/>
                <w:sz w:val="24"/>
                <w:szCs w:val="24"/>
              </w:rPr>
              <w:t>风机运行产生的噪声。</w:t>
            </w:r>
            <w:r>
              <w:rPr>
                <w:rFonts w:hint="eastAsia" w:ascii="宋体" w:hAnsi="宋体" w:eastAsia="宋体" w:cs="宋体"/>
                <w:sz w:val="24"/>
                <w:szCs w:val="24"/>
                <w:lang w:val="zh-CN"/>
              </w:rPr>
              <w:t>采取减振、隔声等措施</w:t>
            </w:r>
            <w:r>
              <w:rPr>
                <w:rFonts w:hint="eastAsia" w:ascii="宋体" w:hAnsi="宋体" w:eastAsia="宋体" w:cs="宋体"/>
                <w:sz w:val="24"/>
              </w:rPr>
              <w:t>。本项目四周厂界外1m处各布设1个厂房边界噪声监测点，监测时间为20</w:t>
            </w:r>
            <w:r>
              <w:rPr>
                <w:rFonts w:hint="eastAsia" w:ascii="宋体" w:hAnsi="宋体" w:eastAsia="宋体" w:cs="宋体"/>
                <w:sz w:val="24"/>
                <w:lang w:val="en-US" w:eastAsia="zh-CN"/>
              </w:rPr>
              <w:t>21</w:t>
            </w:r>
            <w:r>
              <w:rPr>
                <w:rFonts w:hint="eastAsia" w:ascii="宋体" w:hAnsi="宋体" w:eastAsia="宋体" w:cs="宋体"/>
                <w:sz w:val="24"/>
              </w:rPr>
              <w:t>年</w:t>
            </w:r>
            <w:r>
              <w:rPr>
                <w:rFonts w:hint="eastAsia" w:ascii="宋体" w:hAnsi="宋体" w:eastAsia="宋体" w:cs="宋体"/>
                <w:sz w:val="24"/>
                <w:lang w:val="en-US" w:eastAsia="zh-CN"/>
              </w:rPr>
              <w:t>12</w:t>
            </w:r>
            <w:r>
              <w:rPr>
                <w:rFonts w:hint="eastAsia" w:ascii="宋体" w:hAnsi="宋体" w:eastAsia="宋体" w:cs="宋体"/>
                <w:sz w:val="24"/>
              </w:rPr>
              <w:t>月</w:t>
            </w:r>
            <w:r>
              <w:rPr>
                <w:rFonts w:hint="eastAsia" w:ascii="宋体" w:hAnsi="宋体" w:eastAsia="宋体" w:cs="宋体"/>
                <w:sz w:val="24"/>
                <w:lang w:val="en-US" w:eastAsia="zh-CN"/>
              </w:rPr>
              <w:t>15</w:t>
            </w:r>
            <w:r>
              <w:rPr>
                <w:rFonts w:hint="eastAsia" w:ascii="宋体" w:hAnsi="宋体" w:eastAsia="宋体" w:cs="宋体"/>
                <w:sz w:val="24"/>
              </w:rPr>
              <w:t>-</w:t>
            </w:r>
            <w:r>
              <w:rPr>
                <w:rFonts w:hint="eastAsia" w:ascii="宋体" w:hAnsi="宋体" w:eastAsia="宋体" w:cs="宋体"/>
                <w:sz w:val="24"/>
                <w:lang w:val="en-US" w:eastAsia="zh-CN"/>
              </w:rPr>
              <w:t>16日</w:t>
            </w:r>
            <w:r>
              <w:rPr>
                <w:rFonts w:hint="eastAsia" w:ascii="宋体" w:hAnsi="宋体" w:eastAsia="宋体" w:cs="宋体"/>
                <w:sz w:val="24"/>
              </w:rPr>
              <w:t>，监测结果见表</w:t>
            </w:r>
            <w:r>
              <w:rPr>
                <w:rFonts w:hint="eastAsia" w:ascii="宋体" w:hAnsi="宋体" w:eastAsia="宋体" w:cs="宋体"/>
                <w:sz w:val="24"/>
                <w:lang w:val="en-US" w:eastAsia="zh-CN"/>
              </w:rPr>
              <w:t>7</w:t>
            </w:r>
            <w:r>
              <w:rPr>
                <w:rFonts w:hint="eastAsia" w:ascii="宋体" w:hAnsi="宋体" w:eastAsia="宋体" w:cs="宋体"/>
                <w:sz w:val="24"/>
              </w:rPr>
              <w:t>-</w:t>
            </w:r>
            <w:r>
              <w:rPr>
                <w:rFonts w:hint="eastAsia" w:ascii="宋体" w:hAnsi="宋体" w:eastAsia="宋体" w:cs="宋体"/>
                <w:sz w:val="24"/>
                <w:lang w:val="en-US" w:eastAsia="zh-CN"/>
              </w:rPr>
              <w:t>6</w:t>
            </w:r>
            <w:r>
              <w:rPr>
                <w:rFonts w:hint="eastAsia" w:ascii="宋体" w:hAnsi="宋体" w:eastAsia="宋体" w:cs="宋体"/>
                <w:sz w:val="24"/>
              </w:rPr>
              <w:t>。</w:t>
            </w:r>
          </w:p>
          <w:p>
            <w:pPr>
              <w:widowControl w:val="0"/>
              <w:spacing w:after="21" w:line="360" w:lineRule="auto"/>
              <w:ind w:firstLine="480" w:firstLineChars="200"/>
              <w:jc w:val="center"/>
              <w:rPr>
                <w:rFonts w:hint="eastAsia" w:ascii="宋体" w:hAnsi="宋体" w:eastAsia="宋体" w:cs="宋体"/>
                <w:sz w:val="24"/>
              </w:rPr>
            </w:pPr>
            <w:r>
              <w:rPr>
                <w:rFonts w:hint="eastAsia" w:ascii="宋体" w:hAnsi="宋体" w:eastAsia="宋体" w:cs="宋体"/>
                <w:sz w:val="24"/>
              </w:rPr>
              <w:t xml:space="preserve">表 </w:t>
            </w:r>
            <w:r>
              <w:rPr>
                <w:rFonts w:hint="eastAsia" w:ascii="宋体" w:hAnsi="宋体" w:eastAsia="宋体" w:cs="宋体"/>
                <w:sz w:val="24"/>
                <w:lang w:val="en-US" w:eastAsia="zh-CN"/>
              </w:rPr>
              <w:t>7</w:t>
            </w:r>
            <w:r>
              <w:rPr>
                <w:rFonts w:hint="eastAsia" w:ascii="宋体" w:hAnsi="宋体" w:eastAsia="宋体" w:cs="宋体"/>
                <w:sz w:val="24"/>
              </w:rPr>
              <w:t>-</w:t>
            </w:r>
            <w:r>
              <w:rPr>
                <w:rFonts w:hint="eastAsia" w:ascii="宋体" w:hAnsi="宋体" w:eastAsia="宋体" w:cs="宋体"/>
                <w:sz w:val="24"/>
                <w:lang w:val="en-US" w:eastAsia="zh-CN"/>
              </w:rPr>
              <w:t>6</w:t>
            </w:r>
            <w:r>
              <w:rPr>
                <w:rFonts w:hint="eastAsia" w:ascii="宋体" w:hAnsi="宋体" w:eastAsia="宋体" w:cs="宋体"/>
                <w:sz w:val="24"/>
              </w:rPr>
              <w:t xml:space="preserve"> 厂界噪声监测结果</w:t>
            </w:r>
          </w:p>
          <w:tbl>
            <w:tblPr>
              <w:tblStyle w:val="17"/>
              <w:tblW w:w="8698" w:type="dxa"/>
              <w:jc w:val="center"/>
              <w:tblLayout w:type="fixed"/>
              <w:tblCellMar>
                <w:top w:w="62" w:type="dxa"/>
                <w:left w:w="247" w:type="dxa"/>
                <w:bottom w:w="0" w:type="dxa"/>
                <w:right w:w="115" w:type="dxa"/>
              </w:tblCellMar>
            </w:tblPr>
            <w:tblGrid>
              <w:gridCol w:w="1543"/>
              <w:gridCol w:w="1682"/>
              <w:gridCol w:w="1543"/>
              <w:gridCol w:w="1124"/>
              <w:gridCol w:w="1404"/>
              <w:gridCol w:w="1402"/>
            </w:tblGrid>
            <w:tr>
              <w:tblPrEx>
                <w:tblCellMar>
                  <w:top w:w="62" w:type="dxa"/>
                  <w:left w:w="247" w:type="dxa"/>
                  <w:bottom w:w="0" w:type="dxa"/>
                  <w:right w:w="115" w:type="dxa"/>
                </w:tblCellMar>
              </w:tblPrEx>
              <w:trPr>
                <w:trHeight w:val="350" w:hRule="atLeast"/>
                <w:jc w:val="center"/>
              </w:trPr>
              <w:tc>
                <w:tcPr>
                  <w:tcW w:w="3225" w:type="dxa"/>
                  <w:gridSpan w:val="2"/>
                  <w:tcBorders>
                    <w:top w:val="single" w:color="000000" w:sz="4" w:space="0"/>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检测时段</w:t>
                  </w:r>
                </w:p>
              </w:tc>
              <w:tc>
                <w:tcPr>
                  <w:tcW w:w="1543" w:type="dxa"/>
                  <w:tcBorders>
                    <w:top w:val="single" w:color="000000" w:sz="4" w:space="0"/>
                    <w:left w:val="single" w:color="000000" w:sz="4" w:space="0"/>
                    <w:bottom w:val="single" w:color="000000" w:sz="4" w:space="0"/>
                    <w:right w:val="single" w:color="000000" w:sz="4" w:space="0"/>
                  </w:tcBorders>
                </w:tcPr>
                <w:p>
                  <w:pPr>
                    <w:spacing w:after="21" w:line="240" w:lineRule="auto"/>
                    <w:jc w:val="both"/>
                    <w:rPr>
                      <w:rFonts w:hint="eastAsia" w:ascii="宋体" w:hAnsi="宋体" w:eastAsia="宋体" w:cs="宋体"/>
                      <w:sz w:val="21"/>
                      <w:szCs w:val="21"/>
                    </w:rPr>
                  </w:pPr>
                  <w:r>
                    <w:rPr>
                      <w:rFonts w:hint="eastAsia" w:ascii="宋体" w:hAnsi="宋体" w:eastAsia="宋体" w:cs="宋体"/>
                      <w:sz w:val="21"/>
                      <w:szCs w:val="21"/>
                    </w:rPr>
                    <w:t>测点位置</w:t>
                  </w:r>
                </w:p>
              </w:tc>
              <w:tc>
                <w:tcPr>
                  <w:tcW w:w="1124" w:type="dxa"/>
                  <w:tcBorders>
                    <w:top w:val="single" w:color="000000" w:sz="4" w:space="0"/>
                    <w:left w:val="single" w:color="000000" w:sz="4" w:space="0"/>
                    <w:bottom w:val="single" w:color="000000" w:sz="4" w:space="0"/>
                    <w:right w:val="single" w:color="000000" w:sz="4" w:space="0"/>
                  </w:tcBorders>
                </w:tcPr>
                <w:p>
                  <w:pPr>
                    <w:spacing w:after="21" w:line="240" w:lineRule="auto"/>
                    <w:jc w:val="both"/>
                    <w:rPr>
                      <w:rFonts w:hint="eastAsia" w:ascii="宋体" w:hAnsi="宋体" w:eastAsia="宋体" w:cs="宋体"/>
                      <w:sz w:val="21"/>
                      <w:szCs w:val="21"/>
                    </w:rPr>
                  </w:pPr>
                  <w:r>
                    <w:rPr>
                      <w:rFonts w:hint="eastAsia" w:ascii="宋体" w:hAnsi="宋体" w:eastAsia="宋体" w:cs="宋体"/>
                      <w:sz w:val="21"/>
                      <w:szCs w:val="21"/>
                    </w:rPr>
                    <w:t>监测</w:t>
                  </w:r>
                  <w:r>
                    <w:rPr>
                      <w:rFonts w:hint="eastAsia" w:ascii="宋体" w:hAnsi="宋体" w:eastAsia="宋体" w:cs="宋体"/>
                      <w:sz w:val="21"/>
                      <w:szCs w:val="21"/>
                      <w:lang w:eastAsia="zh-CN"/>
                    </w:rPr>
                    <w:t>结果</w:t>
                  </w:r>
                  <w:r>
                    <w:rPr>
                      <w:rFonts w:hint="eastAsia" w:ascii="宋体" w:hAnsi="宋体" w:eastAsia="宋体" w:cs="宋体"/>
                      <w:sz w:val="21"/>
                      <w:szCs w:val="21"/>
                    </w:rPr>
                    <w:t>值</w:t>
                  </w:r>
                </w:p>
              </w:tc>
              <w:tc>
                <w:tcPr>
                  <w:tcW w:w="1404" w:type="dxa"/>
                  <w:tcBorders>
                    <w:top w:val="single" w:color="000000" w:sz="4" w:space="0"/>
                    <w:left w:val="single" w:color="000000" w:sz="4" w:space="0"/>
                    <w:bottom w:val="single" w:color="000000" w:sz="4" w:space="0"/>
                    <w:right w:val="single" w:color="000000" w:sz="4" w:space="0"/>
                  </w:tcBorders>
                </w:tcPr>
                <w:p>
                  <w:pPr>
                    <w:spacing w:after="21" w:line="240" w:lineRule="auto"/>
                    <w:jc w:val="both"/>
                    <w:rPr>
                      <w:rFonts w:hint="eastAsia" w:ascii="宋体" w:hAnsi="宋体" w:eastAsia="宋体" w:cs="宋体"/>
                      <w:sz w:val="21"/>
                      <w:szCs w:val="21"/>
                    </w:rPr>
                  </w:pPr>
                  <w:r>
                    <w:rPr>
                      <w:rFonts w:hint="eastAsia" w:ascii="宋体" w:hAnsi="宋体" w:eastAsia="宋体" w:cs="宋体"/>
                      <w:sz w:val="21"/>
                      <w:szCs w:val="21"/>
                    </w:rPr>
                    <w:t>评价标准</w:t>
                  </w:r>
                </w:p>
              </w:tc>
              <w:tc>
                <w:tcPr>
                  <w:tcW w:w="1402" w:type="dxa"/>
                  <w:tcBorders>
                    <w:top w:val="single" w:color="000000" w:sz="4" w:space="0"/>
                    <w:left w:val="single" w:color="000000" w:sz="4" w:space="0"/>
                    <w:bottom w:val="single" w:color="000000" w:sz="4" w:space="0"/>
                    <w:right w:val="single" w:color="000000" w:sz="4" w:space="0"/>
                  </w:tcBorders>
                </w:tcPr>
                <w:p>
                  <w:pPr>
                    <w:spacing w:after="21" w:line="240" w:lineRule="auto"/>
                    <w:jc w:val="both"/>
                    <w:rPr>
                      <w:rFonts w:hint="eastAsia" w:ascii="宋体" w:hAnsi="宋体" w:eastAsia="宋体" w:cs="宋体"/>
                      <w:sz w:val="21"/>
                      <w:szCs w:val="21"/>
                    </w:rPr>
                  </w:pPr>
                  <w:r>
                    <w:rPr>
                      <w:rFonts w:hint="eastAsia" w:ascii="宋体" w:hAnsi="宋体" w:eastAsia="宋体" w:cs="宋体"/>
                      <w:sz w:val="21"/>
                      <w:szCs w:val="21"/>
                    </w:rPr>
                    <w:t>达标情况</w:t>
                  </w:r>
                </w:p>
              </w:tc>
            </w:tr>
            <w:tr>
              <w:tblPrEx>
                <w:tblCellMar>
                  <w:top w:w="62" w:type="dxa"/>
                  <w:left w:w="247" w:type="dxa"/>
                  <w:bottom w:w="0" w:type="dxa"/>
                  <w:right w:w="115" w:type="dxa"/>
                </w:tblCellMar>
              </w:tblPrEx>
              <w:trPr>
                <w:trHeight w:val="350" w:hRule="atLeast"/>
                <w:jc w:val="center"/>
              </w:trPr>
              <w:tc>
                <w:tcPr>
                  <w:tcW w:w="1543" w:type="dxa"/>
                  <w:vMerge w:val="restart"/>
                  <w:tcBorders>
                    <w:top w:val="single" w:color="000000" w:sz="4" w:space="0"/>
                    <w:left w:val="single" w:color="000000" w:sz="4" w:space="0"/>
                    <w:bottom w:val="single" w:color="000000" w:sz="4" w:space="0"/>
                    <w:right w:val="single" w:color="000000" w:sz="4" w:space="0"/>
                  </w:tcBorders>
                  <w:vAlign w:val="center"/>
                </w:tcPr>
                <w:p>
                  <w:pPr>
                    <w:spacing w:after="21" w:line="240" w:lineRule="auto"/>
                    <w:jc w:val="both"/>
                    <w:rPr>
                      <w:rFonts w:hint="eastAsia" w:ascii="宋体" w:hAnsi="宋体" w:eastAsia="宋体" w:cs="宋体"/>
                      <w:color w:val="FF0000"/>
                      <w:sz w:val="21"/>
                      <w:szCs w:val="21"/>
                      <w:lang w:val="en-US" w:eastAsia="zh-CN"/>
                    </w:rPr>
                  </w:pPr>
                  <w:r>
                    <w:rPr>
                      <w:rFonts w:hint="eastAsia" w:ascii="宋体" w:hAnsi="宋体" w:eastAsia="宋体" w:cs="宋体"/>
                      <w:sz w:val="21"/>
                      <w:szCs w:val="21"/>
                    </w:rPr>
                    <w:t>20</w:t>
                  </w:r>
                  <w:r>
                    <w:rPr>
                      <w:rFonts w:hint="eastAsia" w:ascii="宋体" w:hAnsi="宋体" w:eastAsia="宋体" w:cs="宋体"/>
                      <w:sz w:val="21"/>
                      <w:szCs w:val="21"/>
                      <w:lang w:val="en-US" w:eastAsia="zh-CN"/>
                    </w:rPr>
                    <w:t>21</w:t>
                  </w:r>
                  <w:r>
                    <w:rPr>
                      <w:rFonts w:hint="eastAsia" w:ascii="宋体" w:hAnsi="宋体" w:eastAsia="宋体" w:cs="宋体"/>
                      <w:sz w:val="21"/>
                      <w:szCs w:val="21"/>
                    </w:rPr>
                    <w:t>.</w:t>
                  </w:r>
                  <w:r>
                    <w:rPr>
                      <w:rFonts w:hint="eastAsia" w:ascii="宋体" w:hAnsi="宋体" w:eastAsia="宋体" w:cs="宋体"/>
                      <w:sz w:val="21"/>
                      <w:szCs w:val="21"/>
                      <w:lang w:val="en-US" w:eastAsia="zh-CN"/>
                    </w:rPr>
                    <w:t>12</w:t>
                  </w:r>
                  <w:r>
                    <w:rPr>
                      <w:rFonts w:hint="eastAsia" w:ascii="宋体" w:hAnsi="宋体" w:eastAsia="宋体" w:cs="宋体"/>
                      <w:sz w:val="21"/>
                      <w:szCs w:val="21"/>
                    </w:rPr>
                    <w:t>.</w:t>
                  </w:r>
                  <w:r>
                    <w:rPr>
                      <w:rFonts w:hint="eastAsia" w:ascii="宋体" w:hAnsi="宋体" w:eastAsia="宋体" w:cs="宋体"/>
                      <w:sz w:val="21"/>
                      <w:szCs w:val="21"/>
                      <w:lang w:val="en-US" w:eastAsia="zh-CN"/>
                    </w:rPr>
                    <w:t>15</w:t>
                  </w:r>
                </w:p>
              </w:tc>
              <w:tc>
                <w:tcPr>
                  <w:tcW w:w="1682" w:type="dxa"/>
                  <w:vMerge w:val="restart"/>
                  <w:tcBorders>
                    <w:top w:val="single" w:color="000000" w:sz="4" w:space="0"/>
                    <w:left w:val="single" w:color="000000" w:sz="4" w:space="0"/>
                    <w:bottom w:val="single" w:color="000000" w:sz="4" w:space="0"/>
                    <w:right w:val="single" w:color="000000" w:sz="4" w:space="0"/>
                  </w:tcBorders>
                  <w:vAlign w:val="center"/>
                </w:tcPr>
                <w:p>
                  <w:pPr>
                    <w:spacing w:after="21" w:line="24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昼间</w:t>
                  </w:r>
                </w:p>
              </w:tc>
              <w:tc>
                <w:tcPr>
                  <w:tcW w:w="1543" w:type="dxa"/>
                  <w:tcBorders>
                    <w:top w:val="single" w:color="000000" w:sz="4" w:space="0"/>
                    <w:left w:val="single" w:color="000000" w:sz="4" w:space="0"/>
                    <w:bottom w:val="single" w:color="000000" w:sz="4" w:space="0"/>
                    <w:right w:val="single" w:color="000000" w:sz="4" w:space="0"/>
                  </w:tcBorders>
                </w:tcPr>
                <w:p>
                  <w:pPr>
                    <w:spacing w:after="21" w:line="240" w:lineRule="auto"/>
                    <w:jc w:val="both"/>
                    <w:rPr>
                      <w:rFonts w:hint="eastAsia" w:ascii="宋体" w:hAnsi="宋体" w:eastAsia="宋体" w:cs="宋体"/>
                      <w:sz w:val="21"/>
                      <w:szCs w:val="21"/>
                    </w:rPr>
                  </w:pPr>
                  <w:r>
                    <w:rPr>
                      <w:rFonts w:hint="eastAsia" w:ascii="宋体" w:hAnsi="宋体" w:eastAsia="宋体" w:cs="宋体"/>
                      <w:sz w:val="21"/>
                      <w:szCs w:val="21"/>
                    </w:rPr>
                    <w:t>1#东厂界</w:t>
                  </w:r>
                </w:p>
              </w:tc>
              <w:tc>
                <w:tcPr>
                  <w:tcW w:w="1124" w:type="dxa"/>
                  <w:tcBorders>
                    <w:top w:val="single" w:color="000000" w:sz="4" w:space="0"/>
                    <w:left w:val="single" w:color="000000" w:sz="4" w:space="0"/>
                    <w:bottom w:val="single" w:color="000000" w:sz="4" w:space="0"/>
                    <w:right w:val="single" w:color="000000" w:sz="4" w:space="0"/>
                  </w:tcBorders>
                  <w:vAlign w:val="center"/>
                </w:tcPr>
                <w:p>
                  <w:pPr>
                    <w:widowControl w:val="0"/>
                    <w:spacing w:line="240" w:lineRule="auto"/>
                    <w:jc w:val="center"/>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rPr>
                    <w:t>56</w:t>
                  </w:r>
                </w:p>
              </w:tc>
              <w:tc>
                <w:tcPr>
                  <w:tcW w:w="1404" w:type="dxa"/>
                  <w:tcBorders>
                    <w:top w:val="single" w:color="000000" w:sz="4" w:space="0"/>
                    <w:left w:val="single" w:color="000000" w:sz="4" w:space="0"/>
                    <w:bottom w:val="single" w:color="000000" w:sz="4" w:space="0"/>
                    <w:right w:val="single" w:color="000000" w:sz="4" w:space="0"/>
                  </w:tcBorders>
                </w:tcPr>
                <w:p>
                  <w:pPr>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60</w:t>
                  </w:r>
                </w:p>
              </w:tc>
              <w:tc>
                <w:tcPr>
                  <w:tcW w:w="1402" w:type="dxa"/>
                  <w:tcBorders>
                    <w:top w:val="single" w:color="000000" w:sz="4" w:space="0"/>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达标</w:t>
                  </w:r>
                </w:p>
              </w:tc>
            </w:tr>
            <w:tr>
              <w:tblPrEx>
                <w:tblCellMar>
                  <w:top w:w="62" w:type="dxa"/>
                  <w:left w:w="247" w:type="dxa"/>
                  <w:bottom w:w="0" w:type="dxa"/>
                  <w:right w:w="115" w:type="dxa"/>
                </w:tblCellMar>
              </w:tblPrEx>
              <w:trPr>
                <w:trHeight w:val="350" w:hRule="atLeast"/>
                <w:jc w:val="center"/>
              </w:trPr>
              <w:tc>
                <w:tcPr>
                  <w:tcW w:w="1543" w:type="dxa"/>
                  <w:vMerge w:val="continue"/>
                  <w:tcBorders>
                    <w:top w:val="nil"/>
                    <w:left w:val="single" w:color="000000" w:sz="4" w:space="0"/>
                    <w:bottom w:val="nil"/>
                    <w:right w:val="single" w:color="000000" w:sz="4" w:space="0"/>
                  </w:tcBorders>
                </w:tcPr>
                <w:p>
                  <w:pPr>
                    <w:spacing w:after="21" w:line="240" w:lineRule="auto"/>
                    <w:ind w:firstLine="420" w:firstLineChars="200"/>
                    <w:jc w:val="both"/>
                    <w:rPr>
                      <w:rFonts w:hint="eastAsia" w:ascii="宋体" w:hAnsi="宋体" w:eastAsia="宋体" w:cs="宋体"/>
                      <w:color w:val="FF0000"/>
                      <w:sz w:val="21"/>
                      <w:szCs w:val="21"/>
                    </w:rPr>
                  </w:pPr>
                </w:p>
              </w:tc>
              <w:tc>
                <w:tcPr>
                  <w:tcW w:w="1682" w:type="dxa"/>
                  <w:vMerge w:val="continue"/>
                  <w:tcBorders>
                    <w:top w:val="nil"/>
                    <w:left w:val="single" w:color="000000" w:sz="4" w:space="0"/>
                    <w:bottom w:val="nil"/>
                    <w:right w:val="single" w:color="000000" w:sz="4" w:space="0"/>
                  </w:tcBorders>
                </w:tcPr>
                <w:p>
                  <w:pPr>
                    <w:spacing w:after="21" w:line="240" w:lineRule="auto"/>
                    <w:ind w:firstLine="420" w:firstLineChars="200"/>
                    <w:jc w:val="both"/>
                    <w:rPr>
                      <w:rFonts w:hint="eastAsia" w:ascii="宋体" w:hAnsi="宋体" w:eastAsia="宋体" w:cs="宋体"/>
                      <w:sz w:val="21"/>
                      <w:szCs w:val="21"/>
                    </w:rPr>
                  </w:pPr>
                </w:p>
              </w:tc>
              <w:tc>
                <w:tcPr>
                  <w:tcW w:w="1543" w:type="dxa"/>
                  <w:tcBorders>
                    <w:top w:val="single" w:color="000000" w:sz="4" w:space="0"/>
                    <w:left w:val="single" w:color="000000" w:sz="4" w:space="0"/>
                    <w:bottom w:val="single" w:color="000000" w:sz="4" w:space="0"/>
                    <w:right w:val="single" w:color="000000" w:sz="4" w:space="0"/>
                  </w:tcBorders>
                </w:tcPr>
                <w:p>
                  <w:pPr>
                    <w:spacing w:after="21" w:line="240" w:lineRule="auto"/>
                    <w:jc w:val="both"/>
                    <w:rPr>
                      <w:rFonts w:hint="eastAsia" w:ascii="宋体" w:hAnsi="宋体" w:eastAsia="宋体" w:cs="宋体"/>
                      <w:sz w:val="21"/>
                      <w:szCs w:val="21"/>
                    </w:rPr>
                  </w:pPr>
                  <w:r>
                    <w:rPr>
                      <w:rFonts w:hint="eastAsia" w:ascii="宋体" w:hAnsi="宋体" w:eastAsia="宋体" w:cs="宋体"/>
                      <w:sz w:val="21"/>
                      <w:szCs w:val="21"/>
                    </w:rPr>
                    <w:t>2#南厂界</w:t>
                  </w:r>
                </w:p>
              </w:tc>
              <w:tc>
                <w:tcPr>
                  <w:tcW w:w="1124" w:type="dxa"/>
                  <w:tcBorders>
                    <w:top w:val="single" w:color="000000" w:sz="4" w:space="0"/>
                    <w:left w:val="single" w:color="000000" w:sz="4" w:space="0"/>
                    <w:bottom w:val="single" w:color="000000" w:sz="4" w:space="0"/>
                    <w:right w:val="single" w:color="000000" w:sz="4" w:space="0"/>
                  </w:tcBorders>
                  <w:vAlign w:val="center"/>
                </w:tcPr>
                <w:p>
                  <w:pPr>
                    <w:widowControl w:val="0"/>
                    <w:spacing w:line="240" w:lineRule="auto"/>
                    <w:jc w:val="center"/>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rPr>
                    <w:t>54</w:t>
                  </w:r>
                </w:p>
              </w:tc>
              <w:tc>
                <w:tcPr>
                  <w:tcW w:w="1404" w:type="dxa"/>
                  <w:tcBorders>
                    <w:top w:val="single" w:color="000000" w:sz="4" w:space="0"/>
                    <w:left w:val="single" w:color="000000" w:sz="4" w:space="0"/>
                    <w:bottom w:val="single" w:color="000000" w:sz="4" w:space="0"/>
                    <w:right w:val="single" w:color="000000" w:sz="4" w:space="0"/>
                  </w:tcBorders>
                </w:tcPr>
                <w:p>
                  <w:pPr>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60</w:t>
                  </w:r>
                </w:p>
              </w:tc>
              <w:tc>
                <w:tcPr>
                  <w:tcW w:w="1402" w:type="dxa"/>
                  <w:tcBorders>
                    <w:top w:val="single" w:color="000000" w:sz="4" w:space="0"/>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达标</w:t>
                  </w:r>
                </w:p>
              </w:tc>
            </w:tr>
            <w:tr>
              <w:tblPrEx>
                <w:tblCellMar>
                  <w:top w:w="62" w:type="dxa"/>
                  <w:left w:w="247" w:type="dxa"/>
                  <w:bottom w:w="0" w:type="dxa"/>
                  <w:right w:w="115" w:type="dxa"/>
                </w:tblCellMar>
              </w:tblPrEx>
              <w:trPr>
                <w:trHeight w:val="350" w:hRule="atLeast"/>
                <w:jc w:val="center"/>
              </w:trPr>
              <w:tc>
                <w:tcPr>
                  <w:tcW w:w="1543" w:type="dxa"/>
                  <w:vMerge w:val="continue"/>
                  <w:tcBorders>
                    <w:top w:val="nil"/>
                    <w:left w:val="single" w:color="000000" w:sz="4" w:space="0"/>
                    <w:bottom w:val="nil"/>
                    <w:right w:val="single" w:color="000000" w:sz="4" w:space="0"/>
                  </w:tcBorders>
                </w:tcPr>
                <w:p>
                  <w:pPr>
                    <w:spacing w:after="21" w:line="240" w:lineRule="auto"/>
                    <w:ind w:firstLine="420" w:firstLineChars="200"/>
                    <w:jc w:val="both"/>
                    <w:rPr>
                      <w:rFonts w:hint="eastAsia" w:ascii="宋体" w:hAnsi="宋体" w:eastAsia="宋体" w:cs="宋体"/>
                      <w:color w:val="FF0000"/>
                      <w:sz w:val="21"/>
                      <w:szCs w:val="21"/>
                    </w:rPr>
                  </w:pPr>
                </w:p>
              </w:tc>
              <w:tc>
                <w:tcPr>
                  <w:tcW w:w="1682" w:type="dxa"/>
                  <w:vMerge w:val="continue"/>
                  <w:tcBorders>
                    <w:top w:val="nil"/>
                    <w:left w:val="single" w:color="000000" w:sz="4" w:space="0"/>
                    <w:bottom w:val="nil"/>
                    <w:right w:val="single" w:color="000000" w:sz="4" w:space="0"/>
                  </w:tcBorders>
                </w:tcPr>
                <w:p>
                  <w:pPr>
                    <w:spacing w:after="21" w:line="240" w:lineRule="auto"/>
                    <w:ind w:firstLine="420" w:firstLineChars="200"/>
                    <w:jc w:val="both"/>
                    <w:rPr>
                      <w:rFonts w:hint="eastAsia" w:ascii="宋体" w:hAnsi="宋体" w:eastAsia="宋体" w:cs="宋体"/>
                      <w:sz w:val="21"/>
                      <w:szCs w:val="21"/>
                    </w:rPr>
                  </w:pPr>
                </w:p>
              </w:tc>
              <w:tc>
                <w:tcPr>
                  <w:tcW w:w="1543" w:type="dxa"/>
                  <w:tcBorders>
                    <w:top w:val="single" w:color="000000" w:sz="4" w:space="0"/>
                    <w:left w:val="single" w:color="000000" w:sz="4" w:space="0"/>
                    <w:bottom w:val="single" w:color="000000" w:sz="4" w:space="0"/>
                    <w:right w:val="single" w:color="000000" w:sz="4" w:space="0"/>
                  </w:tcBorders>
                </w:tcPr>
                <w:p>
                  <w:pPr>
                    <w:spacing w:after="21" w:line="240" w:lineRule="auto"/>
                    <w:jc w:val="both"/>
                    <w:rPr>
                      <w:rFonts w:hint="eastAsia" w:ascii="宋体" w:hAnsi="宋体" w:eastAsia="宋体" w:cs="宋体"/>
                      <w:sz w:val="21"/>
                      <w:szCs w:val="21"/>
                    </w:rPr>
                  </w:pPr>
                  <w:r>
                    <w:rPr>
                      <w:rFonts w:hint="eastAsia" w:ascii="宋体" w:hAnsi="宋体" w:eastAsia="宋体" w:cs="宋体"/>
                      <w:sz w:val="21"/>
                      <w:szCs w:val="21"/>
                    </w:rPr>
                    <w:t>3#西厂界</w:t>
                  </w:r>
                </w:p>
              </w:tc>
              <w:tc>
                <w:tcPr>
                  <w:tcW w:w="1124" w:type="dxa"/>
                  <w:tcBorders>
                    <w:top w:val="single" w:color="000000" w:sz="4" w:space="0"/>
                    <w:left w:val="single" w:color="000000" w:sz="4" w:space="0"/>
                    <w:bottom w:val="single" w:color="000000" w:sz="4" w:space="0"/>
                    <w:right w:val="single" w:color="000000" w:sz="4" w:space="0"/>
                  </w:tcBorders>
                  <w:vAlign w:val="center"/>
                </w:tcPr>
                <w:p>
                  <w:pPr>
                    <w:widowControl w:val="0"/>
                    <w:spacing w:line="240" w:lineRule="auto"/>
                    <w:jc w:val="center"/>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rPr>
                    <w:t>54</w:t>
                  </w:r>
                </w:p>
              </w:tc>
              <w:tc>
                <w:tcPr>
                  <w:tcW w:w="1404" w:type="dxa"/>
                  <w:tcBorders>
                    <w:top w:val="single" w:color="000000" w:sz="4" w:space="0"/>
                    <w:left w:val="single" w:color="000000" w:sz="4" w:space="0"/>
                    <w:bottom w:val="single" w:color="000000" w:sz="4" w:space="0"/>
                    <w:right w:val="single" w:color="000000" w:sz="4" w:space="0"/>
                  </w:tcBorders>
                </w:tcPr>
                <w:p>
                  <w:pPr>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60</w:t>
                  </w:r>
                </w:p>
              </w:tc>
              <w:tc>
                <w:tcPr>
                  <w:tcW w:w="1402" w:type="dxa"/>
                  <w:tcBorders>
                    <w:top w:val="single" w:color="000000" w:sz="4" w:space="0"/>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达标</w:t>
                  </w:r>
                </w:p>
              </w:tc>
            </w:tr>
            <w:tr>
              <w:tblPrEx>
                <w:tblCellMar>
                  <w:top w:w="62" w:type="dxa"/>
                  <w:left w:w="247" w:type="dxa"/>
                  <w:bottom w:w="0" w:type="dxa"/>
                  <w:right w:w="115" w:type="dxa"/>
                </w:tblCellMar>
              </w:tblPrEx>
              <w:trPr>
                <w:trHeight w:val="350" w:hRule="atLeast"/>
                <w:jc w:val="center"/>
              </w:trPr>
              <w:tc>
                <w:tcPr>
                  <w:tcW w:w="1543" w:type="dxa"/>
                  <w:vMerge w:val="continue"/>
                  <w:tcBorders>
                    <w:top w:val="nil"/>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宋体" w:hAnsi="宋体" w:eastAsia="宋体" w:cs="宋体"/>
                      <w:color w:val="FF0000"/>
                      <w:sz w:val="21"/>
                      <w:szCs w:val="21"/>
                    </w:rPr>
                  </w:pPr>
                </w:p>
              </w:tc>
              <w:tc>
                <w:tcPr>
                  <w:tcW w:w="1682" w:type="dxa"/>
                  <w:vMerge w:val="continue"/>
                  <w:tcBorders>
                    <w:top w:val="nil"/>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宋体" w:hAnsi="宋体" w:eastAsia="宋体" w:cs="宋体"/>
                      <w:sz w:val="21"/>
                      <w:szCs w:val="21"/>
                    </w:rPr>
                  </w:pPr>
                </w:p>
              </w:tc>
              <w:tc>
                <w:tcPr>
                  <w:tcW w:w="1543" w:type="dxa"/>
                  <w:tcBorders>
                    <w:top w:val="single" w:color="000000" w:sz="4" w:space="0"/>
                    <w:left w:val="single" w:color="000000" w:sz="4" w:space="0"/>
                    <w:bottom w:val="single" w:color="000000" w:sz="4" w:space="0"/>
                    <w:right w:val="single" w:color="000000" w:sz="4" w:space="0"/>
                  </w:tcBorders>
                </w:tcPr>
                <w:p>
                  <w:pPr>
                    <w:spacing w:after="21" w:line="240" w:lineRule="auto"/>
                    <w:jc w:val="both"/>
                    <w:rPr>
                      <w:rFonts w:hint="eastAsia" w:ascii="宋体" w:hAnsi="宋体" w:eastAsia="宋体" w:cs="宋体"/>
                      <w:sz w:val="21"/>
                      <w:szCs w:val="21"/>
                    </w:rPr>
                  </w:pPr>
                  <w:r>
                    <w:rPr>
                      <w:rFonts w:hint="eastAsia" w:ascii="宋体" w:hAnsi="宋体" w:eastAsia="宋体" w:cs="宋体"/>
                      <w:sz w:val="21"/>
                      <w:szCs w:val="21"/>
                    </w:rPr>
                    <w:t>4#北厂界</w:t>
                  </w:r>
                </w:p>
              </w:tc>
              <w:tc>
                <w:tcPr>
                  <w:tcW w:w="1124" w:type="dxa"/>
                  <w:tcBorders>
                    <w:top w:val="single" w:color="000000" w:sz="4" w:space="0"/>
                    <w:left w:val="single" w:color="000000" w:sz="4" w:space="0"/>
                    <w:bottom w:val="single" w:color="000000" w:sz="4" w:space="0"/>
                    <w:right w:val="single" w:color="000000" w:sz="4" w:space="0"/>
                  </w:tcBorders>
                  <w:vAlign w:val="center"/>
                </w:tcPr>
                <w:p>
                  <w:pPr>
                    <w:widowControl w:val="0"/>
                    <w:spacing w:line="240" w:lineRule="auto"/>
                    <w:jc w:val="center"/>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rPr>
                    <w:t>55</w:t>
                  </w:r>
                </w:p>
              </w:tc>
              <w:tc>
                <w:tcPr>
                  <w:tcW w:w="1404" w:type="dxa"/>
                  <w:tcBorders>
                    <w:top w:val="single" w:color="000000" w:sz="4" w:space="0"/>
                    <w:left w:val="single" w:color="000000" w:sz="4" w:space="0"/>
                    <w:bottom w:val="single" w:color="000000" w:sz="4" w:space="0"/>
                    <w:right w:val="single" w:color="000000" w:sz="4" w:space="0"/>
                  </w:tcBorders>
                </w:tcPr>
                <w:p>
                  <w:pPr>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60</w:t>
                  </w:r>
                </w:p>
              </w:tc>
              <w:tc>
                <w:tcPr>
                  <w:tcW w:w="1402" w:type="dxa"/>
                  <w:tcBorders>
                    <w:top w:val="single" w:color="000000" w:sz="4" w:space="0"/>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达标</w:t>
                  </w:r>
                </w:p>
              </w:tc>
            </w:tr>
            <w:tr>
              <w:tblPrEx>
                <w:tblCellMar>
                  <w:top w:w="62" w:type="dxa"/>
                  <w:left w:w="247" w:type="dxa"/>
                  <w:bottom w:w="0" w:type="dxa"/>
                  <w:right w:w="115" w:type="dxa"/>
                </w:tblCellMar>
              </w:tblPrEx>
              <w:trPr>
                <w:trHeight w:val="414" w:hRule="atLeast"/>
                <w:jc w:val="center"/>
              </w:trPr>
              <w:tc>
                <w:tcPr>
                  <w:tcW w:w="1543" w:type="dxa"/>
                  <w:vMerge w:val="restart"/>
                  <w:tcBorders>
                    <w:top w:val="single" w:color="000000" w:sz="4" w:space="0"/>
                    <w:left w:val="single" w:color="000000" w:sz="4" w:space="0"/>
                    <w:bottom w:val="single" w:color="000000" w:sz="4" w:space="0"/>
                    <w:right w:val="single" w:color="000000" w:sz="4" w:space="0"/>
                  </w:tcBorders>
                  <w:vAlign w:val="center"/>
                </w:tcPr>
                <w:p>
                  <w:pPr>
                    <w:spacing w:after="21" w:line="240" w:lineRule="auto"/>
                    <w:jc w:val="both"/>
                    <w:rPr>
                      <w:rFonts w:hint="eastAsia" w:ascii="宋体" w:hAnsi="宋体" w:eastAsia="宋体" w:cs="宋体"/>
                      <w:color w:val="FF0000"/>
                      <w:sz w:val="21"/>
                      <w:szCs w:val="21"/>
                      <w:lang w:val="en-US"/>
                    </w:rPr>
                  </w:pPr>
                  <w:r>
                    <w:rPr>
                      <w:rFonts w:hint="eastAsia" w:ascii="宋体" w:hAnsi="宋体" w:eastAsia="宋体" w:cs="宋体"/>
                      <w:sz w:val="21"/>
                      <w:szCs w:val="21"/>
                    </w:rPr>
                    <w:t>20</w:t>
                  </w:r>
                  <w:r>
                    <w:rPr>
                      <w:rFonts w:hint="eastAsia" w:ascii="宋体" w:hAnsi="宋体" w:eastAsia="宋体" w:cs="宋体"/>
                      <w:sz w:val="21"/>
                      <w:szCs w:val="21"/>
                      <w:lang w:val="en-US" w:eastAsia="zh-CN"/>
                    </w:rPr>
                    <w:t>21</w:t>
                  </w:r>
                  <w:r>
                    <w:rPr>
                      <w:rFonts w:hint="eastAsia" w:ascii="宋体" w:hAnsi="宋体" w:eastAsia="宋体" w:cs="宋体"/>
                      <w:sz w:val="21"/>
                      <w:szCs w:val="21"/>
                    </w:rPr>
                    <w:t>.</w:t>
                  </w:r>
                  <w:r>
                    <w:rPr>
                      <w:rFonts w:hint="eastAsia" w:ascii="宋体" w:hAnsi="宋体" w:eastAsia="宋体" w:cs="宋体"/>
                      <w:sz w:val="21"/>
                      <w:szCs w:val="21"/>
                      <w:lang w:val="en-US" w:eastAsia="zh-CN"/>
                    </w:rPr>
                    <w:t>12</w:t>
                  </w:r>
                  <w:r>
                    <w:rPr>
                      <w:rFonts w:hint="eastAsia" w:ascii="宋体" w:hAnsi="宋体" w:eastAsia="宋体" w:cs="宋体"/>
                      <w:sz w:val="21"/>
                      <w:szCs w:val="21"/>
                    </w:rPr>
                    <w:t>.</w:t>
                  </w:r>
                  <w:r>
                    <w:rPr>
                      <w:rFonts w:hint="eastAsia" w:ascii="宋体" w:hAnsi="宋体" w:eastAsia="宋体" w:cs="宋体"/>
                      <w:sz w:val="21"/>
                      <w:szCs w:val="21"/>
                      <w:lang w:val="en-US" w:eastAsia="zh-CN"/>
                    </w:rPr>
                    <w:t>15</w:t>
                  </w:r>
                </w:p>
              </w:tc>
              <w:tc>
                <w:tcPr>
                  <w:tcW w:w="1682" w:type="dxa"/>
                  <w:vMerge w:val="restart"/>
                  <w:tcBorders>
                    <w:top w:val="single" w:color="000000" w:sz="4" w:space="0"/>
                    <w:left w:val="single" w:color="000000" w:sz="4" w:space="0"/>
                    <w:bottom w:val="single" w:color="000000" w:sz="4" w:space="0"/>
                    <w:right w:val="single" w:color="000000" w:sz="4" w:space="0"/>
                  </w:tcBorders>
                  <w:vAlign w:val="center"/>
                </w:tcPr>
                <w:p>
                  <w:pPr>
                    <w:spacing w:after="21" w:line="24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夜间</w:t>
                  </w:r>
                </w:p>
              </w:tc>
              <w:tc>
                <w:tcPr>
                  <w:tcW w:w="1543" w:type="dxa"/>
                  <w:tcBorders>
                    <w:top w:val="single" w:color="000000" w:sz="4" w:space="0"/>
                    <w:left w:val="single" w:color="000000" w:sz="4" w:space="0"/>
                    <w:bottom w:val="single" w:color="000000" w:sz="4" w:space="0"/>
                    <w:right w:val="single" w:color="000000" w:sz="4" w:space="0"/>
                  </w:tcBorders>
                </w:tcPr>
                <w:p>
                  <w:pPr>
                    <w:spacing w:after="21" w:line="240" w:lineRule="auto"/>
                    <w:jc w:val="both"/>
                    <w:rPr>
                      <w:rFonts w:hint="eastAsia" w:ascii="宋体" w:hAnsi="宋体" w:eastAsia="宋体" w:cs="宋体"/>
                      <w:sz w:val="21"/>
                      <w:szCs w:val="21"/>
                    </w:rPr>
                  </w:pPr>
                  <w:r>
                    <w:rPr>
                      <w:rFonts w:hint="eastAsia" w:ascii="宋体" w:hAnsi="宋体" w:eastAsia="宋体" w:cs="宋体"/>
                      <w:sz w:val="21"/>
                      <w:szCs w:val="21"/>
                    </w:rPr>
                    <w:t>1#东厂界</w:t>
                  </w:r>
                </w:p>
              </w:tc>
              <w:tc>
                <w:tcPr>
                  <w:tcW w:w="1124" w:type="dxa"/>
                  <w:tcBorders>
                    <w:top w:val="single" w:color="000000" w:sz="4" w:space="0"/>
                    <w:left w:val="single" w:color="000000" w:sz="4" w:space="0"/>
                    <w:bottom w:val="single" w:color="000000" w:sz="4" w:space="0"/>
                    <w:right w:val="single" w:color="000000" w:sz="4" w:space="0"/>
                  </w:tcBorders>
                  <w:vAlign w:val="center"/>
                </w:tcPr>
                <w:p>
                  <w:pPr>
                    <w:widowControl w:val="0"/>
                    <w:spacing w:line="240" w:lineRule="auto"/>
                    <w:jc w:val="center"/>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rPr>
                    <w:t>43</w:t>
                  </w:r>
                </w:p>
              </w:tc>
              <w:tc>
                <w:tcPr>
                  <w:tcW w:w="1404" w:type="dxa"/>
                  <w:tcBorders>
                    <w:top w:val="single" w:color="000000" w:sz="4" w:space="0"/>
                    <w:left w:val="single" w:color="000000" w:sz="4" w:space="0"/>
                    <w:bottom w:val="single" w:color="000000" w:sz="4" w:space="0"/>
                    <w:right w:val="single" w:color="000000" w:sz="4" w:space="0"/>
                  </w:tcBorders>
                </w:tcPr>
                <w:p>
                  <w:pPr>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50</w:t>
                  </w:r>
                </w:p>
              </w:tc>
              <w:tc>
                <w:tcPr>
                  <w:tcW w:w="1402" w:type="dxa"/>
                  <w:tcBorders>
                    <w:top w:val="single" w:color="000000" w:sz="4" w:space="0"/>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达标</w:t>
                  </w:r>
                </w:p>
              </w:tc>
            </w:tr>
            <w:tr>
              <w:tblPrEx>
                <w:tblCellMar>
                  <w:top w:w="62" w:type="dxa"/>
                  <w:left w:w="247" w:type="dxa"/>
                  <w:bottom w:w="0" w:type="dxa"/>
                  <w:right w:w="115" w:type="dxa"/>
                </w:tblCellMar>
              </w:tblPrEx>
              <w:trPr>
                <w:trHeight w:val="398" w:hRule="atLeast"/>
                <w:jc w:val="center"/>
              </w:trPr>
              <w:tc>
                <w:tcPr>
                  <w:tcW w:w="1543" w:type="dxa"/>
                  <w:vMerge w:val="continue"/>
                  <w:tcBorders>
                    <w:top w:val="nil"/>
                    <w:left w:val="single" w:color="000000" w:sz="4" w:space="0"/>
                    <w:bottom w:val="nil"/>
                    <w:right w:val="single" w:color="000000" w:sz="4" w:space="0"/>
                  </w:tcBorders>
                </w:tcPr>
                <w:p>
                  <w:pPr>
                    <w:spacing w:after="21" w:line="240" w:lineRule="auto"/>
                    <w:ind w:firstLine="420" w:firstLineChars="200"/>
                    <w:jc w:val="both"/>
                    <w:rPr>
                      <w:rFonts w:hint="eastAsia" w:ascii="宋体" w:hAnsi="宋体" w:eastAsia="宋体" w:cs="宋体"/>
                      <w:color w:val="FF0000"/>
                      <w:sz w:val="21"/>
                      <w:szCs w:val="21"/>
                    </w:rPr>
                  </w:pPr>
                </w:p>
              </w:tc>
              <w:tc>
                <w:tcPr>
                  <w:tcW w:w="1682" w:type="dxa"/>
                  <w:vMerge w:val="continue"/>
                  <w:tcBorders>
                    <w:top w:val="nil"/>
                    <w:left w:val="single" w:color="000000" w:sz="4" w:space="0"/>
                    <w:bottom w:val="nil"/>
                    <w:right w:val="single" w:color="000000" w:sz="4" w:space="0"/>
                  </w:tcBorders>
                </w:tcPr>
                <w:p>
                  <w:pPr>
                    <w:spacing w:after="21" w:line="240" w:lineRule="auto"/>
                    <w:ind w:firstLine="420" w:firstLineChars="200"/>
                    <w:jc w:val="both"/>
                    <w:rPr>
                      <w:rFonts w:hint="eastAsia" w:ascii="宋体" w:hAnsi="宋体" w:eastAsia="宋体" w:cs="宋体"/>
                      <w:sz w:val="21"/>
                      <w:szCs w:val="21"/>
                    </w:rPr>
                  </w:pPr>
                </w:p>
              </w:tc>
              <w:tc>
                <w:tcPr>
                  <w:tcW w:w="1543" w:type="dxa"/>
                  <w:tcBorders>
                    <w:top w:val="single" w:color="000000" w:sz="4" w:space="0"/>
                    <w:left w:val="single" w:color="000000" w:sz="4" w:space="0"/>
                    <w:bottom w:val="single" w:color="000000" w:sz="4" w:space="0"/>
                    <w:right w:val="single" w:color="000000" w:sz="4" w:space="0"/>
                  </w:tcBorders>
                </w:tcPr>
                <w:p>
                  <w:pPr>
                    <w:spacing w:after="21" w:line="240" w:lineRule="auto"/>
                    <w:jc w:val="both"/>
                    <w:rPr>
                      <w:rFonts w:hint="eastAsia" w:ascii="宋体" w:hAnsi="宋体" w:eastAsia="宋体" w:cs="宋体"/>
                      <w:sz w:val="21"/>
                      <w:szCs w:val="21"/>
                    </w:rPr>
                  </w:pPr>
                  <w:r>
                    <w:rPr>
                      <w:rFonts w:hint="eastAsia" w:ascii="宋体" w:hAnsi="宋体" w:eastAsia="宋体" w:cs="宋体"/>
                      <w:sz w:val="21"/>
                      <w:szCs w:val="21"/>
                    </w:rPr>
                    <w:t>2#南厂界</w:t>
                  </w:r>
                </w:p>
              </w:tc>
              <w:tc>
                <w:tcPr>
                  <w:tcW w:w="1124" w:type="dxa"/>
                  <w:tcBorders>
                    <w:top w:val="single" w:color="000000" w:sz="4" w:space="0"/>
                    <w:left w:val="single" w:color="000000" w:sz="4" w:space="0"/>
                    <w:bottom w:val="single" w:color="000000" w:sz="4" w:space="0"/>
                    <w:right w:val="single" w:color="000000" w:sz="4" w:space="0"/>
                  </w:tcBorders>
                  <w:vAlign w:val="center"/>
                </w:tcPr>
                <w:p>
                  <w:pPr>
                    <w:widowControl w:val="0"/>
                    <w:spacing w:line="240" w:lineRule="auto"/>
                    <w:jc w:val="center"/>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rPr>
                    <w:t>42</w:t>
                  </w:r>
                </w:p>
              </w:tc>
              <w:tc>
                <w:tcPr>
                  <w:tcW w:w="1404" w:type="dxa"/>
                  <w:tcBorders>
                    <w:top w:val="single" w:color="000000" w:sz="4" w:space="0"/>
                    <w:left w:val="single" w:color="000000" w:sz="4" w:space="0"/>
                    <w:bottom w:val="single" w:color="000000" w:sz="4" w:space="0"/>
                    <w:right w:val="single" w:color="000000" w:sz="4" w:space="0"/>
                  </w:tcBorders>
                </w:tcPr>
                <w:p>
                  <w:pPr>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50</w:t>
                  </w:r>
                </w:p>
              </w:tc>
              <w:tc>
                <w:tcPr>
                  <w:tcW w:w="1402" w:type="dxa"/>
                  <w:tcBorders>
                    <w:top w:val="single" w:color="000000" w:sz="4" w:space="0"/>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达标</w:t>
                  </w:r>
                </w:p>
              </w:tc>
            </w:tr>
            <w:tr>
              <w:tblPrEx>
                <w:tblCellMar>
                  <w:top w:w="62" w:type="dxa"/>
                  <w:left w:w="247" w:type="dxa"/>
                  <w:bottom w:w="0" w:type="dxa"/>
                  <w:right w:w="115" w:type="dxa"/>
                </w:tblCellMar>
              </w:tblPrEx>
              <w:trPr>
                <w:trHeight w:val="350" w:hRule="atLeast"/>
                <w:jc w:val="center"/>
              </w:trPr>
              <w:tc>
                <w:tcPr>
                  <w:tcW w:w="1543" w:type="dxa"/>
                  <w:vMerge w:val="continue"/>
                  <w:tcBorders>
                    <w:top w:val="nil"/>
                    <w:left w:val="single" w:color="000000" w:sz="4" w:space="0"/>
                    <w:bottom w:val="nil"/>
                    <w:right w:val="single" w:color="000000" w:sz="4" w:space="0"/>
                  </w:tcBorders>
                </w:tcPr>
                <w:p>
                  <w:pPr>
                    <w:spacing w:after="21" w:line="240" w:lineRule="auto"/>
                    <w:ind w:firstLine="420" w:firstLineChars="200"/>
                    <w:jc w:val="both"/>
                    <w:rPr>
                      <w:rFonts w:hint="eastAsia" w:ascii="宋体" w:hAnsi="宋体" w:eastAsia="宋体" w:cs="宋体"/>
                      <w:color w:val="FF0000"/>
                      <w:sz w:val="21"/>
                      <w:szCs w:val="21"/>
                    </w:rPr>
                  </w:pPr>
                </w:p>
              </w:tc>
              <w:tc>
                <w:tcPr>
                  <w:tcW w:w="1682" w:type="dxa"/>
                  <w:vMerge w:val="continue"/>
                  <w:tcBorders>
                    <w:top w:val="nil"/>
                    <w:left w:val="single" w:color="000000" w:sz="4" w:space="0"/>
                    <w:bottom w:val="nil"/>
                    <w:right w:val="single" w:color="000000" w:sz="4" w:space="0"/>
                  </w:tcBorders>
                </w:tcPr>
                <w:p>
                  <w:pPr>
                    <w:spacing w:after="21" w:line="240" w:lineRule="auto"/>
                    <w:ind w:firstLine="420" w:firstLineChars="200"/>
                    <w:jc w:val="both"/>
                    <w:rPr>
                      <w:rFonts w:hint="eastAsia" w:ascii="宋体" w:hAnsi="宋体" w:eastAsia="宋体" w:cs="宋体"/>
                      <w:sz w:val="21"/>
                      <w:szCs w:val="21"/>
                    </w:rPr>
                  </w:pPr>
                </w:p>
              </w:tc>
              <w:tc>
                <w:tcPr>
                  <w:tcW w:w="1543" w:type="dxa"/>
                  <w:tcBorders>
                    <w:top w:val="single" w:color="000000" w:sz="4" w:space="0"/>
                    <w:left w:val="single" w:color="000000" w:sz="4" w:space="0"/>
                    <w:bottom w:val="single" w:color="000000" w:sz="4" w:space="0"/>
                    <w:right w:val="single" w:color="000000" w:sz="4" w:space="0"/>
                  </w:tcBorders>
                </w:tcPr>
                <w:p>
                  <w:pPr>
                    <w:spacing w:after="21" w:line="240" w:lineRule="auto"/>
                    <w:jc w:val="both"/>
                    <w:rPr>
                      <w:rFonts w:hint="eastAsia" w:ascii="宋体" w:hAnsi="宋体" w:eastAsia="宋体" w:cs="宋体"/>
                      <w:sz w:val="21"/>
                      <w:szCs w:val="21"/>
                    </w:rPr>
                  </w:pPr>
                  <w:r>
                    <w:rPr>
                      <w:rFonts w:hint="eastAsia" w:ascii="宋体" w:hAnsi="宋体" w:eastAsia="宋体" w:cs="宋体"/>
                      <w:sz w:val="21"/>
                      <w:szCs w:val="21"/>
                    </w:rPr>
                    <w:t>3#西厂界</w:t>
                  </w:r>
                </w:p>
              </w:tc>
              <w:tc>
                <w:tcPr>
                  <w:tcW w:w="1124" w:type="dxa"/>
                  <w:tcBorders>
                    <w:top w:val="single" w:color="000000" w:sz="4" w:space="0"/>
                    <w:left w:val="single" w:color="000000" w:sz="4" w:space="0"/>
                    <w:bottom w:val="single" w:color="000000" w:sz="4" w:space="0"/>
                    <w:right w:val="single" w:color="000000" w:sz="4" w:space="0"/>
                  </w:tcBorders>
                  <w:vAlign w:val="center"/>
                </w:tcPr>
                <w:p>
                  <w:pPr>
                    <w:widowControl w:val="0"/>
                    <w:spacing w:line="240" w:lineRule="auto"/>
                    <w:jc w:val="center"/>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rPr>
                    <w:t>43</w:t>
                  </w:r>
                </w:p>
              </w:tc>
              <w:tc>
                <w:tcPr>
                  <w:tcW w:w="1404" w:type="dxa"/>
                  <w:tcBorders>
                    <w:top w:val="single" w:color="000000" w:sz="4" w:space="0"/>
                    <w:left w:val="single" w:color="000000" w:sz="4" w:space="0"/>
                    <w:bottom w:val="single" w:color="000000" w:sz="4" w:space="0"/>
                    <w:right w:val="single" w:color="000000" w:sz="4" w:space="0"/>
                  </w:tcBorders>
                </w:tcPr>
                <w:p>
                  <w:pPr>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50</w:t>
                  </w:r>
                </w:p>
              </w:tc>
              <w:tc>
                <w:tcPr>
                  <w:tcW w:w="1402" w:type="dxa"/>
                  <w:tcBorders>
                    <w:top w:val="single" w:color="000000" w:sz="4" w:space="0"/>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达标</w:t>
                  </w:r>
                </w:p>
              </w:tc>
            </w:tr>
            <w:tr>
              <w:tblPrEx>
                <w:tblCellMar>
                  <w:top w:w="62" w:type="dxa"/>
                  <w:left w:w="247" w:type="dxa"/>
                  <w:bottom w:w="0" w:type="dxa"/>
                  <w:right w:w="115" w:type="dxa"/>
                </w:tblCellMar>
              </w:tblPrEx>
              <w:trPr>
                <w:trHeight w:val="350" w:hRule="atLeast"/>
                <w:jc w:val="center"/>
              </w:trPr>
              <w:tc>
                <w:tcPr>
                  <w:tcW w:w="1543" w:type="dxa"/>
                  <w:vMerge w:val="continue"/>
                  <w:tcBorders>
                    <w:top w:val="nil"/>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宋体" w:hAnsi="宋体" w:eastAsia="宋体" w:cs="宋体"/>
                      <w:color w:val="FF0000"/>
                      <w:sz w:val="21"/>
                      <w:szCs w:val="21"/>
                    </w:rPr>
                  </w:pPr>
                </w:p>
              </w:tc>
              <w:tc>
                <w:tcPr>
                  <w:tcW w:w="1682" w:type="dxa"/>
                  <w:vMerge w:val="continue"/>
                  <w:tcBorders>
                    <w:top w:val="nil"/>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宋体" w:hAnsi="宋体" w:eastAsia="宋体" w:cs="宋体"/>
                      <w:sz w:val="21"/>
                      <w:szCs w:val="21"/>
                    </w:rPr>
                  </w:pPr>
                </w:p>
              </w:tc>
              <w:tc>
                <w:tcPr>
                  <w:tcW w:w="1543" w:type="dxa"/>
                  <w:tcBorders>
                    <w:top w:val="single" w:color="000000" w:sz="4" w:space="0"/>
                    <w:left w:val="single" w:color="000000" w:sz="4" w:space="0"/>
                    <w:bottom w:val="single" w:color="000000" w:sz="4" w:space="0"/>
                    <w:right w:val="single" w:color="000000" w:sz="4" w:space="0"/>
                  </w:tcBorders>
                </w:tcPr>
                <w:p>
                  <w:pPr>
                    <w:spacing w:after="21" w:line="240" w:lineRule="auto"/>
                    <w:jc w:val="both"/>
                    <w:rPr>
                      <w:rFonts w:hint="eastAsia" w:ascii="宋体" w:hAnsi="宋体" w:eastAsia="宋体" w:cs="宋体"/>
                      <w:sz w:val="21"/>
                      <w:szCs w:val="21"/>
                    </w:rPr>
                  </w:pPr>
                  <w:r>
                    <w:rPr>
                      <w:rFonts w:hint="eastAsia" w:ascii="宋体" w:hAnsi="宋体" w:eastAsia="宋体" w:cs="宋体"/>
                      <w:sz w:val="21"/>
                      <w:szCs w:val="21"/>
                    </w:rPr>
                    <w:t>4#北厂界</w:t>
                  </w:r>
                </w:p>
              </w:tc>
              <w:tc>
                <w:tcPr>
                  <w:tcW w:w="1124" w:type="dxa"/>
                  <w:tcBorders>
                    <w:top w:val="single" w:color="000000" w:sz="4" w:space="0"/>
                    <w:left w:val="single" w:color="000000" w:sz="4" w:space="0"/>
                    <w:bottom w:val="single" w:color="000000" w:sz="4" w:space="0"/>
                    <w:right w:val="single" w:color="000000" w:sz="4" w:space="0"/>
                  </w:tcBorders>
                  <w:vAlign w:val="center"/>
                </w:tcPr>
                <w:p>
                  <w:pPr>
                    <w:widowControl w:val="0"/>
                    <w:spacing w:line="240" w:lineRule="auto"/>
                    <w:jc w:val="center"/>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rPr>
                    <w:t>44</w:t>
                  </w:r>
                </w:p>
              </w:tc>
              <w:tc>
                <w:tcPr>
                  <w:tcW w:w="1404" w:type="dxa"/>
                  <w:tcBorders>
                    <w:top w:val="single" w:color="000000" w:sz="4" w:space="0"/>
                    <w:left w:val="single" w:color="000000" w:sz="4" w:space="0"/>
                    <w:bottom w:val="single" w:color="000000" w:sz="4" w:space="0"/>
                    <w:right w:val="single" w:color="000000" w:sz="4" w:space="0"/>
                  </w:tcBorders>
                </w:tcPr>
                <w:p>
                  <w:pPr>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50</w:t>
                  </w:r>
                </w:p>
              </w:tc>
              <w:tc>
                <w:tcPr>
                  <w:tcW w:w="1402" w:type="dxa"/>
                  <w:tcBorders>
                    <w:top w:val="single" w:color="000000" w:sz="4" w:space="0"/>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达标</w:t>
                  </w:r>
                </w:p>
              </w:tc>
            </w:tr>
            <w:tr>
              <w:tblPrEx>
                <w:tblCellMar>
                  <w:top w:w="62" w:type="dxa"/>
                  <w:left w:w="247" w:type="dxa"/>
                  <w:bottom w:w="0" w:type="dxa"/>
                  <w:right w:w="115" w:type="dxa"/>
                </w:tblCellMar>
              </w:tblPrEx>
              <w:trPr>
                <w:trHeight w:val="400" w:hRule="atLeast"/>
                <w:jc w:val="center"/>
              </w:trPr>
              <w:tc>
                <w:tcPr>
                  <w:tcW w:w="1543" w:type="dxa"/>
                  <w:vMerge w:val="restart"/>
                  <w:tcBorders>
                    <w:top w:val="single" w:color="000000" w:sz="4" w:space="0"/>
                    <w:left w:val="single" w:color="000000" w:sz="4" w:space="0"/>
                    <w:bottom w:val="single" w:color="000000" w:sz="4" w:space="0"/>
                    <w:right w:val="single" w:color="000000" w:sz="4" w:space="0"/>
                  </w:tcBorders>
                  <w:vAlign w:val="center"/>
                </w:tcPr>
                <w:p>
                  <w:pPr>
                    <w:spacing w:after="21" w:line="240" w:lineRule="auto"/>
                    <w:jc w:val="both"/>
                    <w:rPr>
                      <w:rFonts w:hint="eastAsia" w:ascii="宋体" w:hAnsi="宋体" w:eastAsia="宋体" w:cs="宋体"/>
                      <w:color w:val="FF0000"/>
                      <w:sz w:val="21"/>
                      <w:szCs w:val="21"/>
                      <w:lang w:val="en-US"/>
                    </w:rPr>
                  </w:pPr>
                  <w:r>
                    <w:rPr>
                      <w:rFonts w:hint="eastAsia" w:ascii="宋体" w:hAnsi="宋体" w:eastAsia="宋体" w:cs="宋体"/>
                      <w:sz w:val="21"/>
                      <w:szCs w:val="21"/>
                    </w:rPr>
                    <w:t>20</w:t>
                  </w:r>
                  <w:r>
                    <w:rPr>
                      <w:rFonts w:hint="eastAsia" w:ascii="宋体" w:hAnsi="宋体" w:eastAsia="宋体" w:cs="宋体"/>
                      <w:sz w:val="21"/>
                      <w:szCs w:val="21"/>
                      <w:lang w:val="en-US" w:eastAsia="zh-CN"/>
                    </w:rPr>
                    <w:t>21</w:t>
                  </w:r>
                  <w:r>
                    <w:rPr>
                      <w:rFonts w:hint="eastAsia" w:ascii="宋体" w:hAnsi="宋体" w:eastAsia="宋体" w:cs="宋体"/>
                      <w:sz w:val="21"/>
                      <w:szCs w:val="21"/>
                    </w:rPr>
                    <w:t>.</w:t>
                  </w:r>
                  <w:r>
                    <w:rPr>
                      <w:rFonts w:hint="eastAsia" w:ascii="宋体" w:hAnsi="宋体" w:eastAsia="宋体" w:cs="宋体"/>
                      <w:sz w:val="21"/>
                      <w:szCs w:val="21"/>
                      <w:lang w:val="en-US" w:eastAsia="zh-CN"/>
                    </w:rPr>
                    <w:t>12</w:t>
                  </w:r>
                  <w:r>
                    <w:rPr>
                      <w:rFonts w:hint="eastAsia" w:ascii="宋体" w:hAnsi="宋体" w:eastAsia="宋体" w:cs="宋体"/>
                      <w:sz w:val="21"/>
                      <w:szCs w:val="21"/>
                    </w:rPr>
                    <w:t>.</w:t>
                  </w:r>
                  <w:r>
                    <w:rPr>
                      <w:rFonts w:hint="eastAsia" w:ascii="宋体" w:hAnsi="宋体" w:eastAsia="宋体" w:cs="宋体"/>
                      <w:sz w:val="21"/>
                      <w:szCs w:val="21"/>
                      <w:lang w:val="en-US" w:eastAsia="zh-CN"/>
                    </w:rPr>
                    <w:t>16</w:t>
                  </w:r>
                </w:p>
              </w:tc>
              <w:tc>
                <w:tcPr>
                  <w:tcW w:w="1682" w:type="dxa"/>
                  <w:vMerge w:val="restart"/>
                  <w:tcBorders>
                    <w:top w:val="single" w:color="000000" w:sz="4" w:space="0"/>
                    <w:left w:val="single" w:color="000000" w:sz="4" w:space="0"/>
                    <w:bottom w:val="single" w:color="000000" w:sz="4" w:space="0"/>
                    <w:right w:val="single" w:color="000000" w:sz="4" w:space="0"/>
                  </w:tcBorders>
                  <w:vAlign w:val="center"/>
                </w:tcPr>
                <w:p>
                  <w:pPr>
                    <w:spacing w:after="21" w:line="24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昼间</w:t>
                  </w:r>
                </w:p>
              </w:tc>
              <w:tc>
                <w:tcPr>
                  <w:tcW w:w="1543" w:type="dxa"/>
                  <w:tcBorders>
                    <w:top w:val="single" w:color="000000" w:sz="4" w:space="0"/>
                    <w:left w:val="single" w:color="000000" w:sz="4" w:space="0"/>
                    <w:bottom w:val="single" w:color="000000" w:sz="4" w:space="0"/>
                    <w:right w:val="single" w:color="000000" w:sz="4" w:space="0"/>
                  </w:tcBorders>
                </w:tcPr>
                <w:p>
                  <w:pPr>
                    <w:spacing w:after="21" w:line="240" w:lineRule="auto"/>
                    <w:jc w:val="both"/>
                    <w:rPr>
                      <w:rFonts w:hint="eastAsia" w:ascii="宋体" w:hAnsi="宋体" w:eastAsia="宋体" w:cs="宋体"/>
                      <w:sz w:val="21"/>
                      <w:szCs w:val="21"/>
                    </w:rPr>
                  </w:pPr>
                  <w:r>
                    <w:rPr>
                      <w:rFonts w:hint="eastAsia" w:ascii="宋体" w:hAnsi="宋体" w:eastAsia="宋体" w:cs="宋体"/>
                      <w:sz w:val="21"/>
                      <w:szCs w:val="21"/>
                    </w:rPr>
                    <w:t>1#东厂界</w:t>
                  </w:r>
                </w:p>
              </w:tc>
              <w:tc>
                <w:tcPr>
                  <w:tcW w:w="1124" w:type="dxa"/>
                  <w:tcBorders>
                    <w:top w:val="single" w:color="000000" w:sz="4" w:space="0"/>
                    <w:left w:val="single" w:color="000000" w:sz="4" w:space="0"/>
                    <w:bottom w:val="single" w:color="000000" w:sz="4" w:space="0"/>
                    <w:right w:val="single" w:color="000000" w:sz="4" w:space="0"/>
                  </w:tcBorders>
                  <w:vAlign w:val="center"/>
                </w:tcPr>
                <w:p>
                  <w:pPr>
                    <w:widowControl w:val="0"/>
                    <w:spacing w:line="240" w:lineRule="auto"/>
                    <w:jc w:val="center"/>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rPr>
                    <w:t>55</w:t>
                  </w:r>
                </w:p>
              </w:tc>
              <w:tc>
                <w:tcPr>
                  <w:tcW w:w="1404" w:type="dxa"/>
                  <w:tcBorders>
                    <w:top w:val="single" w:color="000000" w:sz="4" w:space="0"/>
                    <w:left w:val="single" w:color="000000" w:sz="4" w:space="0"/>
                    <w:bottom w:val="single" w:color="000000" w:sz="4" w:space="0"/>
                    <w:right w:val="single" w:color="000000" w:sz="4" w:space="0"/>
                  </w:tcBorders>
                  <w:vAlign w:val="top"/>
                </w:tcPr>
                <w:p>
                  <w:pPr>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60</w:t>
                  </w:r>
                </w:p>
              </w:tc>
              <w:tc>
                <w:tcPr>
                  <w:tcW w:w="1402" w:type="dxa"/>
                  <w:tcBorders>
                    <w:top w:val="single" w:color="000000" w:sz="4" w:space="0"/>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达标</w:t>
                  </w:r>
                </w:p>
              </w:tc>
            </w:tr>
            <w:tr>
              <w:tblPrEx>
                <w:tblCellMar>
                  <w:top w:w="62" w:type="dxa"/>
                  <w:left w:w="247" w:type="dxa"/>
                  <w:bottom w:w="0" w:type="dxa"/>
                  <w:right w:w="115" w:type="dxa"/>
                </w:tblCellMar>
              </w:tblPrEx>
              <w:trPr>
                <w:trHeight w:val="350" w:hRule="atLeast"/>
                <w:jc w:val="center"/>
              </w:trPr>
              <w:tc>
                <w:tcPr>
                  <w:tcW w:w="1543" w:type="dxa"/>
                  <w:vMerge w:val="continue"/>
                  <w:tcBorders>
                    <w:top w:val="nil"/>
                    <w:left w:val="single" w:color="000000" w:sz="4" w:space="0"/>
                    <w:bottom w:val="nil"/>
                    <w:right w:val="single" w:color="000000" w:sz="4" w:space="0"/>
                  </w:tcBorders>
                </w:tcPr>
                <w:p>
                  <w:pPr>
                    <w:spacing w:after="21" w:line="240" w:lineRule="auto"/>
                    <w:ind w:firstLine="420" w:firstLineChars="200"/>
                    <w:jc w:val="both"/>
                    <w:rPr>
                      <w:rFonts w:hint="eastAsia" w:ascii="宋体" w:hAnsi="宋体" w:eastAsia="宋体" w:cs="宋体"/>
                      <w:color w:val="FF0000"/>
                      <w:sz w:val="21"/>
                      <w:szCs w:val="21"/>
                    </w:rPr>
                  </w:pPr>
                </w:p>
              </w:tc>
              <w:tc>
                <w:tcPr>
                  <w:tcW w:w="1682" w:type="dxa"/>
                  <w:vMerge w:val="continue"/>
                  <w:tcBorders>
                    <w:top w:val="nil"/>
                    <w:left w:val="single" w:color="000000" w:sz="4" w:space="0"/>
                    <w:bottom w:val="nil"/>
                    <w:right w:val="single" w:color="000000" w:sz="4" w:space="0"/>
                  </w:tcBorders>
                </w:tcPr>
                <w:p>
                  <w:pPr>
                    <w:spacing w:after="21" w:line="240" w:lineRule="auto"/>
                    <w:ind w:firstLine="420" w:firstLineChars="200"/>
                    <w:jc w:val="both"/>
                    <w:rPr>
                      <w:rFonts w:hint="eastAsia" w:ascii="宋体" w:hAnsi="宋体" w:eastAsia="宋体" w:cs="宋体"/>
                      <w:sz w:val="21"/>
                      <w:szCs w:val="21"/>
                    </w:rPr>
                  </w:pPr>
                </w:p>
              </w:tc>
              <w:tc>
                <w:tcPr>
                  <w:tcW w:w="1543" w:type="dxa"/>
                  <w:tcBorders>
                    <w:top w:val="single" w:color="000000" w:sz="4" w:space="0"/>
                    <w:left w:val="single" w:color="000000" w:sz="4" w:space="0"/>
                    <w:bottom w:val="single" w:color="000000" w:sz="4" w:space="0"/>
                    <w:right w:val="single" w:color="000000" w:sz="4" w:space="0"/>
                  </w:tcBorders>
                </w:tcPr>
                <w:p>
                  <w:pPr>
                    <w:spacing w:after="21" w:line="240" w:lineRule="auto"/>
                    <w:jc w:val="both"/>
                    <w:rPr>
                      <w:rFonts w:hint="eastAsia" w:ascii="宋体" w:hAnsi="宋体" w:eastAsia="宋体" w:cs="宋体"/>
                      <w:sz w:val="21"/>
                      <w:szCs w:val="21"/>
                    </w:rPr>
                  </w:pPr>
                  <w:r>
                    <w:rPr>
                      <w:rFonts w:hint="eastAsia" w:ascii="宋体" w:hAnsi="宋体" w:eastAsia="宋体" w:cs="宋体"/>
                      <w:sz w:val="21"/>
                      <w:szCs w:val="21"/>
                    </w:rPr>
                    <w:t>2#南厂界</w:t>
                  </w:r>
                </w:p>
              </w:tc>
              <w:tc>
                <w:tcPr>
                  <w:tcW w:w="1124" w:type="dxa"/>
                  <w:tcBorders>
                    <w:top w:val="single" w:color="000000" w:sz="4" w:space="0"/>
                    <w:left w:val="single" w:color="000000" w:sz="4" w:space="0"/>
                    <w:bottom w:val="single" w:color="000000" w:sz="4" w:space="0"/>
                    <w:right w:val="single" w:color="000000" w:sz="4" w:space="0"/>
                  </w:tcBorders>
                  <w:vAlign w:val="center"/>
                </w:tcPr>
                <w:p>
                  <w:pPr>
                    <w:widowControl w:val="0"/>
                    <w:spacing w:line="240" w:lineRule="auto"/>
                    <w:jc w:val="center"/>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rPr>
                    <w:t>53</w:t>
                  </w:r>
                </w:p>
              </w:tc>
              <w:tc>
                <w:tcPr>
                  <w:tcW w:w="1404" w:type="dxa"/>
                  <w:tcBorders>
                    <w:top w:val="single" w:color="000000" w:sz="4" w:space="0"/>
                    <w:left w:val="single" w:color="000000" w:sz="4" w:space="0"/>
                    <w:bottom w:val="single" w:color="000000" w:sz="4" w:space="0"/>
                    <w:right w:val="single" w:color="000000" w:sz="4" w:space="0"/>
                  </w:tcBorders>
                  <w:vAlign w:val="top"/>
                </w:tcPr>
                <w:p>
                  <w:pPr>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60</w:t>
                  </w:r>
                </w:p>
              </w:tc>
              <w:tc>
                <w:tcPr>
                  <w:tcW w:w="1402" w:type="dxa"/>
                  <w:tcBorders>
                    <w:top w:val="single" w:color="000000" w:sz="4" w:space="0"/>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达标</w:t>
                  </w:r>
                </w:p>
              </w:tc>
            </w:tr>
            <w:tr>
              <w:tblPrEx>
                <w:tblCellMar>
                  <w:top w:w="62" w:type="dxa"/>
                  <w:left w:w="247" w:type="dxa"/>
                  <w:bottom w:w="0" w:type="dxa"/>
                  <w:right w:w="115" w:type="dxa"/>
                </w:tblCellMar>
              </w:tblPrEx>
              <w:trPr>
                <w:trHeight w:val="350" w:hRule="atLeast"/>
                <w:jc w:val="center"/>
              </w:trPr>
              <w:tc>
                <w:tcPr>
                  <w:tcW w:w="1543" w:type="dxa"/>
                  <w:vMerge w:val="continue"/>
                  <w:tcBorders>
                    <w:top w:val="nil"/>
                    <w:left w:val="single" w:color="000000" w:sz="4" w:space="0"/>
                    <w:bottom w:val="nil"/>
                    <w:right w:val="single" w:color="000000" w:sz="4" w:space="0"/>
                  </w:tcBorders>
                </w:tcPr>
                <w:p>
                  <w:pPr>
                    <w:spacing w:after="21" w:line="240" w:lineRule="auto"/>
                    <w:ind w:firstLine="420" w:firstLineChars="200"/>
                    <w:jc w:val="both"/>
                    <w:rPr>
                      <w:rFonts w:hint="eastAsia" w:ascii="宋体" w:hAnsi="宋体" w:eastAsia="宋体" w:cs="宋体"/>
                      <w:color w:val="FF0000"/>
                      <w:sz w:val="21"/>
                      <w:szCs w:val="21"/>
                    </w:rPr>
                  </w:pPr>
                </w:p>
              </w:tc>
              <w:tc>
                <w:tcPr>
                  <w:tcW w:w="1682" w:type="dxa"/>
                  <w:vMerge w:val="continue"/>
                  <w:tcBorders>
                    <w:top w:val="nil"/>
                    <w:left w:val="single" w:color="000000" w:sz="4" w:space="0"/>
                    <w:bottom w:val="nil"/>
                    <w:right w:val="single" w:color="000000" w:sz="4" w:space="0"/>
                  </w:tcBorders>
                </w:tcPr>
                <w:p>
                  <w:pPr>
                    <w:spacing w:after="21" w:line="240" w:lineRule="auto"/>
                    <w:ind w:firstLine="420" w:firstLineChars="200"/>
                    <w:jc w:val="both"/>
                    <w:rPr>
                      <w:rFonts w:hint="eastAsia" w:ascii="宋体" w:hAnsi="宋体" w:eastAsia="宋体" w:cs="宋体"/>
                      <w:sz w:val="21"/>
                      <w:szCs w:val="21"/>
                    </w:rPr>
                  </w:pPr>
                </w:p>
              </w:tc>
              <w:tc>
                <w:tcPr>
                  <w:tcW w:w="1543" w:type="dxa"/>
                  <w:tcBorders>
                    <w:top w:val="single" w:color="000000" w:sz="4" w:space="0"/>
                    <w:left w:val="single" w:color="000000" w:sz="4" w:space="0"/>
                    <w:bottom w:val="single" w:color="000000" w:sz="4" w:space="0"/>
                    <w:right w:val="single" w:color="000000" w:sz="4" w:space="0"/>
                  </w:tcBorders>
                </w:tcPr>
                <w:p>
                  <w:pPr>
                    <w:spacing w:after="21" w:line="240" w:lineRule="auto"/>
                    <w:jc w:val="both"/>
                    <w:rPr>
                      <w:rFonts w:hint="eastAsia" w:ascii="宋体" w:hAnsi="宋体" w:eastAsia="宋体" w:cs="宋体"/>
                      <w:sz w:val="21"/>
                      <w:szCs w:val="21"/>
                    </w:rPr>
                  </w:pPr>
                  <w:r>
                    <w:rPr>
                      <w:rFonts w:hint="eastAsia" w:ascii="宋体" w:hAnsi="宋体" w:eastAsia="宋体" w:cs="宋体"/>
                      <w:sz w:val="21"/>
                      <w:szCs w:val="21"/>
                    </w:rPr>
                    <w:t>3#西厂界</w:t>
                  </w:r>
                </w:p>
              </w:tc>
              <w:tc>
                <w:tcPr>
                  <w:tcW w:w="1124" w:type="dxa"/>
                  <w:tcBorders>
                    <w:top w:val="single" w:color="000000" w:sz="4" w:space="0"/>
                    <w:left w:val="single" w:color="000000" w:sz="4" w:space="0"/>
                    <w:bottom w:val="single" w:color="000000" w:sz="4" w:space="0"/>
                    <w:right w:val="single" w:color="000000" w:sz="4" w:space="0"/>
                  </w:tcBorders>
                  <w:vAlign w:val="center"/>
                </w:tcPr>
                <w:p>
                  <w:pPr>
                    <w:widowControl w:val="0"/>
                    <w:spacing w:line="240" w:lineRule="auto"/>
                    <w:jc w:val="center"/>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rPr>
                    <w:t>55</w:t>
                  </w:r>
                </w:p>
              </w:tc>
              <w:tc>
                <w:tcPr>
                  <w:tcW w:w="1404" w:type="dxa"/>
                  <w:tcBorders>
                    <w:top w:val="single" w:color="000000" w:sz="4" w:space="0"/>
                    <w:left w:val="single" w:color="000000" w:sz="4" w:space="0"/>
                    <w:bottom w:val="single" w:color="000000" w:sz="4" w:space="0"/>
                    <w:right w:val="single" w:color="000000" w:sz="4" w:space="0"/>
                  </w:tcBorders>
                  <w:vAlign w:val="top"/>
                </w:tcPr>
                <w:p>
                  <w:pPr>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60</w:t>
                  </w:r>
                </w:p>
              </w:tc>
              <w:tc>
                <w:tcPr>
                  <w:tcW w:w="1402" w:type="dxa"/>
                  <w:tcBorders>
                    <w:top w:val="single" w:color="000000" w:sz="4" w:space="0"/>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达标</w:t>
                  </w:r>
                </w:p>
              </w:tc>
            </w:tr>
            <w:tr>
              <w:tblPrEx>
                <w:tblCellMar>
                  <w:top w:w="62" w:type="dxa"/>
                  <w:left w:w="247" w:type="dxa"/>
                  <w:bottom w:w="0" w:type="dxa"/>
                  <w:right w:w="115" w:type="dxa"/>
                </w:tblCellMar>
              </w:tblPrEx>
              <w:trPr>
                <w:trHeight w:val="350" w:hRule="atLeast"/>
                <w:jc w:val="center"/>
              </w:trPr>
              <w:tc>
                <w:tcPr>
                  <w:tcW w:w="1543" w:type="dxa"/>
                  <w:vMerge w:val="continue"/>
                  <w:tcBorders>
                    <w:top w:val="nil"/>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宋体" w:hAnsi="宋体" w:eastAsia="宋体" w:cs="宋体"/>
                      <w:color w:val="FF0000"/>
                      <w:sz w:val="21"/>
                      <w:szCs w:val="21"/>
                    </w:rPr>
                  </w:pPr>
                </w:p>
              </w:tc>
              <w:tc>
                <w:tcPr>
                  <w:tcW w:w="1682" w:type="dxa"/>
                  <w:vMerge w:val="continue"/>
                  <w:tcBorders>
                    <w:top w:val="nil"/>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宋体" w:hAnsi="宋体" w:eastAsia="宋体" w:cs="宋体"/>
                      <w:sz w:val="21"/>
                      <w:szCs w:val="21"/>
                    </w:rPr>
                  </w:pPr>
                </w:p>
              </w:tc>
              <w:tc>
                <w:tcPr>
                  <w:tcW w:w="1543" w:type="dxa"/>
                  <w:tcBorders>
                    <w:top w:val="single" w:color="000000" w:sz="4" w:space="0"/>
                    <w:left w:val="single" w:color="000000" w:sz="4" w:space="0"/>
                    <w:bottom w:val="single" w:color="000000" w:sz="4" w:space="0"/>
                    <w:right w:val="single" w:color="000000" w:sz="4" w:space="0"/>
                  </w:tcBorders>
                </w:tcPr>
                <w:p>
                  <w:pPr>
                    <w:spacing w:after="21" w:line="240" w:lineRule="auto"/>
                    <w:jc w:val="both"/>
                    <w:rPr>
                      <w:rFonts w:hint="eastAsia" w:ascii="宋体" w:hAnsi="宋体" w:eastAsia="宋体" w:cs="宋体"/>
                      <w:sz w:val="21"/>
                      <w:szCs w:val="21"/>
                    </w:rPr>
                  </w:pPr>
                  <w:r>
                    <w:rPr>
                      <w:rFonts w:hint="eastAsia" w:ascii="宋体" w:hAnsi="宋体" w:eastAsia="宋体" w:cs="宋体"/>
                      <w:sz w:val="21"/>
                      <w:szCs w:val="21"/>
                    </w:rPr>
                    <w:t>4#北厂界</w:t>
                  </w:r>
                </w:p>
              </w:tc>
              <w:tc>
                <w:tcPr>
                  <w:tcW w:w="1124" w:type="dxa"/>
                  <w:tcBorders>
                    <w:top w:val="single" w:color="000000" w:sz="4" w:space="0"/>
                    <w:left w:val="single" w:color="000000" w:sz="4" w:space="0"/>
                    <w:bottom w:val="single" w:color="000000" w:sz="4" w:space="0"/>
                    <w:right w:val="single" w:color="000000" w:sz="4" w:space="0"/>
                  </w:tcBorders>
                  <w:vAlign w:val="center"/>
                </w:tcPr>
                <w:p>
                  <w:pPr>
                    <w:widowControl w:val="0"/>
                    <w:spacing w:line="240" w:lineRule="auto"/>
                    <w:jc w:val="center"/>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rPr>
                    <w:t>54</w:t>
                  </w:r>
                </w:p>
              </w:tc>
              <w:tc>
                <w:tcPr>
                  <w:tcW w:w="1404" w:type="dxa"/>
                  <w:tcBorders>
                    <w:top w:val="single" w:color="000000" w:sz="4" w:space="0"/>
                    <w:left w:val="single" w:color="000000" w:sz="4" w:space="0"/>
                    <w:bottom w:val="single" w:color="000000" w:sz="4" w:space="0"/>
                    <w:right w:val="single" w:color="000000" w:sz="4" w:space="0"/>
                  </w:tcBorders>
                  <w:vAlign w:val="top"/>
                </w:tcPr>
                <w:p>
                  <w:pPr>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60</w:t>
                  </w:r>
                </w:p>
              </w:tc>
              <w:tc>
                <w:tcPr>
                  <w:tcW w:w="1402" w:type="dxa"/>
                  <w:tcBorders>
                    <w:top w:val="single" w:color="000000" w:sz="4" w:space="0"/>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达标</w:t>
                  </w:r>
                </w:p>
              </w:tc>
            </w:tr>
            <w:tr>
              <w:tblPrEx>
                <w:tblCellMar>
                  <w:top w:w="62" w:type="dxa"/>
                  <w:left w:w="247" w:type="dxa"/>
                  <w:bottom w:w="0" w:type="dxa"/>
                  <w:right w:w="115" w:type="dxa"/>
                </w:tblCellMar>
              </w:tblPrEx>
              <w:trPr>
                <w:trHeight w:val="350" w:hRule="atLeast"/>
                <w:jc w:val="center"/>
              </w:trPr>
              <w:tc>
                <w:tcPr>
                  <w:tcW w:w="1543" w:type="dxa"/>
                  <w:vMerge w:val="restart"/>
                  <w:tcBorders>
                    <w:top w:val="single" w:color="000000" w:sz="4" w:space="0"/>
                    <w:left w:val="single" w:color="000000" w:sz="4" w:space="0"/>
                    <w:bottom w:val="single" w:color="000000" w:sz="4" w:space="0"/>
                    <w:right w:val="single" w:color="000000" w:sz="4" w:space="0"/>
                  </w:tcBorders>
                  <w:vAlign w:val="center"/>
                </w:tcPr>
                <w:p>
                  <w:pPr>
                    <w:spacing w:after="21" w:line="240" w:lineRule="auto"/>
                    <w:jc w:val="both"/>
                    <w:rPr>
                      <w:rFonts w:hint="eastAsia" w:ascii="宋体" w:hAnsi="宋体" w:eastAsia="宋体" w:cs="宋体"/>
                      <w:color w:val="FF0000"/>
                      <w:sz w:val="21"/>
                      <w:szCs w:val="21"/>
                      <w:lang w:val="en-US"/>
                    </w:rPr>
                  </w:pPr>
                  <w:r>
                    <w:rPr>
                      <w:rFonts w:hint="eastAsia" w:ascii="宋体" w:hAnsi="宋体" w:eastAsia="宋体" w:cs="宋体"/>
                      <w:sz w:val="21"/>
                      <w:szCs w:val="21"/>
                    </w:rPr>
                    <w:t>20</w:t>
                  </w:r>
                  <w:r>
                    <w:rPr>
                      <w:rFonts w:hint="eastAsia" w:ascii="宋体" w:hAnsi="宋体" w:eastAsia="宋体" w:cs="宋体"/>
                      <w:sz w:val="21"/>
                      <w:szCs w:val="21"/>
                      <w:lang w:val="en-US" w:eastAsia="zh-CN"/>
                    </w:rPr>
                    <w:t>21</w:t>
                  </w:r>
                  <w:r>
                    <w:rPr>
                      <w:rFonts w:hint="eastAsia" w:ascii="宋体" w:hAnsi="宋体" w:eastAsia="宋体" w:cs="宋体"/>
                      <w:sz w:val="21"/>
                      <w:szCs w:val="21"/>
                    </w:rPr>
                    <w:t>.</w:t>
                  </w:r>
                  <w:r>
                    <w:rPr>
                      <w:rFonts w:hint="eastAsia" w:ascii="宋体" w:hAnsi="宋体" w:eastAsia="宋体" w:cs="宋体"/>
                      <w:sz w:val="21"/>
                      <w:szCs w:val="21"/>
                      <w:lang w:val="en-US" w:eastAsia="zh-CN"/>
                    </w:rPr>
                    <w:t>12</w:t>
                  </w:r>
                  <w:r>
                    <w:rPr>
                      <w:rFonts w:hint="eastAsia" w:ascii="宋体" w:hAnsi="宋体" w:eastAsia="宋体" w:cs="宋体"/>
                      <w:sz w:val="21"/>
                      <w:szCs w:val="21"/>
                    </w:rPr>
                    <w:t>.</w:t>
                  </w:r>
                  <w:r>
                    <w:rPr>
                      <w:rFonts w:hint="eastAsia" w:ascii="宋体" w:hAnsi="宋体" w:eastAsia="宋体" w:cs="宋体"/>
                      <w:sz w:val="21"/>
                      <w:szCs w:val="21"/>
                      <w:lang w:val="en-US" w:eastAsia="zh-CN"/>
                    </w:rPr>
                    <w:t>16</w:t>
                  </w:r>
                </w:p>
              </w:tc>
              <w:tc>
                <w:tcPr>
                  <w:tcW w:w="1682" w:type="dxa"/>
                  <w:vMerge w:val="restart"/>
                  <w:tcBorders>
                    <w:top w:val="single" w:color="000000" w:sz="4" w:space="0"/>
                    <w:left w:val="single" w:color="000000" w:sz="4" w:space="0"/>
                    <w:bottom w:val="single" w:color="000000" w:sz="4" w:space="0"/>
                    <w:right w:val="single" w:color="000000" w:sz="4" w:space="0"/>
                  </w:tcBorders>
                  <w:vAlign w:val="center"/>
                </w:tcPr>
                <w:p>
                  <w:pPr>
                    <w:spacing w:after="21" w:line="24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夜间</w:t>
                  </w:r>
                </w:p>
              </w:tc>
              <w:tc>
                <w:tcPr>
                  <w:tcW w:w="1543" w:type="dxa"/>
                  <w:tcBorders>
                    <w:top w:val="single" w:color="000000" w:sz="4" w:space="0"/>
                    <w:left w:val="single" w:color="000000" w:sz="4" w:space="0"/>
                    <w:bottom w:val="single" w:color="000000" w:sz="4" w:space="0"/>
                    <w:right w:val="single" w:color="000000" w:sz="4" w:space="0"/>
                  </w:tcBorders>
                </w:tcPr>
                <w:p>
                  <w:pPr>
                    <w:spacing w:after="21" w:line="240" w:lineRule="auto"/>
                    <w:jc w:val="both"/>
                    <w:rPr>
                      <w:rFonts w:hint="eastAsia" w:ascii="宋体" w:hAnsi="宋体" w:eastAsia="宋体" w:cs="宋体"/>
                      <w:sz w:val="21"/>
                      <w:szCs w:val="21"/>
                    </w:rPr>
                  </w:pPr>
                  <w:r>
                    <w:rPr>
                      <w:rFonts w:hint="eastAsia" w:ascii="宋体" w:hAnsi="宋体" w:eastAsia="宋体" w:cs="宋体"/>
                      <w:sz w:val="21"/>
                      <w:szCs w:val="21"/>
                    </w:rPr>
                    <w:t>1#东厂界</w:t>
                  </w:r>
                </w:p>
              </w:tc>
              <w:tc>
                <w:tcPr>
                  <w:tcW w:w="1124" w:type="dxa"/>
                  <w:tcBorders>
                    <w:top w:val="single" w:color="000000" w:sz="4" w:space="0"/>
                    <w:left w:val="single" w:color="000000" w:sz="4" w:space="0"/>
                    <w:bottom w:val="single" w:color="000000" w:sz="4" w:space="0"/>
                    <w:right w:val="single" w:color="000000" w:sz="4" w:space="0"/>
                  </w:tcBorders>
                  <w:vAlign w:val="center"/>
                </w:tcPr>
                <w:p>
                  <w:pPr>
                    <w:widowControl w:val="0"/>
                    <w:spacing w:line="240" w:lineRule="auto"/>
                    <w:jc w:val="center"/>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rPr>
                    <w:t>43</w:t>
                  </w:r>
                </w:p>
              </w:tc>
              <w:tc>
                <w:tcPr>
                  <w:tcW w:w="1404" w:type="dxa"/>
                  <w:tcBorders>
                    <w:top w:val="single" w:color="000000" w:sz="4" w:space="0"/>
                    <w:left w:val="single" w:color="000000" w:sz="4" w:space="0"/>
                    <w:bottom w:val="single" w:color="000000" w:sz="4" w:space="0"/>
                    <w:right w:val="single" w:color="000000" w:sz="4" w:space="0"/>
                  </w:tcBorders>
                  <w:vAlign w:val="top"/>
                </w:tcPr>
                <w:p>
                  <w:pPr>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50</w:t>
                  </w:r>
                </w:p>
              </w:tc>
              <w:tc>
                <w:tcPr>
                  <w:tcW w:w="1402" w:type="dxa"/>
                  <w:tcBorders>
                    <w:top w:val="single" w:color="000000" w:sz="4" w:space="0"/>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达标</w:t>
                  </w:r>
                </w:p>
              </w:tc>
            </w:tr>
            <w:tr>
              <w:tblPrEx>
                <w:tblCellMar>
                  <w:top w:w="62" w:type="dxa"/>
                  <w:left w:w="247" w:type="dxa"/>
                  <w:bottom w:w="0" w:type="dxa"/>
                  <w:right w:w="115" w:type="dxa"/>
                </w:tblCellMar>
              </w:tblPrEx>
              <w:trPr>
                <w:trHeight w:val="350" w:hRule="atLeast"/>
                <w:jc w:val="center"/>
              </w:trPr>
              <w:tc>
                <w:tcPr>
                  <w:tcW w:w="1543" w:type="dxa"/>
                  <w:vMerge w:val="continue"/>
                  <w:tcBorders>
                    <w:top w:val="nil"/>
                    <w:left w:val="single" w:color="000000" w:sz="4" w:space="0"/>
                    <w:bottom w:val="nil"/>
                    <w:right w:val="single" w:color="000000" w:sz="4" w:space="0"/>
                  </w:tcBorders>
                </w:tcPr>
                <w:p>
                  <w:pPr>
                    <w:spacing w:after="21" w:line="240" w:lineRule="auto"/>
                    <w:ind w:firstLine="420" w:firstLineChars="200"/>
                    <w:jc w:val="both"/>
                    <w:rPr>
                      <w:rFonts w:hint="eastAsia" w:ascii="宋体" w:hAnsi="宋体" w:eastAsia="宋体" w:cs="宋体"/>
                      <w:sz w:val="21"/>
                      <w:szCs w:val="21"/>
                    </w:rPr>
                  </w:pPr>
                </w:p>
              </w:tc>
              <w:tc>
                <w:tcPr>
                  <w:tcW w:w="1682" w:type="dxa"/>
                  <w:vMerge w:val="continue"/>
                  <w:tcBorders>
                    <w:top w:val="nil"/>
                    <w:left w:val="single" w:color="000000" w:sz="4" w:space="0"/>
                    <w:bottom w:val="nil"/>
                    <w:right w:val="single" w:color="000000" w:sz="4" w:space="0"/>
                  </w:tcBorders>
                </w:tcPr>
                <w:p>
                  <w:pPr>
                    <w:spacing w:after="21" w:line="240" w:lineRule="auto"/>
                    <w:ind w:firstLine="420" w:firstLineChars="200"/>
                    <w:jc w:val="both"/>
                    <w:rPr>
                      <w:rFonts w:hint="eastAsia" w:ascii="宋体" w:hAnsi="宋体" w:eastAsia="宋体" w:cs="宋体"/>
                      <w:sz w:val="21"/>
                      <w:szCs w:val="21"/>
                    </w:rPr>
                  </w:pPr>
                </w:p>
              </w:tc>
              <w:tc>
                <w:tcPr>
                  <w:tcW w:w="1543" w:type="dxa"/>
                  <w:tcBorders>
                    <w:top w:val="single" w:color="000000" w:sz="4" w:space="0"/>
                    <w:left w:val="single" w:color="000000" w:sz="4" w:space="0"/>
                    <w:bottom w:val="single" w:color="000000" w:sz="4" w:space="0"/>
                    <w:right w:val="single" w:color="000000" w:sz="4" w:space="0"/>
                  </w:tcBorders>
                </w:tcPr>
                <w:p>
                  <w:pPr>
                    <w:spacing w:after="21" w:line="240" w:lineRule="auto"/>
                    <w:jc w:val="both"/>
                    <w:rPr>
                      <w:rFonts w:hint="eastAsia" w:ascii="宋体" w:hAnsi="宋体" w:eastAsia="宋体" w:cs="宋体"/>
                      <w:sz w:val="21"/>
                      <w:szCs w:val="21"/>
                    </w:rPr>
                  </w:pPr>
                  <w:r>
                    <w:rPr>
                      <w:rFonts w:hint="eastAsia" w:ascii="宋体" w:hAnsi="宋体" w:eastAsia="宋体" w:cs="宋体"/>
                      <w:sz w:val="21"/>
                      <w:szCs w:val="21"/>
                    </w:rPr>
                    <w:t>2#南厂界</w:t>
                  </w:r>
                </w:p>
              </w:tc>
              <w:tc>
                <w:tcPr>
                  <w:tcW w:w="1124" w:type="dxa"/>
                  <w:tcBorders>
                    <w:top w:val="single" w:color="000000" w:sz="4" w:space="0"/>
                    <w:left w:val="single" w:color="000000" w:sz="4" w:space="0"/>
                    <w:bottom w:val="single" w:color="000000" w:sz="4" w:space="0"/>
                    <w:right w:val="single" w:color="000000" w:sz="4" w:space="0"/>
                  </w:tcBorders>
                  <w:vAlign w:val="center"/>
                </w:tcPr>
                <w:p>
                  <w:pPr>
                    <w:widowControl w:val="0"/>
                    <w:spacing w:line="240" w:lineRule="auto"/>
                    <w:jc w:val="center"/>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rPr>
                    <w:t>41</w:t>
                  </w:r>
                </w:p>
              </w:tc>
              <w:tc>
                <w:tcPr>
                  <w:tcW w:w="1404" w:type="dxa"/>
                  <w:tcBorders>
                    <w:top w:val="single" w:color="000000" w:sz="4" w:space="0"/>
                    <w:left w:val="single" w:color="000000" w:sz="4" w:space="0"/>
                    <w:bottom w:val="single" w:color="000000" w:sz="4" w:space="0"/>
                    <w:right w:val="single" w:color="000000" w:sz="4" w:space="0"/>
                  </w:tcBorders>
                  <w:vAlign w:val="top"/>
                </w:tcPr>
                <w:p>
                  <w:pPr>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50</w:t>
                  </w:r>
                </w:p>
              </w:tc>
              <w:tc>
                <w:tcPr>
                  <w:tcW w:w="1402" w:type="dxa"/>
                  <w:tcBorders>
                    <w:top w:val="single" w:color="000000" w:sz="4" w:space="0"/>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达标</w:t>
                  </w:r>
                </w:p>
              </w:tc>
            </w:tr>
            <w:tr>
              <w:tblPrEx>
                <w:tblCellMar>
                  <w:top w:w="62" w:type="dxa"/>
                  <w:left w:w="247" w:type="dxa"/>
                  <w:bottom w:w="0" w:type="dxa"/>
                  <w:right w:w="115" w:type="dxa"/>
                </w:tblCellMar>
              </w:tblPrEx>
              <w:trPr>
                <w:trHeight w:val="350" w:hRule="atLeast"/>
                <w:jc w:val="center"/>
              </w:trPr>
              <w:tc>
                <w:tcPr>
                  <w:tcW w:w="1543" w:type="dxa"/>
                  <w:vMerge w:val="continue"/>
                  <w:tcBorders>
                    <w:top w:val="nil"/>
                    <w:left w:val="single" w:color="000000" w:sz="4" w:space="0"/>
                    <w:bottom w:val="nil"/>
                    <w:right w:val="single" w:color="000000" w:sz="4" w:space="0"/>
                  </w:tcBorders>
                </w:tcPr>
                <w:p>
                  <w:pPr>
                    <w:spacing w:after="21" w:line="240" w:lineRule="auto"/>
                    <w:ind w:firstLine="420" w:firstLineChars="200"/>
                    <w:jc w:val="both"/>
                    <w:rPr>
                      <w:rFonts w:hint="eastAsia" w:ascii="宋体" w:hAnsi="宋体" w:eastAsia="宋体" w:cs="宋体"/>
                      <w:sz w:val="21"/>
                      <w:szCs w:val="21"/>
                    </w:rPr>
                  </w:pPr>
                </w:p>
              </w:tc>
              <w:tc>
                <w:tcPr>
                  <w:tcW w:w="1682" w:type="dxa"/>
                  <w:vMerge w:val="continue"/>
                  <w:tcBorders>
                    <w:top w:val="nil"/>
                    <w:left w:val="single" w:color="000000" w:sz="4" w:space="0"/>
                    <w:bottom w:val="nil"/>
                    <w:right w:val="single" w:color="000000" w:sz="4" w:space="0"/>
                  </w:tcBorders>
                </w:tcPr>
                <w:p>
                  <w:pPr>
                    <w:spacing w:after="21" w:line="240" w:lineRule="auto"/>
                    <w:ind w:firstLine="420" w:firstLineChars="200"/>
                    <w:jc w:val="both"/>
                    <w:rPr>
                      <w:rFonts w:hint="eastAsia" w:ascii="宋体" w:hAnsi="宋体" w:eastAsia="宋体" w:cs="宋体"/>
                      <w:sz w:val="21"/>
                      <w:szCs w:val="21"/>
                    </w:rPr>
                  </w:pPr>
                </w:p>
              </w:tc>
              <w:tc>
                <w:tcPr>
                  <w:tcW w:w="1543" w:type="dxa"/>
                  <w:tcBorders>
                    <w:top w:val="single" w:color="000000" w:sz="4" w:space="0"/>
                    <w:left w:val="single" w:color="000000" w:sz="4" w:space="0"/>
                    <w:bottom w:val="single" w:color="000000" w:sz="4" w:space="0"/>
                    <w:right w:val="single" w:color="000000" w:sz="4" w:space="0"/>
                  </w:tcBorders>
                </w:tcPr>
                <w:p>
                  <w:pPr>
                    <w:spacing w:after="21" w:line="240" w:lineRule="auto"/>
                    <w:jc w:val="both"/>
                    <w:rPr>
                      <w:rFonts w:hint="eastAsia" w:ascii="宋体" w:hAnsi="宋体" w:eastAsia="宋体" w:cs="宋体"/>
                      <w:sz w:val="21"/>
                      <w:szCs w:val="21"/>
                    </w:rPr>
                  </w:pPr>
                  <w:r>
                    <w:rPr>
                      <w:rFonts w:hint="eastAsia" w:ascii="宋体" w:hAnsi="宋体" w:eastAsia="宋体" w:cs="宋体"/>
                      <w:sz w:val="21"/>
                      <w:szCs w:val="21"/>
                    </w:rPr>
                    <w:t>3#西厂界</w:t>
                  </w:r>
                </w:p>
              </w:tc>
              <w:tc>
                <w:tcPr>
                  <w:tcW w:w="1124" w:type="dxa"/>
                  <w:tcBorders>
                    <w:top w:val="single" w:color="000000" w:sz="4" w:space="0"/>
                    <w:left w:val="single" w:color="000000" w:sz="4" w:space="0"/>
                    <w:bottom w:val="single" w:color="000000" w:sz="4" w:space="0"/>
                    <w:right w:val="single" w:color="000000" w:sz="4" w:space="0"/>
                  </w:tcBorders>
                  <w:vAlign w:val="center"/>
                </w:tcPr>
                <w:p>
                  <w:pPr>
                    <w:widowControl w:val="0"/>
                    <w:spacing w:line="240" w:lineRule="auto"/>
                    <w:jc w:val="center"/>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rPr>
                    <w:t>44</w:t>
                  </w:r>
                </w:p>
              </w:tc>
              <w:tc>
                <w:tcPr>
                  <w:tcW w:w="1404" w:type="dxa"/>
                  <w:tcBorders>
                    <w:top w:val="single" w:color="000000" w:sz="4" w:space="0"/>
                    <w:left w:val="single" w:color="000000" w:sz="4" w:space="0"/>
                    <w:bottom w:val="single" w:color="000000" w:sz="4" w:space="0"/>
                    <w:right w:val="single" w:color="000000" w:sz="4" w:space="0"/>
                  </w:tcBorders>
                  <w:vAlign w:val="top"/>
                </w:tcPr>
                <w:p>
                  <w:pPr>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50</w:t>
                  </w:r>
                </w:p>
              </w:tc>
              <w:tc>
                <w:tcPr>
                  <w:tcW w:w="1402" w:type="dxa"/>
                  <w:tcBorders>
                    <w:top w:val="single" w:color="000000" w:sz="4" w:space="0"/>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达标</w:t>
                  </w:r>
                </w:p>
              </w:tc>
            </w:tr>
            <w:tr>
              <w:tblPrEx>
                <w:tblCellMar>
                  <w:top w:w="62" w:type="dxa"/>
                  <w:left w:w="247" w:type="dxa"/>
                  <w:bottom w:w="0" w:type="dxa"/>
                  <w:right w:w="115" w:type="dxa"/>
                </w:tblCellMar>
              </w:tblPrEx>
              <w:trPr>
                <w:trHeight w:val="350" w:hRule="atLeast"/>
                <w:jc w:val="center"/>
              </w:trPr>
              <w:tc>
                <w:tcPr>
                  <w:tcW w:w="1543" w:type="dxa"/>
                  <w:vMerge w:val="continue"/>
                  <w:tcBorders>
                    <w:top w:val="nil"/>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宋体" w:hAnsi="宋体" w:eastAsia="宋体" w:cs="宋体"/>
                      <w:sz w:val="21"/>
                      <w:szCs w:val="21"/>
                    </w:rPr>
                  </w:pPr>
                </w:p>
              </w:tc>
              <w:tc>
                <w:tcPr>
                  <w:tcW w:w="1682" w:type="dxa"/>
                  <w:vMerge w:val="continue"/>
                  <w:tcBorders>
                    <w:top w:val="nil"/>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宋体" w:hAnsi="宋体" w:eastAsia="宋体" w:cs="宋体"/>
                      <w:sz w:val="21"/>
                      <w:szCs w:val="21"/>
                    </w:rPr>
                  </w:pPr>
                </w:p>
              </w:tc>
              <w:tc>
                <w:tcPr>
                  <w:tcW w:w="1543" w:type="dxa"/>
                  <w:tcBorders>
                    <w:top w:val="single" w:color="000000" w:sz="4" w:space="0"/>
                    <w:left w:val="single" w:color="000000" w:sz="4" w:space="0"/>
                    <w:bottom w:val="single" w:color="000000" w:sz="4" w:space="0"/>
                    <w:right w:val="single" w:color="000000" w:sz="4" w:space="0"/>
                  </w:tcBorders>
                </w:tcPr>
                <w:p>
                  <w:pPr>
                    <w:spacing w:after="21" w:line="240" w:lineRule="auto"/>
                    <w:jc w:val="both"/>
                    <w:rPr>
                      <w:rFonts w:hint="eastAsia" w:ascii="宋体" w:hAnsi="宋体" w:eastAsia="宋体" w:cs="宋体"/>
                      <w:sz w:val="21"/>
                      <w:szCs w:val="21"/>
                    </w:rPr>
                  </w:pPr>
                  <w:r>
                    <w:rPr>
                      <w:rFonts w:hint="eastAsia" w:ascii="宋体" w:hAnsi="宋体" w:eastAsia="宋体" w:cs="宋体"/>
                      <w:sz w:val="21"/>
                      <w:szCs w:val="21"/>
                    </w:rPr>
                    <w:t>4#北厂界</w:t>
                  </w:r>
                </w:p>
              </w:tc>
              <w:tc>
                <w:tcPr>
                  <w:tcW w:w="1124" w:type="dxa"/>
                  <w:tcBorders>
                    <w:top w:val="single" w:color="000000" w:sz="4" w:space="0"/>
                    <w:left w:val="single" w:color="000000" w:sz="4" w:space="0"/>
                    <w:bottom w:val="single" w:color="000000" w:sz="4" w:space="0"/>
                    <w:right w:val="single" w:color="000000" w:sz="4" w:space="0"/>
                  </w:tcBorders>
                  <w:vAlign w:val="center"/>
                </w:tcPr>
                <w:p>
                  <w:pPr>
                    <w:widowControl w:val="0"/>
                    <w:spacing w:line="240" w:lineRule="auto"/>
                    <w:jc w:val="center"/>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rPr>
                    <w:t>42</w:t>
                  </w:r>
                </w:p>
              </w:tc>
              <w:tc>
                <w:tcPr>
                  <w:tcW w:w="1404" w:type="dxa"/>
                  <w:tcBorders>
                    <w:top w:val="single" w:color="000000" w:sz="4" w:space="0"/>
                    <w:left w:val="single" w:color="000000" w:sz="4" w:space="0"/>
                    <w:bottom w:val="single" w:color="000000" w:sz="4" w:space="0"/>
                    <w:right w:val="single" w:color="000000" w:sz="4" w:space="0"/>
                  </w:tcBorders>
                  <w:vAlign w:val="top"/>
                </w:tcPr>
                <w:p>
                  <w:pPr>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50</w:t>
                  </w:r>
                </w:p>
              </w:tc>
              <w:tc>
                <w:tcPr>
                  <w:tcW w:w="1402" w:type="dxa"/>
                  <w:tcBorders>
                    <w:top w:val="single" w:color="000000" w:sz="4" w:space="0"/>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达标</w:t>
                  </w:r>
                </w:p>
              </w:tc>
            </w:tr>
          </w:tbl>
          <w:p>
            <w:pPr>
              <w:widowControl w:val="0"/>
              <w:spacing w:after="0" w:line="360" w:lineRule="auto"/>
              <w:ind w:firstLine="480" w:firstLineChars="200"/>
              <w:jc w:val="both"/>
              <w:rPr>
                <w:rFonts w:ascii="宋体" w:hAnsi="宋体" w:eastAsia="宋体" w:cs="宋体"/>
                <w:sz w:val="24"/>
                <w:szCs w:val="24"/>
              </w:rPr>
            </w:pPr>
            <w:r>
              <w:rPr>
                <w:rFonts w:ascii="宋体" w:hAnsi="宋体" w:eastAsia="宋体" w:cs="宋体"/>
                <w:sz w:val="24"/>
                <w:szCs w:val="24"/>
              </w:rPr>
              <w:t>根据监测结果可知，项目四周厂界噪声满足《工业企业厂界环境噪声排放标准》（GB12348-2008）中</w:t>
            </w:r>
            <w:r>
              <w:rPr>
                <w:rFonts w:hint="eastAsia" w:ascii="宋体" w:hAnsi="宋体" w:eastAsia="宋体" w:cs="宋体"/>
                <w:sz w:val="24"/>
                <w:szCs w:val="24"/>
                <w:lang w:eastAsia="zh-CN"/>
              </w:rPr>
              <w:t>的</w:t>
            </w:r>
            <w:r>
              <w:rPr>
                <w:rFonts w:hint="eastAsia" w:ascii="宋体" w:hAnsi="宋体" w:eastAsia="宋体" w:cs="宋体"/>
                <w:sz w:val="24"/>
                <w:szCs w:val="24"/>
                <w:lang w:val="en-US" w:eastAsia="zh-CN"/>
              </w:rPr>
              <w:t>2类</w:t>
            </w:r>
            <w:r>
              <w:rPr>
                <w:rFonts w:ascii="宋体" w:hAnsi="宋体" w:eastAsia="宋体" w:cs="宋体"/>
                <w:sz w:val="24"/>
                <w:szCs w:val="24"/>
              </w:rPr>
              <w:t>标准。</w:t>
            </w:r>
          </w:p>
          <w:p>
            <w:pPr>
              <w:widowControl w:val="0"/>
              <w:spacing w:after="0" w:line="360" w:lineRule="auto"/>
              <w:ind w:firstLine="480" w:firstLineChars="200"/>
              <w:jc w:val="both"/>
              <w:rPr>
                <w:rFonts w:ascii="宋体" w:hAnsi="宋体" w:eastAsia="宋体" w:cs="宋体"/>
                <w:sz w:val="24"/>
                <w:szCs w:val="24"/>
              </w:rPr>
            </w:pPr>
          </w:p>
          <w:p>
            <w:pPr>
              <w:widowControl w:val="0"/>
              <w:numPr>
                <w:ilvl w:val="0"/>
                <w:numId w:val="0"/>
              </w:numPr>
              <w:spacing w:after="151" w:line="360" w:lineRule="auto"/>
              <w:ind w:firstLine="420" w:firstLineChars="200"/>
              <w:jc w:val="both"/>
              <w:rPr>
                <w:rFonts w:hint="default" w:ascii="仿宋" w:hAnsi="仿宋" w:eastAsia="仿宋" w:cs="仿宋"/>
                <w:sz w:val="21"/>
                <w:lang w:val="en-US"/>
              </w:rPr>
            </w:pPr>
          </w:p>
        </w:tc>
      </w:tr>
    </w:tbl>
    <w:p>
      <w:pPr>
        <w:sectPr>
          <w:footerReference r:id="rId9" w:type="first"/>
          <w:footerReference r:id="rId7" w:type="default"/>
          <w:footerReference r:id="rId8" w:type="even"/>
          <w:pgSz w:w="11906" w:h="16838"/>
          <w:pgMar w:top="1440" w:right="1440" w:bottom="1440" w:left="1440" w:header="720" w:footer="602" w:gutter="0"/>
          <w:pgBorders>
            <w:top w:val="none" w:sz="0" w:space="0"/>
            <w:left w:val="none" w:sz="0" w:space="0"/>
            <w:bottom w:val="none" w:sz="0" w:space="0"/>
            <w:right w:val="none" w:sz="0" w:space="0"/>
          </w:pgBorders>
          <w:pgNumType w:fmt="decimal"/>
          <w:cols w:space="720" w:num="1"/>
        </w:sectPr>
      </w:pPr>
    </w:p>
    <w:p>
      <w:pPr>
        <w:adjustRightInd w:val="0"/>
        <w:snapToGrid w:val="0"/>
        <w:spacing w:after="0" w:afterLines="0" w:line="360" w:lineRule="auto"/>
        <w:rPr>
          <w:rFonts w:hint="eastAsia" w:ascii="Tahoma" w:hAnsi="Tahoma" w:eastAsia="仿宋_GB2312" w:cs="Times New Roman"/>
          <w:b/>
          <w:color w:val="000000"/>
          <w:kern w:val="0"/>
          <w:sz w:val="21"/>
          <w:szCs w:val="21"/>
          <w:lang w:eastAsia="zh-CN"/>
        </w:rPr>
      </w:pPr>
      <w:r>
        <w:rPr>
          <w:rFonts w:ascii="Tahoma" w:hAnsi="Tahoma" w:eastAsia="仿宋_GB2312" w:cs="Times New Roman"/>
          <w:b/>
          <w:color w:val="000000"/>
          <w:kern w:val="0"/>
          <w:sz w:val="21"/>
          <w:szCs w:val="21"/>
        </w:rPr>
        <w:t>表</w:t>
      </w:r>
      <w:r>
        <w:rPr>
          <w:rFonts w:hint="eastAsia" w:ascii="Tahoma" w:hAnsi="Tahoma" w:eastAsia="仿宋_GB2312" w:cs="Times New Roman"/>
          <w:b/>
          <w:color w:val="000000"/>
          <w:kern w:val="0"/>
          <w:sz w:val="21"/>
          <w:szCs w:val="21"/>
          <w:lang w:eastAsia="zh-CN"/>
        </w:rPr>
        <w:t>八</w:t>
      </w:r>
    </w:p>
    <w:tbl>
      <w:tblPr>
        <w:tblStyle w:val="13"/>
        <w:tblW w:w="88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8860" w:type="dxa"/>
          </w:tcPr>
          <w:p>
            <w:pPr>
              <w:widowControl w:val="0"/>
              <w:spacing w:after="117"/>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rPr>
              <w:t>环境管理检查</w:t>
            </w:r>
            <w:r>
              <w:rPr>
                <w:rFonts w:hint="eastAsia" w:asciiTheme="minorEastAsia" w:hAnsiTheme="minorEastAsia" w:eastAsiaTheme="minorEastAsia" w:cstheme="minorEastAsia"/>
                <w:b/>
                <w:bCs/>
                <w:sz w:val="24"/>
                <w:szCs w:val="24"/>
                <w:lang w:eastAsia="zh-CN"/>
              </w:rPr>
              <w:t>：</w:t>
            </w:r>
          </w:p>
          <w:p>
            <w:pPr>
              <w:widowControl w:val="0"/>
              <w:numPr>
                <w:ilvl w:val="0"/>
                <w:numId w:val="0"/>
              </w:numPr>
              <w:spacing w:after="144"/>
              <w:ind w:left="420" w:leftChars="0"/>
              <w:jc w:val="both"/>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各种批复文件检查</w:t>
            </w:r>
          </w:p>
          <w:p>
            <w:pPr>
              <w:widowControl w:val="0"/>
              <w:spacing w:after="139"/>
              <w:ind w:left="420"/>
              <w:jc w:val="both"/>
              <w:rPr>
                <w:rFonts w:hint="eastAsia" w:ascii="宋体" w:hAnsi="宋体" w:eastAsia="宋体" w:cs="宋体"/>
                <w:sz w:val="24"/>
                <w:szCs w:val="24"/>
              </w:rPr>
            </w:pPr>
            <w:r>
              <w:rPr>
                <w:rFonts w:hint="eastAsia" w:ascii="宋体" w:hAnsi="宋体" w:eastAsia="宋体" w:cs="宋体"/>
                <w:sz w:val="24"/>
                <w:szCs w:val="24"/>
              </w:rPr>
              <w:t>该公司各种批复文件齐全，执行了国家有关建设项目环保审批手续。</w:t>
            </w:r>
          </w:p>
          <w:p>
            <w:pPr>
              <w:widowControl w:val="0"/>
              <w:numPr>
                <w:ilvl w:val="0"/>
                <w:numId w:val="0"/>
              </w:numPr>
              <w:spacing w:after="199"/>
              <w:ind w:left="420" w:leftChars="0"/>
              <w:jc w:val="both"/>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环评批复落实情况</w:t>
            </w:r>
          </w:p>
          <w:p>
            <w:pPr>
              <w:widowControl w:val="0"/>
              <w:spacing w:after="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该项目的环评批复落实情况见表 8-1 所示。</w:t>
            </w:r>
          </w:p>
          <w:p>
            <w:pPr>
              <w:widowControl w:val="0"/>
              <w:spacing w:after="0" w:line="360" w:lineRule="auto"/>
              <w:ind w:firstLine="480" w:firstLineChars="20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表 8-1 环评批复落实情况表</w:t>
            </w:r>
          </w:p>
          <w:tbl>
            <w:tblPr>
              <w:tblStyle w:val="13"/>
              <w:tblW w:w="87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3525"/>
              <w:gridCol w:w="3465"/>
              <w:gridCol w:w="8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855" w:type="dxa"/>
                </w:tcPr>
                <w:p>
                  <w:pPr>
                    <w:pStyle w:val="10"/>
                    <w:keepNext w:val="0"/>
                    <w:keepLines w:val="0"/>
                    <w:widowControl/>
                    <w:suppressLineNumbers w:val="0"/>
                    <w:spacing w:line="240" w:lineRule="auto"/>
                    <w:jc w:val="center"/>
                    <w:rPr>
                      <w:rFonts w:hint="eastAsia" w:ascii="宋体" w:hAnsi="宋体" w:eastAsia="宋体" w:cs="宋体"/>
                      <w:color w:val="000000"/>
                      <w:kern w:val="2"/>
                      <w:sz w:val="21"/>
                      <w:szCs w:val="21"/>
                      <w:vertAlign w:val="baseline"/>
                      <w:lang w:val="en-US" w:eastAsia="zh-CN" w:bidi="ar-SA"/>
                    </w:rPr>
                  </w:pPr>
                  <w:r>
                    <w:rPr>
                      <w:rFonts w:hint="eastAsia" w:ascii="宋体" w:hAnsi="宋体" w:eastAsia="宋体" w:cs="宋体"/>
                      <w:color w:val="000000"/>
                      <w:sz w:val="21"/>
                      <w:szCs w:val="21"/>
                    </w:rPr>
                    <w:t>类别</w:t>
                  </w:r>
                </w:p>
              </w:tc>
              <w:tc>
                <w:tcPr>
                  <w:tcW w:w="3525" w:type="dxa"/>
                </w:tcPr>
                <w:p>
                  <w:pPr>
                    <w:pStyle w:val="10"/>
                    <w:keepNext w:val="0"/>
                    <w:keepLines w:val="0"/>
                    <w:widowControl/>
                    <w:suppressLineNumbers w:val="0"/>
                    <w:spacing w:line="240" w:lineRule="auto"/>
                    <w:jc w:val="center"/>
                    <w:rPr>
                      <w:rFonts w:hint="eastAsia" w:ascii="宋体" w:hAnsi="宋体" w:eastAsia="宋体" w:cs="宋体"/>
                      <w:color w:val="000000"/>
                      <w:kern w:val="2"/>
                      <w:sz w:val="21"/>
                      <w:szCs w:val="21"/>
                      <w:vertAlign w:val="baseline"/>
                      <w:lang w:val="en-US" w:eastAsia="zh-CN" w:bidi="ar-SA"/>
                    </w:rPr>
                  </w:pPr>
                  <w:r>
                    <w:rPr>
                      <w:rFonts w:hint="eastAsia" w:ascii="宋体" w:hAnsi="宋体" w:eastAsia="宋体" w:cs="宋体"/>
                      <w:color w:val="000000"/>
                      <w:sz w:val="21"/>
                      <w:szCs w:val="21"/>
                    </w:rPr>
                    <w:t>环评批复要求</w:t>
                  </w:r>
                </w:p>
              </w:tc>
              <w:tc>
                <w:tcPr>
                  <w:tcW w:w="3465" w:type="dxa"/>
                </w:tcPr>
                <w:p>
                  <w:pPr>
                    <w:pStyle w:val="10"/>
                    <w:keepNext w:val="0"/>
                    <w:keepLines w:val="0"/>
                    <w:widowControl/>
                    <w:suppressLineNumbers w:val="0"/>
                    <w:spacing w:line="240" w:lineRule="auto"/>
                    <w:jc w:val="center"/>
                    <w:rPr>
                      <w:rFonts w:hint="eastAsia" w:ascii="宋体" w:hAnsi="宋体" w:eastAsia="宋体" w:cs="宋体"/>
                      <w:color w:val="000000"/>
                      <w:kern w:val="2"/>
                      <w:sz w:val="21"/>
                      <w:szCs w:val="21"/>
                      <w:vertAlign w:val="baseline"/>
                      <w:lang w:val="en-US" w:eastAsia="zh-CN" w:bidi="ar-SA"/>
                    </w:rPr>
                  </w:pPr>
                  <w:r>
                    <w:rPr>
                      <w:rFonts w:hint="eastAsia" w:ascii="宋体" w:hAnsi="宋体" w:eastAsia="宋体" w:cs="宋体"/>
                      <w:color w:val="000000"/>
                      <w:sz w:val="21"/>
                      <w:szCs w:val="21"/>
                    </w:rPr>
                    <w:t>实际建设情况</w:t>
                  </w:r>
                </w:p>
              </w:tc>
              <w:tc>
                <w:tcPr>
                  <w:tcW w:w="879" w:type="dxa"/>
                </w:tcPr>
                <w:p>
                  <w:pPr>
                    <w:pStyle w:val="10"/>
                    <w:keepNext w:val="0"/>
                    <w:keepLines w:val="0"/>
                    <w:widowControl/>
                    <w:suppressLineNumbers w:val="0"/>
                    <w:spacing w:line="240" w:lineRule="auto"/>
                    <w:jc w:val="center"/>
                    <w:rPr>
                      <w:rFonts w:hint="eastAsia" w:ascii="宋体" w:hAnsi="宋体" w:eastAsia="宋体" w:cs="宋体"/>
                      <w:color w:val="000000"/>
                      <w:kern w:val="2"/>
                      <w:sz w:val="21"/>
                      <w:szCs w:val="21"/>
                      <w:vertAlign w:val="baseline"/>
                      <w:lang w:val="en-US" w:eastAsia="zh-CN" w:bidi="ar-SA"/>
                    </w:rPr>
                  </w:pPr>
                  <w:r>
                    <w:rPr>
                      <w:rFonts w:hint="eastAsia" w:ascii="宋体" w:hAnsi="宋体" w:eastAsia="宋体" w:cs="宋体"/>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tcPr>
                <w:p>
                  <w:pPr>
                    <w:widowControl w:val="0"/>
                    <w:spacing w:after="21" w:line="240" w:lineRule="auto"/>
                    <w:jc w:val="both"/>
                    <w:rPr>
                      <w:rFonts w:hint="eastAsia" w:ascii="宋体" w:hAnsi="宋体" w:eastAsia="宋体" w:cs="宋体"/>
                      <w:color w:val="000000"/>
                      <w:kern w:val="2"/>
                      <w:sz w:val="21"/>
                      <w:szCs w:val="21"/>
                      <w:lang w:val="en-US" w:eastAsia="zh-CN" w:bidi="ar-SA"/>
                    </w:rPr>
                  </w:pPr>
                </w:p>
                <w:p>
                  <w:pPr>
                    <w:widowControl w:val="0"/>
                    <w:spacing w:after="21" w:line="240" w:lineRule="auto"/>
                    <w:jc w:val="both"/>
                    <w:rPr>
                      <w:rFonts w:hint="eastAsia" w:ascii="宋体" w:hAnsi="宋体" w:eastAsia="宋体" w:cs="宋体"/>
                      <w:color w:val="000000"/>
                      <w:kern w:val="2"/>
                      <w:sz w:val="21"/>
                      <w:szCs w:val="21"/>
                      <w:lang w:val="en-US" w:eastAsia="zh-CN" w:bidi="ar-SA"/>
                    </w:rPr>
                  </w:pPr>
                </w:p>
                <w:p>
                  <w:pPr>
                    <w:widowControl w:val="0"/>
                    <w:spacing w:after="21" w:line="240" w:lineRule="auto"/>
                    <w:jc w:val="both"/>
                    <w:rPr>
                      <w:rFonts w:hint="eastAsia" w:ascii="宋体" w:hAnsi="宋体" w:eastAsia="宋体" w:cs="宋体"/>
                      <w:color w:val="000000"/>
                      <w:kern w:val="2"/>
                      <w:sz w:val="21"/>
                      <w:szCs w:val="21"/>
                      <w:lang w:val="en-US" w:eastAsia="zh-CN" w:bidi="ar-SA"/>
                    </w:rPr>
                  </w:pPr>
                </w:p>
                <w:p>
                  <w:pPr>
                    <w:widowControl w:val="0"/>
                    <w:spacing w:after="21" w:line="24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废气</w:t>
                  </w:r>
                </w:p>
              </w:tc>
              <w:tc>
                <w:tcPr>
                  <w:tcW w:w="3525" w:type="dxa"/>
                </w:tcPr>
                <w:p>
                  <w:pPr>
                    <w:widowControl w:val="0"/>
                    <w:spacing w:after="21" w:line="240" w:lineRule="auto"/>
                    <w:ind w:firstLine="420" w:firstLineChars="200"/>
                    <w:jc w:val="both"/>
                    <w:rPr>
                      <w:rFonts w:hint="eastAsia" w:ascii="宋体" w:hAnsi="宋体" w:eastAsia="宋体" w:cs="宋体"/>
                      <w:color w:val="000000"/>
                      <w:kern w:val="2"/>
                      <w:sz w:val="21"/>
                      <w:szCs w:val="21"/>
                      <w:lang w:val="en-US" w:eastAsia="zh-CN" w:bidi="ar-SA"/>
                    </w:rPr>
                  </w:pPr>
                  <w:r>
                    <w:rPr>
                      <w:rFonts w:hint="eastAsia" w:ascii="宋体" w:hAnsi="宋体" w:eastAsia="宋体" w:cs="宋体"/>
                      <w:sz w:val="21"/>
                      <w:szCs w:val="21"/>
                      <w:lang w:val="en-US" w:eastAsia="zh-CN"/>
                    </w:rPr>
                    <w:t>焊接过程中产生的废气，通过安装在车间内的集气罩和引风装置强制抽集，经焊烟净化器装置处理后通过不低于15米高排气筒对外排放。废气排放需满足《大气污染物综合排放标准》GB16297-1996表2中的相应限值。</w:t>
                  </w:r>
                </w:p>
                <w:p>
                  <w:pPr>
                    <w:widowControl w:val="0"/>
                    <w:spacing w:after="21" w:line="240" w:lineRule="auto"/>
                    <w:ind w:firstLine="420" w:firstLineChars="200"/>
                    <w:jc w:val="both"/>
                    <w:rPr>
                      <w:rFonts w:hint="eastAsia" w:ascii="宋体" w:hAnsi="宋体" w:eastAsia="宋体" w:cs="宋体"/>
                      <w:color w:val="000000"/>
                      <w:kern w:val="2"/>
                      <w:sz w:val="21"/>
                      <w:szCs w:val="21"/>
                      <w:lang w:val="en-US" w:eastAsia="zh-CN" w:bidi="ar-SA"/>
                    </w:rPr>
                  </w:pPr>
                  <w:r>
                    <w:rPr>
                      <w:rFonts w:hint="eastAsia" w:ascii="宋体" w:hAnsi="宋体" w:eastAsia="宋体" w:cs="宋体"/>
                      <w:sz w:val="21"/>
                      <w:szCs w:val="21"/>
                      <w:lang w:val="en-US" w:eastAsia="zh-CN"/>
                    </w:rPr>
                    <w:t>喷塑过程产生的颗粒物经过滤除尘回收装置收集后，通过10m高排气筒（P1）排放。喷漆及晾干过程产生的废气经密闭负压＋水帘柜＋UV光解＋活性炭吸附处理后通过15m高排气筒（P2）排放，固化过程产生的废气经集气罩收集，由UV光解＋活性炭吸附处理后，通过15m高排气筒（P2）排放。废气排放需满足《大气污染物综合排放标准》（GB16297-1996）表2中二级标准。厂区有机废气排放需满足《挥发性有机物无组织排放控制标准》（GB37822-2019）、《工业涂装工序挥发性有机物排放标准》（DB41／1951-2020）中的排放要求，同时满足《河南省关于全省开展工业企业挥发性有机物专项治理工作中排放建议值的通知》（豫环攻坚办［2017］162号文）中，表面涂装业排放限值的要求。</w:t>
                  </w:r>
                </w:p>
              </w:tc>
              <w:tc>
                <w:tcPr>
                  <w:tcW w:w="3465" w:type="dxa"/>
                </w:tcPr>
                <w:p>
                  <w:pPr>
                    <w:widowControl w:val="0"/>
                    <w:spacing w:after="21" w:line="240" w:lineRule="auto"/>
                    <w:ind w:firstLine="420" w:firstLineChars="200"/>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焊接烟尘采用集气罩+1台袋式除尘器+1根15m排气筒；喷塑粉尘采用</w:t>
                  </w:r>
                  <w:r>
                    <w:rPr>
                      <w:rFonts w:hint="eastAsia" w:ascii="宋体" w:hAnsi="宋体" w:eastAsia="宋体" w:cs="宋体"/>
                      <w:sz w:val="21"/>
                      <w:szCs w:val="21"/>
                      <w:lang w:val="en-GB" w:eastAsia="zh-CN"/>
                    </w:rPr>
                    <w:t>自带有粉末吸入回收系统（呈负压，该回收系统是一套圆筒形的过滤除尘装置）</w:t>
                  </w:r>
                  <w:r>
                    <w:rPr>
                      <w:rFonts w:hint="eastAsia" w:ascii="宋体" w:hAnsi="宋体" w:eastAsia="宋体" w:cs="宋体"/>
                      <w:sz w:val="21"/>
                      <w:szCs w:val="21"/>
                      <w:lang w:val="en-US" w:eastAsia="zh-CN"/>
                    </w:rPr>
                    <w:t>+1台袋式除尘器+1根15m排气筒（与焊接烟尘共用1台袋式除尘器）；</w:t>
                  </w:r>
                  <w:r>
                    <w:rPr>
                      <w:rFonts w:hint="eastAsia" w:ascii="宋体" w:hAnsi="宋体" w:eastAsia="宋体" w:cs="宋体"/>
                      <w:sz w:val="21"/>
                      <w:szCs w:val="21"/>
                      <w:lang w:val="en-GB" w:eastAsia="zh-CN"/>
                    </w:rPr>
                    <w:t>喷漆废气</w:t>
                  </w:r>
                  <w:r>
                    <w:rPr>
                      <w:rFonts w:hint="eastAsia" w:ascii="宋体" w:hAnsi="宋体" w:eastAsia="宋体" w:cs="宋体"/>
                      <w:sz w:val="21"/>
                      <w:szCs w:val="21"/>
                      <w:lang w:val="en-US" w:eastAsia="zh-CN"/>
                    </w:rPr>
                    <w:t>采用</w:t>
                  </w:r>
                  <w:r>
                    <w:rPr>
                      <w:rFonts w:hint="eastAsia" w:ascii="宋体" w:hAnsi="宋体" w:eastAsia="宋体" w:cs="宋体"/>
                      <w:sz w:val="21"/>
                      <w:szCs w:val="21"/>
                      <w:lang w:val="en-GB" w:eastAsia="zh-CN"/>
                    </w:rPr>
                    <w:t>1套水帘柜</w:t>
                  </w:r>
                  <w:r>
                    <w:rPr>
                      <w:rFonts w:hint="eastAsia" w:ascii="宋体" w:hAnsi="宋体" w:eastAsia="宋体" w:cs="宋体"/>
                      <w:sz w:val="21"/>
                      <w:szCs w:val="21"/>
                      <w:lang w:val="en-US" w:eastAsia="zh-CN"/>
                    </w:rPr>
                    <w:t>处理后再通过</w:t>
                  </w:r>
                  <w:r>
                    <w:rPr>
                      <w:rFonts w:hint="eastAsia" w:ascii="宋体" w:hAnsi="宋体" w:eastAsia="宋体" w:cs="宋体"/>
                      <w:sz w:val="21"/>
                      <w:szCs w:val="21"/>
                      <w:lang w:val="en-GB" w:eastAsia="zh-CN"/>
                    </w:rPr>
                    <w:t>1套活性炭吸附+1套UV光解装置</w:t>
                  </w:r>
                  <w:r>
                    <w:rPr>
                      <w:rFonts w:hint="eastAsia" w:ascii="宋体" w:hAnsi="宋体" w:eastAsia="宋体" w:cs="宋体"/>
                      <w:sz w:val="21"/>
                      <w:szCs w:val="21"/>
                      <w:lang w:val="en-US" w:eastAsia="zh-CN"/>
                    </w:rPr>
                    <w:t>进行处理，达标后通过</w:t>
                  </w:r>
                  <w:r>
                    <w:rPr>
                      <w:rFonts w:hint="eastAsia" w:ascii="宋体" w:hAnsi="宋体" w:eastAsia="宋体" w:cs="宋体"/>
                      <w:sz w:val="21"/>
                      <w:szCs w:val="21"/>
                      <w:lang w:val="en-GB" w:eastAsia="zh-CN"/>
                    </w:rPr>
                    <w:t>1个15m排气筒</w:t>
                  </w:r>
                  <w:r>
                    <w:rPr>
                      <w:rFonts w:hint="eastAsia" w:ascii="宋体" w:hAnsi="宋体" w:eastAsia="宋体" w:cs="宋体"/>
                      <w:sz w:val="21"/>
                      <w:szCs w:val="21"/>
                      <w:lang w:val="en-US" w:eastAsia="zh-CN"/>
                    </w:rPr>
                    <w:t>排放；喷漆</w:t>
                  </w:r>
                  <w:r>
                    <w:rPr>
                      <w:rFonts w:hint="eastAsia" w:ascii="宋体" w:hAnsi="宋体" w:eastAsia="宋体" w:cs="宋体"/>
                      <w:sz w:val="21"/>
                      <w:szCs w:val="21"/>
                      <w:lang w:val="en-GB" w:eastAsia="zh-CN"/>
                    </w:rPr>
                    <w:t>固化废气</w:t>
                  </w:r>
                  <w:r>
                    <w:rPr>
                      <w:rFonts w:hint="eastAsia" w:ascii="宋体" w:hAnsi="宋体" w:eastAsia="宋体" w:cs="宋体"/>
                      <w:sz w:val="21"/>
                      <w:szCs w:val="21"/>
                      <w:lang w:val="en-US" w:eastAsia="zh-CN"/>
                    </w:rPr>
                    <w:t>和喷塑固化废气采用</w:t>
                  </w:r>
                  <w:r>
                    <w:rPr>
                      <w:rFonts w:hint="eastAsia" w:ascii="宋体" w:hAnsi="宋体" w:eastAsia="宋体" w:cs="宋体"/>
                      <w:sz w:val="21"/>
                      <w:szCs w:val="21"/>
                      <w:lang w:val="en-GB" w:eastAsia="zh-CN"/>
                    </w:rPr>
                    <w:t>1套活性炭吸附+1套UV光解装置+1个15m排气筒，与喷漆废气共用1套活性炭吸附+UV光解装置处理排放。</w:t>
                  </w:r>
                  <w:r>
                    <w:rPr>
                      <w:rFonts w:hint="eastAsia" w:ascii="宋体" w:hAnsi="宋体" w:eastAsia="宋体" w:cs="宋体"/>
                      <w:sz w:val="21"/>
                      <w:szCs w:val="21"/>
                      <w:lang w:val="en-US" w:eastAsia="zh-CN"/>
                    </w:rPr>
                    <w:t>所有废气共用一个排气筒排放。</w:t>
                  </w:r>
                </w:p>
                <w:p>
                  <w:pPr>
                    <w:widowControl w:val="0"/>
                    <w:spacing w:after="21" w:line="240" w:lineRule="auto"/>
                    <w:ind w:firstLine="420" w:firstLineChars="200"/>
                    <w:jc w:val="both"/>
                    <w:rPr>
                      <w:rFonts w:hint="eastAsia" w:ascii="宋体" w:hAnsi="宋体" w:eastAsia="宋体" w:cs="宋体"/>
                      <w:color w:val="000000"/>
                      <w:kern w:val="2"/>
                      <w:sz w:val="21"/>
                      <w:szCs w:val="21"/>
                      <w:vertAlign w:val="baseline"/>
                      <w:lang w:val="en-US" w:eastAsia="zh-CN" w:bidi="ar-SA"/>
                    </w:rPr>
                  </w:pPr>
                  <w:r>
                    <w:rPr>
                      <w:rFonts w:hint="eastAsia" w:ascii="宋体" w:hAnsi="宋体" w:eastAsia="宋体" w:cs="宋体"/>
                      <w:sz w:val="21"/>
                      <w:szCs w:val="21"/>
                      <w:lang w:val="en-US" w:eastAsia="zh-CN"/>
                    </w:rPr>
                    <w:t>经检测满足《大气污染物综合排放标准》（GB16297-1996）表2二级、《河南省关于全省开展工业企业挥发性有机物专项治理工作中排放建议值的通知》（豫环攻坚办[2017]162号）表面涂装业、《工业涂装工序挥发性有机物排放标准》</w:t>
                  </w:r>
                  <w:r>
                    <w:rPr>
                      <w:rFonts w:hint="eastAsia" w:ascii="宋体" w:hAnsi="宋体" w:eastAsia="宋体" w:cs="宋体"/>
                      <w:sz w:val="21"/>
                      <w:szCs w:val="21"/>
                      <w:lang w:val="en-US" w:eastAsia="zh-CN"/>
                    </w:rPr>
                    <w:fldChar w:fldCharType="begin"/>
                  </w:r>
                  <w:r>
                    <w:rPr>
                      <w:rFonts w:hint="eastAsia" w:ascii="宋体" w:hAnsi="宋体" w:eastAsia="宋体" w:cs="宋体"/>
                      <w:sz w:val="21"/>
                      <w:szCs w:val="21"/>
                      <w:lang w:val="en-US" w:eastAsia="zh-CN"/>
                    </w:rPr>
                    <w:instrText xml:space="preserve"> HYPERLINK "http://kjs.mee.gov.cn/hjbhbz/bzwb/dqhjbh/dqgdwrywrwpfbz/201906/W020190606587693632696.pdf" </w:instrText>
                  </w:r>
                  <w:r>
                    <w:rPr>
                      <w:rFonts w:hint="eastAsia" w:ascii="宋体" w:hAnsi="宋体" w:eastAsia="宋体" w:cs="宋体"/>
                      <w:sz w:val="21"/>
                      <w:szCs w:val="21"/>
                      <w:lang w:val="en-US" w:eastAsia="zh-CN"/>
                    </w:rPr>
                    <w:fldChar w:fldCharType="separate"/>
                  </w:r>
                  <w:r>
                    <w:rPr>
                      <w:rFonts w:hint="eastAsia" w:ascii="宋体" w:hAnsi="宋体" w:eastAsia="宋体" w:cs="宋体"/>
                      <w:sz w:val="21"/>
                      <w:szCs w:val="21"/>
                      <w:lang w:val="en-US" w:eastAsia="zh-CN"/>
                    </w:rPr>
                    <w:t>（DB41/1951—2020）</w:t>
                  </w:r>
                  <w:r>
                    <w:rPr>
                      <w:rFonts w:hint="eastAsia" w:ascii="宋体" w:hAnsi="宋体" w:eastAsia="宋体" w:cs="宋体"/>
                      <w:sz w:val="21"/>
                      <w:szCs w:val="21"/>
                      <w:lang w:val="en-US" w:eastAsia="zh-CN"/>
                    </w:rPr>
                    <w:fldChar w:fldCharType="end"/>
                  </w:r>
                  <w:r>
                    <w:rPr>
                      <w:rFonts w:hint="eastAsia" w:ascii="宋体" w:hAnsi="宋体" w:eastAsia="宋体" w:cs="宋体"/>
                      <w:sz w:val="21"/>
                      <w:szCs w:val="21"/>
                      <w:lang w:val="en-US" w:eastAsia="zh-CN"/>
                    </w:rPr>
                    <w:t>和《挥发性有机物无组织排放控制标准》</w:t>
                  </w:r>
                  <w:r>
                    <w:rPr>
                      <w:rFonts w:hint="eastAsia" w:ascii="宋体" w:hAnsi="宋体" w:eastAsia="宋体" w:cs="宋体"/>
                      <w:sz w:val="21"/>
                      <w:szCs w:val="21"/>
                      <w:lang w:val="en-US" w:eastAsia="zh-CN"/>
                    </w:rPr>
                    <w:fldChar w:fldCharType="begin"/>
                  </w:r>
                  <w:r>
                    <w:rPr>
                      <w:rFonts w:hint="eastAsia" w:ascii="宋体" w:hAnsi="宋体" w:eastAsia="宋体" w:cs="宋体"/>
                      <w:sz w:val="21"/>
                      <w:szCs w:val="21"/>
                      <w:lang w:val="en-US" w:eastAsia="zh-CN"/>
                    </w:rPr>
                    <w:instrText xml:space="preserve"> HYPERLINK "http://kjs.mee.gov.cn/hjbhbz/bzwb/dqhjbh/dqgdwrywrwpfbz/201906/W020190606587693632696.pdf" </w:instrText>
                  </w:r>
                  <w:r>
                    <w:rPr>
                      <w:rFonts w:hint="eastAsia" w:ascii="宋体" w:hAnsi="宋体" w:eastAsia="宋体" w:cs="宋体"/>
                      <w:sz w:val="21"/>
                      <w:szCs w:val="21"/>
                      <w:lang w:val="en-US" w:eastAsia="zh-CN"/>
                    </w:rPr>
                    <w:fldChar w:fldCharType="separate"/>
                  </w:r>
                  <w:r>
                    <w:rPr>
                      <w:rFonts w:hint="eastAsia" w:ascii="宋体" w:hAnsi="宋体" w:eastAsia="宋体" w:cs="宋体"/>
                      <w:sz w:val="21"/>
                      <w:szCs w:val="21"/>
                      <w:lang w:val="en-US" w:eastAsia="zh-CN"/>
                    </w:rPr>
                    <w:t>（GB37822-2019）</w:t>
                  </w:r>
                  <w:r>
                    <w:rPr>
                      <w:rFonts w:hint="eastAsia" w:ascii="宋体" w:hAnsi="宋体" w:eastAsia="宋体" w:cs="宋体"/>
                      <w:sz w:val="21"/>
                      <w:szCs w:val="21"/>
                      <w:lang w:val="en-US" w:eastAsia="zh-CN"/>
                    </w:rPr>
                    <w:fldChar w:fldCharType="end"/>
                  </w:r>
                  <w:r>
                    <w:rPr>
                      <w:rFonts w:hint="eastAsia" w:ascii="宋体" w:hAnsi="宋体" w:eastAsia="宋体" w:cs="宋体"/>
                      <w:sz w:val="21"/>
                      <w:szCs w:val="21"/>
                      <w:lang w:val="en-US" w:eastAsia="zh-CN"/>
                    </w:rPr>
                    <w:t>的排放限值要求。</w:t>
                  </w:r>
                </w:p>
              </w:tc>
              <w:tc>
                <w:tcPr>
                  <w:tcW w:w="879" w:type="dxa"/>
                </w:tcPr>
                <w:p>
                  <w:pPr>
                    <w:widowControl w:val="0"/>
                    <w:spacing w:after="21" w:line="240" w:lineRule="auto"/>
                    <w:jc w:val="both"/>
                    <w:rPr>
                      <w:rFonts w:hint="eastAsia" w:ascii="宋体" w:hAnsi="宋体" w:eastAsia="宋体" w:cs="宋体"/>
                      <w:color w:val="000000"/>
                      <w:kern w:val="2"/>
                      <w:sz w:val="21"/>
                      <w:szCs w:val="21"/>
                      <w:vertAlign w:val="baseline"/>
                      <w:lang w:val="en-US" w:eastAsia="zh-CN" w:bidi="ar-SA"/>
                    </w:rPr>
                  </w:pPr>
                </w:p>
                <w:p>
                  <w:pPr>
                    <w:widowControl w:val="0"/>
                    <w:spacing w:after="21" w:line="240" w:lineRule="auto"/>
                    <w:jc w:val="both"/>
                    <w:rPr>
                      <w:rFonts w:hint="eastAsia" w:ascii="宋体" w:hAnsi="宋体" w:eastAsia="宋体" w:cs="宋体"/>
                      <w:color w:val="000000"/>
                      <w:kern w:val="2"/>
                      <w:sz w:val="21"/>
                      <w:szCs w:val="21"/>
                      <w:vertAlign w:val="baseline"/>
                      <w:lang w:val="en-US" w:eastAsia="zh-CN" w:bidi="ar-SA"/>
                    </w:rPr>
                  </w:pPr>
                </w:p>
                <w:p>
                  <w:pPr>
                    <w:widowControl w:val="0"/>
                    <w:spacing w:after="21" w:line="240" w:lineRule="auto"/>
                    <w:jc w:val="both"/>
                    <w:rPr>
                      <w:rFonts w:hint="eastAsia" w:ascii="宋体" w:hAnsi="宋体" w:eastAsia="宋体" w:cs="宋体"/>
                      <w:color w:val="000000"/>
                      <w:kern w:val="2"/>
                      <w:sz w:val="21"/>
                      <w:szCs w:val="21"/>
                      <w:vertAlign w:val="baseline"/>
                      <w:lang w:val="en-US" w:eastAsia="zh-CN" w:bidi="ar-SA"/>
                    </w:rPr>
                  </w:pPr>
                </w:p>
                <w:p>
                  <w:pPr>
                    <w:widowControl w:val="0"/>
                    <w:spacing w:after="21" w:line="240" w:lineRule="auto"/>
                    <w:jc w:val="both"/>
                    <w:rPr>
                      <w:rFonts w:hint="eastAsia" w:ascii="宋体" w:hAnsi="宋体" w:eastAsia="宋体" w:cs="宋体"/>
                      <w:color w:val="000000"/>
                      <w:kern w:val="2"/>
                      <w:sz w:val="21"/>
                      <w:szCs w:val="21"/>
                      <w:vertAlign w:val="baseline"/>
                      <w:lang w:val="en-US" w:eastAsia="zh-CN" w:bidi="ar-SA"/>
                    </w:rPr>
                  </w:pPr>
                  <w:r>
                    <w:rPr>
                      <w:rFonts w:hint="eastAsia" w:ascii="宋体" w:hAnsi="宋体" w:eastAsia="宋体" w:cs="宋体"/>
                      <w:color w:val="000000"/>
                      <w:kern w:val="2"/>
                      <w:sz w:val="21"/>
                      <w:szCs w:val="21"/>
                      <w:vertAlign w:val="baseline"/>
                      <w:lang w:val="en-US" w:eastAsia="zh-CN" w:bidi="ar-SA"/>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tcPr>
                <w:p>
                  <w:pPr>
                    <w:widowControl w:val="0"/>
                    <w:spacing w:after="21" w:line="240" w:lineRule="auto"/>
                    <w:jc w:val="both"/>
                    <w:rPr>
                      <w:rFonts w:hint="eastAsia" w:ascii="宋体" w:hAnsi="宋体" w:eastAsia="宋体" w:cs="宋体"/>
                      <w:color w:val="000000"/>
                      <w:kern w:val="2"/>
                      <w:sz w:val="21"/>
                      <w:szCs w:val="21"/>
                      <w:vertAlign w:val="baseline"/>
                      <w:lang w:val="en-US" w:eastAsia="zh-CN" w:bidi="ar-SA"/>
                    </w:rPr>
                  </w:pPr>
                </w:p>
                <w:p>
                  <w:pPr>
                    <w:widowControl w:val="0"/>
                    <w:spacing w:after="21" w:line="240" w:lineRule="auto"/>
                    <w:jc w:val="both"/>
                    <w:rPr>
                      <w:rFonts w:hint="eastAsia" w:ascii="宋体" w:hAnsi="宋体" w:eastAsia="宋体" w:cs="宋体"/>
                      <w:color w:val="000000"/>
                      <w:kern w:val="2"/>
                      <w:sz w:val="21"/>
                      <w:szCs w:val="21"/>
                      <w:vertAlign w:val="baseline"/>
                      <w:lang w:val="en-US" w:eastAsia="zh-CN" w:bidi="ar-SA"/>
                    </w:rPr>
                  </w:pPr>
                  <w:r>
                    <w:rPr>
                      <w:rFonts w:hint="eastAsia" w:ascii="宋体" w:hAnsi="宋体" w:eastAsia="宋体" w:cs="宋体"/>
                      <w:color w:val="000000"/>
                      <w:kern w:val="2"/>
                      <w:sz w:val="21"/>
                      <w:szCs w:val="21"/>
                      <w:vertAlign w:val="baseline"/>
                      <w:lang w:val="en-US" w:eastAsia="zh-CN" w:bidi="ar-SA"/>
                    </w:rPr>
                    <w:t>噪声</w:t>
                  </w:r>
                </w:p>
              </w:tc>
              <w:tc>
                <w:tcPr>
                  <w:tcW w:w="3525" w:type="dxa"/>
                </w:tcPr>
                <w:p>
                  <w:pPr>
                    <w:widowControl w:val="0"/>
                    <w:spacing w:after="21" w:line="240" w:lineRule="auto"/>
                    <w:ind w:firstLine="420" w:firstLineChars="200"/>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对高噪声设备采取减振、隔音等措施，确保厂界噪声满足《工业企业厂界环境噪声排放标准》(GB12348-2008)表1中2类标准要求。</w:t>
                  </w:r>
                </w:p>
              </w:tc>
              <w:tc>
                <w:tcPr>
                  <w:tcW w:w="3465" w:type="dxa"/>
                </w:tcPr>
                <w:p>
                  <w:pPr>
                    <w:widowControl w:val="0"/>
                    <w:spacing w:after="21" w:line="240" w:lineRule="auto"/>
                    <w:ind w:firstLine="420" w:firstLineChars="200"/>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项目设置了减振、隔声，经检测场界噪声满足《工业企业厂界环境噪声排放标准》（GB12348-2008）中2类标准。</w:t>
                  </w:r>
                </w:p>
              </w:tc>
              <w:tc>
                <w:tcPr>
                  <w:tcW w:w="879" w:type="dxa"/>
                </w:tcPr>
                <w:p>
                  <w:pPr>
                    <w:widowControl w:val="0"/>
                    <w:spacing w:after="21" w:line="240" w:lineRule="auto"/>
                    <w:jc w:val="both"/>
                    <w:rPr>
                      <w:rFonts w:hint="eastAsia" w:ascii="宋体" w:hAnsi="宋体" w:eastAsia="宋体" w:cs="宋体"/>
                      <w:color w:val="000000"/>
                      <w:kern w:val="2"/>
                      <w:sz w:val="21"/>
                      <w:szCs w:val="21"/>
                      <w:vertAlign w:val="baseline"/>
                      <w:lang w:val="en-US" w:eastAsia="zh-CN" w:bidi="ar-SA"/>
                    </w:rPr>
                  </w:pPr>
                </w:p>
                <w:p>
                  <w:pPr>
                    <w:widowControl w:val="0"/>
                    <w:spacing w:after="21" w:line="240" w:lineRule="auto"/>
                    <w:jc w:val="both"/>
                    <w:rPr>
                      <w:rFonts w:hint="eastAsia" w:ascii="宋体" w:hAnsi="宋体" w:eastAsia="宋体" w:cs="宋体"/>
                      <w:color w:val="000000"/>
                      <w:kern w:val="2"/>
                      <w:sz w:val="21"/>
                      <w:szCs w:val="21"/>
                      <w:vertAlign w:val="baseline"/>
                      <w:lang w:val="en-US" w:eastAsia="zh-CN" w:bidi="ar-SA"/>
                    </w:rPr>
                  </w:pPr>
                </w:p>
                <w:p>
                  <w:pPr>
                    <w:widowControl w:val="0"/>
                    <w:spacing w:after="21" w:line="240" w:lineRule="auto"/>
                    <w:jc w:val="both"/>
                    <w:rPr>
                      <w:rFonts w:hint="eastAsia" w:ascii="宋体" w:hAnsi="宋体" w:eastAsia="宋体" w:cs="宋体"/>
                      <w:color w:val="000000"/>
                      <w:kern w:val="2"/>
                      <w:sz w:val="21"/>
                      <w:szCs w:val="21"/>
                      <w:vertAlign w:val="baseline"/>
                      <w:lang w:val="en-US" w:eastAsia="zh-CN" w:bidi="ar-SA"/>
                    </w:rPr>
                  </w:pPr>
                  <w:r>
                    <w:rPr>
                      <w:rFonts w:hint="eastAsia" w:ascii="宋体" w:hAnsi="宋体" w:eastAsia="宋体" w:cs="宋体"/>
                      <w:color w:val="000000"/>
                      <w:kern w:val="2"/>
                      <w:sz w:val="21"/>
                      <w:szCs w:val="21"/>
                      <w:vertAlign w:val="baseline"/>
                      <w:lang w:val="en-US" w:eastAsia="zh-CN" w:bidi="ar-SA"/>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tcPr>
                <w:p>
                  <w:pPr>
                    <w:widowControl w:val="0"/>
                    <w:spacing w:after="21" w:line="240" w:lineRule="auto"/>
                    <w:jc w:val="both"/>
                    <w:rPr>
                      <w:rFonts w:hint="eastAsia" w:ascii="宋体" w:hAnsi="宋体" w:eastAsia="宋体" w:cs="宋体"/>
                      <w:color w:val="000000"/>
                      <w:kern w:val="2"/>
                      <w:sz w:val="21"/>
                      <w:szCs w:val="21"/>
                      <w:lang w:val="en-US" w:eastAsia="zh-CN" w:bidi="ar-SA"/>
                    </w:rPr>
                  </w:pPr>
                </w:p>
                <w:p>
                  <w:pPr>
                    <w:widowControl w:val="0"/>
                    <w:spacing w:after="21" w:line="240" w:lineRule="auto"/>
                    <w:jc w:val="both"/>
                    <w:rPr>
                      <w:rFonts w:hint="eastAsia" w:ascii="宋体" w:hAnsi="宋体" w:eastAsia="宋体" w:cs="宋体"/>
                      <w:color w:val="000000"/>
                      <w:kern w:val="2"/>
                      <w:sz w:val="21"/>
                      <w:szCs w:val="21"/>
                      <w:lang w:val="en-US" w:eastAsia="zh-CN" w:bidi="ar-SA"/>
                    </w:rPr>
                  </w:pPr>
                </w:p>
                <w:p>
                  <w:pPr>
                    <w:widowControl w:val="0"/>
                    <w:spacing w:after="21" w:line="24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固废</w:t>
                  </w:r>
                </w:p>
              </w:tc>
              <w:tc>
                <w:tcPr>
                  <w:tcW w:w="3525" w:type="dxa"/>
                </w:tcPr>
                <w:p>
                  <w:pPr>
                    <w:widowControl w:val="0"/>
                    <w:spacing w:after="21" w:line="240" w:lineRule="auto"/>
                    <w:ind w:firstLine="420" w:firstLineChars="200"/>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生产过程中产生的边角料、生活垃圾、焊烟净化器收集的烟尘、润滑油、切削液，要严格分类管理，按照《一般工业固体废物贮存、处置场污染控制标准》（GB18599-2001）和《危险废物贮存染控制标准》（GB18597-2001）相关规定执行。边角料和焊烟净化器收集的烟尘全部集中收集外售，生活垃圾收集后送至环卫部门指定场所处理，不得乱堆乱放。设置危废暂存间，润滑油及切削液定期交由有资质的单位妥善处置。</w:t>
                  </w:r>
                </w:p>
                <w:p>
                  <w:pPr>
                    <w:widowControl w:val="0"/>
                    <w:spacing w:after="21" w:line="240" w:lineRule="auto"/>
                    <w:ind w:firstLine="420" w:firstLineChars="200"/>
                    <w:jc w:val="both"/>
                    <w:rPr>
                      <w:rFonts w:hint="eastAsia" w:ascii="宋体" w:hAnsi="宋体" w:eastAsia="宋体" w:cs="宋体"/>
                      <w:color w:val="000000"/>
                      <w:kern w:val="2"/>
                      <w:sz w:val="21"/>
                      <w:szCs w:val="21"/>
                      <w:lang w:val="en-US" w:eastAsia="zh-CN" w:bidi="ar-SA"/>
                    </w:rPr>
                  </w:pPr>
                  <w:r>
                    <w:rPr>
                      <w:rFonts w:hint="eastAsia" w:ascii="宋体" w:hAnsi="宋体" w:eastAsia="宋体" w:cs="宋体"/>
                      <w:sz w:val="21"/>
                      <w:szCs w:val="21"/>
                      <w:lang w:val="en-US" w:eastAsia="zh-CN"/>
                    </w:rPr>
                    <w:t>设置危废暂存间，废油漆桶、漆渣、废活性炭、废UV灯管、水帘柜除漆雾循环水等暂存危废暂存间，并定期交由有资质的单位妥善处置。</w:t>
                  </w:r>
                </w:p>
                <w:p>
                  <w:pPr>
                    <w:widowControl w:val="0"/>
                    <w:spacing w:after="21" w:line="240" w:lineRule="auto"/>
                    <w:jc w:val="both"/>
                    <w:rPr>
                      <w:rFonts w:hint="eastAsia" w:ascii="宋体" w:hAnsi="宋体" w:eastAsia="宋体" w:cs="宋体"/>
                      <w:color w:val="000000"/>
                      <w:kern w:val="2"/>
                      <w:sz w:val="21"/>
                      <w:szCs w:val="21"/>
                      <w:lang w:val="en-US" w:eastAsia="zh-CN" w:bidi="ar-SA"/>
                    </w:rPr>
                  </w:pPr>
                </w:p>
              </w:tc>
              <w:tc>
                <w:tcPr>
                  <w:tcW w:w="3465" w:type="dxa"/>
                </w:tcPr>
                <w:p>
                  <w:pPr>
                    <w:widowControl w:val="0"/>
                    <w:spacing w:after="21" w:line="240" w:lineRule="auto"/>
                    <w:ind w:firstLine="420" w:firstLineChars="200"/>
                    <w:jc w:val="both"/>
                    <w:rPr>
                      <w:rFonts w:hint="eastAsia" w:ascii="宋体" w:hAnsi="宋体" w:eastAsia="宋体" w:cs="宋体"/>
                      <w:sz w:val="21"/>
                      <w:szCs w:val="21"/>
                      <w:lang w:val="en-US" w:eastAsia="zh-CN"/>
                    </w:rPr>
                  </w:pPr>
                  <w:r>
                    <w:rPr>
                      <w:rFonts w:hint="eastAsia" w:ascii="宋体" w:hAnsi="宋体" w:eastAsia="宋体" w:cs="宋体"/>
                      <w:bCs/>
                      <w:sz w:val="21"/>
                      <w:szCs w:val="21"/>
                      <w:lang w:val="en-US" w:eastAsia="zh-CN"/>
                    </w:rPr>
                    <w:t>边角料和焊烟净化器收集的粉尘外售给可以回收利用的单位，不外排；生活垃圾采用垃圾桶收集后交由环卫部门统一处理；</w:t>
                  </w:r>
                  <w:r>
                    <w:rPr>
                      <w:rFonts w:hint="eastAsia" w:ascii="宋体" w:hAnsi="宋体" w:eastAsia="宋体" w:cs="宋体"/>
                      <w:sz w:val="21"/>
                      <w:szCs w:val="21"/>
                      <w:lang w:val="en-US" w:eastAsia="zh-CN"/>
                    </w:rPr>
                    <w:t>润滑油</w:t>
                  </w:r>
                  <w:r>
                    <w:rPr>
                      <w:rFonts w:hint="eastAsia" w:ascii="宋体" w:hAnsi="宋体" w:eastAsia="宋体" w:cs="宋体"/>
                      <w:sz w:val="21"/>
                      <w:szCs w:val="21"/>
                      <w:lang w:val="en-GB"/>
                    </w:rPr>
                    <w:t>、</w:t>
                  </w:r>
                  <w:r>
                    <w:rPr>
                      <w:rFonts w:hint="eastAsia" w:ascii="宋体" w:hAnsi="宋体" w:eastAsia="宋体" w:cs="宋体"/>
                      <w:sz w:val="21"/>
                      <w:szCs w:val="21"/>
                      <w:lang w:val="en-US" w:eastAsia="zh-CN"/>
                    </w:rPr>
                    <w:t>切削液</w:t>
                  </w:r>
                  <w:r>
                    <w:rPr>
                      <w:rFonts w:hint="eastAsia" w:ascii="宋体" w:hAnsi="宋体" w:eastAsia="宋体" w:cs="宋体"/>
                      <w:sz w:val="21"/>
                      <w:szCs w:val="21"/>
                      <w:lang w:val="en-GB"/>
                    </w:rPr>
                    <w:t>、废油漆桶、漆渣、废UV灯管、</w:t>
                  </w:r>
                  <w:r>
                    <w:rPr>
                      <w:rFonts w:hint="eastAsia" w:ascii="宋体" w:hAnsi="宋体" w:eastAsia="宋体" w:cs="宋体"/>
                      <w:sz w:val="21"/>
                      <w:szCs w:val="21"/>
                    </w:rPr>
                    <w:t>除漆雾循环水</w:t>
                  </w:r>
                  <w:r>
                    <w:rPr>
                      <w:rFonts w:hint="eastAsia" w:ascii="宋体" w:hAnsi="宋体" w:eastAsia="宋体" w:cs="宋体"/>
                      <w:sz w:val="21"/>
                      <w:szCs w:val="21"/>
                      <w:lang w:val="en-GB"/>
                    </w:rPr>
                    <w:t>及废活性炭</w:t>
                  </w:r>
                  <w:r>
                    <w:rPr>
                      <w:rFonts w:hint="eastAsia" w:ascii="宋体" w:hAnsi="宋体" w:eastAsia="宋体" w:cs="宋体"/>
                      <w:sz w:val="21"/>
                      <w:szCs w:val="21"/>
                      <w:lang w:val="en-US" w:eastAsia="zh-CN"/>
                    </w:rPr>
                    <w:t>在</w:t>
                  </w:r>
                  <w:r>
                    <w:rPr>
                      <w:rFonts w:hint="eastAsia" w:ascii="宋体" w:hAnsi="宋体" w:eastAsia="宋体" w:cs="宋体"/>
                      <w:bCs/>
                      <w:sz w:val="21"/>
                      <w:szCs w:val="21"/>
                      <w:lang w:val="en-US" w:eastAsia="zh-CN"/>
                    </w:rPr>
                    <w:t>在危废暂存间暂存（</w:t>
                  </w:r>
                  <w:r>
                    <w:rPr>
                      <w:rFonts w:hint="eastAsia" w:ascii="宋体" w:hAnsi="宋体" w:eastAsia="宋体" w:cs="宋体"/>
                      <w:sz w:val="21"/>
                      <w:szCs w:val="21"/>
                    </w:rPr>
                    <w:t>20m</w:t>
                  </w:r>
                  <w:r>
                    <w:rPr>
                      <w:rFonts w:hint="eastAsia" w:ascii="宋体" w:hAnsi="宋体" w:eastAsia="宋体" w:cs="宋体"/>
                      <w:sz w:val="21"/>
                      <w:szCs w:val="21"/>
                      <w:vertAlign w:val="superscript"/>
                    </w:rPr>
                    <w:t>2</w:t>
                  </w:r>
                  <w:r>
                    <w:rPr>
                      <w:rFonts w:hint="eastAsia" w:ascii="宋体" w:hAnsi="宋体" w:eastAsia="宋体" w:cs="宋体"/>
                      <w:bCs/>
                      <w:sz w:val="21"/>
                      <w:szCs w:val="21"/>
                      <w:lang w:val="en-US" w:eastAsia="zh-CN"/>
                    </w:rPr>
                    <w:t>）</w:t>
                  </w:r>
                  <w:r>
                    <w:rPr>
                      <w:rFonts w:hint="eastAsia" w:ascii="宋体" w:hAnsi="宋体" w:eastAsia="宋体" w:cs="宋体"/>
                      <w:sz w:val="21"/>
                      <w:szCs w:val="21"/>
                      <w:lang w:val="en-US" w:eastAsia="zh-CN"/>
                    </w:rPr>
                    <w:t>，定期委托危险废物处置单位处置。</w:t>
                  </w:r>
                </w:p>
                <w:p>
                  <w:pPr>
                    <w:widowControl w:val="0"/>
                    <w:spacing w:after="21" w:line="240" w:lineRule="auto"/>
                    <w:ind w:firstLine="420" w:firstLineChars="200"/>
                    <w:jc w:val="both"/>
                    <w:rPr>
                      <w:rFonts w:hint="eastAsia" w:ascii="宋体" w:hAnsi="宋体" w:eastAsia="宋体" w:cs="宋体"/>
                      <w:color w:val="000000"/>
                      <w:kern w:val="2"/>
                      <w:sz w:val="21"/>
                      <w:szCs w:val="21"/>
                      <w:lang w:val="en-US" w:eastAsia="zh-CN" w:bidi="ar-SA"/>
                    </w:rPr>
                  </w:pPr>
                  <w:r>
                    <w:rPr>
                      <w:rFonts w:hint="eastAsia" w:ascii="宋体" w:hAnsi="宋体" w:eastAsia="宋体" w:cs="宋体"/>
                      <w:sz w:val="21"/>
                      <w:szCs w:val="21"/>
                      <w:lang w:val="en-US" w:eastAsia="zh-CN"/>
                    </w:rPr>
                    <w:t>满足《一般工业固体废物贮存和填埋污染控制标准》（GB18599-2020）和《危险废物贮存污染控制标准》(GB18597-2001)相关要求。</w:t>
                  </w:r>
                </w:p>
              </w:tc>
              <w:tc>
                <w:tcPr>
                  <w:tcW w:w="879" w:type="dxa"/>
                </w:tcPr>
                <w:p>
                  <w:pPr>
                    <w:widowControl w:val="0"/>
                    <w:spacing w:after="21" w:line="240" w:lineRule="auto"/>
                    <w:jc w:val="both"/>
                    <w:rPr>
                      <w:rFonts w:hint="eastAsia" w:ascii="宋体" w:hAnsi="宋体" w:eastAsia="宋体" w:cs="宋体"/>
                      <w:color w:val="000000"/>
                      <w:kern w:val="2"/>
                      <w:sz w:val="21"/>
                      <w:szCs w:val="21"/>
                      <w:vertAlign w:val="baseline"/>
                      <w:lang w:val="en-US" w:eastAsia="zh-CN" w:bidi="ar-SA"/>
                    </w:rPr>
                  </w:pPr>
                </w:p>
                <w:p>
                  <w:pPr>
                    <w:widowControl w:val="0"/>
                    <w:spacing w:after="21" w:line="240" w:lineRule="auto"/>
                    <w:jc w:val="both"/>
                    <w:rPr>
                      <w:rFonts w:hint="eastAsia" w:ascii="宋体" w:hAnsi="宋体" w:eastAsia="宋体" w:cs="宋体"/>
                      <w:color w:val="000000"/>
                      <w:kern w:val="2"/>
                      <w:sz w:val="21"/>
                      <w:szCs w:val="21"/>
                      <w:vertAlign w:val="baseline"/>
                      <w:lang w:val="en-US" w:eastAsia="zh-CN" w:bidi="ar-SA"/>
                    </w:rPr>
                  </w:pPr>
                </w:p>
                <w:p>
                  <w:pPr>
                    <w:widowControl w:val="0"/>
                    <w:spacing w:after="21" w:line="240" w:lineRule="auto"/>
                    <w:jc w:val="both"/>
                    <w:rPr>
                      <w:rFonts w:hint="eastAsia" w:ascii="宋体" w:hAnsi="宋体" w:eastAsia="宋体" w:cs="宋体"/>
                      <w:color w:val="000000"/>
                      <w:kern w:val="2"/>
                      <w:sz w:val="21"/>
                      <w:szCs w:val="21"/>
                      <w:vertAlign w:val="baseline"/>
                      <w:lang w:val="en-US" w:eastAsia="zh-CN" w:bidi="ar-SA"/>
                    </w:rPr>
                  </w:pPr>
                  <w:r>
                    <w:rPr>
                      <w:rFonts w:hint="eastAsia" w:ascii="宋体" w:hAnsi="宋体" w:eastAsia="宋体" w:cs="宋体"/>
                      <w:color w:val="000000"/>
                      <w:kern w:val="2"/>
                      <w:sz w:val="21"/>
                      <w:szCs w:val="21"/>
                      <w:vertAlign w:val="baseline"/>
                      <w:lang w:val="en-US" w:eastAsia="zh-CN" w:bidi="ar-SA"/>
                    </w:rPr>
                    <w:t>已落实</w:t>
                  </w:r>
                </w:p>
              </w:tc>
            </w:tr>
          </w:tbl>
          <w:p>
            <w:pPr>
              <w:widowControl w:val="0"/>
              <w:numPr>
                <w:ilvl w:val="0"/>
                <w:numId w:val="0"/>
              </w:numPr>
              <w:spacing w:after="144"/>
              <w:ind w:left="420" w:leftChars="0"/>
              <w:jc w:val="both"/>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环保管理制度</w:t>
            </w:r>
          </w:p>
          <w:p>
            <w:pPr>
              <w:widowControl w:val="0"/>
              <w:numPr>
                <w:ilvl w:val="0"/>
                <w:numId w:val="0"/>
              </w:numPr>
              <w:spacing w:after="151" w:line="360" w:lineRule="auto"/>
              <w:ind w:firstLine="480" w:firstLineChars="200"/>
              <w:jc w:val="both"/>
              <w:rPr>
                <w:rFonts w:hint="eastAsia" w:ascii="宋体" w:hAnsi="宋体" w:eastAsia="宋体" w:cs="宋体"/>
                <w:color w:val="000000"/>
                <w:kern w:val="2"/>
                <w:sz w:val="24"/>
                <w:szCs w:val="22"/>
                <w:lang w:val="en-US" w:eastAsia="zh-CN" w:bidi="ar-SA"/>
              </w:rPr>
            </w:pPr>
            <w:r>
              <w:rPr>
                <w:rFonts w:hint="eastAsia" w:ascii="宋体" w:hAnsi="宋体" w:eastAsia="宋体" w:cs="宋体"/>
                <w:color w:val="000000"/>
                <w:kern w:val="2"/>
                <w:sz w:val="24"/>
                <w:szCs w:val="22"/>
                <w:lang w:val="en-GB" w:eastAsia="zh-CN" w:bidi="ar-SA"/>
              </w:rPr>
              <w:t>鹤壁市广睿科技有限公司</w:t>
            </w:r>
            <w:r>
              <w:rPr>
                <w:rFonts w:hint="eastAsia" w:ascii="宋体" w:hAnsi="宋体" w:eastAsia="宋体" w:cs="宋体"/>
                <w:color w:val="000000"/>
                <w:kern w:val="2"/>
                <w:sz w:val="24"/>
                <w:szCs w:val="22"/>
                <w:lang w:val="en-US" w:eastAsia="zh-CN" w:bidi="ar-SA"/>
              </w:rPr>
              <w:t>建立了环境保护管理制度，对厂内环保工作进行有效管理。在环境保护管理制度中规定了废气、废水、噪声、固体废物相关的管理要求，提出要增强全体员工的环境保护意识，共同参与环境保护工作；提出污染物排放操作记录、运行台账等要求，以及厂区的环境保护相关要求。</w:t>
            </w:r>
          </w:p>
          <w:p>
            <w:pPr>
              <w:widowControl w:val="0"/>
              <w:spacing w:after="6" w:line="359"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监测手段及人员配置</w:t>
            </w:r>
          </w:p>
          <w:p>
            <w:pPr>
              <w:widowControl w:val="0"/>
              <w:spacing w:after="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企业每年委托有资质的环境监测单位定期监测。</w:t>
            </w:r>
          </w:p>
          <w:p>
            <w:pPr>
              <w:widowControl w:val="0"/>
              <w:spacing w:after="0" w:line="360" w:lineRule="auto"/>
              <w:ind w:firstLine="480" w:firstLineChars="20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表8-2 营运期环境监测内容及监测频率</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2524"/>
              <w:gridCol w:w="3165"/>
              <w:gridCol w:w="1432"/>
              <w:gridCol w:w="7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662" w:type="dxa"/>
                  <w:noWrap w:val="0"/>
                  <w:vAlign w:val="top"/>
                </w:tcPr>
                <w:p>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项目</w:t>
                  </w:r>
                </w:p>
              </w:tc>
              <w:tc>
                <w:tcPr>
                  <w:tcW w:w="2524" w:type="dxa"/>
                  <w:noWrap w:val="0"/>
                  <w:vAlign w:val="top"/>
                </w:tcPr>
                <w:p>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监测位置</w:t>
                  </w:r>
                </w:p>
              </w:tc>
              <w:tc>
                <w:tcPr>
                  <w:tcW w:w="3165" w:type="dxa"/>
                  <w:noWrap w:val="0"/>
                  <w:vAlign w:val="top"/>
                </w:tcPr>
                <w:p>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监测项目</w:t>
                  </w:r>
                </w:p>
              </w:tc>
              <w:tc>
                <w:tcPr>
                  <w:tcW w:w="1432" w:type="dxa"/>
                  <w:noWrap w:val="0"/>
                  <w:vAlign w:val="top"/>
                </w:tcPr>
                <w:p>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监测频率</w:t>
                  </w:r>
                </w:p>
              </w:tc>
              <w:tc>
                <w:tcPr>
                  <w:tcW w:w="795" w:type="dxa"/>
                  <w:noWrap w:val="0"/>
                  <w:vAlign w:val="top"/>
                </w:tcPr>
                <w:p>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662" w:type="dxa"/>
                  <w:vMerge w:val="restart"/>
                  <w:noWrap w:val="0"/>
                  <w:vAlign w:val="top"/>
                </w:tcPr>
                <w:p>
                  <w:pPr>
                    <w:rPr>
                      <w:rFonts w:hint="eastAsia" w:ascii="宋体" w:hAnsi="宋体" w:eastAsia="宋体" w:cs="宋体"/>
                      <w:b w:val="0"/>
                      <w:bCs w:val="0"/>
                      <w:sz w:val="21"/>
                      <w:szCs w:val="21"/>
                    </w:rPr>
                  </w:pPr>
                </w:p>
                <w:p>
                  <w:pPr>
                    <w:rPr>
                      <w:rFonts w:hint="eastAsia" w:ascii="宋体" w:hAnsi="宋体" w:eastAsia="宋体" w:cs="宋体"/>
                      <w:b w:val="0"/>
                      <w:bCs w:val="0"/>
                      <w:sz w:val="21"/>
                      <w:szCs w:val="21"/>
                    </w:rPr>
                  </w:pPr>
                </w:p>
                <w:p>
                  <w:pPr>
                    <w:rPr>
                      <w:rFonts w:hint="eastAsia" w:ascii="宋体" w:hAnsi="宋体" w:eastAsia="宋体" w:cs="宋体"/>
                      <w:b w:val="0"/>
                      <w:bCs w:val="0"/>
                      <w:sz w:val="21"/>
                      <w:szCs w:val="21"/>
                    </w:rPr>
                  </w:pPr>
                  <w:r>
                    <w:rPr>
                      <w:rFonts w:hint="eastAsia" w:ascii="宋体" w:hAnsi="宋体" w:eastAsia="宋体" w:cs="宋体"/>
                      <w:b w:val="0"/>
                      <w:bCs w:val="0"/>
                      <w:sz w:val="21"/>
                      <w:szCs w:val="21"/>
                    </w:rPr>
                    <w:t>废气</w:t>
                  </w:r>
                </w:p>
                <w:p>
                  <w:pPr>
                    <w:rPr>
                      <w:rFonts w:hint="eastAsia" w:ascii="宋体" w:hAnsi="宋体" w:eastAsia="宋体" w:cs="宋体"/>
                      <w:b w:val="0"/>
                      <w:bCs w:val="0"/>
                      <w:sz w:val="21"/>
                      <w:szCs w:val="21"/>
                    </w:rPr>
                  </w:pPr>
                </w:p>
              </w:tc>
              <w:tc>
                <w:tcPr>
                  <w:tcW w:w="2524" w:type="dxa"/>
                  <w:noWrap w:val="0"/>
                  <w:vAlign w:val="center"/>
                </w:tcPr>
                <w:p>
                  <w:pPr>
                    <w:spacing w:line="240" w:lineRule="auto"/>
                    <w:jc w:val="center"/>
                    <w:rPr>
                      <w:rFonts w:hint="default" w:ascii="宋体" w:hAnsi="宋体" w:eastAsia="宋体" w:cs="宋体"/>
                      <w:b w:val="0"/>
                      <w:bCs w:val="0"/>
                      <w:sz w:val="21"/>
                      <w:szCs w:val="21"/>
                      <w:lang w:val="en-US" w:eastAsia="zh-CN"/>
                    </w:rPr>
                  </w:pPr>
                  <w:r>
                    <w:rPr>
                      <w:rFonts w:hint="default" w:ascii="Times New Roman" w:hAnsi="Times New Roman" w:eastAsia="宋体" w:cs="Times New Roman"/>
                      <w:color w:val="auto"/>
                      <w:sz w:val="21"/>
                      <w:szCs w:val="21"/>
                    </w:rPr>
                    <w:t>喷塑+焊接袋式除尘器出口</w:t>
                  </w:r>
                </w:p>
              </w:tc>
              <w:tc>
                <w:tcPr>
                  <w:tcW w:w="3165" w:type="dxa"/>
                  <w:noWrap w:val="0"/>
                  <w:vAlign w:val="center"/>
                </w:tcPr>
                <w:p>
                  <w:pPr>
                    <w:spacing w:line="240" w:lineRule="auto"/>
                    <w:jc w:val="center"/>
                    <w:rPr>
                      <w:rFonts w:hint="eastAsia" w:ascii="宋体" w:hAnsi="宋体" w:eastAsia="宋体" w:cs="宋体"/>
                      <w:b w:val="0"/>
                      <w:bCs w:val="0"/>
                      <w:sz w:val="21"/>
                      <w:szCs w:val="21"/>
                      <w:lang w:eastAsia="zh-CN"/>
                    </w:rPr>
                  </w:pPr>
                  <w:r>
                    <w:rPr>
                      <w:rFonts w:hint="default" w:ascii="Times New Roman" w:hAnsi="Times New Roman" w:eastAsia="宋体" w:cs="Times New Roman"/>
                      <w:kern w:val="0"/>
                      <w:sz w:val="21"/>
                      <w:szCs w:val="21"/>
                      <w:lang w:val="en-US" w:eastAsia="zh-CN"/>
                    </w:rPr>
                    <w:t>废气量，颗粒物排放浓度及排放速率</w:t>
                  </w:r>
                </w:p>
              </w:tc>
              <w:tc>
                <w:tcPr>
                  <w:tcW w:w="1432" w:type="dxa"/>
                  <w:noWrap w:val="0"/>
                  <w:vAlign w:val="top"/>
                </w:tcPr>
                <w:p>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每半年1次</w:t>
                  </w:r>
                </w:p>
              </w:tc>
              <w:tc>
                <w:tcPr>
                  <w:tcW w:w="795" w:type="dxa"/>
                  <w:vMerge w:val="restart"/>
                  <w:noWrap w:val="0"/>
                  <w:vAlign w:val="top"/>
                </w:tcPr>
                <w:p>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委托有监测资质的单位实施监测</w:t>
                  </w:r>
                </w:p>
                <w:p>
                  <w:pPr>
                    <w:jc w:val="center"/>
                    <w:rPr>
                      <w:rFonts w:hint="eastAsia" w:ascii="宋体" w:hAnsi="宋体" w:eastAsia="宋体" w:cs="宋体"/>
                      <w:b w:val="0"/>
                      <w:bCs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9" w:hRule="atLeast"/>
              </w:trPr>
              <w:tc>
                <w:tcPr>
                  <w:tcW w:w="662" w:type="dxa"/>
                  <w:vMerge w:val="continue"/>
                  <w:noWrap w:val="0"/>
                  <w:vAlign w:val="top"/>
                </w:tcPr>
                <w:p>
                  <w:pPr>
                    <w:rPr>
                      <w:rFonts w:hint="eastAsia" w:ascii="宋体" w:hAnsi="宋体" w:eastAsia="宋体" w:cs="宋体"/>
                      <w:b w:val="0"/>
                      <w:bCs w:val="0"/>
                      <w:sz w:val="21"/>
                      <w:szCs w:val="21"/>
                    </w:rPr>
                  </w:pPr>
                </w:p>
              </w:tc>
              <w:tc>
                <w:tcPr>
                  <w:tcW w:w="2524" w:type="dxa"/>
                  <w:noWrap w:val="0"/>
                  <w:vAlign w:val="center"/>
                </w:tcPr>
                <w:p>
                  <w:pPr>
                    <w:spacing w:line="240" w:lineRule="auto"/>
                    <w:jc w:val="center"/>
                    <w:rPr>
                      <w:rFonts w:hint="default" w:ascii="宋体" w:hAnsi="宋体" w:eastAsia="宋体" w:cs="宋体"/>
                      <w:b w:val="0"/>
                      <w:bCs w:val="0"/>
                      <w:sz w:val="21"/>
                      <w:szCs w:val="21"/>
                      <w:lang w:val="en-US" w:eastAsia="zh-CN"/>
                    </w:rPr>
                  </w:pPr>
                  <w:r>
                    <w:rPr>
                      <w:rFonts w:hint="default" w:ascii="Times New Roman" w:hAnsi="Times New Roman" w:eastAsia="宋体" w:cs="Times New Roman"/>
                      <w:sz w:val="21"/>
                      <w:szCs w:val="21"/>
                    </w:rPr>
                    <w:t>喷漆工序</w:t>
                  </w:r>
                  <w:r>
                    <w:rPr>
                      <w:rFonts w:hint="eastAsia" w:ascii="Times New Roman" w:hAnsi="Times New Roman" w:eastAsia="宋体" w:cs="Times New Roman"/>
                      <w:sz w:val="21"/>
                      <w:szCs w:val="21"/>
                      <w:lang w:val="en-US" w:eastAsia="zh-CN"/>
                    </w:rPr>
                    <w:t>及喷塑固化</w:t>
                  </w:r>
                  <w:r>
                    <w:rPr>
                      <w:rFonts w:hint="default" w:ascii="Times New Roman" w:hAnsi="Times New Roman" w:eastAsia="宋体" w:cs="Times New Roman"/>
                      <w:sz w:val="21"/>
                      <w:szCs w:val="21"/>
                    </w:rPr>
                    <w:t>废气处理设施出口</w:t>
                  </w:r>
                </w:p>
              </w:tc>
              <w:tc>
                <w:tcPr>
                  <w:tcW w:w="3165" w:type="dxa"/>
                  <w:noWrap w:val="0"/>
                  <w:vAlign w:val="center"/>
                </w:tcPr>
                <w:p>
                  <w:pPr>
                    <w:spacing w:line="240" w:lineRule="auto"/>
                    <w:jc w:val="center"/>
                    <w:rPr>
                      <w:rFonts w:hint="eastAsia" w:ascii="宋体" w:hAnsi="宋体" w:eastAsia="宋体" w:cs="宋体"/>
                      <w:b w:val="0"/>
                      <w:bCs w:val="0"/>
                      <w:sz w:val="21"/>
                      <w:szCs w:val="21"/>
                      <w:lang w:eastAsia="zh-CN"/>
                    </w:rPr>
                  </w:pPr>
                  <w:r>
                    <w:rPr>
                      <w:rFonts w:hint="default" w:ascii="Times New Roman" w:hAnsi="Times New Roman" w:eastAsia="宋体" w:cs="Times New Roman"/>
                      <w:kern w:val="0"/>
                      <w:sz w:val="21"/>
                      <w:szCs w:val="21"/>
                      <w:lang w:val="en-US" w:eastAsia="zh-CN"/>
                    </w:rPr>
                    <w:t>废气量，颗粒物</w:t>
                  </w:r>
                  <w:r>
                    <w:rPr>
                      <w:rFonts w:hint="eastAsia" w:ascii="Times New Roman" w:hAnsi="Times New Roman" w:eastAsia="宋体" w:cs="Times New Roman"/>
                      <w:kern w:val="0"/>
                      <w:sz w:val="21"/>
                      <w:szCs w:val="21"/>
                      <w:lang w:val="en-US" w:eastAsia="zh-CN"/>
                    </w:rPr>
                    <w:t>、</w:t>
                  </w:r>
                  <w:r>
                    <w:rPr>
                      <w:rFonts w:hint="default" w:ascii="Times New Roman" w:hAnsi="Times New Roman" w:eastAsia="宋体" w:cs="Times New Roman"/>
                      <w:kern w:val="0"/>
                      <w:sz w:val="21"/>
                      <w:szCs w:val="21"/>
                      <w:lang w:val="en-US" w:eastAsia="zh-CN"/>
                    </w:rPr>
                    <w:t>非甲烷总烃、甲苯、二甲苯排放浓度及排放速率</w:t>
                  </w:r>
                </w:p>
              </w:tc>
              <w:tc>
                <w:tcPr>
                  <w:tcW w:w="1432" w:type="dxa"/>
                  <w:noWrap w:val="0"/>
                  <w:vAlign w:val="top"/>
                </w:tcPr>
                <w:p>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每半年1次</w:t>
                  </w:r>
                </w:p>
              </w:tc>
              <w:tc>
                <w:tcPr>
                  <w:tcW w:w="795" w:type="dxa"/>
                  <w:vMerge w:val="continue"/>
                  <w:noWrap w:val="0"/>
                  <w:vAlign w:val="top"/>
                </w:tcPr>
                <w:p>
                  <w:pPr>
                    <w:jc w:val="center"/>
                    <w:rPr>
                      <w:rFonts w:hint="eastAsia" w:ascii="宋体" w:hAnsi="宋体" w:eastAsia="宋体" w:cs="宋体"/>
                      <w:b w:val="0"/>
                      <w:bCs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662" w:type="dxa"/>
                  <w:vMerge w:val="continue"/>
                  <w:noWrap w:val="0"/>
                  <w:vAlign w:val="top"/>
                </w:tcPr>
                <w:p>
                  <w:pPr>
                    <w:rPr>
                      <w:rFonts w:hint="eastAsia" w:ascii="宋体" w:hAnsi="宋体" w:eastAsia="宋体" w:cs="宋体"/>
                      <w:b w:val="0"/>
                      <w:bCs w:val="0"/>
                      <w:sz w:val="21"/>
                      <w:szCs w:val="21"/>
                    </w:rPr>
                  </w:pPr>
                </w:p>
              </w:tc>
              <w:tc>
                <w:tcPr>
                  <w:tcW w:w="2524" w:type="dxa"/>
                  <w:noWrap w:val="0"/>
                  <w:vAlign w:val="center"/>
                </w:tcPr>
                <w:p>
                  <w:pPr>
                    <w:spacing w:line="240" w:lineRule="auto"/>
                    <w:jc w:val="center"/>
                    <w:rPr>
                      <w:rFonts w:hint="eastAsia" w:ascii="宋体" w:hAnsi="宋体" w:eastAsia="宋体" w:cs="宋体"/>
                      <w:b w:val="0"/>
                      <w:bCs w:val="0"/>
                      <w:sz w:val="21"/>
                      <w:szCs w:val="21"/>
                    </w:rPr>
                  </w:pPr>
                  <w:r>
                    <w:rPr>
                      <w:rFonts w:hint="eastAsia" w:ascii="Times New Roman" w:hAnsi="Times New Roman" w:eastAsia="宋体" w:cs="Times New Roman"/>
                      <w:sz w:val="21"/>
                      <w:szCs w:val="21"/>
                      <w:lang w:val="en-US" w:eastAsia="zh-CN"/>
                    </w:rPr>
                    <w:t>排气筒总排口</w:t>
                  </w:r>
                </w:p>
              </w:tc>
              <w:tc>
                <w:tcPr>
                  <w:tcW w:w="3165" w:type="dxa"/>
                  <w:noWrap w:val="0"/>
                  <w:vAlign w:val="center"/>
                </w:tcPr>
                <w:p>
                  <w:pPr>
                    <w:spacing w:line="240" w:lineRule="auto"/>
                    <w:jc w:val="center"/>
                    <w:rPr>
                      <w:rFonts w:hint="default" w:ascii="宋体" w:hAnsi="宋体" w:eastAsia="宋体" w:cs="宋体"/>
                      <w:b w:val="0"/>
                      <w:bCs w:val="0"/>
                      <w:sz w:val="21"/>
                      <w:szCs w:val="21"/>
                      <w:lang w:val="en-US" w:eastAsia="zh-CN"/>
                    </w:rPr>
                  </w:pPr>
                  <w:r>
                    <w:rPr>
                      <w:rFonts w:hint="default" w:ascii="Times New Roman" w:hAnsi="Times New Roman" w:eastAsia="宋体" w:cs="Times New Roman"/>
                      <w:kern w:val="0"/>
                      <w:sz w:val="21"/>
                      <w:szCs w:val="21"/>
                      <w:lang w:val="en-US" w:eastAsia="zh-CN"/>
                    </w:rPr>
                    <w:t>废气量，颗粒物、甲苯、二甲苯、非甲烷总烃排放浓度及排放速率</w:t>
                  </w:r>
                </w:p>
              </w:tc>
              <w:tc>
                <w:tcPr>
                  <w:tcW w:w="1432" w:type="dxa"/>
                  <w:noWrap w:val="0"/>
                  <w:vAlign w:val="top"/>
                </w:tcPr>
                <w:p>
                  <w:pPr>
                    <w:rPr>
                      <w:rFonts w:hint="eastAsia" w:ascii="宋体" w:hAnsi="宋体" w:eastAsia="宋体" w:cs="宋体"/>
                      <w:b w:val="0"/>
                      <w:bCs w:val="0"/>
                      <w:sz w:val="21"/>
                      <w:szCs w:val="21"/>
                    </w:rPr>
                  </w:pPr>
                  <w:r>
                    <w:rPr>
                      <w:rFonts w:hint="eastAsia" w:ascii="宋体" w:hAnsi="宋体" w:eastAsia="宋体" w:cs="宋体"/>
                      <w:b w:val="0"/>
                      <w:bCs w:val="0"/>
                      <w:sz w:val="21"/>
                      <w:szCs w:val="21"/>
                    </w:rPr>
                    <w:t>每</w:t>
                  </w:r>
                  <w:r>
                    <w:rPr>
                      <w:rFonts w:hint="eastAsia" w:ascii="宋体" w:hAnsi="宋体" w:eastAsia="宋体" w:cs="宋体"/>
                      <w:b w:val="0"/>
                      <w:bCs w:val="0"/>
                      <w:sz w:val="21"/>
                      <w:szCs w:val="21"/>
                      <w:lang w:val="en-US" w:eastAsia="zh-CN"/>
                    </w:rPr>
                    <w:t>半年</w:t>
                  </w:r>
                  <w:r>
                    <w:rPr>
                      <w:rFonts w:hint="eastAsia" w:ascii="宋体" w:hAnsi="宋体" w:eastAsia="宋体" w:cs="宋体"/>
                      <w:b w:val="0"/>
                      <w:bCs w:val="0"/>
                      <w:sz w:val="21"/>
                      <w:szCs w:val="21"/>
                    </w:rPr>
                    <w:t>1次</w:t>
                  </w:r>
                </w:p>
              </w:tc>
              <w:tc>
                <w:tcPr>
                  <w:tcW w:w="795" w:type="dxa"/>
                  <w:vMerge w:val="continue"/>
                  <w:noWrap w:val="0"/>
                  <w:vAlign w:val="top"/>
                </w:tcPr>
                <w:p>
                  <w:pPr>
                    <w:jc w:val="center"/>
                    <w:rPr>
                      <w:rFonts w:hint="eastAsia" w:ascii="宋体" w:hAnsi="宋体" w:eastAsia="宋体" w:cs="宋体"/>
                      <w:b w:val="0"/>
                      <w:bCs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1" w:hRule="atLeast"/>
              </w:trPr>
              <w:tc>
                <w:tcPr>
                  <w:tcW w:w="662" w:type="dxa"/>
                  <w:vMerge w:val="continue"/>
                  <w:noWrap w:val="0"/>
                  <w:vAlign w:val="top"/>
                </w:tcPr>
                <w:p>
                  <w:pPr>
                    <w:jc w:val="center"/>
                    <w:rPr>
                      <w:rFonts w:hint="eastAsia" w:ascii="宋体" w:hAnsi="宋体" w:eastAsia="宋体" w:cs="宋体"/>
                      <w:b w:val="0"/>
                      <w:bCs w:val="0"/>
                      <w:sz w:val="21"/>
                      <w:szCs w:val="21"/>
                    </w:rPr>
                  </w:pPr>
                </w:p>
              </w:tc>
              <w:tc>
                <w:tcPr>
                  <w:tcW w:w="2524" w:type="dxa"/>
                  <w:noWrap w:val="0"/>
                  <w:vAlign w:val="top"/>
                </w:tcPr>
                <w:p>
                  <w:pPr>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厂界外10m范围内上风向设1个参照点，下风向3个监测点</w:t>
                  </w:r>
                </w:p>
              </w:tc>
              <w:tc>
                <w:tcPr>
                  <w:tcW w:w="3165" w:type="dxa"/>
                  <w:noWrap w:val="0"/>
                  <w:vAlign w:val="top"/>
                </w:tcPr>
                <w:p>
                  <w:pPr>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无组织排放：非甲烷总烃、甲苯、二甲苯、颗粒物</w:t>
                  </w:r>
                </w:p>
              </w:tc>
              <w:tc>
                <w:tcPr>
                  <w:tcW w:w="1432" w:type="dxa"/>
                  <w:noWrap w:val="0"/>
                  <w:vAlign w:val="top"/>
                </w:tcPr>
                <w:p>
                  <w:pPr>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每半年1次</w:t>
                  </w:r>
                </w:p>
                <w:p>
                  <w:pPr>
                    <w:jc w:val="center"/>
                    <w:rPr>
                      <w:rFonts w:hint="eastAsia" w:ascii="宋体" w:hAnsi="宋体" w:eastAsia="宋体" w:cs="宋体"/>
                      <w:b w:val="0"/>
                      <w:bCs w:val="0"/>
                      <w:sz w:val="21"/>
                      <w:szCs w:val="21"/>
                      <w:lang w:val="en-US" w:eastAsia="zh-CN"/>
                    </w:rPr>
                  </w:pPr>
                </w:p>
              </w:tc>
              <w:tc>
                <w:tcPr>
                  <w:tcW w:w="795" w:type="dxa"/>
                  <w:vMerge w:val="continue"/>
                  <w:noWrap w:val="0"/>
                  <w:vAlign w:val="top"/>
                </w:tcPr>
                <w:p>
                  <w:pPr>
                    <w:jc w:val="center"/>
                    <w:rPr>
                      <w:rFonts w:hint="eastAsia" w:ascii="宋体" w:hAnsi="宋体" w:eastAsia="宋体" w:cs="宋体"/>
                      <w:b w:val="0"/>
                      <w:bCs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662" w:type="dxa"/>
                  <w:noWrap w:val="0"/>
                  <w:vAlign w:val="top"/>
                </w:tcPr>
                <w:p>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噪声</w:t>
                  </w:r>
                </w:p>
                <w:p>
                  <w:pPr>
                    <w:jc w:val="center"/>
                    <w:rPr>
                      <w:rFonts w:hint="eastAsia" w:ascii="宋体" w:hAnsi="宋体" w:eastAsia="宋体" w:cs="宋体"/>
                      <w:b w:val="0"/>
                      <w:bCs w:val="0"/>
                      <w:sz w:val="21"/>
                      <w:szCs w:val="21"/>
                    </w:rPr>
                  </w:pPr>
                </w:p>
              </w:tc>
              <w:tc>
                <w:tcPr>
                  <w:tcW w:w="2524" w:type="dxa"/>
                  <w:noWrap w:val="0"/>
                  <w:vAlign w:val="top"/>
                </w:tcPr>
                <w:p>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厂界外1m</w:t>
                  </w:r>
                </w:p>
              </w:tc>
              <w:tc>
                <w:tcPr>
                  <w:tcW w:w="3165" w:type="dxa"/>
                  <w:noWrap w:val="0"/>
                  <w:vAlign w:val="top"/>
                </w:tcPr>
                <w:p>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昼间、夜间Leq（A）</w:t>
                  </w:r>
                </w:p>
              </w:tc>
              <w:tc>
                <w:tcPr>
                  <w:tcW w:w="1432" w:type="dxa"/>
                  <w:noWrap w:val="0"/>
                  <w:vAlign w:val="top"/>
                </w:tcPr>
                <w:p>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每</w:t>
                  </w:r>
                  <w:r>
                    <w:rPr>
                      <w:rFonts w:hint="eastAsia" w:ascii="宋体" w:hAnsi="宋体" w:eastAsia="宋体" w:cs="宋体"/>
                      <w:b w:val="0"/>
                      <w:bCs w:val="0"/>
                      <w:sz w:val="21"/>
                      <w:szCs w:val="21"/>
                      <w:lang w:val="en-US" w:eastAsia="zh-CN"/>
                    </w:rPr>
                    <w:t>半年</w:t>
                  </w:r>
                  <w:r>
                    <w:rPr>
                      <w:rFonts w:hint="eastAsia" w:ascii="宋体" w:hAnsi="宋体" w:eastAsia="宋体" w:cs="宋体"/>
                      <w:b w:val="0"/>
                      <w:bCs w:val="0"/>
                      <w:sz w:val="21"/>
                      <w:szCs w:val="21"/>
                    </w:rPr>
                    <w:t>1次，昼夜各1次</w:t>
                  </w:r>
                </w:p>
              </w:tc>
              <w:tc>
                <w:tcPr>
                  <w:tcW w:w="795" w:type="dxa"/>
                  <w:vMerge w:val="continue"/>
                  <w:noWrap w:val="0"/>
                  <w:vAlign w:val="top"/>
                </w:tcPr>
                <w:p>
                  <w:pPr>
                    <w:jc w:val="center"/>
                    <w:rPr>
                      <w:rFonts w:hint="eastAsia" w:ascii="宋体" w:hAnsi="宋体" w:eastAsia="宋体" w:cs="宋体"/>
                      <w:b w:val="0"/>
                      <w:bCs w:val="0"/>
                      <w:sz w:val="21"/>
                      <w:szCs w:val="21"/>
                    </w:rPr>
                  </w:pPr>
                </w:p>
              </w:tc>
            </w:tr>
          </w:tbl>
          <w:p>
            <w:pPr>
              <w:pStyle w:val="5"/>
              <w:widowControl w:val="0"/>
              <w:ind w:left="0" w:leftChars="0" w:firstLine="0" w:firstLineChars="0"/>
              <w:jc w:val="both"/>
            </w:pPr>
          </w:p>
          <w:p>
            <w:pPr>
              <w:pStyle w:val="5"/>
              <w:widowControl w:val="0"/>
              <w:jc w:val="both"/>
            </w:pPr>
          </w:p>
          <w:p>
            <w:pPr>
              <w:pStyle w:val="5"/>
              <w:widowControl w:val="0"/>
              <w:jc w:val="both"/>
            </w:pPr>
          </w:p>
          <w:p>
            <w:pPr>
              <w:pStyle w:val="5"/>
              <w:widowControl w:val="0"/>
              <w:jc w:val="both"/>
            </w:pPr>
          </w:p>
          <w:p>
            <w:pPr>
              <w:pStyle w:val="5"/>
              <w:widowControl w:val="0"/>
              <w:jc w:val="both"/>
            </w:pPr>
          </w:p>
        </w:tc>
      </w:tr>
    </w:tbl>
    <w:p>
      <w:pPr>
        <w:spacing w:after="0"/>
        <w:ind w:left="10" w:hanging="10"/>
        <w:rPr>
          <w:rFonts w:ascii="仿宋" w:hAnsi="仿宋" w:eastAsia="仿宋" w:cs="仿宋"/>
          <w:sz w:val="21"/>
        </w:rPr>
      </w:pPr>
    </w:p>
    <w:p>
      <w:pPr>
        <w:adjustRightInd w:val="0"/>
        <w:snapToGrid w:val="0"/>
        <w:spacing w:after="0" w:afterLines="0" w:line="360" w:lineRule="auto"/>
        <w:rPr>
          <w:rFonts w:hint="eastAsia" w:ascii="Tahoma" w:hAnsi="Tahoma" w:eastAsia="仿宋_GB2312" w:cs="Times New Roman"/>
          <w:b/>
          <w:color w:val="000000"/>
          <w:kern w:val="0"/>
          <w:sz w:val="21"/>
          <w:szCs w:val="21"/>
          <w:lang w:eastAsia="zh-CN"/>
        </w:rPr>
      </w:pPr>
      <w:r>
        <w:rPr>
          <w:rFonts w:ascii="Tahoma" w:hAnsi="Tahoma" w:eastAsia="仿宋_GB2312" w:cs="Times New Roman"/>
          <w:b/>
          <w:color w:val="000000"/>
          <w:kern w:val="0"/>
          <w:sz w:val="21"/>
          <w:szCs w:val="21"/>
        </w:rPr>
        <w:t>表</w:t>
      </w:r>
      <w:r>
        <w:rPr>
          <w:rFonts w:hint="eastAsia" w:ascii="Tahoma" w:hAnsi="Tahoma" w:eastAsia="仿宋_GB2312" w:cs="Times New Roman"/>
          <w:b/>
          <w:color w:val="000000"/>
          <w:kern w:val="0"/>
          <w:sz w:val="21"/>
          <w:szCs w:val="21"/>
          <w:lang w:eastAsia="zh-CN"/>
        </w:rPr>
        <w:t>九</w:t>
      </w:r>
    </w:p>
    <w:tbl>
      <w:tblPr>
        <w:tblStyle w:val="13"/>
        <w:tblW w:w="88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jc w:val="center"/>
        </w:trPr>
        <w:tc>
          <w:tcPr>
            <w:tcW w:w="8800" w:type="dxa"/>
          </w:tcPr>
          <w:p>
            <w:pPr>
              <w:widowControl w:val="0"/>
              <w:spacing w:after="335"/>
              <w:jc w:val="both"/>
              <w:rPr>
                <w:rFonts w:hint="eastAsia" w:eastAsia="宋体"/>
                <w:b/>
                <w:bCs/>
                <w:sz w:val="24"/>
                <w:szCs w:val="24"/>
                <w:lang w:eastAsia="zh-CN"/>
              </w:rPr>
            </w:pPr>
            <w:r>
              <w:rPr>
                <w:rFonts w:ascii="宋体" w:hAnsi="宋体" w:eastAsia="宋体" w:cs="宋体"/>
                <w:b/>
                <w:bCs/>
                <w:sz w:val="24"/>
                <w:szCs w:val="24"/>
              </w:rPr>
              <w:t>验收监测结论</w:t>
            </w:r>
            <w:r>
              <w:rPr>
                <w:rFonts w:hint="eastAsia" w:ascii="宋体" w:hAnsi="宋体" w:eastAsia="宋体" w:cs="宋体"/>
                <w:b/>
                <w:bCs/>
                <w:sz w:val="24"/>
                <w:szCs w:val="24"/>
                <w:lang w:eastAsia="zh-CN"/>
              </w:rPr>
              <w:t>：</w:t>
            </w:r>
          </w:p>
          <w:p>
            <w:pPr>
              <w:widowControl w:val="0"/>
              <w:numPr>
                <w:ilvl w:val="0"/>
                <w:numId w:val="0"/>
              </w:numPr>
              <w:spacing w:after="148"/>
              <w:ind w:left="420" w:leftChars="0"/>
              <w:jc w:val="both"/>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项目基本情况</w:t>
            </w:r>
          </w:p>
          <w:p>
            <w:pPr>
              <w:widowControl w:val="0"/>
              <w:spacing w:after="21" w:line="360" w:lineRule="auto"/>
              <w:ind w:firstLine="480" w:firstLineChars="200"/>
              <w:jc w:val="both"/>
              <w:rPr>
                <w:rFonts w:hint="default" w:ascii="宋体" w:hAnsi="宋体" w:eastAsia="宋体" w:cs="宋体"/>
                <w:sz w:val="24"/>
                <w:szCs w:val="22"/>
                <w:lang w:val="en-US" w:eastAsia="zh-CN"/>
              </w:rPr>
            </w:pPr>
            <w:r>
              <w:rPr>
                <w:rFonts w:hint="eastAsia" w:ascii="宋体" w:hAnsi="宋体" w:eastAsia="宋体" w:cs="宋体"/>
                <w:bCs/>
                <w:sz w:val="24"/>
                <w:szCs w:val="24"/>
                <w:lang w:val="en-GB" w:eastAsia="zh-CN"/>
              </w:rPr>
              <w:t>鹤壁市广睿科技有限公司</w:t>
            </w:r>
            <w:r>
              <w:rPr>
                <w:rFonts w:hint="eastAsia" w:ascii="宋体" w:hAnsi="宋体" w:eastAsia="宋体" w:cs="宋体"/>
                <w:bCs/>
                <w:sz w:val="24"/>
                <w:szCs w:val="24"/>
                <w:lang w:val="en-US" w:eastAsia="zh-CN"/>
              </w:rPr>
              <w:t>位于</w:t>
            </w:r>
            <w:r>
              <w:rPr>
                <w:rFonts w:hint="eastAsia" w:ascii="宋体" w:hAnsi="宋体" w:eastAsia="宋体" w:cs="宋体"/>
                <w:bCs/>
                <w:sz w:val="24"/>
                <w:szCs w:val="24"/>
                <w:lang w:val="en-GB" w:eastAsia="zh-CN"/>
              </w:rPr>
              <w:t>鹤壁市淇滨区锯桥镇冢儿章村原宏光节能建材厂内</w:t>
            </w:r>
            <w:r>
              <w:rPr>
                <w:rFonts w:hint="eastAsia" w:ascii="宋体" w:hAnsi="宋体" w:eastAsia="宋体" w:cs="宋体"/>
                <w:color w:val="000000"/>
                <w:kern w:val="2"/>
                <w:sz w:val="24"/>
                <w:szCs w:val="24"/>
                <w:lang w:val="en-US" w:eastAsia="zh-CN" w:bidi="ar-SA"/>
              </w:rPr>
              <w:t>，</w:t>
            </w:r>
            <w:r>
              <w:rPr>
                <w:rFonts w:hint="eastAsia" w:ascii="宋体" w:hAnsi="宋体" w:eastAsia="宋体" w:cs="宋体"/>
                <w:sz w:val="24"/>
                <w:szCs w:val="24"/>
              </w:rPr>
              <w:t>占</w:t>
            </w:r>
            <w:r>
              <w:rPr>
                <w:rFonts w:hint="eastAsia" w:ascii="宋体" w:hAnsi="宋体" w:eastAsia="宋体" w:cs="宋体"/>
                <w:color w:val="auto"/>
                <w:sz w:val="24"/>
                <w:szCs w:val="24"/>
                <w:lang w:val="en-US" w:eastAsia="zh-CN"/>
              </w:rPr>
              <w:t>地面积3800</w:t>
            </w:r>
            <w:r>
              <w:rPr>
                <w:rFonts w:hint="eastAsia" w:ascii="宋体" w:hAnsi="宋体" w:eastAsia="宋体" w:cs="宋体"/>
                <w:color w:val="auto"/>
                <w:sz w:val="24"/>
                <w:szCs w:val="24"/>
              </w:rPr>
              <w:t>m</w:t>
            </w:r>
            <w:r>
              <w:rPr>
                <w:rFonts w:hint="eastAsia" w:ascii="宋体" w:hAnsi="宋体" w:eastAsia="宋体" w:cs="宋体"/>
                <w:color w:val="auto"/>
                <w:sz w:val="24"/>
                <w:szCs w:val="24"/>
                <w:vertAlign w:val="superscript"/>
              </w:rPr>
              <w:t>2</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用地性质为</w:t>
            </w:r>
            <w:r>
              <w:rPr>
                <w:rFonts w:hint="eastAsia" w:ascii="宋体" w:hAnsi="宋体" w:eastAsia="宋体" w:cs="宋体"/>
                <w:b w:val="0"/>
                <w:bCs w:val="0"/>
                <w:color w:val="auto"/>
                <w:sz w:val="24"/>
                <w:szCs w:val="24"/>
                <w:lang w:val="en-US" w:eastAsia="zh-CN"/>
              </w:rPr>
              <w:t>工业用地</w:t>
            </w:r>
            <w:r>
              <w:rPr>
                <w:rFonts w:hint="eastAsia" w:ascii="宋体" w:hAnsi="宋体" w:eastAsia="宋体" w:cs="宋体"/>
                <w:bCs/>
                <w:sz w:val="24"/>
                <w:szCs w:val="24"/>
              </w:rPr>
              <w:t>。</w:t>
            </w:r>
            <w:r>
              <w:rPr>
                <w:rFonts w:hint="eastAsia" w:ascii="宋体" w:hAnsi="宋体" w:eastAsia="宋体" w:cs="宋体"/>
                <w:sz w:val="24"/>
                <w:szCs w:val="24"/>
              </w:rPr>
              <w:t>项目总投资</w:t>
            </w:r>
            <w:r>
              <w:rPr>
                <w:rFonts w:hint="eastAsia" w:ascii="宋体" w:hAnsi="宋体" w:eastAsia="宋体" w:cs="宋体"/>
                <w:sz w:val="24"/>
                <w:szCs w:val="24"/>
                <w:lang w:val="en-US" w:eastAsia="zh-CN"/>
              </w:rPr>
              <w:t>224</w:t>
            </w:r>
            <w:r>
              <w:rPr>
                <w:rFonts w:hint="eastAsia" w:ascii="宋体" w:hAnsi="宋体" w:eastAsia="宋体" w:cs="宋体"/>
                <w:sz w:val="24"/>
                <w:szCs w:val="24"/>
              </w:rPr>
              <w:t>万元，环保投资</w:t>
            </w:r>
            <w:r>
              <w:rPr>
                <w:rFonts w:hint="eastAsia" w:ascii="宋体" w:hAnsi="宋体" w:eastAsia="宋体" w:cs="宋体"/>
                <w:sz w:val="24"/>
                <w:szCs w:val="24"/>
                <w:lang w:val="en-US" w:eastAsia="zh-CN"/>
              </w:rPr>
              <w:t>76</w:t>
            </w:r>
            <w:r>
              <w:rPr>
                <w:rFonts w:hint="eastAsia" w:ascii="宋体" w:hAnsi="宋体" w:eastAsia="宋体" w:cs="宋体"/>
                <w:sz w:val="24"/>
                <w:szCs w:val="24"/>
              </w:rPr>
              <w:t>万元。</w:t>
            </w:r>
            <w:r>
              <w:rPr>
                <w:rFonts w:hint="eastAsia" w:ascii="宋体" w:hAnsi="宋体" w:eastAsia="宋体" w:cs="宋体"/>
                <w:bCs/>
                <w:sz w:val="24"/>
                <w:szCs w:val="24"/>
                <w:lang w:val="en-GB" w:eastAsia="zh-CN"/>
              </w:rPr>
              <w:t>鹤壁市广睿科技有限公司</w:t>
            </w:r>
            <w:r>
              <w:rPr>
                <w:rFonts w:hint="eastAsia" w:ascii="宋体" w:hAnsi="宋体" w:eastAsia="宋体" w:cs="宋体"/>
                <w:sz w:val="24"/>
                <w:szCs w:val="22"/>
                <w:lang w:val="en-US" w:eastAsia="zh-CN"/>
              </w:rPr>
              <w:t>建设了</w:t>
            </w:r>
            <w:r>
              <w:rPr>
                <w:rFonts w:hint="eastAsia" w:ascii="Times New Roman" w:hAnsi="Times New Roman" w:eastAsia="宋体" w:cs="Times New Roman"/>
                <w:sz w:val="24"/>
                <w:szCs w:val="24"/>
                <w:lang w:val="en-US" w:eastAsia="zh-CN"/>
              </w:rPr>
              <w:t>年产</w:t>
            </w:r>
            <w:r>
              <w:rPr>
                <w:rFonts w:hint="eastAsia" w:ascii="Times New Roman" w:hAnsi="Times New Roman" w:eastAsia="宋体" w:cs="Times New Roman"/>
                <w:sz w:val="24"/>
                <w:szCs w:val="24"/>
                <w:lang w:val="en-GB" w:eastAsia="zh-CN"/>
              </w:rPr>
              <w:t>2000套灯光雕刻、标示标牌，</w:t>
            </w:r>
            <w:r>
              <w:rPr>
                <w:rFonts w:hint="eastAsia" w:ascii="Times New Roman" w:hAnsi="Times New Roman" w:eastAsia="宋体" w:cs="Times New Roman"/>
                <w:sz w:val="24"/>
                <w:szCs w:val="24"/>
                <w:lang w:val="en-US" w:eastAsia="zh-CN"/>
              </w:rPr>
              <w:t>并对</w:t>
            </w:r>
            <w:r>
              <w:rPr>
                <w:rFonts w:hint="eastAsia" w:ascii="Times New Roman" w:hAnsi="Times New Roman" w:eastAsia="宋体" w:cs="Times New Roman"/>
                <w:sz w:val="24"/>
                <w:szCs w:val="24"/>
                <w:lang w:val="en-GB" w:eastAsia="zh-CN"/>
              </w:rPr>
              <w:t>2000套</w:t>
            </w:r>
            <w:r>
              <w:rPr>
                <w:rFonts w:hint="eastAsia" w:ascii="Times New Roman" w:hAnsi="Times New Roman" w:eastAsia="宋体" w:cs="Times New Roman"/>
                <w:sz w:val="24"/>
                <w:szCs w:val="24"/>
                <w:lang w:val="en-US" w:eastAsia="zh-CN"/>
              </w:rPr>
              <w:t>产品</w:t>
            </w:r>
            <w:r>
              <w:rPr>
                <w:rFonts w:hint="eastAsia" w:ascii="Times New Roman" w:hAnsi="Times New Roman" w:eastAsia="宋体" w:cs="Times New Roman"/>
                <w:sz w:val="24"/>
                <w:szCs w:val="24"/>
                <w:lang w:val="en-GB" w:eastAsia="zh-CN"/>
              </w:rPr>
              <w:t>喷漆</w:t>
            </w:r>
            <w:r>
              <w:rPr>
                <w:rFonts w:hint="eastAsia" w:ascii="Times New Roman" w:hAnsi="Times New Roman" w:eastAsia="宋体" w:cs="Times New Roman"/>
                <w:sz w:val="24"/>
                <w:szCs w:val="24"/>
                <w:lang w:val="en-US" w:eastAsia="zh-CN"/>
              </w:rPr>
              <w:t>或</w:t>
            </w:r>
            <w:r>
              <w:rPr>
                <w:rFonts w:hint="eastAsia" w:ascii="Times New Roman" w:hAnsi="Times New Roman" w:eastAsia="宋体" w:cs="Times New Roman"/>
                <w:sz w:val="24"/>
                <w:szCs w:val="24"/>
                <w:lang w:val="en-GB" w:eastAsia="zh-CN"/>
              </w:rPr>
              <w:t>喷塑</w:t>
            </w:r>
            <w:r>
              <w:rPr>
                <w:rFonts w:hint="eastAsia" w:ascii="宋体" w:hAnsi="宋体" w:eastAsia="宋体" w:cs="宋体"/>
                <w:sz w:val="24"/>
                <w:szCs w:val="22"/>
                <w:lang w:val="en-US" w:eastAsia="zh-CN"/>
              </w:rPr>
              <w:t>。</w:t>
            </w:r>
          </w:p>
          <w:p>
            <w:pPr>
              <w:widowControl w:val="0"/>
              <w:numPr>
                <w:ilvl w:val="0"/>
                <w:numId w:val="0"/>
              </w:numPr>
              <w:spacing w:after="144"/>
              <w:ind w:left="420" w:leftChars="0"/>
              <w:jc w:val="both"/>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环保措施落实情况</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项目焊接烟尘采用集气罩+1台袋式除尘器+1根15m排气筒；喷塑粉尘采用</w:t>
            </w:r>
            <w:r>
              <w:rPr>
                <w:rFonts w:hint="eastAsia" w:ascii="宋体" w:hAnsi="宋体" w:eastAsia="宋体" w:cs="宋体"/>
                <w:sz w:val="24"/>
                <w:szCs w:val="24"/>
                <w:lang w:val="en-GB" w:eastAsia="zh-CN"/>
              </w:rPr>
              <w:t>自带有粉末吸入回收系统（呈负压，该回收系统是一套圆筒形的过滤除尘装置）</w:t>
            </w:r>
            <w:r>
              <w:rPr>
                <w:rFonts w:hint="eastAsia" w:ascii="宋体" w:hAnsi="宋体" w:eastAsia="宋体" w:cs="宋体"/>
                <w:sz w:val="24"/>
                <w:szCs w:val="24"/>
                <w:lang w:val="en-US" w:eastAsia="zh-CN"/>
              </w:rPr>
              <w:t>+1台袋式除尘器+1根15m排气筒；</w:t>
            </w:r>
            <w:r>
              <w:rPr>
                <w:rFonts w:hint="eastAsia" w:ascii="宋体" w:hAnsi="宋体" w:eastAsia="宋体" w:cs="宋体"/>
                <w:sz w:val="24"/>
                <w:szCs w:val="24"/>
                <w:lang w:val="en-GB" w:eastAsia="zh-CN"/>
              </w:rPr>
              <w:t>喷漆废气</w:t>
            </w:r>
            <w:r>
              <w:rPr>
                <w:rFonts w:hint="eastAsia" w:ascii="宋体" w:hAnsi="宋体" w:eastAsia="宋体" w:cs="宋体"/>
                <w:sz w:val="24"/>
                <w:szCs w:val="24"/>
                <w:lang w:val="en-US" w:eastAsia="zh-CN"/>
              </w:rPr>
              <w:t>采用</w:t>
            </w:r>
            <w:r>
              <w:rPr>
                <w:rFonts w:hint="eastAsia" w:ascii="宋体" w:hAnsi="宋体" w:eastAsia="宋体" w:cs="宋体"/>
                <w:sz w:val="24"/>
                <w:szCs w:val="24"/>
                <w:lang w:val="en-GB" w:eastAsia="zh-CN"/>
              </w:rPr>
              <w:t>1套水帘柜</w:t>
            </w:r>
            <w:r>
              <w:rPr>
                <w:rFonts w:hint="eastAsia" w:ascii="宋体" w:hAnsi="宋体" w:eastAsia="宋体" w:cs="宋体"/>
                <w:sz w:val="24"/>
                <w:szCs w:val="24"/>
                <w:lang w:val="en-US" w:eastAsia="zh-CN"/>
              </w:rPr>
              <w:t>处理后再通过</w:t>
            </w:r>
            <w:r>
              <w:rPr>
                <w:rFonts w:hint="eastAsia" w:ascii="宋体" w:hAnsi="宋体" w:eastAsia="宋体" w:cs="宋体"/>
                <w:sz w:val="24"/>
                <w:szCs w:val="24"/>
                <w:lang w:val="en-GB" w:eastAsia="zh-CN"/>
              </w:rPr>
              <w:t>1套活性炭吸附+1套UV光解装置</w:t>
            </w:r>
            <w:r>
              <w:rPr>
                <w:rFonts w:hint="eastAsia" w:ascii="宋体" w:hAnsi="宋体" w:eastAsia="宋体" w:cs="宋体"/>
                <w:sz w:val="24"/>
                <w:szCs w:val="24"/>
                <w:lang w:val="en-US" w:eastAsia="zh-CN"/>
              </w:rPr>
              <w:t>进行处理，达标后通过</w:t>
            </w:r>
            <w:r>
              <w:rPr>
                <w:rFonts w:hint="eastAsia" w:ascii="宋体" w:hAnsi="宋体" w:eastAsia="宋体" w:cs="宋体"/>
                <w:sz w:val="24"/>
                <w:szCs w:val="24"/>
                <w:lang w:val="en-GB" w:eastAsia="zh-CN"/>
              </w:rPr>
              <w:t>1个15m排气筒</w:t>
            </w:r>
            <w:r>
              <w:rPr>
                <w:rFonts w:hint="eastAsia" w:ascii="宋体" w:hAnsi="宋体" w:eastAsia="宋体" w:cs="宋体"/>
                <w:sz w:val="24"/>
                <w:szCs w:val="24"/>
                <w:lang w:val="en-US" w:eastAsia="zh-CN"/>
              </w:rPr>
              <w:t>排放；喷漆</w:t>
            </w:r>
            <w:r>
              <w:rPr>
                <w:rFonts w:hint="eastAsia" w:ascii="宋体" w:hAnsi="宋体" w:eastAsia="宋体" w:cs="宋体"/>
                <w:sz w:val="24"/>
                <w:szCs w:val="24"/>
                <w:lang w:val="en-GB" w:eastAsia="zh-CN"/>
              </w:rPr>
              <w:t>固化废气</w:t>
            </w:r>
            <w:r>
              <w:rPr>
                <w:rFonts w:hint="eastAsia" w:ascii="宋体" w:hAnsi="宋体" w:eastAsia="宋体" w:cs="宋体"/>
                <w:sz w:val="24"/>
                <w:szCs w:val="24"/>
                <w:lang w:val="en-US" w:eastAsia="zh-CN"/>
              </w:rPr>
              <w:t>和喷塑固化废气采用</w:t>
            </w:r>
            <w:r>
              <w:rPr>
                <w:rFonts w:hint="eastAsia" w:ascii="宋体" w:hAnsi="宋体" w:eastAsia="宋体" w:cs="宋体"/>
                <w:sz w:val="24"/>
                <w:szCs w:val="24"/>
                <w:lang w:val="en-GB" w:eastAsia="zh-CN"/>
              </w:rPr>
              <w:t>1套活性炭吸附+1套UV光解装置+1个15m排气筒，（与喷漆废气共用1套活性炭吸附+UV光解装置处理排放）</w:t>
            </w:r>
            <w:r>
              <w:rPr>
                <w:rFonts w:hint="eastAsia" w:ascii="宋体" w:hAnsi="宋体" w:eastAsia="宋体" w:cs="宋体"/>
                <w:sz w:val="24"/>
                <w:szCs w:val="24"/>
                <w:lang w:val="en-US" w:eastAsia="zh-CN"/>
              </w:rPr>
              <w:t>。</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职工生活用水经厂区化粪池处理后用抽粪车定期清运，作为农家肥施用于农田；除漆雾循环废水属于危险废物，定期送资质单位处理处置。</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本项目噪声源主要为切割机、塑粉喷涂机等设备运行产生的噪声。</w:t>
            </w:r>
            <w:r>
              <w:rPr>
                <w:rFonts w:hint="eastAsia" w:ascii="宋体" w:hAnsi="宋体" w:eastAsia="宋体" w:cs="宋体"/>
                <w:sz w:val="24"/>
                <w:szCs w:val="24"/>
                <w:lang w:val="zh-CN" w:eastAsia="zh-CN"/>
              </w:rPr>
              <w:t>采取减振、隔声等措施</w:t>
            </w:r>
            <w:r>
              <w:rPr>
                <w:rFonts w:hint="eastAsia" w:ascii="宋体" w:hAnsi="宋体" w:eastAsia="宋体" w:cs="宋体"/>
                <w:sz w:val="24"/>
                <w:szCs w:val="24"/>
                <w:lang w:val="en-US" w:eastAsia="zh-CN"/>
              </w:rPr>
              <w:t>以及距离衰减后排放。</w:t>
            </w:r>
          </w:p>
          <w:p>
            <w:pPr>
              <w:widowControl w:val="0"/>
              <w:spacing w:after="21" w:line="360" w:lineRule="auto"/>
              <w:ind w:firstLine="480" w:firstLineChars="200"/>
              <w:jc w:val="both"/>
              <w:rPr>
                <w:rFonts w:hint="eastAsia" w:ascii="宋体" w:hAnsi="宋体" w:eastAsia="宋体" w:cs="宋体"/>
                <w:sz w:val="24"/>
                <w:szCs w:val="22"/>
                <w:lang w:val="en-US" w:eastAsia="zh-CN"/>
              </w:rPr>
            </w:pPr>
            <w:r>
              <w:rPr>
                <w:rFonts w:hint="eastAsia" w:ascii="宋体" w:hAnsi="宋体" w:eastAsia="宋体" w:cs="宋体"/>
                <w:bCs/>
                <w:sz w:val="24"/>
                <w:szCs w:val="24"/>
                <w:lang w:val="en-US" w:eastAsia="zh-CN"/>
              </w:rPr>
              <w:t>边角料和焊烟净化器收集的粉尘外售给可以回收利用的单位，不外排；生活垃圾采用垃圾桶收集后交由环卫部门统一处理；</w:t>
            </w:r>
            <w:r>
              <w:rPr>
                <w:rFonts w:hint="eastAsia" w:ascii="宋体" w:hAnsi="宋体" w:eastAsia="宋体" w:cs="宋体"/>
                <w:sz w:val="24"/>
                <w:szCs w:val="24"/>
                <w:lang w:val="en-US" w:eastAsia="zh-CN"/>
              </w:rPr>
              <w:t>润滑油</w:t>
            </w:r>
            <w:r>
              <w:rPr>
                <w:rFonts w:hint="eastAsia" w:ascii="宋体" w:hAnsi="宋体" w:eastAsia="宋体" w:cs="宋体"/>
                <w:sz w:val="24"/>
                <w:szCs w:val="24"/>
                <w:lang w:val="en-GB"/>
              </w:rPr>
              <w:t>、</w:t>
            </w:r>
            <w:r>
              <w:rPr>
                <w:rFonts w:hint="eastAsia" w:ascii="宋体" w:hAnsi="宋体" w:eastAsia="宋体" w:cs="宋体"/>
                <w:sz w:val="24"/>
                <w:szCs w:val="24"/>
                <w:lang w:val="en-US" w:eastAsia="zh-CN"/>
              </w:rPr>
              <w:t>切削液</w:t>
            </w:r>
            <w:r>
              <w:rPr>
                <w:rFonts w:hint="eastAsia" w:ascii="宋体" w:hAnsi="宋体" w:eastAsia="宋体" w:cs="宋体"/>
                <w:sz w:val="24"/>
                <w:szCs w:val="24"/>
                <w:lang w:val="en-GB"/>
              </w:rPr>
              <w:t>、废油漆桶、漆渣、废UV灯管、</w:t>
            </w:r>
            <w:r>
              <w:rPr>
                <w:rFonts w:hint="eastAsia" w:ascii="宋体" w:hAnsi="宋体" w:eastAsia="宋体" w:cs="宋体"/>
                <w:sz w:val="24"/>
                <w:szCs w:val="24"/>
              </w:rPr>
              <w:t>除漆雾循环水</w:t>
            </w:r>
            <w:r>
              <w:rPr>
                <w:rFonts w:hint="eastAsia" w:ascii="宋体" w:hAnsi="宋体" w:eastAsia="宋体" w:cs="宋体"/>
                <w:sz w:val="24"/>
                <w:szCs w:val="24"/>
                <w:lang w:val="en-GB"/>
              </w:rPr>
              <w:t>及废活性炭</w:t>
            </w:r>
            <w:r>
              <w:rPr>
                <w:rFonts w:hint="eastAsia" w:ascii="宋体" w:hAnsi="宋体" w:eastAsia="宋体" w:cs="宋体"/>
                <w:sz w:val="24"/>
                <w:szCs w:val="24"/>
                <w:lang w:val="en-US" w:eastAsia="zh-CN"/>
              </w:rPr>
              <w:t>在</w:t>
            </w:r>
            <w:r>
              <w:rPr>
                <w:rFonts w:hint="eastAsia" w:ascii="宋体" w:hAnsi="宋体" w:eastAsia="宋体" w:cs="宋体"/>
                <w:bCs/>
                <w:sz w:val="24"/>
                <w:szCs w:val="24"/>
                <w:lang w:val="en-US" w:eastAsia="zh-CN"/>
              </w:rPr>
              <w:t>在危废暂存间暂存（</w:t>
            </w:r>
            <w:r>
              <w:rPr>
                <w:rFonts w:hint="eastAsia" w:ascii="宋体" w:hAnsi="宋体" w:eastAsia="宋体" w:cs="宋体"/>
                <w:sz w:val="24"/>
                <w:szCs w:val="24"/>
              </w:rPr>
              <w:t>20m</w:t>
            </w:r>
            <w:r>
              <w:rPr>
                <w:rFonts w:hint="eastAsia" w:ascii="宋体" w:hAnsi="宋体" w:eastAsia="宋体" w:cs="宋体"/>
                <w:sz w:val="24"/>
                <w:szCs w:val="24"/>
                <w:vertAlign w:val="superscript"/>
              </w:rPr>
              <w:t>2</w:t>
            </w:r>
            <w:r>
              <w:rPr>
                <w:rFonts w:hint="eastAsia" w:ascii="宋体" w:hAnsi="宋体" w:eastAsia="宋体" w:cs="宋体"/>
                <w:bCs/>
                <w:sz w:val="24"/>
                <w:szCs w:val="24"/>
                <w:lang w:val="en-US" w:eastAsia="zh-CN"/>
              </w:rPr>
              <w:t>）</w:t>
            </w:r>
            <w:r>
              <w:rPr>
                <w:rFonts w:hint="eastAsia" w:ascii="宋体" w:hAnsi="宋体" w:eastAsia="宋体" w:cs="宋体"/>
                <w:sz w:val="24"/>
                <w:szCs w:val="24"/>
                <w:lang w:val="en-US" w:eastAsia="zh-CN"/>
              </w:rPr>
              <w:t>，定期委托危险废物处置单位处置</w:t>
            </w:r>
            <w:r>
              <w:rPr>
                <w:rFonts w:hint="eastAsia" w:ascii="宋体" w:hAnsi="宋体" w:eastAsia="宋体" w:cs="宋体"/>
                <w:sz w:val="24"/>
                <w:szCs w:val="22"/>
                <w:lang w:val="en-US" w:eastAsia="zh-CN"/>
              </w:rPr>
              <w:t>。</w:t>
            </w:r>
          </w:p>
          <w:p>
            <w:pPr>
              <w:widowControl w:val="0"/>
              <w:numPr>
                <w:ilvl w:val="0"/>
                <w:numId w:val="0"/>
              </w:numPr>
              <w:spacing w:after="151"/>
              <w:ind w:left="420" w:leftChars="0"/>
              <w:jc w:val="both"/>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验收期间工况</w:t>
            </w:r>
          </w:p>
          <w:p>
            <w:pPr>
              <w:widowControl w:val="0"/>
              <w:spacing w:after="0" w:line="378" w:lineRule="auto"/>
              <w:ind w:firstLine="420"/>
              <w:jc w:val="both"/>
              <w:rPr>
                <w:rFonts w:hint="eastAsia" w:ascii="宋体" w:hAnsi="宋体" w:eastAsia="宋体" w:cs="宋体"/>
                <w:sz w:val="24"/>
                <w:szCs w:val="24"/>
              </w:rPr>
            </w:pPr>
            <w:r>
              <w:rPr>
                <w:rFonts w:hint="eastAsia" w:ascii="宋体" w:hAnsi="宋体" w:eastAsia="宋体" w:cs="宋体"/>
                <w:sz w:val="24"/>
                <w:szCs w:val="24"/>
              </w:rPr>
              <w:t>在验收监测期间，生产设备和环保设备运行正常，符合验收监测要求。</w:t>
            </w:r>
          </w:p>
          <w:p>
            <w:pPr>
              <w:widowControl w:val="0"/>
              <w:numPr>
                <w:ilvl w:val="0"/>
                <w:numId w:val="0"/>
              </w:numPr>
              <w:spacing w:after="151"/>
              <w:ind w:left="420" w:leftChars="0"/>
              <w:jc w:val="both"/>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监测结果</w:t>
            </w:r>
          </w:p>
          <w:p>
            <w:pPr>
              <w:widowControl w:val="0"/>
              <w:spacing w:after="147"/>
              <w:ind w:left="420"/>
              <w:jc w:val="both"/>
              <w:rPr>
                <w:rFonts w:hint="eastAsia" w:ascii="宋体" w:hAnsi="宋体" w:eastAsia="宋体" w:cs="宋体"/>
                <w:sz w:val="24"/>
                <w:szCs w:val="24"/>
              </w:rPr>
            </w:pPr>
            <w:r>
              <w:rPr>
                <w:rFonts w:hint="eastAsia" w:ascii="宋体" w:hAnsi="宋体" w:eastAsia="宋体" w:cs="宋体"/>
                <w:sz w:val="24"/>
                <w:szCs w:val="24"/>
              </w:rPr>
              <w:t>（1）废气</w:t>
            </w:r>
          </w:p>
          <w:p>
            <w:pPr>
              <w:widowControl w:val="0"/>
              <w:spacing w:after="21" w:line="360" w:lineRule="auto"/>
              <w:ind w:firstLine="480" w:firstLineChars="200"/>
              <w:jc w:val="both"/>
              <w:rPr>
                <w:rFonts w:hint="eastAsia" w:ascii="宋体" w:hAnsi="宋体" w:eastAsia="宋体" w:cs="宋体"/>
                <w:color w:val="auto"/>
                <w:sz w:val="24"/>
                <w:lang w:val="en-US" w:eastAsia="zh-CN"/>
              </w:rPr>
            </w:pPr>
            <w:r>
              <w:rPr>
                <w:rFonts w:hint="eastAsia" w:ascii="宋体" w:hAnsi="宋体" w:eastAsia="宋体" w:cs="宋体"/>
                <w:color w:val="auto"/>
                <w:sz w:val="24"/>
              </w:rPr>
              <w:t>根据</w:t>
            </w:r>
            <w:r>
              <w:rPr>
                <w:rFonts w:hint="eastAsia" w:ascii="宋体" w:hAnsi="宋体" w:eastAsia="宋体" w:cs="宋体"/>
                <w:color w:val="auto"/>
                <w:sz w:val="24"/>
                <w:lang w:val="en-US" w:eastAsia="zh-CN"/>
              </w:rPr>
              <w:t>表7-2</w:t>
            </w:r>
            <w:r>
              <w:rPr>
                <w:rFonts w:hint="eastAsia" w:ascii="宋体" w:hAnsi="宋体" w:eastAsia="宋体" w:cs="宋体"/>
                <w:color w:val="auto"/>
                <w:sz w:val="24"/>
              </w:rPr>
              <w:t>监测结果可知，验收期间</w:t>
            </w:r>
            <w:r>
              <w:rPr>
                <w:rFonts w:hint="eastAsia" w:ascii="宋体" w:hAnsi="宋体" w:eastAsia="宋体" w:cs="宋体"/>
                <w:color w:val="auto"/>
                <w:sz w:val="24"/>
                <w:lang w:val="en-US" w:eastAsia="zh-CN"/>
              </w:rPr>
              <w:t>焊接和喷塑产生的颗粒物有组织排放</w:t>
            </w:r>
            <w:r>
              <w:rPr>
                <w:rFonts w:hint="eastAsia" w:ascii="宋体" w:hAnsi="宋体" w:eastAsia="宋体" w:cs="宋体"/>
                <w:color w:val="auto"/>
                <w:sz w:val="24"/>
                <w:lang w:eastAsia="zh-CN"/>
              </w:rPr>
              <w:t>最大</w:t>
            </w:r>
            <w:r>
              <w:rPr>
                <w:rFonts w:hint="eastAsia" w:ascii="宋体" w:hAnsi="宋体" w:eastAsia="宋体" w:cs="宋体"/>
                <w:color w:val="auto"/>
                <w:sz w:val="24"/>
              </w:rPr>
              <w:t>浓度</w:t>
            </w:r>
            <w:r>
              <w:rPr>
                <w:rFonts w:hint="eastAsia" w:ascii="宋体" w:hAnsi="宋体" w:eastAsia="宋体" w:cs="宋体"/>
                <w:color w:val="auto"/>
                <w:sz w:val="24"/>
                <w:lang w:eastAsia="zh-CN"/>
              </w:rPr>
              <w:t>值</w:t>
            </w:r>
            <w:r>
              <w:rPr>
                <w:rFonts w:hint="eastAsia" w:ascii="宋体" w:hAnsi="宋体" w:eastAsia="宋体" w:cs="宋体"/>
                <w:color w:val="auto"/>
                <w:sz w:val="24"/>
              </w:rPr>
              <w:t>为</w:t>
            </w:r>
            <w:r>
              <w:rPr>
                <w:rFonts w:hint="eastAsia" w:ascii="宋体" w:hAnsi="宋体" w:eastAsia="宋体" w:cs="宋体"/>
                <w:color w:val="auto"/>
                <w:sz w:val="24"/>
                <w:lang w:val="en-US" w:eastAsia="zh-CN"/>
              </w:rPr>
              <w:t>4.8</w:t>
            </w:r>
            <w:r>
              <w:rPr>
                <w:rFonts w:hint="eastAsia" w:ascii="宋体" w:hAnsi="宋体" w:eastAsia="宋体" w:cs="宋体"/>
                <w:color w:val="auto"/>
                <w:sz w:val="24"/>
              </w:rPr>
              <w:t>mg/m</w:t>
            </w:r>
            <w:r>
              <w:rPr>
                <w:rFonts w:hint="eastAsia" w:ascii="宋体" w:hAnsi="宋体" w:eastAsia="宋体" w:cs="宋体"/>
                <w:color w:val="auto"/>
                <w:sz w:val="24"/>
                <w:vertAlign w:val="superscript"/>
              </w:rPr>
              <w:t>3</w:t>
            </w:r>
            <w:r>
              <w:rPr>
                <w:rFonts w:hint="eastAsia" w:ascii="宋体" w:hAnsi="宋体" w:eastAsia="宋体" w:cs="宋体"/>
                <w:color w:val="auto"/>
                <w:sz w:val="24"/>
              </w:rPr>
              <w:t>，</w:t>
            </w:r>
            <w:r>
              <w:rPr>
                <w:rFonts w:hint="eastAsia" w:ascii="宋体" w:hAnsi="宋体" w:eastAsia="宋体" w:cs="宋体"/>
                <w:color w:val="auto"/>
                <w:sz w:val="24"/>
                <w:lang w:val="en-US" w:eastAsia="zh-CN"/>
              </w:rPr>
              <w:t>可满</w:t>
            </w:r>
            <w:r>
              <w:rPr>
                <w:rFonts w:hint="eastAsia" w:ascii="宋体" w:hAnsi="宋体" w:eastAsia="宋体" w:cs="宋体"/>
                <w:color w:val="auto"/>
                <w:sz w:val="24"/>
              </w:rPr>
              <w:t>足</w:t>
            </w:r>
            <w:r>
              <w:rPr>
                <w:rFonts w:hint="eastAsia" w:ascii="宋体" w:hAnsi="宋体" w:eastAsia="宋体" w:cs="宋体"/>
                <w:color w:val="auto"/>
                <w:sz w:val="24"/>
                <w:lang w:val="en-US" w:eastAsia="zh-CN"/>
              </w:rPr>
              <w:t>《大气污染物综合排放标准》（GB16297-1996）表2二级的要求。</w:t>
            </w:r>
          </w:p>
          <w:p>
            <w:pPr>
              <w:widowControl w:val="0"/>
              <w:spacing w:after="0" w:line="360" w:lineRule="auto"/>
              <w:ind w:firstLine="480" w:firstLineChars="200"/>
              <w:contextualSpacing/>
              <w:jc w:val="both"/>
              <w:rPr>
                <w:rFonts w:hint="eastAsia" w:ascii="宋体" w:hAnsi="宋体" w:eastAsia="宋体" w:cs="宋体"/>
                <w:bCs/>
                <w:sz w:val="24"/>
                <w:szCs w:val="24"/>
                <w:lang w:val="en-US" w:eastAsia="zh-CN"/>
              </w:rPr>
            </w:pPr>
            <w:r>
              <w:rPr>
                <w:rFonts w:hint="eastAsia" w:ascii="宋体" w:hAnsi="宋体" w:eastAsia="宋体" w:cs="宋体"/>
                <w:color w:val="auto"/>
                <w:sz w:val="24"/>
              </w:rPr>
              <w:t>根据</w:t>
            </w:r>
            <w:r>
              <w:rPr>
                <w:rFonts w:hint="eastAsia" w:ascii="宋体" w:hAnsi="宋体" w:eastAsia="宋体" w:cs="宋体"/>
                <w:color w:val="auto"/>
                <w:sz w:val="24"/>
                <w:lang w:val="en-US" w:eastAsia="zh-CN"/>
              </w:rPr>
              <w:t>表7-3</w:t>
            </w:r>
            <w:r>
              <w:rPr>
                <w:rFonts w:hint="eastAsia" w:ascii="宋体" w:hAnsi="宋体" w:eastAsia="宋体" w:cs="宋体"/>
                <w:color w:val="auto"/>
                <w:sz w:val="24"/>
              </w:rPr>
              <w:t>监测结果可知，验收期间</w:t>
            </w:r>
            <w:r>
              <w:rPr>
                <w:rFonts w:hint="eastAsia" w:ascii="宋体" w:hAnsi="宋体" w:eastAsia="宋体" w:cs="宋体"/>
                <w:color w:val="auto"/>
                <w:sz w:val="24"/>
                <w:lang w:val="en-US" w:eastAsia="zh-CN"/>
              </w:rPr>
              <w:t>喷漆工序产生的漆雾有组织排放</w:t>
            </w:r>
            <w:r>
              <w:rPr>
                <w:rFonts w:hint="eastAsia" w:ascii="宋体" w:hAnsi="宋体" w:eastAsia="宋体" w:cs="宋体"/>
                <w:color w:val="auto"/>
                <w:sz w:val="24"/>
                <w:lang w:eastAsia="zh-CN"/>
              </w:rPr>
              <w:t>最大</w:t>
            </w:r>
            <w:r>
              <w:rPr>
                <w:rFonts w:hint="eastAsia" w:ascii="宋体" w:hAnsi="宋体" w:eastAsia="宋体" w:cs="宋体"/>
                <w:color w:val="auto"/>
                <w:sz w:val="24"/>
              </w:rPr>
              <w:t>浓度</w:t>
            </w:r>
            <w:r>
              <w:rPr>
                <w:rFonts w:hint="eastAsia" w:ascii="宋体" w:hAnsi="宋体" w:eastAsia="宋体" w:cs="宋体"/>
                <w:color w:val="auto"/>
                <w:sz w:val="24"/>
                <w:lang w:eastAsia="zh-CN"/>
              </w:rPr>
              <w:t>值</w:t>
            </w:r>
            <w:r>
              <w:rPr>
                <w:rFonts w:hint="eastAsia" w:ascii="宋体" w:hAnsi="宋体" w:eastAsia="宋体" w:cs="宋体"/>
                <w:color w:val="auto"/>
                <w:sz w:val="24"/>
              </w:rPr>
              <w:t>为</w:t>
            </w:r>
            <w:r>
              <w:rPr>
                <w:rFonts w:hint="eastAsia" w:ascii="宋体" w:hAnsi="宋体" w:eastAsia="宋体" w:cs="宋体"/>
                <w:color w:val="auto"/>
                <w:sz w:val="24"/>
                <w:lang w:val="en-US" w:eastAsia="zh-CN"/>
              </w:rPr>
              <w:t>6.0</w:t>
            </w:r>
            <w:r>
              <w:rPr>
                <w:rFonts w:hint="eastAsia" w:ascii="宋体" w:hAnsi="宋体" w:eastAsia="宋体" w:cs="宋体"/>
                <w:color w:val="auto"/>
                <w:sz w:val="24"/>
              </w:rPr>
              <w:t>mg/m</w:t>
            </w:r>
            <w:r>
              <w:rPr>
                <w:rFonts w:hint="eastAsia" w:ascii="宋体" w:hAnsi="宋体" w:eastAsia="宋体" w:cs="宋体"/>
                <w:color w:val="auto"/>
                <w:sz w:val="24"/>
                <w:vertAlign w:val="superscript"/>
              </w:rPr>
              <w:t>3</w:t>
            </w:r>
            <w:r>
              <w:rPr>
                <w:rFonts w:hint="eastAsia" w:ascii="宋体" w:hAnsi="宋体" w:eastAsia="宋体" w:cs="宋体"/>
                <w:color w:val="auto"/>
                <w:sz w:val="24"/>
              </w:rPr>
              <w:t>，</w:t>
            </w:r>
            <w:r>
              <w:rPr>
                <w:rFonts w:hint="eastAsia" w:ascii="宋体" w:hAnsi="宋体" w:eastAsia="宋体" w:cs="宋体"/>
                <w:color w:val="auto"/>
                <w:sz w:val="24"/>
                <w:lang w:val="en-US" w:eastAsia="zh-CN"/>
              </w:rPr>
              <w:t>可满</w:t>
            </w:r>
            <w:r>
              <w:rPr>
                <w:rFonts w:hint="eastAsia" w:ascii="宋体" w:hAnsi="宋体" w:eastAsia="宋体" w:cs="宋体"/>
                <w:color w:val="auto"/>
                <w:sz w:val="24"/>
              </w:rPr>
              <w:t>足</w:t>
            </w:r>
            <w:r>
              <w:rPr>
                <w:rFonts w:hint="eastAsia" w:ascii="宋体" w:hAnsi="宋体" w:eastAsia="宋体" w:cs="宋体"/>
                <w:color w:val="auto"/>
                <w:sz w:val="24"/>
                <w:lang w:val="en-US" w:eastAsia="zh-CN"/>
              </w:rPr>
              <w:t>《大气污染物综合排放标准》（GB16297-1996）表2二级的要求</w:t>
            </w:r>
            <w:r>
              <w:rPr>
                <w:rFonts w:hint="eastAsia" w:ascii="宋体" w:hAnsi="宋体" w:eastAsia="宋体" w:cs="宋体"/>
                <w:color w:val="auto"/>
                <w:kern w:val="2"/>
                <w:sz w:val="24"/>
                <w:szCs w:val="24"/>
                <w:lang w:val="en-US" w:eastAsia="zh-CN" w:bidi="ar-SA"/>
              </w:rPr>
              <w:t>；</w:t>
            </w:r>
            <w:r>
              <w:rPr>
                <w:rFonts w:hint="eastAsia" w:ascii="宋体" w:hAnsi="宋体" w:eastAsia="宋体" w:cs="宋体"/>
                <w:color w:val="auto"/>
                <w:sz w:val="24"/>
                <w:szCs w:val="24"/>
                <w:lang w:val="en-US" w:eastAsia="zh-CN"/>
              </w:rPr>
              <w:t>非甲烷总烃</w:t>
            </w:r>
            <w:r>
              <w:rPr>
                <w:rFonts w:hint="eastAsia" w:ascii="宋体" w:hAnsi="宋体" w:eastAsia="宋体" w:cs="宋体"/>
                <w:color w:val="auto"/>
                <w:sz w:val="24"/>
                <w:lang w:val="en-US" w:eastAsia="zh-CN"/>
              </w:rPr>
              <w:t>有组织排放</w:t>
            </w:r>
            <w:r>
              <w:rPr>
                <w:rFonts w:hint="eastAsia" w:ascii="宋体" w:hAnsi="宋体" w:eastAsia="宋体" w:cs="宋体"/>
                <w:color w:val="auto"/>
                <w:sz w:val="24"/>
                <w:lang w:eastAsia="zh-CN"/>
              </w:rPr>
              <w:t>最大</w:t>
            </w:r>
            <w:r>
              <w:rPr>
                <w:rFonts w:hint="eastAsia" w:ascii="宋体" w:hAnsi="宋体" w:eastAsia="宋体" w:cs="宋体"/>
                <w:color w:val="auto"/>
                <w:sz w:val="24"/>
              </w:rPr>
              <w:t>浓度</w:t>
            </w:r>
            <w:r>
              <w:rPr>
                <w:rFonts w:hint="eastAsia" w:ascii="宋体" w:hAnsi="宋体" w:eastAsia="宋体" w:cs="宋体"/>
                <w:color w:val="auto"/>
                <w:sz w:val="24"/>
                <w:lang w:eastAsia="zh-CN"/>
              </w:rPr>
              <w:t>值</w:t>
            </w:r>
            <w:r>
              <w:rPr>
                <w:rFonts w:hint="eastAsia" w:ascii="宋体" w:hAnsi="宋体" w:eastAsia="宋体" w:cs="宋体"/>
                <w:color w:val="auto"/>
                <w:sz w:val="24"/>
              </w:rPr>
              <w:t>为</w:t>
            </w:r>
            <w:r>
              <w:rPr>
                <w:rFonts w:hint="eastAsia" w:ascii="宋体" w:hAnsi="宋体" w:eastAsia="宋体" w:cs="宋体"/>
                <w:color w:val="auto"/>
                <w:sz w:val="24"/>
                <w:lang w:val="en-US" w:eastAsia="zh-CN"/>
              </w:rPr>
              <w:t>8.85</w:t>
            </w:r>
            <w:r>
              <w:rPr>
                <w:rFonts w:hint="eastAsia" w:ascii="宋体" w:hAnsi="宋体" w:eastAsia="宋体" w:cs="宋体"/>
                <w:color w:val="auto"/>
                <w:sz w:val="24"/>
              </w:rPr>
              <w:t>mg/m</w:t>
            </w:r>
            <w:r>
              <w:rPr>
                <w:rFonts w:hint="eastAsia" w:ascii="宋体" w:hAnsi="宋体" w:eastAsia="宋体" w:cs="宋体"/>
                <w:color w:val="auto"/>
                <w:sz w:val="24"/>
                <w:vertAlign w:val="superscript"/>
              </w:rPr>
              <w:t>3</w:t>
            </w:r>
            <w:r>
              <w:rPr>
                <w:rFonts w:hint="eastAsia" w:ascii="宋体" w:hAnsi="宋体" w:eastAsia="宋体" w:cs="宋体"/>
                <w:color w:val="auto"/>
                <w:sz w:val="24"/>
              </w:rPr>
              <w:t>，</w:t>
            </w:r>
            <w:r>
              <w:rPr>
                <w:rFonts w:hint="eastAsia" w:ascii="宋体" w:hAnsi="宋体" w:eastAsia="宋体" w:cs="宋体"/>
                <w:color w:val="auto"/>
                <w:sz w:val="24"/>
                <w:szCs w:val="24"/>
                <w:lang w:val="en-US" w:eastAsia="zh-CN"/>
              </w:rPr>
              <w:t>能满足《河南省关于全省开展工业企业挥发性有机物专项治理工作中排放建议值的通知》（豫环攻坚办[2017]162号）表面涂装业、《工业涂装工序挥发性有机物排放标准》</w:t>
            </w:r>
            <w:r>
              <w:rPr>
                <w:rFonts w:hint="eastAsia" w:ascii="宋体" w:hAnsi="宋体" w:eastAsia="宋体" w:cs="宋体"/>
                <w:color w:val="auto"/>
                <w:sz w:val="24"/>
                <w:szCs w:val="24"/>
                <w:lang w:val="en-US" w:eastAsia="zh-CN"/>
              </w:rPr>
              <w:fldChar w:fldCharType="begin"/>
            </w:r>
            <w:r>
              <w:rPr>
                <w:rFonts w:hint="eastAsia" w:ascii="宋体" w:hAnsi="宋体" w:eastAsia="宋体" w:cs="宋体"/>
                <w:color w:val="auto"/>
                <w:sz w:val="24"/>
                <w:szCs w:val="24"/>
                <w:lang w:val="en-US" w:eastAsia="zh-CN"/>
              </w:rPr>
              <w:instrText xml:space="preserve"> HYPERLINK "http://kjs.mee.gov.cn/hjbhbz/bzwb/dqhjbh/dqgdwrywrwpfbz/201906/W020190606587693632696.pdf" </w:instrText>
            </w:r>
            <w:r>
              <w:rPr>
                <w:rFonts w:hint="eastAsia" w:ascii="宋体" w:hAnsi="宋体" w:eastAsia="宋体" w:cs="宋体"/>
                <w:color w:val="auto"/>
                <w:sz w:val="24"/>
                <w:szCs w:val="24"/>
                <w:lang w:val="en-US" w:eastAsia="zh-CN"/>
              </w:rPr>
              <w:fldChar w:fldCharType="separate"/>
            </w:r>
            <w:r>
              <w:rPr>
                <w:rFonts w:hint="eastAsia" w:ascii="宋体" w:hAnsi="宋体" w:eastAsia="宋体" w:cs="宋体"/>
                <w:color w:val="auto"/>
                <w:sz w:val="24"/>
                <w:szCs w:val="24"/>
                <w:lang w:val="en-US" w:eastAsia="zh-CN"/>
              </w:rPr>
              <w:t>（DB41/1951—2020）</w:t>
            </w:r>
            <w:r>
              <w:rPr>
                <w:rFonts w:hint="eastAsia" w:ascii="宋体" w:hAnsi="宋体" w:eastAsia="宋体" w:cs="宋体"/>
                <w:color w:val="auto"/>
                <w:sz w:val="24"/>
                <w:szCs w:val="24"/>
                <w:lang w:val="en-US" w:eastAsia="zh-CN"/>
              </w:rPr>
              <w:fldChar w:fldCharType="end"/>
            </w:r>
            <w:r>
              <w:rPr>
                <w:rFonts w:hint="eastAsia" w:ascii="宋体" w:hAnsi="宋体" w:eastAsia="宋体" w:cs="宋体"/>
                <w:color w:val="auto"/>
                <w:sz w:val="24"/>
                <w:szCs w:val="24"/>
                <w:lang w:val="en-US" w:eastAsia="zh-CN"/>
              </w:rPr>
              <w:t>的排放限值要求；甲苯和二甲苯</w:t>
            </w:r>
            <w:r>
              <w:rPr>
                <w:rFonts w:hint="eastAsia" w:ascii="宋体" w:hAnsi="宋体" w:eastAsia="宋体" w:cs="宋体"/>
                <w:color w:val="auto"/>
                <w:sz w:val="24"/>
                <w:lang w:val="en-US" w:eastAsia="zh-CN"/>
              </w:rPr>
              <w:t>有组织</w:t>
            </w:r>
            <w:r>
              <w:rPr>
                <w:rFonts w:hint="eastAsia" w:ascii="宋体" w:hAnsi="宋体" w:eastAsia="宋体" w:cs="宋体"/>
                <w:color w:val="auto"/>
                <w:sz w:val="24"/>
                <w:lang w:eastAsia="zh-CN"/>
              </w:rPr>
              <w:t>最大</w:t>
            </w:r>
            <w:r>
              <w:rPr>
                <w:rFonts w:hint="eastAsia" w:ascii="宋体" w:hAnsi="宋体" w:eastAsia="宋体" w:cs="宋体"/>
                <w:color w:val="auto"/>
                <w:sz w:val="24"/>
              </w:rPr>
              <w:t>浓度</w:t>
            </w:r>
            <w:r>
              <w:rPr>
                <w:rFonts w:hint="eastAsia" w:ascii="宋体" w:hAnsi="宋体" w:eastAsia="宋体" w:cs="宋体"/>
                <w:color w:val="auto"/>
                <w:sz w:val="24"/>
                <w:lang w:eastAsia="zh-CN"/>
              </w:rPr>
              <w:t>值</w:t>
            </w:r>
            <w:r>
              <w:rPr>
                <w:rFonts w:hint="eastAsia" w:ascii="宋体" w:hAnsi="宋体" w:eastAsia="宋体" w:cs="宋体"/>
                <w:color w:val="auto"/>
                <w:sz w:val="24"/>
                <w:lang w:val="en-US" w:eastAsia="zh-CN"/>
              </w:rPr>
              <w:t>分别</w:t>
            </w:r>
            <w:r>
              <w:rPr>
                <w:rFonts w:hint="eastAsia" w:ascii="宋体" w:hAnsi="宋体" w:eastAsia="宋体" w:cs="宋体"/>
                <w:color w:val="auto"/>
                <w:sz w:val="24"/>
              </w:rPr>
              <w:t>为</w:t>
            </w:r>
            <w:r>
              <w:rPr>
                <w:rFonts w:hint="eastAsia" w:ascii="宋体" w:hAnsi="宋体" w:eastAsia="宋体" w:cs="宋体"/>
                <w:color w:val="auto"/>
                <w:sz w:val="24"/>
                <w:lang w:val="en-US" w:eastAsia="zh-CN"/>
              </w:rPr>
              <w:t>0.123</w:t>
            </w:r>
            <w:r>
              <w:rPr>
                <w:rFonts w:hint="eastAsia" w:ascii="宋体" w:hAnsi="宋体" w:eastAsia="宋体" w:cs="宋体"/>
                <w:color w:val="auto"/>
                <w:sz w:val="24"/>
              </w:rPr>
              <w:t>mg/m</w:t>
            </w:r>
            <w:r>
              <w:rPr>
                <w:rFonts w:hint="eastAsia" w:ascii="宋体" w:hAnsi="宋体" w:eastAsia="宋体" w:cs="宋体"/>
                <w:color w:val="auto"/>
                <w:sz w:val="24"/>
                <w:vertAlign w:val="superscript"/>
              </w:rPr>
              <w:t>3</w:t>
            </w:r>
            <w:r>
              <w:rPr>
                <w:rFonts w:hint="eastAsia" w:ascii="宋体" w:hAnsi="宋体" w:eastAsia="宋体" w:cs="宋体"/>
                <w:color w:val="auto"/>
                <w:sz w:val="24"/>
                <w:szCs w:val="24"/>
                <w:lang w:val="zh-CN"/>
              </w:rPr>
              <w:t>、</w:t>
            </w:r>
            <w:r>
              <w:rPr>
                <w:rFonts w:hint="eastAsia" w:ascii="宋体" w:hAnsi="宋体" w:eastAsia="宋体" w:cs="宋体"/>
                <w:color w:val="auto"/>
                <w:sz w:val="24"/>
                <w:lang w:val="en-US" w:eastAsia="zh-CN"/>
              </w:rPr>
              <w:t>0.442</w:t>
            </w:r>
            <w:r>
              <w:rPr>
                <w:rFonts w:hint="eastAsia" w:ascii="宋体" w:hAnsi="宋体" w:eastAsia="宋体" w:cs="宋体"/>
                <w:color w:val="auto"/>
                <w:sz w:val="24"/>
              </w:rPr>
              <w:t>mg/m</w:t>
            </w:r>
            <w:r>
              <w:rPr>
                <w:rFonts w:hint="eastAsia" w:ascii="宋体" w:hAnsi="宋体" w:eastAsia="宋体" w:cs="宋体"/>
                <w:color w:val="auto"/>
                <w:sz w:val="24"/>
                <w:vertAlign w:val="superscript"/>
              </w:rPr>
              <w:t>3</w:t>
            </w:r>
            <w:r>
              <w:rPr>
                <w:rFonts w:hint="eastAsia" w:ascii="宋体" w:hAnsi="宋体" w:eastAsia="宋体" w:cs="宋体"/>
                <w:color w:val="auto"/>
                <w:sz w:val="24"/>
                <w:lang w:val="en-US" w:eastAsia="zh-CN"/>
              </w:rPr>
              <w:t>，</w:t>
            </w:r>
            <w:r>
              <w:rPr>
                <w:rFonts w:hint="eastAsia" w:ascii="宋体" w:hAnsi="宋体" w:eastAsia="宋体" w:cs="宋体"/>
                <w:color w:val="auto"/>
                <w:sz w:val="24"/>
                <w:szCs w:val="24"/>
                <w:lang w:val="en-US" w:eastAsia="zh-CN"/>
              </w:rPr>
              <w:t>能满足《河南省关于全省开展工业企业挥发性有机物专项治理工作中排</w:t>
            </w:r>
            <w:r>
              <w:rPr>
                <w:rFonts w:hint="eastAsia" w:ascii="宋体" w:hAnsi="宋体" w:eastAsia="宋体" w:cs="宋体"/>
                <w:bCs/>
                <w:sz w:val="24"/>
                <w:szCs w:val="24"/>
                <w:lang w:val="en-US" w:eastAsia="zh-CN"/>
              </w:rPr>
              <w:t>放建议值的通知》（豫环攻坚办[2017]162号）表面涂装业和《工业涂装工序挥发性有机物排放标准》</w:t>
            </w:r>
            <w:r>
              <w:rPr>
                <w:rFonts w:hint="eastAsia" w:ascii="宋体" w:hAnsi="宋体" w:eastAsia="宋体" w:cs="宋体"/>
                <w:bCs/>
                <w:sz w:val="24"/>
                <w:szCs w:val="24"/>
                <w:lang w:val="en-US" w:eastAsia="zh-CN"/>
              </w:rPr>
              <w:fldChar w:fldCharType="begin"/>
            </w:r>
            <w:r>
              <w:rPr>
                <w:rFonts w:hint="eastAsia" w:ascii="宋体" w:hAnsi="宋体" w:eastAsia="宋体" w:cs="宋体"/>
                <w:bCs/>
                <w:sz w:val="24"/>
                <w:szCs w:val="24"/>
                <w:lang w:val="en-US" w:eastAsia="zh-CN"/>
              </w:rPr>
              <w:instrText xml:space="preserve"> HYPERLINK "http://kjs.mee.gov.cn/hjbhbz/bzwb/dqhjbh/dqgdwrywrwpfbz/201906/W020190606587693632696.pdf" </w:instrText>
            </w:r>
            <w:r>
              <w:rPr>
                <w:rFonts w:hint="eastAsia" w:ascii="宋体" w:hAnsi="宋体" w:eastAsia="宋体" w:cs="宋体"/>
                <w:bCs/>
                <w:sz w:val="24"/>
                <w:szCs w:val="24"/>
                <w:lang w:val="en-US" w:eastAsia="zh-CN"/>
              </w:rPr>
              <w:fldChar w:fldCharType="separate"/>
            </w:r>
            <w:r>
              <w:rPr>
                <w:rFonts w:hint="eastAsia" w:ascii="宋体" w:hAnsi="宋体" w:eastAsia="宋体" w:cs="宋体"/>
                <w:bCs/>
                <w:sz w:val="24"/>
                <w:szCs w:val="24"/>
                <w:lang w:val="en-US" w:eastAsia="zh-CN"/>
              </w:rPr>
              <w:t>（DB41/1951—2020）</w:t>
            </w:r>
            <w:r>
              <w:rPr>
                <w:rFonts w:hint="eastAsia" w:ascii="宋体" w:hAnsi="宋体" w:eastAsia="宋体" w:cs="宋体"/>
                <w:bCs/>
                <w:sz w:val="24"/>
                <w:szCs w:val="24"/>
                <w:lang w:val="en-US" w:eastAsia="zh-CN"/>
              </w:rPr>
              <w:fldChar w:fldCharType="end"/>
            </w:r>
            <w:r>
              <w:rPr>
                <w:rFonts w:hint="eastAsia" w:ascii="宋体" w:hAnsi="宋体" w:eastAsia="宋体" w:cs="宋体"/>
                <w:bCs/>
                <w:sz w:val="24"/>
                <w:szCs w:val="24"/>
                <w:lang w:val="en-US" w:eastAsia="zh-CN"/>
              </w:rPr>
              <w:t>的排放限值要求。</w:t>
            </w:r>
          </w:p>
          <w:p>
            <w:pPr>
              <w:widowControl w:val="0"/>
              <w:spacing w:after="0" w:line="360" w:lineRule="auto"/>
              <w:ind w:firstLine="480" w:firstLineChars="200"/>
              <w:contextualSpacing/>
              <w:jc w:val="both"/>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根据</w:t>
            </w:r>
            <w:r>
              <w:rPr>
                <w:rFonts w:hint="eastAsia" w:ascii="宋体" w:hAnsi="宋体" w:eastAsia="宋体" w:cs="宋体"/>
                <w:bCs/>
                <w:sz w:val="24"/>
                <w:szCs w:val="24"/>
                <w:lang w:val="en-US" w:eastAsia="zh-CN"/>
              </w:rPr>
              <w:t>表7-4</w:t>
            </w:r>
            <w:r>
              <w:rPr>
                <w:rFonts w:hint="eastAsia" w:ascii="宋体" w:hAnsi="宋体" w:eastAsia="宋体" w:cs="宋体"/>
                <w:bCs/>
                <w:sz w:val="24"/>
                <w:szCs w:val="24"/>
                <w:lang w:eastAsia="zh-CN"/>
              </w:rPr>
              <w:t>监测结果可知，验收期间</w:t>
            </w:r>
            <w:r>
              <w:rPr>
                <w:rFonts w:hint="eastAsia" w:ascii="宋体" w:hAnsi="宋体" w:eastAsia="宋体" w:cs="宋体"/>
                <w:bCs/>
                <w:sz w:val="24"/>
                <w:szCs w:val="24"/>
                <w:lang w:val="en-US" w:eastAsia="zh-CN"/>
              </w:rPr>
              <w:t>排气筒总排口的颗粒物有组织排放</w:t>
            </w:r>
            <w:r>
              <w:rPr>
                <w:rFonts w:hint="eastAsia" w:ascii="宋体" w:hAnsi="宋体" w:eastAsia="宋体" w:cs="宋体"/>
                <w:bCs/>
                <w:sz w:val="24"/>
                <w:szCs w:val="24"/>
                <w:lang w:eastAsia="zh-CN"/>
              </w:rPr>
              <w:t>最大</w:t>
            </w:r>
            <w:r>
              <w:rPr>
                <w:rFonts w:hint="eastAsia" w:ascii="宋体" w:hAnsi="宋体" w:eastAsia="宋体" w:cs="宋体"/>
                <w:color w:val="auto"/>
                <w:sz w:val="24"/>
                <w:szCs w:val="24"/>
              </w:rPr>
              <w:t>浓度</w:t>
            </w:r>
            <w:r>
              <w:rPr>
                <w:rFonts w:hint="eastAsia" w:ascii="宋体" w:hAnsi="宋体" w:eastAsia="宋体" w:cs="宋体"/>
                <w:color w:val="auto"/>
                <w:sz w:val="24"/>
                <w:szCs w:val="24"/>
                <w:lang w:eastAsia="zh-CN"/>
              </w:rPr>
              <w:t>值</w:t>
            </w:r>
            <w:r>
              <w:rPr>
                <w:rFonts w:hint="eastAsia" w:ascii="宋体" w:hAnsi="宋体" w:eastAsia="宋体" w:cs="宋体"/>
                <w:color w:val="auto"/>
                <w:sz w:val="24"/>
                <w:szCs w:val="24"/>
              </w:rPr>
              <w:t>为</w:t>
            </w:r>
            <w:r>
              <w:rPr>
                <w:rFonts w:hint="eastAsia" w:ascii="宋体" w:hAnsi="宋体" w:eastAsia="宋体" w:cs="宋体"/>
                <w:color w:val="auto"/>
                <w:sz w:val="24"/>
                <w:szCs w:val="24"/>
                <w:lang w:val="en-US" w:eastAsia="zh-CN"/>
              </w:rPr>
              <w:t>5.1</w:t>
            </w:r>
            <w:r>
              <w:rPr>
                <w:rFonts w:hint="eastAsia" w:ascii="宋体" w:hAnsi="宋体" w:eastAsia="宋体" w:cs="宋体"/>
                <w:color w:val="auto"/>
                <w:sz w:val="24"/>
                <w:szCs w:val="24"/>
              </w:rPr>
              <w:t>mg/m</w:t>
            </w:r>
            <w:r>
              <w:rPr>
                <w:rFonts w:hint="eastAsia" w:ascii="宋体" w:hAnsi="宋体" w:eastAsia="宋体" w:cs="宋体"/>
                <w:color w:val="auto"/>
                <w:sz w:val="24"/>
                <w:szCs w:val="24"/>
                <w:vertAlign w:val="superscript"/>
              </w:rPr>
              <w:t>3</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可满</w:t>
            </w:r>
            <w:r>
              <w:rPr>
                <w:rFonts w:hint="eastAsia" w:ascii="宋体" w:hAnsi="宋体" w:eastAsia="宋体" w:cs="宋体"/>
                <w:color w:val="auto"/>
                <w:sz w:val="24"/>
                <w:szCs w:val="24"/>
              </w:rPr>
              <w:t>足</w:t>
            </w:r>
            <w:r>
              <w:rPr>
                <w:rFonts w:hint="eastAsia" w:ascii="宋体" w:hAnsi="宋体" w:eastAsia="宋体" w:cs="宋体"/>
                <w:color w:val="auto"/>
                <w:sz w:val="24"/>
                <w:szCs w:val="24"/>
                <w:lang w:val="en-US" w:eastAsia="zh-CN"/>
              </w:rPr>
              <w:t>《大气污染物综合排放标准》（GB16297-1996）表2二级的要求；非甲烷总烃有组织排放</w:t>
            </w:r>
            <w:r>
              <w:rPr>
                <w:rFonts w:hint="eastAsia" w:ascii="宋体" w:hAnsi="宋体" w:eastAsia="宋体" w:cs="宋体"/>
                <w:color w:val="auto"/>
                <w:sz w:val="24"/>
                <w:szCs w:val="24"/>
                <w:lang w:eastAsia="zh-CN"/>
              </w:rPr>
              <w:t>最大</w:t>
            </w:r>
            <w:r>
              <w:rPr>
                <w:rFonts w:hint="eastAsia" w:ascii="宋体" w:hAnsi="宋体" w:eastAsia="宋体" w:cs="宋体"/>
                <w:color w:val="auto"/>
                <w:sz w:val="24"/>
                <w:szCs w:val="24"/>
              </w:rPr>
              <w:t>浓度</w:t>
            </w:r>
            <w:r>
              <w:rPr>
                <w:rFonts w:hint="eastAsia" w:ascii="宋体" w:hAnsi="宋体" w:eastAsia="宋体" w:cs="宋体"/>
                <w:color w:val="auto"/>
                <w:sz w:val="24"/>
                <w:szCs w:val="24"/>
                <w:lang w:eastAsia="zh-CN"/>
              </w:rPr>
              <w:t>值</w:t>
            </w:r>
            <w:r>
              <w:rPr>
                <w:rFonts w:hint="eastAsia" w:ascii="宋体" w:hAnsi="宋体" w:eastAsia="宋体" w:cs="宋体"/>
                <w:color w:val="auto"/>
                <w:sz w:val="24"/>
                <w:szCs w:val="24"/>
              </w:rPr>
              <w:t>为</w:t>
            </w:r>
            <w:r>
              <w:rPr>
                <w:rFonts w:hint="eastAsia" w:ascii="宋体" w:hAnsi="宋体" w:eastAsia="宋体" w:cs="宋体"/>
                <w:color w:val="auto"/>
                <w:sz w:val="24"/>
                <w:szCs w:val="24"/>
                <w:lang w:val="en-US" w:eastAsia="zh-CN"/>
              </w:rPr>
              <w:t>7.01</w:t>
            </w:r>
            <w:r>
              <w:rPr>
                <w:rFonts w:hint="eastAsia" w:ascii="宋体" w:hAnsi="宋体" w:eastAsia="宋体" w:cs="宋体"/>
                <w:color w:val="auto"/>
                <w:sz w:val="24"/>
                <w:szCs w:val="24"/>
              </w:rPr>
              <w:t>mg/m</w:t>
            </w:r>
            <w:r>
              <w:rPr>
                <w:rFonts w:hint="eastAsia" w:ascii="宋体" w:hAnsi="宋体" w:eastAsia="宋体" w:cs="宋体"/>
                <w:color w:val="auto"/>
                <w:sz w:val="24"/>
                <w:szCs w:val="24"/>
                <w:vertAlign w:val="superscript"/>
              </w:rPr>
              <w:t>3</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能满足《河南省关于全省开展工业企业挥发性有机物专项治理工作中排放建议值的通知》（豫环攻坚办[2017]162号）表面涂装业、《工业涂装工序挥发性有机物排放标准》</w:t>
            </w:r>
            <w:r>
              <w:rPr>
                <w:rFonts w:hint="eastAsia" w:ascii="宋体" w:hAnsi="宋体" w:eastAsia="宋体" w:cs="宋体"/>
                <w:color w:val="auto"/>
                <w:sz w:val="24"/>
                <w:szCs w:val="24"/>
                <w:lang w:val="en-US" w:eastAsia="zh-CN"/>
              </w:rPr>
              <w:fldChar w:fldCharType="begin"/>
            </w:r>
            <w:r>
              <w:rPr>
                <w:rFonts w:hint="eastAsia" w:ascii="宋体" w:hAnsi="宋体" w:eastAsia="宋体" w:cs="宋体"/>
                <w:color w:val="auto"/>
                <w:sz w:val="24"/>
                <w:szCs w:val="24"/>
                <w:lang w:val="en-US" w:eastAsia="zh-CN"/>
              </w:rPr>
              <w:instrText xml:space="preserve"> HYPERLINK "http://kjs.mee.gov.cn/hjbhbz/bzwb/dqhjbh/dqgdwrywrwpfbz/201906/W020190606587693632696.pdf" </w:instrText>
            </w:r>
            <w:r>
              <w:rPr>
                <w:rFonts w:hint="eastAsia" w:ascii="宋体" w:hAnsi="宋体" w:eastAsia="宋体" w:cs="宋体"/>
                <w:color w:val="auto"/>
                <w:sz w:val="24"/>
                <w:szCs w:val="24"/>
                <w:lang w:val="en-US" w:eastAsia="zh-CN"/>
              </w:rPr>
              <w:fldChar w:fldCharType="separate"/>
            </w:r>
            <w:r>
              <w:rPr>
                <w:rFonts w:hint="eastAsia" w:ascii="宋体" w:hAnsi="宋体" w:eastAsia="宋体" w:cs="宋体"/>
                <w:color w:val="auto"/>
                <w:sz w:val="24"/>
                <w:szCs w:val="24"/>
                <w:lang w:val="en-US" w:eastAsia="zh-CN"/>
              </w:rPr>
              <w:t>（DB41/1951—2020）</w:t>
            </w:r>
            <w:r>
              <w:rPr>
                <w:rFonts w:hint="eastAsia" w:ascii="宋体" w:hAnsi="宋体" w:eastAsia="宋体" w:cs="宋体"/>
                <w:color w:val="auto"/>
                <w:sz w:val="24"/>
                <w:szCs w:val="24"/>
                <w:lang w:val="en-US" w:eastAsia="zh-CN"/>
              </w:rPr>
              <w:fldChar w:fldCharType="end"/>
            </w:r>
            <w:r>
              <w:rPr>
                <w:rFonts w:hint="eastAsia" w:ascii="宋体" w:hAnsi="宋体" w:eastAsia="宋体" w:cs="宋体"/>
                <w:color w:val="auto"/>
                <w:sz w:val="24"/>
                <w:szCs w:val="24"/>
                <w:lang w:val="en-US" w:eastAsia="zh-CN"/>
              </w:rPr>
              <w:t>的排放限值要求；甲苯和二甲苯有组织</w:t>
            </w:r>
            <w:r>
              <w:rPr>
                <w:rFonts w:hint="eastAsia" w:ascii="宋体" w:hAnsi="宋体" w:eastAsia="宋体" w:cs="宋体"/>
                <w:color w:val="auto"/>
                <w:sz w:val="24"/>
                <w:szCs w:val="24"/>
                <w:lang w:eastAsia="zh-CN"/>
              </w:rPr>
              <w:t>最大</w:t>
            </w:r>
            <w:r>
              <w:rPr>
                <w:rFonts w:hint="eastAsia" w:ascii="宋体" w:hAnsi="宋体" w:eastAsia="宋体" w:cs="宋体"/>
                <w:color w:val="auto"/>
                <w:sz w:val="24"/>
                <w:szCs w:val="24"/>
              </w:rPr>
              <w:t>浓度</w:t>
            </w:r>
            <w:r>
              <w:rPr>
                <w:rFonts w:hint="eastAsia" w:ascii="宋体" w:hAnsi="宋体" w:eastAsia="宋体" w:cs="宋体"/>
                <w:color w:val="auto"/>
                <w:sz w:val="24"/>
                <w:szCs w:val="24"/>
                <w:lang w:eastAsia="zh-CN"/>
              </w:rPr>
              <w:t>值</w:t>
            </w:r>
            <w:r>
              <w:rPr>
                <w:rFonts w:hint="eastAsia" w:ascii="宋体" w:hAnsi="宋体" w:eastAsia="宋体" w:cs="宋体"/>
                <w:color w:val="auto"/>
                <w:sz w:val="24"/>
                <w:szCs w:val="24"/>
                <w:lang w:val="en-US" w:eastAsia="zh-CN"/>
              </w:rPr>
              <w:t>分别</w:t>
            </w:r>
            <w:r>
              <w:rPr>
                <w:rFonts w:hint="eastAsia" w:ascii="宋体" w:hAnsi="宋体" w:eastAsia="宋体" w:cs="宋体"/>
                <w:color w:val="auto"/>
                <w:sz w:val="24"/>
                <w:szCs w:val="24"/>
              </w:rPr>
              <w:t>为</w:t>
            </w:r>
            <w:r>
              <w:rPr>
                <w:rFonts w:hint="eastAsia" w:ascii="宋体" w:hAnsi="宋体" w:eastAsia="宋体" w:cs="宋体"/>
                <w:color w:val="auto"/>
                <w:sz w:val="24"/>
                <w:szCs w:val="24"/>
                <w:lang w:val="en-US" w:eastAsia="zh-CN"/>
              </w:rPr>
              <w:t>0.135</w:t>
            </w:r>
            <w:r>
              <w:rPr>
                <w:rFonts w:hint="eastAsia" w:ascii="宋体" w:hAnsi="宋体" w:eastAsia="宋体" w:cs="宋体"/>
                <w:color w:val="auto"/>
                <w:sz w:val="24"/>
                <w:szCs w:val="24"/>
              </w:rPr>
              <w:t>mg/m</w:t>
            </w:r>
            <w:r>
              <w:rPr>
                <w:rFonts w:hint="eastAsia" w:ascii="宋体" w:hAnsi="宋体" w:eastAsia="宋体" w:cs="宋体"/>
                <w:color w:val="auto"/>
                <w:sz w:val="24"/>
                <w:szCs w:val="24"/>
                <w:vertAlign w:val="superscript"/>
              </w:rPr>
              <w:t>3</w:t>
            </w:r>
            <w:r>
              <w:rPr>
                <w:rFonts w:hint="eastAsia" w:ascii="宋体" w:hAnsi="宋体" w:eastAsia="宋体" w:cs="宋体"/>
                <w:color w:val="auto"/>
                <w:sz w:val="24"/>
                <w:szCs w:val="24"/>
                <w:lang w:val="zh-CN"/>
              </w:rPr>
              <w:t>、</w:t>
            </w:r>
            <w:r>
              <w:rPr>
                <w:rFonts w:hint="eastAsia" w:ascii="宋体" w:hAnsi="宋体" w:eastAsia="宋体" w:cs="宋体"/>
                <w:color w:val="auto"/>
                <w:sz w:val="24"/>
                <w:szCs w:val="24"/>
                <w:lang w:val="en-US" w:eastAsia="zh-CN"/>
              </w:rPr>
              <w:t>0.462</w:t>
            </w:r>
            <w:r>
              <w:rPr>
                <w:rFonts w:hint="eastAsia" w:ascii="宋体" w:hAnsi="宋体" w:eastAsia="宋体" w:cs="宋体"/>
                <w:color w:val="auto"/>
                <w:sz w:val="24"/>
                <w:szCs w:val="24"/>
              </w:rPr>
              <w:t>mg/m</w:t>
            </w:r>
            <w:r>
              <w:rPr>
                <w:rFonts w:hint="eastAsia" w:ascii="宋体" w:hAnsi="宋体" w:eastAsia="宋体" w:cs="宋体"/>
                <w:color w:val="auto"/>
                <w:sz w:val="24"/>
                <w:szCs w:val="24"/>
                <w:vertAlign w:val="superscript"/>
              </w:rPr>
              <w:t>3</w:t>
            </w:r>
            <w:r>
              <w:rPr>
                <w:rFonts w:hint="eastAsia" w:ascii="宋体" w:hAnsi="宋体" w:eastAsia="宋体" w:cs="宋体"/>
                <w:color w:val="auto"/>
                <w:sz w:val="24"/>
                <w:szCs w:val="24"/>
                <w:lang w:val="en-US" w:eastAsia="zh-CN"/>
              </w:rPr>
              <w:t>，能满足《河南省关于全省开展工业企业挥发性有机物专项治理工作中排</w:t>
            </w:r>
            <w:r>
              <w:rPr>
                <w:rFonts w:hint="eastAsia" w:ascii="宋体" w:hAnsi="宋体" w:eastAsia="宋体" w:cs="宋体"/>
                <w:bCs/>
                <w:sz w:val="24"/>
                <w:szCs w:val="24"/>
                <w:lang w:val="en-US" w:eastAsia="zh-CN"/>
              </w:rPr>
              <w:t>放建议值的通知》（豫环攻坚办[2017]162号）表面涂装业和《工业涂装工序挥发性有机物排放标准》</w:t>
            </w:r>
            <w:r>
              <w:rPr>
                <w:rFonts w:hint="eastAsia" w:ascii="宋体" w:hAnsi="宋体" w:eastAsia="宋体" w:cs="宋体"/>
                <w:bCs/>
                <w:sz w:val="24"/>
                <w:szCs w:val="24"/>
                <w:lang w:val="en-US" w:eastAsia="zh-CN"/>
              </w:rPr>
              <w:fldChar w:fldCharType="begin"/>
            </w:r>
            <w:r>
              <w:rPr>
                <w:rFonts w:hint="eastAsia" w:ascii="宋体" w:hAnsi="宋体" w:eastAsia="宋体" w:cs="宋体"/>
                <w:bCs/>
                <w:sz w:val="24"/>
                <w:szCs w:val="24"/>
                <w:lang w:val="en-US" w:eastAsia="zh-CN"/>
              </w:rPr>
              <w:instrText xml:space="preserve"> HYPERLINK "http://kjs.mee.gov.cn/hjbhbz/bzwb/dqhjbh/dqgdwrywrwpfbz/201906/W020190606587693632696.pdf" </w:instrText>
            </w:r>
            <w:r>
              <w:rPr>
                <w:rFonts w:hint="eastAsia" w:ascii="宋体" w:hAnsi="宋体" w:eastAsia="宋体" w:cs="宋体"/>
                <w:bCs/>
                <w:sz w:val="24"/>
                <w:szCs w:val="24"/>
                <w:lang w:val="en-US" w:eastAsia="zh-CN"/>
              </w:rPr>
              <w:fldChar w:fldCharType="separate"/>
            </w:r>
            <w:r>
              <w:rPr>
                <w:rFonts w:hint="eastAsia" w:ascii="宋体" w:hAnsi="宋体" w:eastAsia="宋体" w:cs="宋体"/>
                <w:bCs/>
                <w:sz w:val="24"/>
                <w:szCs w:val="24"/>
                <w:lang w:val="en-US" w:eastAsia="zh-CN"/>
              </w:rPr>
              <w:t>（DB41/1951—2020）</w:t>
            </w:r>
            <w:r>
              <w:rPr>
                <w:rFonts w:hint="eastAsia" w:ascii="宋体" w:hAnsi="宋体" w:eastAsia="宋体" w:cs="宋体"/>
                <w:bCs/>
                <w:sz w:val="24"/>
                <w:szCs w:val="24"/>
                <w:lang w:val="en-US" w:eastAsia="zh-CN"/>
              </w:rPr>
              <w:fldChar w:fldCharType="end"/>
            </w:r>
            <w:r>
              <w:rPr>
                <w:rFonts w:hint="eastAsia" w:ascii="宋体" w:hAnsi="宋体" w:eastAsia="宋体" w:cs="宋体"/>
                <w:bCs/>
                <w:sz w:val="24"/>
                <w:szCs w:val="24"/>
                <w:lang w:val="en-US" w:eastAsia="zh-CN"/>
              </w:rPr>
              <w:t>的排放限值要求。</w:t>
            </w:r>
          </w:p>
          <w:p>
            <w:pPr>
              <w:widowControl w:val="0"/>
              <w:spacing w:after="21" w:line="360" w:lineRule="auto"/>
              <w:ind w:firstLine="480" w:firstLineChars="200"/>
              <w:jc w:val="both"/>
              <w:rPr>
                <w:rFonts w:hint="eastAsia" w:ascii="宋体" w:hAnsi="宋体" w:eastAsia="宋体" w:cs="宋体"/>
                <w:sz w:val="24"/>
                <w:lang w:val="en-US" w:eastAsia="zh-CN"/>
              </w:rPr>
            </w:pPr>
            <w:r>
              <w:rPr>
                <w:rFonts w:hint="eastAsia" w:ascii="宋体" w:hAnsi="宋体" w:eastAsia="宋体" w:cs="宋体"/>
                <w:bCs/>
                <w:sz w:val="24"/>
                <w:szCs w:val="24"/>
                <w:lang w:val="en-US" w:eastAsia="zh-CN"/>
              </w:rPr>
              <w:t>根据表7-5监测结果可知，验收期间厂界颗粒物无组织排放最大浓度值</w:t>
            </w:r>
            <w:r>
              <w:rPr>
                <w:rFonts w:hint="eastAsia" w:ascii="宋体" w:hAnsi="宋体" w:eastAsia="宋体" w:cs="宋体"/>
                <w:color w:val="auto"/>
                <w:sz w:val="24"/>
                <w:szCs w:val="24"/>
              </w:rPr>
              <w:t>为</w:t>
            </w:r>
            <w:r>
              <w:rPr>
                <w:rFonts w:hint="eastAsia" w:ascii="宋体" w:hAnsi="宋体" w:eastAsia="宋体" w:cs="宋体"/>
                <w:color w:val="auto"/>
                <w:sz w:val="24"/>
                <w:szCs w:val="24"/>
                <w:lang w:val="en-US" w:eastAsia="zh-CN"/>
              </w:rPr>
              <w:t>0.312</w:t>
            </w:r>
            <w:r>
              <w:rPr>
                <w:rFonts w:hint="eastAsia" w:ascii="宋体" w:hAnsi="宋体" w:eastAsia="宋体" w:cs="宋体"/>
                <w:color w:val="auto"/>
                <w:sz w:val="24"/>
                <w:szCs w:val="24"/>
              </w:rPr>
              <w:t>mg/m</w:t>
            </w:r>
            <w:r>
              <w:rPr>
                <w:rFonts w:hint="eastAsia" w:ascii="宋体" w:hAnsi="宋体" w:eastAsia="宋体" w:cs="宋体"/>
                <w:color w:val="auto"/>
                <w:sz w:val="24"/>
                <w:szCs w:val="24"/>
                <w:vertAlign w:val="superscript"/>
              </w:rPr>
              <w:t>3</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可满</w:t>
            </w:r>
            <w:r>
              <w:rPr>
                <w:rFonts w:hint="eastAsia" w:ascii="宋体" w:hAnsi="宋体" w:eastAsia="宋体" w:cs="宋体"/>
                <w:color w:val="auto"/>
                <w:sz w:val="24"/>
                <w:szCs w:val="24"/>
              </w:rPr>
              <w:t>足</w:t>
            </w:r>
            <w:r>
              <w:rPr>
                <w:rFonts w:hint="eastAsia" w:ascii="宋体" w:hAnsi="宋体" w:eastAsia="宋体" w:cs="宋体"/>
                <w:color w:val="auto"/>
                <w:sz w:val="24"/>
                <w:szCs w:val="24"/>
                <w:lang w:val="en-US" w:eastAsia="zh-CN"/>
              </w:rPr>
              <w:t>《大气污染物综合排放标准》（GB16297-1996）</w:t>
            </w:r>
            <w:r>
              <w:rPr>
                <w:rFonts w:hint="eastAsia" w:ascii="宋体" w:hAnsi="宋体" w:eastAsia="宋体" w:cs="宋体"/>
                <w:color w:val="auto"/>
                <w:kern w:val="2"/>
                <w:sz w:val="24"/>
                <w:szCs w:val="24"/>
                <w:lang w:val="en-US" w:eastAsia="zh-CN" w:bidi="ar-SA"/>
              </w:rPr>
              <w:t>中颗粒物无组织排放监控浓度限值；</w:t>
            </w:r>
            <w:r>
              <w:rPr>
                <w:rFonts w:hint="eastAsia" w:ascii="宋体" w:hAnsi="宋体" w:eastAsia="宋体" w:cs="宋体"/>
                <w:color w:val="auto"/>
                <w:sz w:val="24"/>
                <w:szCs w:val="24"/>
                <w:lang w:val="en-US" w:eastAsia="zh-CN"/>
              </w:rPr>
              <w:t>非甲烷总烃无组织排放</w:t>
            </w:r>
            <w:r>
              <w:rPr>
                <w:rFonts w:hint="eastAsia" w:ascii="宋体" w:hAnsi="宋体" w:eastAsia="宋体" w:cs="宋体"/>
                <w:color w:val="auto"/>
                <w:sz w:val="24"/>
                <w:szCs w:val="24"/>
                <w:lang w:eastAsia="zh-CN"/>
              </w:rPr>
              <w:t>最大</w:t>
            </w:r>
            <w:r>
              <w:rPr>
                <w:rFonts w:hint="eastAsia" w:ascii="宋体" w:hAnsi="宋体" w:eastAsia="宋体" w:cs="宋体"/>
                <w:color w:val="auto"/>
                <w:sz w:val="24"/>
                <w:szCs w:val="24"/>
              </w:rPr>
              <w:t>浓度</w:t>
            </w:r>
            <w:r>
              <w:rPr>
                <w:rFonts w:hint="eastAsia" w:ascii="宋体" w:hAnsi="宋体" w:eastAsia="宋体" w:cs="宋体"/>
                <w:color w:val="auto"/>
                <w:sz w:val="24"/>
                <w:szCs w:val="24"/>
                <w:lang w:eastAsia="zh-CN"/>
              </w:rPr>
              <w:t>值</w:t>
            </w:r>
            <w:r>
              <w:rPr>
                <w:rFonts w:hint="eastAsia" w:ascii="宋体" w:hAnsi="宋体" w:eastAsia="宋体" w:cs="宋体"/>
                <w:color w:val="auto"/>
                <w:sz w:val="24"/>
                <w:szCs w:val="24"/>
              </w:rPr>
              <w:t>为</w:t>
            </w:r>
            <w:r>
              <w:rPr>
                <w:rFonts w:hint="eastAsia" w:ascii="宋体" w:hAnsi="宋体" w:eastAsia="宋体" w:cs="宋体"/>
                <w:color w:val="auto"/>
                <w:sz w:val="24"/>
                <w:szCs w:val="24"/>
                <w:lang w:val="en-US" w:eastAsia="zh-CN"/>
              </w:rPr>
              <w:t>0.72</w:t>
            </w:r>
            <w:r>
              <w:rPr>
                <w:rFonts w:hint="eastAsia" w:ascii="宋体" w:hAnsi="宋体" w:eastAsia="宋体" w:cs="宋体"/>
                <w:color w:val="auto"/>
                <w:sz w:val="24"/>
                <w:szCs w:val="24"/>
              </w:rPr>
              <w:t>mg/m</w:t>
            </w:r>
            <w:r>
              <w:rPr>
                <w:rFonts w:hint="eastAsia" w:ascii="宋体" w:hAnsi="宋体" w:eastAsia="宋体" w:cs="宋体"/>
                <w:color w:val="auto"/>
                <w:sz w:val="24"/>
                <w:szCs w:val="24"/>
                <w:vertAlign w:val="superscript"/>
              </w:rPr>
              <w:t>3</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能满足《河南省关于全省开展工业企业挥发性有机物专项治理工作中排放建议值的通知》（豫环攻坚办[2017]162号）、《挥发性有机物无组织排放控制标准》</w:t>
            </w:r>
            <w:r>
              <w:rPr>
                <w:rFonts w:hint="eastAsia" w:ascii="宋体" w:hAnsi="宋体" w:eastAsia="宋体" w:cs="宋体"/>
                <w:color w:val="auto"/>
                <w:sz w:val="24"/>
                <w:szCs w:val="24"/>
                <w:lang w:val="en-US" w:eastAsia="zh-CN"/>
              </w:rPr>
              <w:fldChar w:fldCharType="begin"/>
            </w:r>
            <w:r>
              <w:rPr>
                <w:rFonts w:hint="eastAsia" w:ascii="宋体" w:hAnsi="宋体" w:eastAsia="宋体" w:cs="宋体"/>
                <w:color w:val="auto"/>
                <w:sz w:val="24"/>
                <w:szCs w:val="24"/>
                <w:lang w:val="en-US" w:eastAsia="zh-CN"/>
              </w:rPr>
              <w:instrText xml:space="preserve"> HYPERLINK "http://kjs.mee.gov.cn/hjbhbz/bzwb/dqhjbh/dqgdwrywrwpfbz/201906/W020190606587693632696.pdf" </w:instrText>
            </w:r>
            <w:r>
              <w:rPr>
                <w:rFonts w:hint="eastAsia" w:ascii="宋体" w:hAnsi="宋体" w:eastAsia="宋体" w:cs="宋体"/>
                <w:color w:val="auto"/>
                <w:sz w:val="24"/>
                <w:szCs w:val="24"/>
                <w:lang w:val="en-US" w:eastAsia="zh-CN"/>
              </w:rPr>
              <w:fldChar w:fldCharType="separate"/>
            </w:r>
            <w:r>
              <w:rPr>
                <w:rFonts w:hint="eastAsia" w:ascii="宋体" w:hAnsi="宋体" w:eastAsia="宋体" w:cs="宋体"/>
                <w:color w:val="auto"/>
                <w:sz w:val="24"/>
                <w:szCs w:val="24"/>
                <w:lang w:val="en-US" w:eastAsia="zh-CN"/>
              </w:rPr>
              <w:t>（GB37822-2019）</w:t>
            </w:r>
            <w:r>
              <w:rPr>
                <w:rFonts w:hint="eastAsia" w:ascii="宋体" w:hAnsi="宋体" w:eastAsia="宋体" w:cs="宋体"/>
                <w:color w:val="auto"/>
                <w:sz w:val="24"/>
                <w:szCs w:val="24"/>
                <w:lang w:val="en-US" w:eastAsia="zh-CN"/>
              </w:rPr>
              <w:fldChar w:fldCharType="end"/>
            </w:r>
            <w:r>
              <w:rPr>
                <w:rFonts w:hint="eastAsia" w:ascii="宋体" w:hAnsi="宋体" w:eastAsia="宋体" w:cs="宋体"/>
                <w:color w:val="auto"/>
                <w:sz w:val="24"/>
                <w:szCs w:val="24"/>
                <w:lang w:val="en-US" w:eastAsia="zh-CN"/>
              </w:rPr>
              <w:t>的排放限值要求；甲苯和二甲苯有组织</w:t>
            </w:r>
            <w:r>
              <w:rPr>
                <w:rFonts w:hint="eastAsia" w:ascii="宋体" w:hAnsi="宋体" w:eastAsia="宋体" w:cs="宋体"/>
                <w:color w:val="auto"/>
                <w:sz w:val="24"/>
                <w:szCs w:val="24"/>
                <w:lang w:eastAsia="zh-CN"/>
              </w:rPr>
              <w:t>最大</w:t>
            </w:r>
            <w:r>
              <w:rPr>
                <w:rFonts w:hint="eastAsia" w:ascii="宋体" w:hAnsi="宋体" w:eastAsia="宋体" w:cs="宋体"/>
                <w:color w:val="auto"/>
                <w:sz w:val="24"/>
                <w:szCs w:val="24"/>
              </w:rPr>
              <w:t>浓度</w:t>
            </w:r>
            <w:r>
              <w:rPr>
                <w:rFonts w:hint="eastAsia" w:ascii="宋体" w:hAnsi="宋体" w:eastAsia="宋体" w:cs="宋体"/>
                <w:color w:val="auto"/>
                <w:sz w:val="24"/>
                <w:szCs w:val="24"/>
                <w:lang w:eastAsia="zh-CN"/>
              </w:rPr>
              <w:t>值</w:t>
            </w:r>
            <w:r>
              <w:rPr>
                <w:rFonts w:hint="eastAsia" w:ascii="宋体" w:hAnsi="宋体" w:eastAsia="宋体" w:cs="宋体"/>
                <w:color w:val="auto"/>
                <w:sz w:val="24"/>
                <w:szCs w:val="24"/>
                <w:lang w:val="en-US" w:eastAsia="zh-CN"/>
              </w:rPr>
              <w:t>分别</w:t>
            </w:r>
            <w:r>
              <w:rPr>
                <w:rFonts w:hint="eastAsia" w:ascii="宋体" w:hAnsi="宋体" w:eastAsia="宋体" w:cs="宋体"/>
                <w:color w:val="auto"/>
                <w:sz w:val="24"/>
                <w:szCs w:val="24"/>
              </w:rPr>
              <w:t>为</w:t>
            </w:r>
            <w:r>
              <w:rPr>
                <w:rFonts w:hint="eastAsia" w:ascii="宋体" w:hAnsi="宋体" w:eastAsia="宋体" w:cs="宋体"/>
                <w:color w:val="auto"/>
                <w:sz w:val="24"/>
                <w:szCs w:val="24"/>
                <w:lang w:val="en-US" w:eastAsia="zh-CN"/>
              </w:rPr>
              <w:t>0.0032</w:t>
            </w:r>
            <w:r>
              <w:rPr>
                <w:rFonts w:hint="eastAsia" w:ascii="宋体" w:hAnsi="宋体" w:eastAsia="宋体" w:cs="宋体"/>
                <w:color w:val="auto"/>
                <w:sz w:val="24"/>
                <w:szCs w:val="24"/>
              </w:rPr>
              <w:t>mg/m</w:t>
            </w:r>
            <w:r>
              <w:rPr>
                <w:rFonts w:hint="eastAsia" w:ascii="宋体" w:hAnsi="宋体" w:eastAsia="宋体" w:cs="宋体"/>
                <w:color w:val="auto"/>
                <w:sz w:val="24"/>
                <w:szCs w:val="24"/>
                <w:vertAlign w:val="superscript"/>
              </w:rPr>
              <w:t>3</w:t>
            </w:r>
            <w:r>
              <w:rPr>
                <w:rFonts w:hint="eastAsia" w:ascii="宋体" w:hAnsi="宋体" w:eastAsia="宋体" w:cs="宋体"/>
                <w:color w:val="auto"/>
                <w:sz w:val="24"/>
                <w:szCs w:val="24"/>
                <w:lang w:val="zh-CN"/>
              </w:rPr>
              <w:t>、</w:t>
            </w:r>
            <w:r>
              <w:rPr>
                <w:rFonts w:hint="eastAsia" w:ascii="宋体" w:hAnsi="宋体" w:eastAsia="宋体" w:cs="宋体"/>
                <w:color w:val="auto"/>
                <w:sz w:val="24"/>
                <w:szCs w:val="24"/>
                <w:lang w:val="en-US" w:eastAsia="zh-CN"/>
              </w:rPr>
              <w:t>0.0080</w:t>
            </w:r>
            <w:r>
              <w:rPr>
                <w:rFonts w:hint="eastAsia" w:ascii="宋体" w:hAnsi="宋体" w:eastAsia="宋体" w:cs="宋体"/>
                <w:color w:val="auto"/>
                <w:sz w:val="24"/>
                <w:szCs w:val="24"/>
              </w:rPr>
              <w:t>mg/m</w:t>
            </w:r>
            <w:r>
              <w:rPr>
                <w:rFonts w:hint="eastAsia" w:ascii="宋体" w:hAnsi="宋体" w:eastAsia="宋体" w:cs="宋体"/>
                <w:color w:val="auto"/>
                <w:sz w:val="24"/>
                <w:szCs w:val="24"/>
                <w:vertAlign w:val="superscript"/>
              </w:rPr>
              <w:t>3</w:t>
            </w:r>
            <w:r>
              <w:rPr>
                <w:rFonts w:hint="eastAsia" w:ascii="宋体" w:hAnsi="宋体" w:eastAsia="宋体" w:cs="宋体"/>
                <w:color w:val="auto"/>
                <w:sz w:val="24"/>
                <w:szCs w:val="24"/>
                <w:lang w:val="en-US" w:eastAsia="zh-CN"/>
              </w:rPr>
              <w:t>，能满足《河南省关于全省开展工业企业挥发性有机物专项治理工作中排放建议值的通知》（豫环攻坚办[2017]162号）的排放限值要求。</w:t>
            </w:r>
          </w:p>
          <w:p>
            <w:pPr>
              <w:widowControl w:val="0"/>
              <w:numPr>
                <w:ilvl w:val="0"/>
                <w:numId w:val="0"/>
              </w:numPr>
              <w:spacing w:after="143"/>
              <w:ind w:left="420" w:leftChars="0"/>
              <w:jc w:val="both"/>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噪声</w:t>
            </w:r>
          </w:p>
          <w:p>
            <w:pPr>
              <w:widowControl w:val="0"/>
              <w:spacing w:after="0" w:line="375" w:lineRule="auto"/>
              <w:ind w:firstLine="420"/>
              <w:jc w:val="both"/>
              <w:rPr>
                <w:rFonts w:ascii="宋体" w:hAnsi="宋体" w:eastAsia="宋体" w:cs="宋体"/>
                <w:sz w:val="24"/>
                <w:szCs w:val="24"/>
              </w:rPr>
            </w:pPr>
            <w:r>
              <w:rPr>
                <w:rFonts w:hint="eastAsia" w:ascii="宋体" w:hAnsi="宋体" w:eastAsia="宋体" w:cs="宋体"/>
                <w:color w:val="000000"/>
                <w:kern w:val="2"/>
                <w:sz w:val="24"/>
                <w:szCs w:val="22"/>
                <w:lang w:val="en-US" w:eastAsia="zh-CN" w:bidi="ar-SA"/>
              </w:rPr>
              <w:t>根据监测结果可知，</w:t>
            </w:r>
            <w:r>
              <w:rPr>
                <w:rFonts w:ascii="宋体" w:hAnsi="宋体" w:eastAsia="宋体" w:cs="宋体"/>
                <w:sz w:val="24"/>
                <w:szCs w:val="24"/>
              </w:rPr>
              <w:t>项目四周厂界噪声满足《工业企业厂界环境噪声排放标准》（GB12348-2008）中</w:t>
            </w:r>
            <w:r>
              <w:rPr>
                <w:rFonts w:hint="eastAsia" w:ascii="宋体" w:hAnsi="宋体" w:eastAsia="宋体" w:cs="宋体"/>
                <w:sz w:val="24"/>
                <w:szCs w:val="24"/>
                <w:lang w:eastAsia="zh-CN"/>
              </w:rPr>
              <w:t>的</w:t>
            </w:r>
            <w:r>
              <w:rPr>
                <w:rFonts w:hint="eastAsia" w:ascii="宋体" w:hAnsi="宋体" w:eastAsia="宋体" w:cs="宋体"/>
                <w:sz w:val="24"/>
                <w:szCs w:val="24"/>
                <w:lang w:val="en-US" w:eastAsia="zh-CN"/>
              </w:rPr>
              <w:t>2类</w:t>
            </w:r>
            <w:r>
              <w:rPr>
                <w:rFonts w:ascii="宋体" w:hAnsi="宋体" w:eastAsia="宋体" w:cs="宋体"/>
                <w:sz w:val="24"/>
                <w:szCs w:val="24"/>
              </w:rPr>
              <w:t>标准。</w:t>
            </w:r>
          </w:p>
          <w:p>
            <w:pPr>
              <w:widowControl w:val="0"/>
              <w:spacing w:after="0" w:line="375" w:lineRule="auto"/>
              <w:ind w:firstLine="420"/>
              <w:jc w:val="both"/>
              <w:rPr>
                <w:rFonts w:hint="eastAsia" w:ascii="宋体" w:hAnsi="宋体" w:eastAsia="宋体" w:cs="宋体"/>
                <w:color w:val="000000"/>
                <w:kern w:val="2"/>
                <w:sz w:val="24"/>
                <w:szCs w:val="22"/>
                <w:lang w:val="en-US" w:eastAsia="zh-CN" w:bidi="ar-SA"/>
              </w:rPr>
            </w:pPr>
            <w:r>
              <w:rPr>
                <w:rFonts w:hint="eastAsia" w:ascii="宋体" w:hAnsi="宋体" w:eastAsia="宋体" w:cs="宋体"/>
                <w:color w:val="000000"/>
                <w:kern w:val="2"/>
                <w:sz w:val="24"/>
                <w:szCs w:val="22"/>
                <w:lang w:val="en-US" w:eastAsia="zh-CN" w:bidi="ar-SA"/>
              </w:rPr>
              <w:t>（3）废水</w:t>
            </w:r>
          </w:p>
          <w:p>
            <w:pPr>
              <w:widowControl w:val="0"/>
              <w:spacing w:after="0" w:line="375" w:lineRule="auto"/>
              <w:ind w:firstLine="42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职工生活用水经厂区化粪池处理后用抽粪车定期清运，作为农家肥施用于农田；除漆雾循环废水属于危险废物，定期送资质单位处理处置。</w:t>
            </w:r>
          </w:p>
          <w:p>
            <w:pPr>
              <w:widowControl w:val="0"/>
              <w:spacing w:after="0" w:line="375" w:lineRule="auto"/>
              <w:ind w:firstLine="420"/>
              <w:jc w:val="both"/>
              <w:rPr>
                <w:rFonts w:hint="eastAsia"/>
                <w:color w:val="000000"/>
                <w:sz w:val="24"/>
                <w:szCs w:val="24"/>
                <w:lang w:eastAsia="zh-CN"/>
              </w:rPr>
            </w:pPr>
            <w:r>
              <w:rPr>
                <w:rFonts w:hint="eastAsia"/>
                <w:color w:val="000000"/>
                <w:sz w:val="24"/>
                <w:szCs w:val="24"/>
                <w:lang w:eastAsia="zh-CN"/>
              </w:rPr>
              <w:t>（</w:t>
            </w:r>
            <w:r>
              <w:rPr>
                <w:rFonts w:hint="eastAsia"/>
                <w:color w:val="000000"/>
                <w:sz w:val="24"/>
                <w:szCs w:val="24"/>
                <w:lang w:val="en-US" w:eastAsia="zh-CN"/>
              </w:rPr>
              <w:t>4</w:t>
            </w:r>
            <w:r>
              <w:rPr>
                <w:rFonts w:hint="eastAsia"/>
                <w:color w:val="000000"/>
                <w:sz w:val="24"/>
                <w:szCs w:val="24"/>
                <w:lang w:eastAsia="zh-CN"/>
              </w:rPr>
              <w:t>）固体废物</w:t>
            </w:r>
          </w:p>
          <w:p>
            <w:pPr>
              <w:widowControl w:val="0"/>
              <w:spacing w:after="0" w:line="375" w:lineRule="auto"/>
              <w:ind w:firstLine="420"/>
              <w:jc w:val="both"/>
              <w:rPr>
                <w:rFonts w:hint="eastAsia"/>
                <w:color w:val="000000"/>
                <w:sz w:val="24"/>
                <w:szCs w:val="24"/>
                <w:lang w:val="en-US" w:eastAsia="zh-CN"/>
              </w:rPr>
            </w:pPr>
            <w:r>
              <w:rPr>
                <w:rFonts w:hint="eastAsia" w:ascii="宋体" w:hAnsi="宋体" w:eastAsia="宋体" w:cs="宋体"/>
                <w:bCs/>
                <w:sz w:val="24"/>
                <w:szCs w:val="24"/>
                <w:lang w:val="en-US" w:eastAsia="zh-CN"/>
              </w:rPr>
              <w:t>边角料和焊烟净化器收集的粉尘外售给可以回收利用的单位，不外排；生活垃圾采用垃圾桶收集后交由环卫部门统一处理；</w:t>
            </w:r>
            <w:r>
              <w:rPr>
                <w:rFonts w:hint="eastAsia" w:ascii="宋体" w:hAnsi="宋体" w:eastAsia="宋体" w:cs="宋体"/>
                <w:sz w:val="24"/>
                <w:szCs w:val="24"/>
                <w:lang w:val="en-US" w:eastAsia="zh-CN"/>
              </w:rPr>
              <w:t>润滑油</w:t>
            </w:r>
            <w:r>
              <w:rPr>
                <w:rFonts w:hint="eastAsia" w:ascii="宋体" w:hAnsi="宋体" w:eastAsia="宋体" w:cs="宋体"/>
                <w:sz w:val="24"/>
                <w:szCs w:val="24"/>
                <w:lang w:val="en-GB"/>
              </w:rPr>
              <w:t>、</w:t>
            </w:r>
            <w:r>
              <w:rPr>
                <w:rFonts w:hint="eastAsia" w:ascii="宋体" w:hAnsi="宋体" w:eastAsia="宋体" w:cs="宋体"/>
                <w:sz w:val="24"/>
                <w:szCs w:val="24"/>
                <w:lang w:val="en-US" w:eastAsia="zh-CN"/>
              </w:rPr>
              <w:t>切削液</w:t>
            </w:r>
            <w:r>
              <w:rPr>
                <w:rFonts w:hint="eastAsia" w:ascii="宋体" w:hAnsi="宋体" w:eastAsia="宋体" w:cs="宋体"/>
                <w:sz w:val="24"/>
                <w:szCs w:val="24"/>
                <w:lang w:val="en-GB"/>
              </w:rPr>
              <w:t>、废油漆桶、漆渣、废UV灯管、</w:t>
            </w:r>
            <w:r>
              <w:rPr>
                <w:rFonts w:hint="eastAsia" w:ascii="宋体" w:hAnsi="宋体" w:eastAsia="宋体" w:cs="宋体"/>
                <w:sz w:val="24"/>
                <w:szCs w:val="24"/>
              </w:rPr>
              <w:t>除漆雾循环水</w:t>
            </w:r>
            <w:r>
              <w:rPr>
                <w:rFonts w:hint="eastAsia" w:ascii="宋体" w:hAnsi="宋体" w:eastAsia="宋体" w:cs="宋体"/>
                <w:sz w:val="24"/>
                <w:szCs w:val="24"/>
                <w:lang w:val="en-GB"/>
              </w:rPr>
              <w:t>及废活性炭</w:t>
            </w:r>
            <w:r>
              <w:rPr>
                <w:rFonts w:hint="eastAsia" w:ascii="宋体" w:hAnsi="宋体" w:eastAsia="宋体" w:cs="宋体"/>
                <w:sz w:val="24"/>
                <w:szCs w:val="24"/>
                <w:lang w:val="en-US" w:eastAsia="zh-CN"/>
              </w:rPr>
              <w:t>在</w:t>
            </w:r>
            <w:r>
              <w:rPr>
                <w:rFonts w:hint="eastAsia" w:ascii="宋体" w:hAnsi="宋体" w:eastAsia="宋体" w:cs="宋体"/>
                <w:bCs/>
                <w:sz w:val="24"/>
                <w:szCs w:val="24"/>
                <w:lang w:val="en-US" w:eastAsia="zh-CN"/>
              </w:rPr>
              <w:t>在危废暂存间暂存（</w:t>
            </w:r>
            <w:r>
              <w:rPr>
                <w:rFonts w:hint="eastAsia" w:ascii="宋体" w:hAnsi="宋体" w:eastAsia="宋体" w:cs="宋体"/>
                <w:sz w:val="24"/>
                <w:szCs w:val="24"/>
              </w:rPr>
              <w:t>20m</w:t>
            </w:r>
            <w:r>
              <w:rPr>
                <w:rFonts w:hint="eastAsia" w:ascii="宋体" w:hAnsi="宋体" w:eastAsia="宋体" w:cs="宋体"/>
                <w:sz w:val="24"/>
                <w:szCs w:val="24"/>
                <w:vertAlign w:val="superscript"/>
              </w:rPr>
              <w:t>2</w:t>
            </w:r>
            <w:r>
              <w:rPr>
                <w:rFonts w:hint="eastAsia" w:ascii="宋体" w:hAnsi="宋体" w:eastAsia="宋体" w:cs="宋体"/>
                <w:bCs/>
                <w:sz w:val="24"/>
                <w:szCs w:val="24"/>
                <w:lang w:val="en-US" w:eastAsia="zh-CN"/>
              </w:rPr>
              <w:t>）</w:t>
            </w:r>
            <w:r>
              <w:rPr>
                <w:rFonts w:hint="eastAsia" w:ascii="宋体" w:hAnsi="宋体" w:eastAsia="宋体" w:cs="宋体"/>
                <w:sz w:val="24"/>
                <w:szCs w:val="24"/>
                <w:lang w:val="en-US" w:eastAsia="zh-CN"/>
              </w:rPr>
              <w:t>，定期委托危险废物处置单位处置</w:t>
            </w:r>
            <w:r>
              <w:rPr>
                <w:rFonts w:hint="eastAsia" w:ascii="宋体" w:hAnsi="宋体" w:eastAsia="宋体" w:cs="宋体"/>
                <w:sz w:val="24"/>
                <w:szCs w:val="22"/>
                <w:lang w:val="en-US" w:eastAsia="zh-CN"/>
              </w:rPr>
              <w:t>。</w:t>
            </w:r>
          </w:p>
          <w:p>
            <w:pPr>
              <w:widowControl w:val="0"/>
              <w:spacing w:after="0" w:line="375" w:lineRule="auto"/>
              <w:ind w:firstLine="420"/>
              <w:jc w:val="both"/>
              <w:rPr>
                <w:rFonts w:hint="eastAsia"/>
                <w:color w:val="000000"/>
                <w:sz w:val="24"/>
                <w:szCs w:val="24"/>
                <w:lang w:val="en-US" w:eastAsia="zh-CN"/>
              </w:rPr>
            </w:pPr>
            <w:r>
              <w:rPr>
                <w:rFonts w:hint="eastAsia" w:ascii="宋体" w:hAnsi="宋体" w:eastAsia="宋体" w:cs="宋体"/>
                <w:sz w:val="24"/>
                <w:szCs w:val="24"/>
                <w:lang w:val="en-US" w:eastAsia="zh-CN"/>
              </w:rPr>
              <w:t>5、</w:t>
            </w:r>
            <w:r>
              <w:rPr>
                <w:rFonts w:hint="eastAsia"/>
                <w:color w:val="000000"/>
                <w:sz w:val="24"/>
                <w:szCs w:val="24"/>
                <w:lang w:val="en-US" w:eastAsia="zh-CN"/>
              </w:rPr>
              <w:t>总量</w:t>
            </w:r>
          </w:p>
          <w:p>
            <w:pPr>
              <w:pStyle w:val="5"/>
              <w:widowControl w:val="0"/>
              <w:spacing w:line="360" w:lineRule="auto"/>
              <w:ind w:firstLine="480" w:firstLineChars="200"/>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t>本项目不涉及二氧化硫和氮氧化物废气。本项目</w:t>
            </w:r>
            <w:r>
              <w:rPr>
                <w:rFonts w:hint="eastAsia" w:asciiTheme="minorEastAsia" w:hAnsiTheme="minorEastAsia" w:eastAsiaTheme="minorEastAsia" w:cstheme="minorEastAsia"/>
                <w:color w:val="auto"/>
                <w:sz w:val="24"/>
                <w:szCs w:val="24"/>
                <w:lang w:val="en-US" w:eastAsia="zh-CN"/>
              </w:rPr>
              <w:t>不产生废水，不涉及</w:t>
            </w:r>
            <w:r>
              <w:rPr>
                <w:rFonts w:hint="eastAsia" w:asciiTheme="minorEastAsia" w:hAnsiTheme="minorEastAsia" w:eastAsiaTheme="minorEastAsia" w:cstheme="minorEastAsia"/>
                <w:color w:val="auto"/>
                <w:sz w:val="24"/>
              </w:rPr>
              <w:t xml:space="preserve"> COD</w:t>
            </w:r>
            <w:r>
              <w:rPr>
                <w:rFonts w:hint="eastAsia" w:asciiTheme="minorEastAsia" w:hAnsiTheme="minorEastAsia" w:eastAsiaTheme="minorEastAsia" w:cstheme="minorEastAsia"/>
                <w:color w:val="auto"/>
                <w:sz w:val="24"/>
                <w:lang w:val="en-US" w:eastAsia="zh-CN"/>
              </w:rPr>
              <w:t>和</w:t>
            </w:r>
            <w:r>
              <w:rPr>
                <w:rFonts w:hint="eastAsia" w:asciiTheme="minorEastAsia" w:hAnsiTheme="minorEastAsia" w:eastAsiaTheme="minorEastAsia" w:cstheme="minorEastAsia"/>
                <w:color w:val="auto"/>
                <w:sz w:val="24"/>
              </w:rPr>
              <w:t>NH</w:t>
            </w:r>
            <w:r>
              <w:rPr>
                <w:rFonts w:hint="eastAsia" w:asciiTheme="minorEastAsia" w:hAnsiTheme="minorEastAsia" w:eastAsiaTheme="minorEastAsia" w:cstheme="minorEastAsia"/>
                <w:color w:val="auto"/>
                <w:sz w:val="24"/>
                <w:vertAlign w:val="subscript"/>
              </w:rPr>
              <w:t>3</w:t>
            </w:r>
            <w:r>
              <w:rPr>
                <w:rFonts w:hint="eastAsia" w:asciiTheme="minorEastAsia" w:hAnsiTheme="minorEastAsia" w:eastAsiaTheme="minorEastAsia" w:cstheme="minorEastAsia"/>
                <w:color w:val="auto"/>
                <w:sz w:val="24"/>
              </w:rPr>
              <w:t>-N</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szCs w:val="24"/>
              </w:rPr>
              <w:t>特征污染因子</w:t>
            </w:r>
            <w:r>
              <w:rPr>
                <w:rFonts w:hint="eastAsia" w:asciiTheme="minorEastAsia" w:hAnsiTheme="minorEastAsia" w:eastAsiaTheme="minorEastAsia" w:cstheme="minorEastAsia"/>
                <w:color w:val="auto"/>
                <w:sz w:val="24"/>
                <w:szCs w:val="24"/>
                <w:lang w:val="en-US" w:eastAsia="zh-CN"/>
              </w:rPr>
              <w:t>挥发性有机物排放量为0.1459</w:t>
            </w:r>
            <w:r>
              <w:rPr>
                <w:rFonts w:hint="eastAsia" w:asciiTheme="minorEastAsia" w:hAnsiTheme="minorEastAsia" w:eastAsiaTheme="minorEastAsia" w:cstheme="minorEastAsia"/>
                <w:color w:val="auto"/>
                <w:sz w:val="24"/>
                <w:szCs w:val="24"/>
              </w:rPr>
              <w:t>t/a</w:t>
            </w:r>
            <w:r>
              <w:rPr>
                <w:rFonts w:hint="eastAsia" w:asciiTheme="minorEastAsia" w:hAnsiTheme="minorEastAsia" w:eastAsiaTheme="minorEastAsia" w:cstheme="minorEastAsia"/>
                <w:color w:val="auto"/>
                <w:sz w:val="24"/>
                <w:szCs w:val="24"/>
                <w:lang w:eastAsia="zh-CN"/>
              </w:rPr>
              <w:t>。</w:t>
            </w:r>
          </w:p>
          <w:p>
            <w:pPr>
              <w:widowControl w:val="0"/>
              <w:numPr>
                <w:ilvl w:val="0"/>
                <w:numId w:val="0"/>
              </w:numPr>
              <w:spacing w:after="146"/>
              <w:ind w:left="420" w:leftChars="0"/>
              <w:jc w:val="both"/>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结论</w:t>
            </w:r>
          </w:p>
          <w:p>
            <w:pPr>
              <w:widowControl w:val="0"/>
              <w:spacing w:after="10" w:line="358" w:lineRule="auto"/>
              <w:ind w:firstLine="420"/>
              <w:jc w:val="both"/>
              <w:rPr>
                <w:rFonts w:hint="eastAsia" w:ascii="宋体" w:hAnsi="宋体" w:eastAsia="宋体" w:cs="宋体"/>
                <w:sz w:val="24"/>
                <w:szCs w:val="24"/>
              </w:rPr>
            </w:pPr>
            <w:r>
              <w:rPr>
                <w:rFonts w:hint="eastAsia" w:ascii="宋体" w:hAnsi="宋体" w:eastAsia="宋体" w:cs="宋体"/>
                <w:sz w:val="24"/>
                <w:szCs w:val="24"/>
              </w:rPr>
              <w:t>在项目验收监测期间，</w:t>
            </w:r>
            <w:r>
              <w:rPr>
                <w:rFonts w:hint="eastAsia" w:ascii="宋体" w:hAnsi="宋体" w:eastAsia="宋体" w:cs="宋体"/>
                <w:bCs/>
                <w:sz w:val="24"/>
                <w:szCs w:val="24"/>
                <w:lang w:val="en-GB" w:eastAsia="zh-CN"/>
              </w:rPr>
              <w:t>鹤壁市广睿科技有限公司</w:t>
            </w:r>
            <w:r>
              <w:rPr>
                <w:rFonts w:hint="eastAsia" w:ascii="宋体" w:hAnsi="宋体" w:eastAsia="宋体" w:cs="宋体"/>
                <w:sz w:val="24"/>
                <w:szCs w:val="24"/>
              </w:rPr>
              <w:t>环保措施落实到位，各项污染物低于相关标准限值，符合环保竣工验收的相关要求。</w:t>
            </w:r>
          </w:p>
          <w:p>
            <w:pPr>
              <w:widowControl w:val="0"/>
              <w:numPr>
                <w:ilvl w:val="0"/>
                <w:numId w:val="0"/>
              </w:numPr>
              <w:spacing w:after="143"/>
              <w:ind w:left="420" w:leftChars="0"/>
              <w:jc w:val="both"/>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建议</w:t>
            </w:r>
          </w:p>
          <w:p>
            <w:pPr>
              <w:widowControl w:val="0"/>
              <w:spacing w:after="0" w:line="360" w:lineRule="auto"/>
              <w:ind w:firstLine="420"/>
              <w:jc w:val="both"/>
              <w:rPr>
                <w:rFonts w:hint="eastAsia" w:ascii="宋体" w:hAnsi="宋体" w:eastAsia="宋体" w:cs="宋体"/>
                <w:sz w:val="24"/>
                <w:szCs w:val="24"/>
              </w:rPr>
            </w:pPr>
            <w:r>
              <w:rPr>
                <w:rFonts w:hint="eastAsia" w:ascii="宋体" w:hAnsi="宋体" w:eastAsia="宋体" w:cs="宋体"/>
                <w:sz w:val="24"/>
                <w:szCs w:val="24"/>
              </w:rPr>
              <w:t>建议该公司加强环保设施日常管理，保障设施正常运行并做到稳定达标排放。</w:t>
            </w:r>
          </w:p>
          <w:p>
            <w:pPr>
              <w:widowControl w:val="0"/>
              <w:spacing w:after="131"/>
              <w:ind w:left="420"/>
              <w:jc w:val="both"/>
              <w:rPr>
                <w:rFonts w:hint="eastAsia" w:asciiTheme="minorEastAsia" w:hAnsiTheme="minorEastAsia" w:eastAsiaTheme="minorEastAsia" w:cstheme="minorEastAsia"/>
                <w:sz w:val="24"/>
                <w:szCs w:val="24"/>
              </w:rPr>
            </w:pPr>
            <w:r>
              <w:rPr>
                <w:rFonts w:hint="eastAsia" w:ascii="宋体" w:hAnsi="宋体" w:eastAsia="宋体" w:cs="宋体"/>
                <w:sz w:val="24"/>
                <w:szCs w:val="24"/>
              </w:rPr>
              <w:t>如检验方法、检验设备等生产情况有大的变动，应及时向有关部门申报。</w:t>
            </w:r>
          </w:p>
          <w:p>
            <w:pPr>
              <w:pStyle w:val="16"/>
              <w:jc w:val="both"/>
              <w:rPr>
                <w:rFonts w:hint="eastAsia" w:asciiTheme="minorEastAsia" w:hAnsiTheme="minorEastAsia" w:eastAsiaTheme="minorEastAsia" w:cstheme="minorEastAsia"/>
                <w:sz w:val="24"/>
                <w:szCs w:val="24"/>
              </w:rPr>
            </w:pPr>
          </w:p>
          <w:p>
            <w:pPr>
              <w:pStyle w:val="16"/>
              <w:jc w:val="both"/>
              <w:rPr>
                <w:rFonts w:hint="eastAsia" w:asciiTheme="minorEastAsia" w:hAnsiTheme="minorEastAsia" w:eastAsiaTheme="minorEastAsia" w:cstheme="minorEastAsia"/>
                <w:sz w:val="24"/>
                <w:szCs w:val="24"/>
              </w:rPr>
            </w:pPr>
          </w:p>
          <w:p>
            <w:pPr>
              <w:pStyle w:val="16"/>
              <w:jc w:val="both"/>
              <w:rPr>
                <w:rFonts w:hint="eastAsia" w:asciiTheme="minorEastAsia" w:hAnsiTheme="minorEastAsia" w:eastAsiaTheme="minorEastAsia" w:cstheme="minorEastAsia"/>
                <w:sz w:val="24"/>
                <w:szCs w:val="24"/>
              </w:rPr>
            </w:pPr>
          </w:p>
          <w:p>
            <w:pPr>
              <w:pStyle w:val="16"/>
              <w:jc w:val="both"/>
              <w:rPr>
                <w:rFonts w:hint="eastAsia" w:asciiTheme="minorEastAsia" w:hAnsiTheme="minorEastAsia" w:eastAsiaTheme="minorEastAsia" w:cstheme="minorEastAsia"/>
                <w:sz w:val="24"/>
                <w:szCs w:val="24"/>
              </w:rPr>
            </w:pPr>
          </w:p>
          <w:p>
            <w:pPr>
              <w:pStyle w:val="16"/>
              <w:jc w:val="both"/>
              <w:rPr>
                <w:rFonts w:hint="eastAsia" w:asciiTheme="minorEastAsia" w:hAnsiTheme="minorEastAsia" w:eastAsiaTheme="minorEastAsia" w:cstheme="minorEastAsia"/>
                <w:sz w:val="24"/>
                <w:szCs w:val="24"/>
              </w:rPr>
            </w:pPr>
          </w:p>
          <w:p>
            <w:pPr>
              <w:pStyle w:val="16"/>
              <w:jc w:val="both"/>
              <w:rPr>
                <w:rFonts w:hint="eastAsia" w:asciiTheme="minorEastAsia" w:hAnsiTheme="minorEastAsia" w:eastAsiaTheme="minorEastAsia" w:cstheme="minorEastAsia"/>
                <w:sz w:val="24"/>
                <w:szCs w:val="24"/>
              </w:rPr>
            </w:pPr>
          </w:p>
          <w:p>
            <w:pPr>
              <w:pStyle w:val="16"/>
              <w:jc w:val="both"/>
              <w:rPr>
                <w:rFonts w:hint="eastAsia" w:asciiTheme="minorEastAsia" w:hAnsiTheme="minorEastAsia" w:eastAsiaTheme="minorEastAsia" w:cstheme="minorEastAsia"/>
                <w:sz w:val="24"/>
                <w:szCs w:val="24"/>
              </w:rPr>
            </w:pPr>
          </w:p>
          <w:p>
            <w:pPr>
              <w:pStyle w:val="16"/>
              <w:jc w:val="both"/>
              <w:rPr>
                <w:rFonts w:hint="eastAsia" w:asciiTheme="minorEastAsia" w:hAnsiTheme="minorEastAsia" w:eastAsiaTheme="minorEastAsia" w:cstheme="minorEastAsia"/>
                <w:sz w:val="24"/>
                <w:szCs w:val="24"/>
              </w:rPr>
            </w:pPr>
          </w:p>
          <w:p>
            <w:pPr>
              <w:pStyle w:val="16"/>
              <w:jc w:val="both"/>
              <w:rPr>
                <w:rFonts w:hint="eastAsia" w:asciiTheme="minorEastAsia" w:hAnsiTheme="minorEastAsia" w:eastAsiaTheme="minorEastAsia" w:cstheme="minorEastAsia"/>
                <w:sz w:val="24"/>
                <w:szCs w:val="24"/>
              </w:rPr>
            </w:pPr>
          </w:p>
          <w:p>
            <w:pPr>
              <w:pStyle w:val="16"/>
              <w:jc w:val="both"/>
              <w:rPr>
                <w:rFonts w:hint="eastAsia" w:asciiTheme="minorEastAsia" w:hAnsiTheme="minorEastAsia" w:eastAsiaTheme="minorEastAsia" w:cstheme="minorEastAsia"/>
                <w:sz w:val="24"/>
                <w:szCs w:val="24"/>
              </w:rPr>
            </w:pPr>
          </w:p>
          <w:p>
            <w:pPr>
              <w:pStyle w:val="16"/>
              <w:jc w:val="both"/>
              <w:rPr>
                <w:rFonts w:hint="eastAsia" w:asciiTheme="minorEastAsia" w:hAnsiTheme="minorEastAsia" w:eastAsiaTheme="minorEastAsia" w:cstheme="minorEastAsia"/>
                <w:sz w:val="24"/>
                <w:szCs w:val="24"/>
              </w:rPr>
            </w:pPr>
          </w:p>
          <w:p>
            <w:pPr>
              <w:pStyle w:val="16"/>
              <w:jc w:val="both"/>
              <w:rPr>
                <w:rFonts w:hint="eastAsia" w:asciiTheme="minorEastAsia" w:hAnsiTheme="minorEastAsia" w:eastAsiaTheme="minorEastAsia" w:cstheme="minorEastAsia"/>
                <w:sz w:val="24"/>
                <w:szCs w:val="24"/>
              </w:rPr>
            </w:pPr>
          </w:p>
          <w:p>
            <w:pPr>
              <w:widowControl w:val="0"/>
              <w:spacing w:after="0"/>
              <w:jc w:val="both"/>
              <w:rPr>
                <w:rFonts w:ascii="仿宋" w:hAnsi="仿宋" w:eastAsia="仿宋" w:cs="仿宋"/>
                <w:sz w:val="21"/>
                <w:vertAlign w:val="baseline"/>
              </w:rPr>
            </w:pPr>
          </w:p>
          <w:p>
            <w:pPr>
              <w:widowControl w:val="0"/>
              <w:spacing w:after="0"/>
              <w:jc w:val="both"/>
              <w:rPr>
                <w:rFonts w:ascii="仿宋" w:hAnsi="仿宋" w:eastAsia="仿宋" w:cs="仿宋"/>
                <w:sz w:val="21"/>
                <w:vertAlign w:val="baseline"/>
              </w:rPr>
            </w:pPr>
          </w:p>
          <w:p>
            <w:pPr>
              <w:widowControl w:val="0"/>
              <w:spacing w:after="0"/>
              <w:jc w:val="both"/>
              <w:rPr>
                <w:rFonts w:ascii="仿宋" w:hAnsi="仿宋" w:eastAsia="仿宋" w:cs="仿宋"/>
                <w:sz w:val="21"/>
                <w:vertAlign w:val="baseline"/>
              </w:rPr>
            </w:pPr>
          </w:p>
        </w:tc>
      </w:tr>
    </w:tbl>
    <w:p>
      <w:pPr>
        <w:sectPr>
          <w:footerReference r:id="rId12" w:type="first"/>
          <w:footerReference r:id="rId10" w:type="default"/>
          <w:footerReference r:id="rId11" w:type="even"/>
          <w:pgSz w:w="11906" w:h="16838"/>
          <w:pgMar w:top="1085" w:right="1439" w:bottom="604" w:left="1596" w:header="720" w:footer="720" w:gutter="0"/>
          <w:pgBorders>
            <w:top w:val="none" w:sz="0" w:space="0"/>
            <w:left w:val="none" w:sz="0" w:space="0"/>
            <w:bottom w:val="none" w:sz="0" w:space="0"/>
            <w:right w:val="none" w:sz="0" w:space="0"/>
          </w:pgBorders>
          <w:pgNumType w:fmt="decimal"/>
          <w:cols w:space="720" w:num="1"/>
        </w:sectPr>
      </w:pPr>
    </w:p>
    <w:p>
      <w:pPr>
        <w:spacing w:after="0" w:afterLines="0" w:line="300" w:lineRule="exact"/>
        <w:jc w:val="center"/>
        <w:rPr>
          <w:rFonts w:eastAsia="黑体"/>
          <w:b/>
          <w:color w:val="000000"/>
          <w:sz w:val="21"/>
          <w:szCs w:val="21"/>
        </w:rPr>
      </w:pPr>
      <w:r>
        <w:rPr>
          <w:rFonts w:eastAsia="黑体"/>
          <w:b/>
          <w:color w:val="000000"/>
          <w:sz w:val="21"/>
          <w:szCs w:val="21"/>
        </w:rPr>
        <w:t>建设项目竣工环境保护</w:t>
      </w:r>
      <w:r>
        <w:rPr>
          <w:rFonts w:hint="eastAsia" w:eastAsia="黑体"/>
          <w:b/>
          <w:color w:val="000000"/>
          <w:sz w:val="21"/>
          <w:szCs w:val="21"/>
        </w:rPr>
        <w:t>“</w:t>
      </w:r>
      <w:r>
        <w:rPr>
          <w:rFonts w:eastAsia="黑体"/>
          <w:b/>
          <w:color w:val="000000"/>
          <w:sz w:val="21"/>
          <w:szCs w:val="21"/>
        </w:rPr>
        <w:t>三同时</w:t>
      </w:r>
      <w:r>
        <w:rPr>
          <w:rFonts w:hint="eastAsia" w:eastAsia="黑体"/>
          <w:b/>
          <w:color w:val="000000"/>
          <w:sz w:val="21"/>
          <w:szCs w:val="21"/>
        </w:rPr>
        <w:t>”</w:t>
      </w:r>
      <w:r>
        <w:rPr>
          <w:rFonts w:eastAsia="黑体"/>
          <w:b/>
          <w:color w:val="000000"/>
          <w:sz w:val="21"/>
          <w:szCs w:val="21"/>
        </w:rPr>
        <w:t>验收登记表</w:t>
      </w:r>
    </w:p>
    <w:p>
      <w:pPr>
        <w:spacing w:after="0" w:afterLines="0" w:line="300" w:lineRule="exact"/>
        <w:jc w:val="center"/>
        <w:rPr>
          <w:rFonts w:eastAsia="黑体"/>
          <w:b/>
          <w:color w:val="000000"/>
          <w:sz w:val="21"/>
          <w:szCs w:val="21"/>
        </w:rPr>
      </w:pPr>
    </w:p>
    <w:p>
      <w:pPr>
        <w:spacing w:after="0" w:afterLines="0"/>
        <w:rPr>
          <w:rFonts w:ascii="宋体" w:hAnsi="宋体" w:eastAsia="宋体"/>
          <w:b/>
          <w:color w:val="000000"/>
          <w:sz w:val="21"/>
          <w:szCs w:val="21"/>
        </w:rPr>
      </w:pPr>
      <w:r>
        <w:rPr>
          <w:rFonts w:ascii="宋体" w:hAnsi="宋体" w:eastAsia="宋体"/>
          <w:b/>
          <w:color w:val="000000"/>
          <w:sz w:val="21"/>
          <w:szCs w:val="21"/>
        </w:rPr>
        <w:t>填表单位（盖章）</w:t>
      </w:r>
      <w:r>
        <w:rPr>
          <w:rFonts w:ascii="宋体" w:hAnsi="宋体" w:eastAsia="宋体"/>
          <w:b/>
          <w:color w:val="000000"/>
          <w:kern w:val="2"/>
          <w:sz w:val="21"/>
          <w:szCs w:val="21"/>
        </w:rPr>
        <w:t>：</w:t>
      </w:r>
      <w:r>
        <w:rPr>
          <w:rFonts w:ascii="宋体" w:hAnsi="宋体" w:eastAsia="宋体"/>
          <w:b/>
          <w:color w:val="000000"/>
          <w:sz w:val="21"/>
          <w:szCs w:val="21"/>
        </w:rPr>
        <w:t xml:space="preserve">                  填表人（签字）：                              项目经办人（签字）：</w:t>
      </w:r>
    </w:p>
    <w:tbl>
      <w:tblPr>
        <w:tblStyle w:val="12"/>
        <w:tblW w:w="1587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30"/>
        <w:gridCol w:w="168"/>
        <w:gridCol w:w="1099"/>
        <w:gridCol w:w="697"/>
        <w:gridCol w:w="828"/>
        <w:gridCol w:w="1379"/>
        <w:gridCol w:w="1097"/>
        <w:gridCol w:w="987"/>
        <w:gridCol w:w="6"/>
        <w:gridCol w:w="511"/>
        <w:gridCol w:w="588"/>
        <w:gridCol w:w="1137"/>
        <w:gridCol w:w="1189"/>
        <w:gridCol w:w="1593"/>
        <w:gridCol w:w="1027"/>
        <w:gridCol w:w="690"/>
        <w:gridCol w:w="554"/>
        <w:gridCol w:w="1102"/>
        <w:gridCol w:w="277"/>
        <w:gridCol w:w="51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restart"/>
            <w:noWrap w:val="0"/>
            <w:tcMar>
              <w:left w:w="57" w:type="dxa"/>
              <w:right w:w="57" w:type="dxa"/>
            </w:tcMar>
            <w:textDirection w:val="tbRlV"/>
            <w:vAlign w:val="center"/>
          </w:tcPr>
          <w:p>
            <w:pPr>
              <w:spacing w:after="0" w:afterLines="0"/>
              <w:ind w:left="113" w:right="113"/>
              <w:jc w:val="center"/>
              <w:rPr>
                <w:b/>
                <w:color w:val="000000"/>
                <w:kern w:val="2"/>
                <w:sz w:val="15"/>
                <w:szCs w:val="15"/>
              </w:rPr>
            </w:pPr>
            <w:r>
              <w:rPr>
                <w:b/>
                <w:color w:val="000000"/>
                <w:kern w:val="2"/>
                <w:sz w:val="15"/>
                <w:szCs w:val="15"/>
              </w:rPr>
              <w:t>建设项目</w:t>
            </w:r>
          </w:p>
        </w:tc>
        <w:tc>
          <w:tcPr>
            <w:tcW w:w="1964" w:type="dxa"/>
            <w:gridSpan w:val="3"/>
            <w:noWrap w:val="0"/>
            <w:tcMar>
              <w:left w:w="57" w:type="dxa"/>
              <w:right w:w="57" w:type="dxa"/>
            </w:tcMar>
            <w:vAlign w:val="center"/>
          </w:tcPr>
          <w:p>
            <w:pPr>
              <w:spacing w:after="0" w:afterLines="0"/>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项目名称</w:t>
            </w:r>
          </w:p>
        </w:tc>
        <w:tc>
          <w:tcPr>
            <w:tcW w:w="5396" w:type="dxa"/>
            <w:gridSpan w:val="7"/>
            <w:noWrap w:val="0"/>
            <w:tcMar>
              <w:left w:w="57" w:type="dxa"/>
              <w:right w:w="57" w:type="dxa"/>
            </w:tcMar>
            <w:vAlign w:val="top"/>
          </w:tcPr>
          <w:p>
            <w:pPr>
              <w:spacing w:after="0" w:afterLines="0"/>
              <w:rPr>
                <w:rFonts w:hint="eastAsia" w:ascii="宋体" w:hAnsi="宋体" w:eastAsia="宋体" w:cs="宋体"/>
                <w:sz w:val="18"/>
                <w:szCs w:val="18"/>
                <w:lang w:val="en-US" w:eastAsia="zh-CN"/>
              </w:rPr>
            </w:pPr>
            <w:r>
              <w:rPr>
                <w:rFonts w:hint="eastAsia" w:ascii="宋体" w:hAnsi="宋体" w:eastAsia="宋体" w:cs="宋体"/>
                <w:sz w:val="18"/>
                <w:szCs w:val="18"/>
                <w:lang w:val="en-GB" w:eastAsia="zh-CN"/>
              </w:rPr>
              <w:t>年产2000套灯光雕刻、标示标牌喷漆喷塑生产线建设项目</w:t>
            </w:r>
          </w:p>
        </w:tc>
        <w:tc>
          <w:tcPr>
            <w:tcW w:w="2326" w:type="dxa"/>
            <w:gridSpan w:val="2"/>
            <w:noWrap w:val="0"/>
            <w:tcMar>
              <w:left w:w="57" w:type="dxa"/>
              <w:right w:w="57" w:type="dxa"/>
            </w:tcMar>
            <w:vAlign w:val="center"/>
          </w:tcPr>
          <w:p>
            <w:pPr>
              <w:spacing w:after="0" w:afterLines="0"/>
              <w:rPr>
                <w:rFonts w:hint="eastAsia" w:eastAsia="宋体"/>
                <w:b/>
                <w:color w:val="000000"/>
                <w:kern w:val="2"/>
                <w:sz w:val="15"/>
                <w:szCs w:val="15"/>
                <w:lang w:eastAsia="zh-CN"/>
              </w:rPr>
            </w:pPr>
            <w:r>
              <w:rPr>
                <w:rFonts w:hint="eastAsia"/>
                <w:b/>
                <w:color w:val="000000"/>
                <w:kern w:val="2"/>
                <w:sz w:val="15"/>
                <w:szCs w:val="15"/>
              </w:rPr>
              <w:t>项</w:t>
            </w:r>
            <w:r>
              <w:rPr>
                <w:b/>
                <w:color w:val="000000"/>
                <w:kern w:val="2"/>
                <w:sz w:val="15"/>
                <w:szCs w:val="15"/>
              </w:rPr>
              <w:t>目</w:t>
            </w:r>
            <w:r>
              <w:rPr>
                <w:rFonts w:hint="eastAsia" w:eastAsia="宋体"/>
                <w:b/>
                <w:color w:val="000000"/>
                <w:kern w:val="2"/>
                <w:sz w:val="15"/>
                <w:szCs w:val="15"/>
                <w:lang w:val="en-US" w:eastAsia="zh-CN"/>
              </w:rPr>
              <w:t>代码</w:t>
            </w:r>
          </w:p>
        </w:tc>
        <w:tc>
          <w:tcPr>
            <w:tcW w:w="1593" w:type="dxa"/>
            <w:noWrap w:val="0"/>
            <w:tcMar>
              <w:left w:w="57" w:type="dxa"/>
              <w:right w:w="57" w:type="dxa"/>
            </w:tcMar>
            <w:vAlign w:val="top"/>
          </w:tcPr>
          <w:p>
            <w:pPr>
              <w:spacing w:after="0" w:afterLines="0"/>
              <w:rPr>
                <w:rFonts w:hint="default" w:eastAsia="宋体"/>
                <w:color w:val="000000"/>
                <w:kern w:val="2"/>
                <w:sz w:val="15"/>
                <w:szCs w:val="15"/>
                <w:lang w:val="en-US" w:eastAsia="zh-CN"/>
              </w:rPr>
            </w:pPr>
            <w:r>
              <w:rPr>
                <w:rFonts w:hint="eastAsia" w:ascii="宋体" w:hAnsi="宋体" w:eastAsia="宋体" w:cs="宋体"/>
                <w:sz w:val="18"/>
                <w:szCs w:val="18"/>
                <w:lang w:val="en-GB" w:eastAsia="zh-CN"/>
              </w:rPr>
              <w:t>2020-410611-24-03-091596</w:t>
            </w:r>
          </w:p>
        </w:tc>
        <w:tc>
          <w:tcPr>
            <w:tcW w:w="1717" w:type="dxa"/>
            <w:gridSpan w:val="2"/>
            <w:noWrap w:val="0"/>
            <w:tcMar>
              <w:left w:w="57" w:type="dxa"/>
              <w:right w:w="57" w:type="dxa"/>
            </w:tcMar>
            <w:vAlign w:val="top"/>
          </w:tcPr>
          <w:p>
            <w:pPr>
              <w:spacing w:after="0" w:afterLines="0"/>
              <w:rPr>
                <w:color w:val="000000"/>
                <w:kern w:val="2"/>
                <w:sz w:val="15"/>
                <w:szCs w:val="15"/>
              </w:rPr>
            </w:pPr>
            <w:r>
              <w:rPr>
                <w:b/>
                <w:color w:val="000000"/>
                <w:kern w:val="2"/>
                <w:sz w:val="15"/>
                <w:szCs w:val="15"/>
              </w:rPr>
              <w:t>建设地点</w:t>
            </w:r>
          </w:p>
        </w:tc>
        <w:tc>
          <w:tcPr>
            <w:tcW w:w="2450" w:type="dxa"/>
            <w:gridSpan w:val="4"/>
            <w:noWrap w:val="0"/>
            <w:tcMar>
              <w:left w:w="57" w:type="dxa"/>
              <w:right w:w="57" w:type="dxa"/>
            </w:tcMar>
            <w:vAlign w:val="top"/>
          </w:tcPr>
          <w:p>
            <w:pPr>
              <w:spacing w:after="0" w:afterLines="0"/>
              <w:rPr>
                <w:color w:val="000000"/>
                <w:kern w:val="2"/>
                <w:sz w:val="15"/>
                <w:szCs w:val="15"/>
              </w:rPr>
            </w:pPr>
            <w:r>
              <w:rPr>
                <w:rFonts w:hint="eastAsia" w:ascii="宋体" w:hAnsi="宋体" w:eastAsia="宋体" w:cs="宋体"/>
                <w:sz w:val="18"/>
                <w:szCs w:val="18"/>
                <w:lang w:val="en-GB" w:eastAsia="zh-CN"/>
              </w:rPr>
              <w:t>鹤壁市淇滨区锯桥镇冢儿章村原宏光节能建材厂内</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noWrap w:val="0"/>
            <w:tcMar>
              <w:left w:w="57" w:type="dxa"/>
              <w:right w:w="57" w:type="dxa"/>
            </w:tcMar>
            <w:vAlign w:val="center"/>
          </w:tcPr>
          <w:p>
            <w:pPr>
              <w:spacing w:after="0" w:afterLines="0"/>
              <w:rPr>
                <w:color w:val="000000"/>
                <w:kern w:val="2"/>
                <w:sz w:val="15"/>
                <w:szCs w:val="15"/>
              </w:rPr>
            </w:pPr>
          </w:p>
        </w:tc>
        <w:tc>
          <w:tcPr>
            <w:tcW w:w="1964" w:type="dxa"/>
            <w:gridSpan w:val="3"/>
            <w:noWrap w:val="0"/>
            <w:tcMar>
              <w:left w:w="57" w:type="dxa"/>
              <w:right w:w="57" w:type="dxa"/>
            </w:tcMar>
            <w:vAlign w:val="center"/>
          </w:tcPr>
          <w:p>
            <w:pPr>
              <w:spacing w:after="0" w:afterLines="0"/>
              <w:rPr>
                <w:color w:val="000000"/>
                <w:kern w:val="2"/>
                <w:sz w:val="15"/>
                <w:szCs w:val="15"/>
              </w:rPr>
            </w:pPr>
            <w:r>
              <w:rPr>
                <w:b/>
                <w:color w:val="000000"/>
                <w:kern w:val="2"/>
                <w:sz w:val="15"/>
                <w:szCs w:val="15"/>
              </w:rPr>
              <w:t>行业类别（分类管理</w:t>
            </w:r>
            <w:r>
              <w:rPr>
                <w:rFonts w:hint="eastAsia"/>
                <w:b/>
                <w:color w:val="000000"/>
                <w:kern w:val="2"/>
                <w:sz w:val="15"/>
                <w:szCs w:val="15"/>
              </w:rPr>
              <w:t>名录</w:t>
            </w:r>
            <w:r>
              <w:rPr>
                <w:b/>
                <w:color w:val="000000"/>
                <w:kern w:val="2"/>
                <w:sz w:val="15"/>
                <w:szCs w:val="15"/>
              </w:rPr>
              <w:t>）</w:t>
            </w:r>
          </w:p>
        </w:tc>
        <w:tc>
          <w:tcPr>
            <w:tcW w:w="5396" w:type="dxa"/>
            <w:gridSpan w:val="7"/>
            <w:noWrap w:val="0"/>
            <w:tcMar>
              <w:left w:w="57" w:type="dxa"/>
              <w:right w:w="57" w:type="dxa"/>
            </w:tcMar>
            <w:vAlign w:val="top"/>
          </w:tcPr>
          <w:p>
            <w:pPr>
              <w:spacing w:after="0" w:afterLines="0"/>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金属制品</w:t>
            </w:r>
            <w:r>
              <w:rPr>
                <w:rFonts w:hint="eastAsia" w:ascii="宋体" w:hAnsi="宋体" w:eastAsia="宋体" w:cs="宋体"/>
                <w:sz w:val="18"/>
                <w:szCs w:val="18"/>
                <w:lang w:val="zh-CN" w:eastAsia="zh-CN"/>
              </w:rPr>
              <w:t>业</w:t>
            </w:r>
          </w:p>
        </w:tc>
        <w:tc>
          <w:tcPr>
            <w:tcW w:w="2326" w:type="dxa"/>
            <w:gridSpan w:val="2"/>
            <w:noWrap w:val="0"/>
            <w:tcMar>
              <w:left w:w="57" w:type="dxa"/>
              <w:right w:w="57" w:type="dxa"/>
            </w:tcMar>
            <w:vAlign w:val="center"/>
          </w:tcPr>
          <w:p>
            <w:pPr>
              <w:spacing w:after="0" w:afterLines="0"/>
              <w:rPr>
                <w:b/>
                <w:color w:val="000000"/>
                <w:kern w:val="2"/>
                <w:sz w:val="15"/>
                <w:szCs w:val="15"/>
              </w:rPr>
            </w:pPr>
            <w:r>
              <w:rPr>
                <w:b/>
                <w:color w:val="000000"/>
                <w:kern w:val="2"/>
                <w:sz w:val="15"/>
                <w:szCs w:val="15"/>
              </w:rPr>
              <w:t>建设性质</w:t>
            </w:r>
          </w:p>
        </w:tc>
        <w:tc>
          <w:tcPr>
            <w:tcW w:w="3310" w:type="dxa"/>
            <w:gridSpan w:val="3"/>
            <w:noWrap w:val="0"/>
            <w:tcMar>
              <w:left w:w="57" w:type="dxa"/>
              <w:right w:w="57" w:type="dxa"/>
            </w:tcMar>
            <w:vAlign w:val="top"/>
          </w:tcPr>
          <w:p>
            <w:pPr>
              <w:spacing w:after="0" w:afterLines="0"/>
              <w:rPr>
                <w:color w:val="000000"/>
                <w:kern w:val="2"/>
                <w:sz w:val="15"/>
                <w:szCs w:val="15"/>
              </w:rPr>
            </w:pPr>
            <w:r>
              <w:rPr>
                <w:b/>
                <w:color w:val="000000"/>
                <w:kern w:val="2"/>
                <w:sz w:val="15"/>
                <w:szCs w:val="15"/>
              </w:rPr>
              <w:t xml:space="preserve">□新建  </w:t>
            </w:r>
            <w:r>
              <w:rPr>
                <w:b/>
                <w:color w:val="000000"/>
                <w:kern w:val="2"/>
                <w:sz w:val="15"/>
                <w:szCs w:val="15"/>
              </w:rPr>
              <w:sym w:font="Wingdings 2" w:char="0052"/>
            </w:r>
            <w:r>
              <w:rPr>
                <w:b/>
                <w:color w:val="000000"/>
                <w:kern w:val="2"/>
                <w:sz w:val="15"/>
                <w:szCs w:val="15"/>
              </w:rPr>
              <w:t>改扩建  □技术改造</w:t>
            </w:r>
          </w:p>
        </w:tc>
        <w:tc>
          <w:tcPr>
            <w:tcW w:w="1933" w:type="dxa"/>
            <w:gridSpan w:val="3"/>
            <w:noWrap w:val="0"/>
            <w:tcMar>
              <w:left w:w="57" w:type="dxa"/>
              <w:right w:w="57" w:type="dxa"/>
            </w:tcMar>
            <w:vAlign w:val="top"/>
          </w:tcPr>
          <w:p>
            <w:pPr>
              <w:spacing w:after="0" w:afterLines="0"/>
              <w:rPr>
                <w:b/>
                <w:color w:val="000000"/>
                <w:kern w:val="2"/>
                <w:sz w:val="15"/>
                <w:szCs w:val="15"/>
              </w:rPr>
            </w:pPr>
            <w:r>
              <w:rPr>
                <w:rFonts w:hint="eastAsia"/>
                <w:b/>
                <w:color w:val="000000"/>
                <w:kern w:val="2"/>
                <w:sz w:val="15"/>
                <w:szCs w:val="15"/>
              </w:rPr>
              <w:t>项目厂区中心经度/纬度</w:t>
            </w:r>
          </w:p>
        </w:tc>
        <w:tc>
          <w:tcPr>
            <w:tcW w:w="517" w:type="dxa"/>
            <w:noWrap w:val="0"/>
            <w:tcMar>
              <w:left w:w="57" w:type="dxa"/>
              <w:right w:w="57" w:type="dxa"/>
            </w:tcMar>
            <w:vAlign w:val="top"/>
          </w:tcPr>
          <w:p>
            <w:pPr>
              <w:spacing w:after="0" w:afterLines="0"/>
              <w:rPr>
                <w:color w:val="000000"/>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noWrap w:val="0"/>
            <w:tcMar>
              <w:left w:w="57" w:type="dxa"/>
              <w:right w:w="57" w:type="dxa"/>
            </w:tcMar>
            <w:vAlign w:val="center"/>
          </w:tcPr>
          <w:p>
            <w:pPr>
              <w:spacing w:after="0" w:afterLines="0"/>
              <w:rPr>
                <w:color w:val="000000"/>
                <w:kern w:val="2"/>
                <w:sz w:val="15"/>
                <w:szCs w:val="15"/>
              </w:rPr>
            </w:pPr>
          </w:p>
        </w:tc>
        <w:tc>
          <w:tcPr>
            <w:tcW w:w="1964" w:type="dxa"/>
            <w:gridSpan w:val="3"/>
            <w:noWrap w:val="0"/>
            <w:tcMar>
              <w:left w:w="57" w:type="dxa"/>
              <w:right w:w="57" w:type="dxa"/>
            </w:tcMar>
            <w:vAlign w:val="center"/>
          </w:tcPr>
          <w:p>
            <w:pPr>
              <w:spacing w:after="0" w:afterLines="0"/>
              <w:rPr>
                <w:color w:val="000000"/>
                <w:kern w:val="2"/>
                <w:sz w:val="15"/>
                <w:szCs w:val="15"/>
              </w:rPr>
            </w:pPr>
            <w:r>
              <w:rPr>
                <w:b/>
                <w:color w:val="000000"/>
                <w:kern w:val="2"/>
                <w:sz w:val="15"/>
                <w:szCs w:val="15"/>
              </w:rPr>
              <w:t>设计生产能力</w:t>
            </w:r>
          </w:p>
        </w:tc>
        <w:tc>
          <w:tcPr>
            <w:tcW w:w="5396" w:type="dxa"/>
            <w:gridSpan w:val="7"/>
            <w:noWrap w:val="0"/>
            <w:tcMar>
              <w:left w:w="57" w:type="dxa"/>
              <w:right w:w="57" w:type="dxa"/>
            </w:tcMar>
            <w:vAlign w:val="top"/>
          </w:tcPr>
          <w:p>
            <w:pPr>
              <w:spacing w:after="0" w:afterLines="0"/>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年产</w:t>
            </w:r>
            <w:r>
              <w:rPr>
                <w:rFonts w:hint="eastAsia" w:ascii="宋体" w:hAnsi="宋体" w:eastAsia="宋体" w:cs="宋体"/>
                <w:sz w:val="18"/>
                <w:szCs w:val="18"/>
                <w:lang w:val="en-GB" w:eastAsia="zh-CN"/>
              </w:rPr>
              <w:t>2000套灯光雕刻、标示标牌，</w:t>
            </w:r>
            <w:r>
              <w:rPr>
                <w:rFonts w:hint="eastAsia" w:ascii="宋体" w:hAnsi="宋体" w:eastAsia="宋体" w:cs="宋体"/>
                <w:sz w:val="18"/>
                <w:szCs w:val="18"/>
                <w:lang w:val="en-US" w:eastAsia="zh-CN"/>
              </w:rPr>
              <w:t>并对</w:t>
            </w:r>
            <w:r>
              <w:rPr>
                <w:rFonts w:hint="eastAsia" w:ascii="宋体" w:hAnsi="宋体" w:eastAsia="宋体" w:cs="宋体"/>
                <w:sz w:val="18"/>
                <w:szCs w:val="18"/>
                <w:lang w:val="en-GB" w:eastAsia="zh-CN"/>
              </w:rPr>
              <w:t>2000套</w:t>
            </w:r>
            <w:r>
              <w:rPr>
                <w:rFonts w:hint="eastAsia" w:ascii="宋体" w:hAnsi="宋体" w:eastAsia="宋体" w:cs="宋体"/>
                <w:sz w:val="18"/>
                <w:szCs w:val="18"/>
                <w:lang w:val="en-US" w:eastAsia="zh-CN"/>
              </w:rPr>
              <w:t>产品</w:t>
            </w:r>
            <w:r>
              <w:rPr>
                <w:rFonts w:hint="eastAsia" w:ascii="宋体" w:hAnsi="宋体" w:eastAsia="宋体" w:cs="宋体"/>
                <w:sz w:val="18"/>
                <w:szCs w:val="18"/>
                <w:lang w:val="en-GB" w:eastAsia="zh-CN"/>
              </w:rPr>
              <w:t>喷漆</w:t>
            </w:r>
            <w:r>
              <w:rPr>
                <w:rFonts w:hint="eastAsia" w:ascii="宋体" w:hAnsi="宋体" w:eastAsia="宋体" w:cs="宋体"/>
                <w:sz w:val="18"/>
                <w:szCs w:val="18"/>
                <w:lang w:val="en-US" w:eastAsia="zh-CN"/>
              </w:rPr>
              <w:t>或</w:t>
            </w:r>
            <w:r>
              <w:rPr>
                <w:rFonts w:hint="eastAsia" w:ascii="宋体" w:hAnsi="宋体" w:eastAsia="宋体" w:cs="宋体"/>
                <w:sz w:val="18"/>
                <w:szCs w:val="18"/>
                <w:lang w:val="en-GB" w:eastAsia="zh-CN"/>
              </w:rPr>
              <w:t>喷塑</w:t>
            </w:r>
          </w:p>
        </w:tc>
        <w:tc>
          <w:tcPr>
            <w:tcW w:w="2326" w:type="dxa"/>
            <w:gridSpan w:val="2"/>
            <w:noWrap w:val="0"/>
            <w:tcMar>
              <w:left w:w="57" w:type="dxa"/>
              <w:right w:w="57" w:type="dxa"/>
            </w:tcMar>
            <w:vAlign w:val="top"/>
          </w:tcPr>
          <w:p>
            <w:pPr>
              <w:spacing w:after="0" w:afterLines="0"/>
              <w:rPr>
                <w:color w:val="000000"/>
                <w:kern w:val="2"/>
                <w:sz w:val="15"/>
                <w:szCs w:val="15"/>
              </w:rPr>
            </w:pPr>
            <w:r>
              <w:rPr>
                <w:b/>
                <w:color w:val="000000"/>
                <w:kern w:val="2"/>
                <w:sz w:val="15"/>
                <w:szCs w:val="15"/>
              </w:rPr>
              <w:t>实际生产能力</w:t>
            </w:r>
          </w:p>
        </w:tc>
        <w:tc>
          <w:tcPr>
            <w:tcW w:w="1593" w:type="dxa"/>
            <w:noWrap w:val="0"/>
            <w:tcMar>
              <w:left w:w="57" w:type="dxa"/>
              <w:right w:w="57" w:type="dxa"/>
            </w:tcMar>
            <w:vAlign w:val="center"/>
          </w:tcPr>
          <w:p>
            <w:pPr>
              <w:spacing w:after="0" w:afterLines="0"/>
              <w:rPr>
                <w:b/>
                <w:color w:val="000000"/>
                <w:kern w:val="2"/>
                <w:sz w:val="15"/>
                <w:szCs w:val="15"/>
              </w:rPr>
            </w:pPr>
            <w:r>
              <w:rPr>
                <w:rFonts w:hint="eastAsia" w:ascii="宋体" w:hAnsi="宋体" w:eastAsia="宋体" w:cs="宋体"/>
                <w:sz w:val="18"/>
                <w:szCs w:val="18"/>
                <w:lang w:val="en-US" w:eastAsia="zh-CN"/>
              </w:rPr>
              <w:t>年产</w:t>
            </w:r>
            <w:r>
              <w:rPr>
                <w:rFonts w:hint="eastAsia" w:ascii="宋体" w:hAnsi="宋体" w:eastAsia="宋体" w:cs="宋体"/>
                <w:sz w:val="18"/>
                <w:szCs w:val="18"/>
                <w:lang w:val="en-GB" w:eastAsia="zh-CN"/>
              </w:rPr>
              <w:t>2000套灯光雕刻、标示标牌，</w:t>
            </w:r>
            <w:r>
              <w:rPr>
                <w:rFonts w:hint="eastAsia" w:ascii="宋体" w:hAnsi="宋体" w:eastAsia="宋体" w:cs="宋体"/>
                <w:sz w:val="18"/>
                <w:szCs w:val="18"/>
                <w:lang w:val="en-US" w:eastAsia="zh-CN"/>
              </w:rPr>
              <w:t>并对</w:t>
            </w:r>
            <w:r>
              <w:rPr>
                <w:rFonts w:hint="eastAsia" w:ascii="宋体" w:hAnsi="宋体" w:eastAsia="宋体" w:cs="宋体"/>
                <w:sz w:val="18"/>
                <w:szCs w:val="18"/>
                <w:lang w:val="en-GB" w:eastAsia="zh-CN"/>
              </w:rPr>
              <w:t>2000套</w:t>
            </w:r>
            <w:r>
              <w:rPr>
                <w:rFonts w:hint="eastAsia" w:ascii="宋体" w:hAnsi="宋体" w:eastAsia="宋体" w:cs="宋体"/>
                <w:sz w:val="18"/>
                <w:szCs w:val="18"/>
                <w:lang w:val="en-US" w:eastAsia="zh-CN"/>
              </w:rPr>
              <w:t>产品</w:t>
            </w:r>
            <w:r>
              <w:rPr>
                <w:rFonts w:hint="eastAsia" w:ascii="宋体" w:hAnsi="宋体" w:eastAsia="宋体" w:cs="宋体"/>
                <w:sz w:val="18"/>
                <w:szCs w:val="18"/>
                <w:lang w:val="en-GB" w:eastAsia="zh-CN"/>
              </w:rPr>
              <w:t>喷漆</w:t>
            </w:r>
            <w:r>
              <w:rPr>
                <w:rFonts w:hint="eastAsia" w:ascii="宋体" w:hAnsi="宋体" w:eastAsia="宋体" w:cs="宋体"/>
                <w:sz w:val="18"/>
                <w:szCs w:val="18"/>
                <w:lang w:val="en-US" w:eastAsia="zh-CN"/>
              </w:rPr>
              <w:t>或</w:t>
            </w:r>
            <w:r>
              <w:rPr>
                <w:rFonts w:hint="eastAsia" w:ascii="宋体" w:hAnsi="宋体" w:eastAsia="宋体" w:cs="宋体"/>
                <w:sz w:val="18"/>
                <w:szCs w:val="18"/>
                <w:lang w:val="en-GB" w:eastAsia="zh-CN"/>
              </w:rPr>
              <w:t>喷塑</w:t>
            </w:r>
          </w:p>
        </w:tc>
        <w:tc>
          <w:tcPr>
            <w:tcW w:w="1717" w:type="dxa"/>
            <w:gridSpan w:val="2"/>
            <w:noWrap w:val="0"/>
            <w:tcMar>
              <w:left w:w="57" w:type="dxa"/>
              <w:right w:w="57" w:type="dxa"/>
            </w:tcMar>
            <w:vAlign w:val="top"/>
          </w:tcPr>
          <w:p>
            <w:pPr>
              <w:spacing w:after="0" w:afterLines="0"/>
              <w:rPr>
                <w:color w:val="000000"/>
                <w:kern w:val="2"/>
                <w:sz w:val="15"/>
                <w:szCs w:val="15"/>
              </w:rPr>
            </w:pPr>
            <w:r>
              <w:rPr>
                <w:b/>
                <w:color w:val="000000"/>
                <w:kern w:val="2"/>
                <w:sz w:val="15"/>
                <w:szCs w:val="15"/>
              </w:rPr>
              <w:t>环评单位</w:t>
            </w:r>
          </w:p>
        </w:tc>
        <w:tc>
          <w:tcPr>
            <w:tcW w:w="2450" w:type="dxa"/>
            <w:gridSpan w:val="4"/>
            <w:noWrap w:val="0"/>
            <w:tcMar>
              <w:left w:w="57" w:type="dxa"/>
              <w:right w:w="57" w:type="dxa"/>
            </w:tcMar>
            <w:vAlign w:val="top"/>
          </w:tcPr>
          <w:p>
            <w:pPr>
              <w:spacing w:after="0" w:afterLines="0"/>
              <w:rPr>
                <w:color w:val="000000"/>
                <w:kern w:val="2"/>
                <w:sz w:val="15"/>
                <w:szCs w:val="15"/>
              </w:rPr>
            </w:pPr>
            <w:r>
              <w:rPr>
                <w:rFonts w:hint="eastAsia" w:ascii="宋体" w:hAnsi="宋体" w:eastAsia="宋体" w:cs="宋体"/>
                <w:sz w:val="18"/>
                <w:szCs w:val="18"/>
                <w:lang w:val="en-US" w:eastAsia="zh-CN"/>
              </w:rPr>
              <w:t>河南省欣耀盈环保科技有限公司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noWrap w:val="0"/>
            <w:tcMar>
              <w:left w:w="57" w:type="dxa"/>
              <w:right w:w="57" w:type="dxa"/>
            </w:tcMar>
            <w:vAlign w:val="center"/>
          </w:tcPr>
          <w:p>
            <w:pPr>
              <w:spacing w:after="0" w:afterLines="0"/>
              <w:rPr>
                <w:color w:val="000000"/>
                <w:kern w:val="2"/>
                <w:sz w:val="15"/>
                <w:szCs w:val="15"/>
              </w:rPr>
            </w:pPr>
          </w:p>
        </w:tc>
        <w:tc>
          <w:tcPr>
            <w:tcW w:w="1964" w:type="dxa"/>
            <w:gridSpan w:val="3"/>
            <w:noWrap w:val="0"/>
            <w:tcMar>
              <w:left w:w="57" w:type="dxa"/>
              <w:right w:w="57" w:type="dxa"/>
            </w:tcMar>
            <w:vAlign w:val="center"/>
          </w:tcPr>
          <w:p>
            <w:pPr>
              <w:spacing w:after="0" w:afterLines="0"/>
              <w:rPr>
                <w:color w:val="000000"/>
                <w:kern w:val="2"/>
                <w:sz w:val="15"/>
                <w:szCs w:val="15"/>
              </w:rPr>
            </w:pPr>
            <w:r>
              <w:rPr>
                <w:b/>
                <w:color w:val="000000"/>
                <w:kern w:val="2"/>
                <w:sz w:val="15"/>
                <w:szCs w:val="15"/>
              </w:rPr>
              <w:t>环评文件审批机关</w:t>
            </w:r>
          </w:p>
        </w:tc>
        <w:tc>
          <w:tcPr>
            <w:tcW w:w="5396" w:type="dxa"/>
            <w:gridSpan w:val="7"/>
            <w:noWrap w:val="0"/>
            <w:tcMar>
              <w:left w:w="57" w:type="dxa"/>
              <w:right w:w="57" w:type="dxa"/>
            </w:tcMar>
            <w:vAlign w:val="top"/>
          </w:tcPr>
          <w:p>
            <w:pPr>
              <w:spacing w:after="0" w:afterLines="0"/>
              <w:rPr>
                <w:rFonts w:hint="eastAsia" w:ascii="宋体" w:hAnsi="宋体" w:eastAsia="宋体" w:cs="宋体"/>
                <w:sz w:val="18"/>
                <w:szCs w:val="18"/>
                <w:lang w:eastAsia="zh-CN"/>
              </w:rPr>
            </w:pPr>
            <w:r>
              <w:rPr>
                <w:rFonts w:hint="eastAsia" w:ascii="宋体" w:hAnsi="宋体" w:eastAsia="宋体" w:cs="宋体"/>
                <w:sz w:val="18"/>
                <w:szCs w:val="18"/>
                <w:lang w:val="en-US" w:eastAsia="zh-CN"/>
              </w:rPr>
              <w:t>鹤壁市生态环境局</w:t>
            </w:r>
          </w:p>
        </w:tc>
        <w:tc>
          <w:tcPr>
            <w:tcW w:w="2326" w:type="dxa"/>
            <w:gridSpan w:val="2"/>
            <w:noWrap w:val="0"/>
            <w:tcMar>
              <w:left w:w="57" w:type="dxa"/>
              <w:right w:w="57" w:type="dxa"/>
            </w:tcMar>
            <w:vAlign w:val="center"/>
          </w:tcPr>
          <w:p>
            <w:pPr>
              <w:spacing w:after="0" w:afterLines="0"/>
              <w:rPr>
                <w:b/>
                <w:color w:val="000000"/>
                <w:kern w:val="2"/>
                <w:sz w:val="15"/>
                <w:szCs w:val="15"/>
              </w:rPr>
            </w:pPr>
            <w:r>
              <w:rPr>
                <w:b/>
                <w:color w:val="000000"/>
                <w:kern w:val="2"/>
                <w:sz w:val="15"/>
                <w:szCs w:val="15"/>
              </w:rPr>
              <w:t>审批文号</w:t>
            </w:r>
          </w:p>
        </w:tc>
        <w:tc>
          <w:tcPr>
            <w:tcW w:w="1593" w:type="dxa"/>
            <w:noWrap w:val="0"/>
            <w:tcMar>
              <w:left w:w="57" w:type="dxa"/>
              <w:right w:w="57" w:type="dxa"/>
            </w:tcMar>
            <w:vAlign w:val="top"/>
          </w:tcPr>
          <w:p>
            <w:pPr>
              <w:spacing w:after="0" w:afterLines="0"/>
              <w:rPr>
                <w:color w:val="000000"/>
                <w:kern w:val="2"/>
                <w:sz w:val="15"/>
                <w:szCs w:val="15"/>
              </w:rPr>
            </w:pPr>
            <w:r>
              <w:rPr>
                <w:rFonts w:hint="eastAsia" w:ascii="宋体" w:hAnsi="宋体" w:eastAsia="宋体" w:cs="宋体"/>
                <w:sz w:val="18"/>
                <w:szCs w:val="18"/>
                <w:lang w:val="en-US" w:eastAsia="zh-CN"/>
              </w:rPr>
              <w:t>鹤环监表（2021）053号</w:t>
            </w:r>
          </w:p>
        </w:tc>
        <w:tc>
          <w:tcPr>
            <w:tcW w:w="1717" w:type="dxa"/>
            <w:gridSpan w:val="2"/>
            <w:noWrap w:val="0"/>
            <w:tcMar>
              <w:left w:w="57" w:type="dxa"/>
              <w:right w:w="57" w:type="dxa"/>
            </w:tcMar>
            <w:vAlign w:val="center"/>
          </w:tcPr>
          <w:p>
            <w:pPr>
              <w:spacing w:after="0" w:afterLines="0"/>
              <w:rPr>
                <w:b/>
                <w:color w:val="000000"/>
                <w:kern w:val="2"/>
                <w:sz w:val="15"/>
                <w:szCs w:val="15"/>
              </w:rPr>
            </w:pPr>
            <w:r>
              <w:rPr>
                <w:rFonts w:hint="eastAsia"/>
                <w:b/>
                <w:color w:val="000000"/>
                <w:kern w:val="2"/>
                <w:sz w:val="15"/>
                <w:szCs w:val="15"/>
              </w:rPr>
              <w:t>环评</w:t>
            </w:r>
            <w:r>
              <w:rPr>
                <w:b/>
                <w:color w:val="000000"/>
                <w:kern w:val="2"/>
                <w:sz w:val="15"/>
                <w:szCs w:val="15"/>
              </w:rPr>
              <w:t>文件</w:t>
            </w:r>
            <w:r>
              <w:rPr>
                <w:rFonts w:hint="eastAsia"/>
                <w:b/>
                <w:color w:val="000000"/>
                <w:kern w:val="2"/>
                <w:sz w:val="15"/>
                <w:szCs w:val="15"/>
              </w:rPr>
              <w:t>类型</w:t>
            </w:r>
          </w:p>
        </w:tc>
        <w:tc>
          <w:tcPr>
            <w:tcW w:w="2450" w:type="dxa"/>
            <w:gridSpan w:val="4"/>
            <w:noWrap w:val="0"/>
            <w:tcMar>
              <w:left w:w="57" w:type="dxa"/>
              <w:right w:w="57" w:type="dxa"/>
            </w:tcMar>
            <w:vAlign w:val="top"/>
          </w:tcPr>
          <w:p>
            <w:pPr>
              <w:spacing w:after="0" w:afterLines="0"/>
              <w:rPr>
                <w:rFonts w:hint="eastAsia" w:eastAsia="宋体"/>
                <w:color w:val="000000"/>
                <w:kern w:val="2"/>
                <w:sz w:val="15"/>
                <w:szCs w:val="15"/>
                <w:lang w:eastAsia="zh-CN"/>
              </w:rPr>
            </w:pPr>
            <w:r>
              <w:rPr>
                <w:rFonts w:hint="eastAsia" w:ascii="宋体" w:hAnsi="宋体" w:eastAsia="宋体" w:cs="宋体"/>
                <w:sz w:val="18"/>
                <w:szCs w:val="18"/>
                <w:lang w:eastAsia="zh-CN"/>
              </w:rPr>
              <w:t>环境影响报告</w:t>
            </w:r>
            <w:r>
              <w:rPr>
                <w:rFonts w:hint="eastAsia" w:ascii="宋体" w:hAnsi="宋体" w:eastAsia="宋体" w:cs="宋体"/>
                <w:sz w:val="18"/>
                <w:szCs w:val="18"/>
                <w:lang w:val="en-US" w:eastAsia="zh-CN"/>
              </w:rPr>
              <w:t>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81" w:hRule="atLeast"/>
          <w:jc w:val="center"/>
        </w:trPr>
        <w:tc>
          <w:tcPr>
            <w:tcW w:w="430" w:type="dxa"/>
            <w:vMerge w:val="continue"/>
            <w:noWrap w:val="0"/>
            <w:tcMar>
              <w:left w:w="57" w:type="dxa"/>
              <w:right w:w="57" w:type="dxa"/>
            </w:tcMar>
            <w:vAlign w:val="center"/>
          </w:tcPr>
          <w:p>
            <w:pPr>
              <w:spacing w:after="0" w:afterLines="0"/>
              <w:rPr>
                <w:color w:val="000000"/>
                <w:kern w:val="2"/>
                <w:sz w:val="15"/>
                <w:szCs w:val="15"/>
              </w:rPr>
            </w:pPr>
          </w:p>
        </w:tc>
        <w:tc>
          <w:tcPr>
            <w:tcW w:w="1964" w:type="dxa"/>
            <w:gridSpan w:val="3"/>
            <w:noWrap w:val="0"/>
            <w:tcMar>
              <w:left w:w="57" w:type="dxa"/>
              <w:right w:w="57" w:type="dxa"/>
            </w:tcMar>
            <w:vAlign w:val="center"/>
          </w:tcPr>
          <w:p>
            <w:pPr>
              <w:spacing w:after="0" w:afterLines="0"/>
              <w:rPr>
                <w:color w:val="auto"/>
                <w:kern w:val="2"/>
                <w:sz w:val="15"/>
                <w:szCs w:val="15"/>
              </w:rPr>
            </w:pPr>
            <w:r>
              <w:rPr>
                <w:b/>
                <w:color w:val="auto"/>
                <w:kern w:val="2"/>
                <w:sz w:val="15"/>
                <w:szCs w:val="15"/>
              </w:rPr>
              <w:t>开工日期</w:t>
            </w:r>
          </w:p>
        </w:tc>
        <w:tc>
          <w:tcPr>
            <w:tcW w:w="5396" w:type="dxa"/>
            <w:gridSpan w:val="7"/>
            <w:noWrap w:val="0"/>
            <w:tcMar>
              <w:left w:w="57" w:type="dxa"/>
              <w:right w:w="57" w:type="dxa"/>
            </w:tcMar>
            <w:vAlign w:val="center"/>
          </w:tcPr>
          <w:p>
            <w:pPr>
              <w:spacing w:after="0" w:afterLines="0"/>
              <w:rPr>
                <w:rFonts w:hint="default" w:ascii="宋体" w:hAnsi="宋体" w:eastAsia="宋体" w:cs="宋体"/>
                <w:color w:val="auto"/>
                <w:sz w:val="18"/>
                <w:szCs w:val="18"/>
                <w:lang w:val="en-US" w:eastAsia="zh-CN"/>
              </w:rPr>
            </w:pPr>
            <w:r>
              <w:rPr>
                <w:rFonts w:hint="eastAsia" w:ascii="宋体" w:hAnsi="宋体" w:eastAsia="宋体" w:cs="宋体"/>
                <w:color w:val="auto"/>
                <w:sz w:val="18"/>
                <w:szCs w:val="18"/>
                <w:lang w:eastAsia="zh-CN"/>
              </w:rPr>
              <w:t>20</w:t>
            </w:r>
            <w:r>
              <w:rPr>
                <w:rFonts w:hint="eastAsia" w:ascii="宋体" w:hAnsi="宋体" w:eastAsia="宋体" w:cs="宋体"/>
                <w:color w:val="auto"/>
                <w:sz w:val="18"/>
                <w:szCs w:val="18"/>
                <w:lang w:val="en-US" w:eastAsia="zh-CN"/>
              </w:rPr>
              <w:t>21</w:t>
            </w: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lang w:val="en-US" w:eastAsia="zh-CN"/>
              </w:rPr>
              <w:t>8</w:t>
            </w:r>
          </w:p>
        </w:tc>
        <w:tc>
          <w:tcPr>
            <w:tcW w:w="2326" w:type="dxa"/>
            <w:gridSpan w:val="2"/>
            <w:noWrap w:val="0"/>
            <w:tcMar>
              <w:left w:w="57" w:type="dxa"/>
              <w:right w:w="57" w:type="dxa"/>
            </w:tcMar>
            <w:vAlign w:val="center"/>
          </w:tcPr>
          <w:p>
            <w:pPr>
              <w:spacing w:after="0" w:afterLines="0"/>
              <w:rPr>
                <w:b/>
                <w:color w:val="000000"/>
                <w:kern w:val="2"/>
                <w:sz w:val="15"/>
                <w:szCs w:val="15"/>
              </w:rPr>
            </w:pPr>
            <w:r>
              <w:rPr>
                <w:b/>
                <w:color w:val="000000"/>
                <w:kern w:val="2"/>
                <w:sz w:val="15"/>
                <w:szCs w:val="15"/>
              </w:rPr>
              <w:t>竣工日期</w:t>
            </w:r>
          </w:p>
        </w:tc>
        <w:tc>
          <w:tcPr>
            <w:tcW w:w="1593" w:type="dxa"/>
            <w:noWrap w:val="0"/>
            <w:tcMar>
              <w:left w:w="57" w:type="dxa"/>
              <w:right w:w="57" w:type="dxa"/>
            </w:tcMar>
            <w:vAlign w:val="center"/>
          </w:tcPr>
          <w:p>
            <w:pPr>
              <w:spacing w:after="0" w:afterLines="0"/>
              <w:rPr>
                <w:rFonts w:hint="default"/>
                <w:color w:val="000000"/>
                <w:kern w:val="2"/>
                <w:sz w:val="15"/>
                <w:szCs w:val="15"/>
                <w:lang w:val="en-US"/>
              </w:rPr>
            </w:pPr>
            <w:r>
              <w:rPr>
                <w:rFonts w:hint="eastAsia" w:ascii="宋体" w:hAnsi="宋体" w:eastAsia="宋体" w:cs="宋体"/>
                <w:color w:val="auto"/>
                <w:sz w:val="18"/>
                <w:szCs w:val="18"/>
                <w:lang w:eastAsia="zh-CN"/>
              </w:rPr>
              <w:t>20</w:t>
            </w:r>
            <w:r>
              <w:rPr>
                <w:rFonts w:hint="eastAsia" w:ascii="宋体" w:hAnsi="宋体" w:eastAsia="宋体" w:cs="宋体"/>
                <w:color w:val="auto"/>
                <w:sz w:val="18"/>
                <w:szCs w:val="18"/>
                <w:lang w:val="en-US" w:eastAsia="zh-CN"/>
              </w:rPr>
              <w:t>21</w:t>
            </w: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lang w:val="en-US" w:eastAsia="zh-CN"/>
              </w:rPr>
              <w:t>11-25</w:t>
            </w:r>
          </w:p>
        </w:tc>
        <w:tc>
          <w:tcPr>
            <w:tcW w:w="1717" w:type="dxa"/>
            <w:gridSpan w:val="2"/>
            <w:noWrap w:val="0"/>
            <w:tcMar>
              <w:left w:w="57" w:type="dxa"/>
              <w:right w:w="57" w:type="dxa"/>
            </w:tcMar>
            <w:vAlign w:val="center"/>
          </w:tcPr>
          <w:p>
            <w:pPr>
              <w:spacing w:after="0" w:afterLines="0"/>
              <w:rPr>
                <w:b/>
                <w:color w:val="000000"/>
                <w:kern w:val="2"/>
                <w:sz w:val="15"/>
                <w:szCs w:val="15"/>
              </w:rPr>
            </w:pPr>
            <w:r>
              <w:rPr>
                <w:rFonts w:hint="eastAsia"/>
                <w:b/>
                <w:color w:val="000000"/>
                <w:kern w:val="2"/>
                <w:sz w:val="15"/>
                <w:szCs w:val="15"/>
              </w:rPr>
              <w:t>排污许可证申领时间</w:t>
            </w:r>
          </w:p>
        </w:tc>
        <w:tc>
          <w:tcPr>
            <w:tcW w:w="2450" w:type="dxa"/>
            <w:gridSpan w:val="4"/>
            <w:noWrap w:val="0"/>
            <w:tcMar>
              <w:left w:w="57" w:type="dxa"/>
              <w:right w:w="57" w:type="dxa"/>
            </w:tcMar>
            <w:vAlign w:val="top"/>
          </w:tcPr>
          <w:p>
            <w:pPr>
              <w:spacing w:after="0" w:afterLines="0"/>
              <w:rPr>
                <w:color w:val="000000"/>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noWrap w:val="0"/>
            <w:tcMar>
              <w:left w:w="57" w:type="dxa"/>
              <w:right w:w="57" w:type="dxa"/>
            </w:tcMar>
            <w:vAlign w:val="center"/>
          </w:tcPr>
          <w:p>
            <w:pPr>
              <w:spacing w:after="0" w:afterLines="0"/>
              <w:rPr>
                <w:color w:val="000000"/>
                <w:kern w:val="2"/>
                <w:sz w:val="15"/>
                <w:szCs w:val="15"/>
              </w:rPr>
            </w:pPr>
          </w:p>
        </w:tc>
        <w:tc>
          <w:tcPr>
            <w:tcW w:w="1964" w:type="dxa"/>
            <w:gridSpan w:val="3"/>
            <w:noWrap w:val="0"/>
            <w:tcMar>
              <w:left w:w="57" w:type="dxa"/>
              <w:right w:w="57" w:type="dxa"/>
            </w:tcMar>
            <w:vAlign w:val="center"/>
          </w:tcPr>
          <w:p>
            <w:pPr>
              <w:spacing w:after="0" w:afterLines="0"/>
              <w:rPr>
                <w:color w:val="000000"/>
                <w:kern w:val="2"/>
                <w:sz w:val="15"/>
                <w:szCs w:val="15"/>
              </w:rPr>
            </w:pPr>
            <w:r>
              <w:rPr>
                <w:b/>
                <w:color w:val="000000"/>
                <w:kern w:val="2"/>
                <w:sz w:val="15"/>
                <w:szCs w:val="15"/>
              </w:rPr>
              <w:t>环保设施设计单位</w:t>
            </w:r>
          </w:p>
        </w:tc>
        <w:tc>
          <w:tcPr>
            <w:tcW w:w="5396" w:type="dxa"/>
            <w:gridSpan w:val="7"/>
            <w:noWrap w:val="0"/>
            <w:tcMar>
              <w:left w:w="57" w:type="dxa"/>
              <w:right w:w="57" w:type="dxa"/>
            </w:tcMar>
            <w:vAlign w:val="top"/>
          </w:tcPr>
          <w:p>
            <w:pPr>
              <w:spacing w:after="0" w:afterLines="0"/>
              <w:rPr>
                <w:rFonts w:hint="eastAsia" w:ascii="宋体" w:hAnsi="宋体" w:eastAsia="宋体" w:cs="宋体"/>
                <w:sz w:val="18"/>
                <w:szCs w:val="18"/>
                <w:lang w:eastAsia="zh-CN"/>
              </w:rPr>
            </w:pPr>
          </w:p>
        </w:tc>
        <w:tc>
          <w:tcPr>
            <w:tcW w:w="2326" w:type="dxa"/>
            <w:gridSpan w:val="2"/>
            <w:noWrap w:val="0"/>
            <w:tcMar>
              <w:left w:w="57" w:type="dxa"/>
              <w:right w:w="57" w:type="dxa"/>
            </w:tcMar>
            <w:vAlign w:val="center"/>
          </w:tcPr>
          <w:p>
            <w:pPr>
              <w:spacing w:after="0" w:afterLines="0"/>
              <w:rPr>
                <w:b/>
                <w:color w:val="000000"/>
                <w:sz w:val="15"/>
                <w:szCs w:val="15"/>
              </w:rPr>
            </w:pPr>
            <w:r>
              <w:rPr>
                <w:b/>
                <w:color w:val="000000"/>
                <w:sz w:val="15"/>
                <w:szCs w:val="15"/>
              </w:rPr>
              <w:t>环保设施施工单位</w:t>
            </w:r>
          </w:p>
        </w:tc>
        <w:tc>
          <w:tcPr>
            <w:tcW w:w="1593" w:type="dxa"/>
            <w:noWrap w:val="0"/>
            <w:tcMar>
              <w:left w:w="57" w:type="dxa"/>
              <w:right w:w="57" w:type="dxa"/>
            </w:tcMar>
            <w:vAlign w:val="top"/>
          </w:tcPr>
          <w:p>
            <w:pPr>
              <w:spacing w:after="0" w:afterLines="0"/>
              <w:rPr>
                <w:color w:val="000000"/>
                <w:kern w:val="2"/>
                <w:sz w:val="15"/>
                <w:szCs w:val="15"/>
              </w:rPr>
            </w:pPr>
          </w:p>
        </w:tc>
        <w:tc>
          <w:tcPr>
            <w:tcW w:w="1717" w:type="dxa"/>
            <w:gridSpan w:val="2"/>
            <w:noWrap w:val="0"/>
            <w:tcMar>
              <w:left w:w="57" w:type="dxa"/>
              <w:right w:w="57" w:type="dxa"/>
            </w:tcMar>
            <w:vAlign w:val="center"/>
          </w:tcPr>
          <w:p>
            <w:pPr>
              <w:spacing w:after="0" w:afterLines="0"/>
              <w:rPr>
                <w:b/>
                <w:color w:val="000000"/>
                <w:kern w:val="2"/>
                <w:sz w:val="15"/>
                <w:szCs w:val="15"/>
              </w:rPr>
            </w:pPr>
            <w:r>
              <w:rPr>
                <w:rFonts w:hint="eastAsia"/>
                <w:b/>
                <w:color w:val="000000"/>
                <w:kern w:val="2"/>
                <w:sz w:val="15"/>
                <w:szCs w:val="15"/>
              </w:rPr>
              <w:t>本工程排污许可证</w:t>
            </w:r>
            <w:r>
              <w:rPr>
                <w:b/>
                <w:color w:val="000000"/>
                <w:kern w:val="2"/>
                <w:sz w:val="15"/>
                <w:szCs w:val="15"/>
              </w:rPr>
              <w:t>编号</w:t>
            </w:r>
          </w:p>
        </w:tc>
        <w:tc>
          <w:tcPr>
            <w:tcW w:w="2450" w:type="dxa"/>
            <w:gridSpan w:val="4"/>
            <w:noWrap w:val="0"/>
            <w:tcMar>
              <w:left w:w="57" w:type="dxa"/>
              <w:right w:w="57" w:type="dxa"/>
            </w:tcMar>
            <w:vAlign w:val="top"/>
          </w:tcPr>
          <w:p>
            <w:pPr>
              <w:spacing w:after="0" w:afterLines="0"/>
              <w:rPr>
                <w:color w:val="000000"/>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noWrap w:val="0"/>
            <w:tcMar>
              <w:left w:w="57" w:type="dxa"/>
              <w:right w:w="57" w:type="dxa"/>
            </w:tcMar>
            <w:vAlign w:val="center"/>
          </w:tcPr>
          <w:p>
            <w:pPr>
              <w:spacing w:after="0" w:afterLines="0"/>
              <w:rPr>
                <w:color w:val="000000"/>
                <w:kern w:val="2"/>
                <w:sz w:val="15"/>
                <w:szCs w:val="15"/>
              </w:rPr>
            </w:pPr>
          </w:p>
        </w:tc>
        <w:tc>
          <w:tcPr>
            <w:tcW w:w="1964" w:type="dxa"/>
            <w:gridSpan w:val="3"/>
            <w:noWrap w:val="0"/>
            <w:tcMar>
              <w:left w:w="57" w:type="dxa"/>
              <w:right w:w="57" w:type="dxa"/>
            </w:tcMar>
            <w:vAlign w:val="center"/>
          </w:tcPr>
          <w:p>
            <w:pPr>
              <w:spacing w:after="0" w:afterLines="0"/>
              <w:rPr>
                <w:color w:val="000000"/>
                <w:kern w:val="2"/>
                <w:sz w:val="15"/>
                <w:szCs w:val="15"/>
              </w:rPr>
            </w:pPr>
            <w:r>
              <w:rPr>
                <w:b/>
                <w:color w:val="000000"/>
                <w:kern w:val="2"/>
                <w:sz w:val="15"/>
                <w:szCs w:val="15"/>
              </w:rPr>
              <w:t>验收单位</w:t>
            </w:r>
          </w:p>
        </w:tc>
        <w:tc>
          <w:tcPr>
            <w:tcW w:w="5396" w:type="dxa"/>
            <w:gridSpan w:val="7"/>
            <w:noWrap w:val="0"/>
            <w:tcMar>
              <w:left w:w="57" w:type="dxa"/>
              <w:right w:w="57" w:type="dxa"/>
            </w:tcMar>
            <w:vAlign w:val="center"/>
          </w:tcPr>
          <w:p>
            <w:pPr>
              <w:spacing w:after="0" w:afterLines="0"/>
              <w:rPr>
                <w:rFonts w:hint="eastAsia" w:ascii="宋体" w:hAnsi="宋体" w:eastAsia="宋体" w:cs="宋体"/>
                <w:sz w:val="18"/>
                <w:szCs w:val="18"/>
                <w:lang w:eastAsia="zh-CN"/>
              </w:rPr>
            </w:pPr>
            <w:r>
              <w:rPr>
                <w:rFonts w:hint="eastAsia" w:ascii="宋体" w:hAnsi="宋体" w:eastAsia="宋体" w:cs="宋体"/>
                <w:sz w:val="18"/>
                <w:szCs w:val="18"/>
                <w:lang w:val="en-US" w:eastAsia="zh-CN"/>
              </w:rPr>
              <w:t>河南融济环保科技有限公司</w:t>
            </w:r>
          </w:p>
        </w:tc>
        <w:tc>
          <w:tcPr>
            <w:tcW w:w="2326" w:type="dxa"/>
            <w:gridSpan w:val="2"/>
            <w:noWrap w:val="0"/>
            <w:tcMar>
              <w:left w:w="57" w:type="dxa"/>
              <w:right w:w="57" w:type="dxa"/>
            </w:tcMar>
            <w:vAlign w:val="center"/>
          </w:tcPr>
          <w:p>
            <w:pPr>
              <w:spacing w:after="0" w:afterLines="0"/>
              <w:rPr>
                <w:b/>
                <w:color w:val="000000"/>
                <w:kern w:val="2"/>
                <w:sz w:val="15"/>
                <w:szCs w:val="15"/>
              </w:rPr>
            </w:pPr>
            <w:r>
              <w:rPr>
                <w:b/>
                <w:color w:val="000000"/>
                <w:kern w:val="2"/>
                <w:sz w:val="15"/>
                <w:szCs w:val="15"/>
              </w:rPr>
              <w:t>环保设施监测单位</w:t>
            </w:r>
          </w:p>
        </w:tc>
        <w:tc>
          <w:tcPr>
            <w:tcW w:w="1593" w:type="dxa"/>
            <w:noWrap w:val="0"/>
            <w:tcMar>
              <w:left w:w="57" w:type="dxa"/>
              <w:right w:w="57" w:type="dxa"/>
            </w:tcMar>
            <w:vAlign w:val="top"/>
          </w:tcPr>
          <w:p>
            <w:pPr>
              <w:spacing w:after="0" w:afterLines="0"/>
              <w:rPr>
                <w:color w:val="000000"/>
                <w:kern w:val="2"/>
                <w:sz w:val="15"/>
                <w:szCs w:val="15"/>
              </w:rPr>
            </w:pPr>
            <w:r>
              <w:rPr>
                <w:rFonts w:hint="default" w:ascii="宋体" w:hAnsi="宋体" w:eastAsia="宋体" w:cs="宋体"/>
                <w:sz w:val="18"/>
                <w:szCs w:val="18"/>
                <w:lang w:val="en-US" w:eastAsia="zh-CN"/>
              </w:rPr>
              <w:t>河南永蓝检测技术有限公司</w:t>
            </w:r>
            <w:bookmarkStart w:id="22" w:name="_GoBack"/>
            <w:bookmarkEnd w:id="22"/>
          </w:p>
        </w:tc>
        <w:tc>
          <w:tcPr>
            <w:tcW w:w="1717" w:type="dxa"/>
            <w:gridSpan w:val="2"/>
            <w:noWrap w:val="0"/>
            <w:tcMar>
              <w:left w:w="57" w:type="dxa"/>
              <w:right w:w="57" w:type="dxa"/>
            </w:tcMar>
            <w:vAlign w:val="top"/>
          </w:tcPr>
          <w:p>
            <w:pPr>
              <w:spacing w:after="0" w:afterLines="0"/>
              <w:rPr>
                <w:b/>
                <w:color w:val="000000"/>
                <w:kern w:val="2"/>
                <w:sz w:val="15"/>
                <w:szCs w:val="15"/>
              </w:rPr>
            </w:pPr>
            <w:r>
              <w:rPr>
                <w:b/>
                <w:color w:val="000000"/>
                <w:kern w:val="2"/>
                <w:sz w:val="15"/>
                <w:szCs w:val="15"/>
              </w:rPr>
              <w:t>验收监测</w:t>
            </w:r>
            <w:r>
              <w:rPr>
                <w:rFonts w:hint="eastAsia"/>
                <w:b/>
                <w:color w:val="000000"/>
                <w:kern w:val="2"/>
                <w:sz w:val="15"/>
                <w:szCs w:val="15"/>
              </w:rPr>
              <w:t>时工况</w:t>
            </w:r>
          </w:p>
        </w:tc>
        <w:tc>
          <w:tcPr>
            <w:tcW w:w="2450" w:type="dxa"/>
            <w:gridSpan w:val="4"/>
            <w:noWrap w:val="0"/>
            <w:tcMar>
              <w:left w:w="57" w:type="dxa"/>
              <w:right w:w="57" w:type="dxa"/>
            </w:tcMar>
            <w:vAlign w:val="top"/>
          </w:tcPr>
          <w:p>
            <w:pPr>
              <w:spacing w:after="0" w:afterLines="0"/>
              <w:rPr>
                <w:rFonts w:hint="default" w:eastAsia="宋体"/>
                <w:color w:val="000000"/>
                <w:kern w:val="2"/>
                <w:sz w:val="15"/>
                <w:szCs w:val="15"/>
                <w:lang w:val="en-US" w:eastAsia="zh-CN"/>
              </w:rPr>
            </w:pPr>
            <w:r>
              <w:rPr>
                <w:rFonts w:hint="eastAsia" w:eastAsia="宋体"/>
                <w:color w:val="auto"/>
                <w:kern w:val="2"/>
                <w:sz w:val="15"/>
                <w:szCs w:val="15"/>
                <w:lang w:val="en-US" w:eastAsia="zh-CN"/>
              </w:rPr>
              <w:t>75-89.95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noWrap w:val="0"/>
            <w:tcMar>
              <w:left w:w="57" w:type="dxa"/>
              <w:right w:w="57" w:type="dxa"/>
            </w:tcMar>
            <w:vAlign w:val="center"/>
          </w:tcPr>
          <w:p>
            <w:pPr>
              <w:spacing w:after="0" w:afterLines="0"/>
              <w:rPr>
                <w:color w:val="000000"/>
                <w:kern w:val="2"/>
                <w:sz w:val="15"/>
                <w:szCs w:val="15"/>
              </w:rPr>
            </w:pPr>
          </w:p>
        </w:tc>
        <w:tc>
          <w:tcPr>
            <w:tcW w:w="1964" w:type="dxa"/>
            <w:gridSpan w:val="3"/>
            <w:noWrap w:val="0"/>
            <w:tcMar>
              <w:left w:w="57" w:type="dxa"/>
              <w:right w:w="57" w:type="dxa"/>
            </w:tcMar>
            <w:vAlign w:val="center"/>
          </w:tcPr>
          <w:p>
            <w:pPr>
              <w:spacing w:after="0" w:afterLines="0"/>
              <w:rPr>
                <w:color w:val="000000"/>
                <w:kern w:val="2"/>
                <w:sz w:val="15"/>
                <w:szCs w:val="15"/>
              </w:rPr>
            </w:pPr>
            <w:r>
              <w:rPr>
                <w:b/>
                <w:color w:val="000000"/>
                <w:kern w:val="2"/>
                <w:sz w:val="15"/>
                <w:szCs w:val="15"/>
              </w:rPr>
              <w:t>投资总概算（万元）</w:t>
            </w:r>
          </w:p>
        </w:tc>
        <w:tc>
          <w:tcPr>
            <w:tcW w:w="5396" w:type="dxa"/>
            <w:gridSpan w:val="7"/>
            <w:noWrap w:val="0"/>
            <w:tcMar>
              <w:left w:w="57" w:type="dxa"/>
              <w:right w:w="57" w:type="dxa"/>
            </w:tcMar>
            <w:vAlign w:val="center"/>
          </w:tcPr>
          <w:p>
            <w:pPr>
              <w:spacing w:after="0" w:afterLines="0"/>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224</w:t>
            </w:r>
          </w:p>
        </w:tc>
        <w:tc>
          <w:tcPr>
            <w:tcW w:w="2326" w:type="dxa"/>
            <w:gridSpan w:val="2"/>
            <w:noWrap w:val="0"/>
            <w:tcMar>
              <w:left w:w="57" w:type="dxa"/>
              <w:right w:w="57" w:type="dxa"/>
            </w:tcMar>
            <w:vAlign w:val="center"/>
          </w:tcPr>
          <w:p>
            <w:pPr>
              <w:tabs>
                <w:tab w:val="left" w:pos="690"/>
              </w:tabs>
              <w:spacing w:after="0" w:afterLines="0"/>
              <w:rPr>
                <w:color w:val="000000"/>
                <w:kern w:val="2"/>
                <w:sz w:val="15"/>
                <w:szCs w:val="15"/>
              </w:rPr>
            </w:pPr>
            <w:r>
              <w:rPr>
                <w:b/>
                <w:color w:val="000000"/>
                <w:kern w:val="2"/>
                <w:sz w:val="15"/>
                <w:szCs w:val="15"/>
              </w:rPr>
              <w:t>环保投资总概算（万元）</w:t>
            </w:r>
          </w:p>
        </w:tc>
        <w:tc>
          <w:tcPr>
            <w:tcW w:w="1593" w:type="dxa"/>
            <w:noWrap w:val="0"/>
            <w:tcMar>
              <w:left w:w="57" w:type="dxa"/>
              <w:right w:w="57" w:type="dxa"/>
            </w:tcMar>
            <w:vAlign w:val="center"/>
          </w:tcPr>
          <w:p>
            <w:pPr>
              <w:spacing w:after="0" w:afterLines="0"/>
              <w:jc w:val="both"/>
              <w:rPr>
                <w:rFonts w:hint="default"/>
                <w:b/>
                <w:color w:val="000000"/>
                <w:kern w:val="2"/>
                <w:sz w:val="15"/>
                <w:szCs w:val="15"/>
                <w:lang w:val="en-US"/>
              </w:rPr>
            </w:pPr>
            <w:r>
              <w:rPr>
                <w:rFonts w:hint="eastAsia" w:ascii="宋体" w:hAnsi="宋体" w:eastAsia="宋体" w:cs="宋体"/>
                <w:sz w:val="18"/>
                <w:szCs w:val="18"/>
                <w:lang w:val="en-US" w:eastAsia="zh-CN"/>
              </w:rPr>
              <w:t>76</w:t>
            </w:r>
          </w:p>
        </w:tc>
        <w:tc>
          <w:tcPr>
            <w:tcW w:w="1717" w:type="dxa"/>
            <w:gridSpan w:val="2"/>
            <w:noWrap w:val="0"/>
            <w:tcMar>
              <w:left w:w="57" w:type="dxa"/>
              <w:right w:w="57" w:type="dxa"/>
            </w:tcMar>
            <w:vAlign w:val="center"/>
          </w:tcPr>
          <w:p>
            <w:pPr>
              <w:tabs>
                <w:tab w:val="left" w:pos="690"/>
              </w:tabs>
              <w:spacing w:after="0" w:afterLines="0"/>
              <w:rPr>
                <w:color w:val="000000"/>
                <w:kern w:val="2"/>
                <w:sz w:val="15"/>
                <w:szCs w:val="15"/>
              </w:rPr>
            </w:pPr>
            <w:r>
              <w:rPr>
                <w:b/>
                <w:color w:val="000000"/>
                <w:kern w:val="2"/>
                <w:sz w:val="15"/>
                <w:szCs w:val="15"/>
              </w:rPr>
              <w:t>所占比例（%）</w:t>
            </w:r>
          </w:p>
        </w:tc>
        <w:tc>
          <w:tcPr>
            <w:tcW w:w="2450" w:type="dxa"/>
            <w:gridSpan w:val="4"/>
            <w:noWrap w:val="0"/>
            <w:tcMar>
              <w:left w:w="57" w:type="dxa"/>
              <w:right w:w="57" w:type="dxa"/>
            </w:tcMar>
            <w:vAlign w:val="center"/>
          </w:tcPr>
          <w:p>
            <w:pPr>
              <w:tabs>
                <w:tab w:val="left" w:pos="690"/>
              </w:tabs>
              <w:spacing w:after="0" w:afterLines="0"/>
              <w:rPr>
                <w:rFonts w:hint="default" w:eastAsia="宋体"/>
                <w:color w:val="000000"/>
                <w:kern w:val="2"/>
                <w:sz w:val="15"/>
                <w:szCs w:val="15"/>
                <w:lang w:val="en-US" w:eastAsia="zh-CN"/>
              </w:rPr>
            </w:pPr>
            <w:r>
              <w:rPr>
                <w:rFonts w:hint="eastAsia" w:eastAsia="宋体"/>
                <w:color w:val="000000"/>
                <w:kern w:val="2"/>
                <w:sz w:val="15"/>
                <w:szCs w:val="15"/>
                <w:lang w:val="en-US" w:eastAsia="zh-CN"/>
              </w:rPr>
              <w:t>33.93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noWrap w:val="0"/>
            <w:tcMar>
              <w:left w:w="57" w:type="dxa"/>
              <w:right w:w="57" w:type="dxa"/>
            </w:tcMar>
            <w:vAlign w:val="center"/>
          </w:tcPr>
          <w:p>
            <w:pPr>
              <w:spacing w:after="0" w:afterLines="0"/>
              <w:rPr>
                <w:color w:val="000000"/>
                <w:kern w:val="2"/>
                <w:sz w:val="15"/>
                <w:szCs w:val="15"/>
              </w:rPr>
            </w:pPr>
          </w:p>
        </w:tc>
        <w:tc>
          <w:tcPr>
            <w:tcW w:w="1964" w:type="dxa"/>
            <w:gridSpan w:val="3"/>
            <w:noWrap w:val="0"/>
            <w:tcMar>
              <w:left w:w="57" w:type="dxa"/>
              <w:right w:w="57" w:type="dxa"/>
            </w:tcMar>
            <w:vAlign w:val="top"/>
          </w:tcPr>
          <w:p>
            <w:pPr>
              <w:spacing w:after="0" w:afterLines="0"/>
              <w:rPr>
                <w:color w:val="000000"/>
                <w:kern w:val="2"/>
                <w:sz w:val="15"/>
                <w:szCs w:val="15"/>
              </w:rPr>
            </w:pPr>
            <w:r>
              <w:rPr>
                <w:b/>
                <w:color w:val="000000"/>
                <w:kern w:val="2"/>
                <w:sz w:val="15"/>
                <w:szCs w:val="15"/>
              </w:rPr>
              <w:t>实际总投资</w:t>
            </w:r>
          </w:p>
        </w:tc>
        <w:tc>
          <w:tcPr>
            <w:tcW w:w="5396" w:type="dxa"/>
            <w:gridSpan w:val="7"/>
            <w:noWrap w:val="0"/>
            <w:tcMar>
              <w:left w:w="57" w:type="dxa"/>
              <w:right w:w="57" w:type="dxa"/>
            </w:tcMar>
            <w:vAlign w:val="top"/>
          </w:tcPr>
          <w:p>
            <w:pPr>
              <w:spacing w:after="0" w:afterLines="0"/>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224</w:t>
            </w:r>
          </w:p>
        </w:tc>
        <w:tc>
          <w:tcPr>
            <w:tcW w:w="2326" w:type="dxa"/>
            <w:gridSpan w:val="2"/>
            <w:noWrap w:val="0"/>
            <w:tcMar>
              <w:left w:w="57" w:type="dxa"/>
              <w:right w:w="57" w:type="dxa"/>
            </w:tcMar>
            <w:vAlign w:val="center"/>
          </w:tcPr>
          <w:p>
            <w:pPr>
              <w:spacing w:after="0" w:afterLines="0"/>
              <w:ind w:right="300"/>
              <w:rPr>
                <w:b/>
                <w:color w:val="000000"/>
                <w:kern w:val="2"/>
                <w:sz w:val="15"/>
                <w:szCs w:val="15"/>
              </w:rPr>
            </w:pPr>
            <w:r>
              <w:rPr>
                <w:b/>
                <w:color w:val="000000"/>
                <w:kern w:val="2"/>
                <w:sz w:val="15"/>
                <w:szCs w:val="15"/>
              </w:rPr>
              <w:t>实际环保投资（万元）</w:t>
            </w:r>
          </w:p>
        </w:tc>
        <w:tc>
          <w:tcPr>
            <w:tcW w:w="1593" w:type="dxa"/>
            <w:noWrap w:val="0"/>
            <w:tcMar>
              <w:left w:w="57" w:type="dxa"/>
              <w:right w:w="57" w:type="dxa"/>
            </w:tcMar>
            <w:vAlign w:val="top"/>
          </w:tcPr>
          <w:p>
            <w:pPr>
              <w:spacing w:after="0" w:afterLines="0"/>
              <w:rPr>
                <w:rFonts w:hint="default"/>
                <w:color w:val="000000"/>
                <w:kern w:val="2"/>
                <w:sz w:val="15"/>
                <w:szCs w:val="15"/>
                <w:lang w:val="en-US"/>
              </w:rPr>
            </w:pPr>
            <w:r>
              <w:rPr>
                <w:rFonts w:hint="eastAsia" w:ascii="宋体" w:hAnsi="宋体" w:eastAsia="宋体" w:cs="宋体"/>
                <w:sz w:val="18"/>
                <w:szCs w:val="18"/>
                <w:lang w:val="en-US" w:eastAsia="zh-CN"/>
              </w:rPr>
              <w:t>76</w:t>
            </w:r>
          </w:p>
        </w:tc>
        <w:tc>
          <w:tcPr>
            <w:tcW w:w="1717" w:type="dxa"/>
            <w:gridSpan w:val="2"/>
            <w:noWrap w:val="0"/>
            <w:tcMar>
              <w:left w:w="57" w:type="dxa"/>
              <w:right w:w="57" w:type="dxa"/>
            </w:tcMar>
            <w:vAlign w:val="center"/>
          </w:tcPr>
          <w:p>
            <w:pPr>
              <w:spacing w:after="0" w:afterLines="0"/>
              <w:rPr>
                <w:b/>
                <w:color w:val="000000"/>
                <w:kern w:val="2"/>
                <w:sz w:val="15"/>
                <w:szCs w:val="15"/>
              </w:rPr>
            </w:pPr>
            <w:r>
              <w:rPr>
                <w:b/>
                <w:color w:val="000000"/>
                <w:kern w:val="2"/>
                <w:sz w:val="15"/>
                <w:szCs w:val="15"/>
              </w:rPr>
              <w:t>所占比例（%）</w:t>
            </w:r>
          </w:p>
        </w:tc>
        <w:tc>
          <w:tcPr>
            <w:tcW w:w="2450" w:type="dxa"/>
            <w:gridSpan w:val="4"/>
            <w:noWrap w:val="0"/>
            <w:tcMar>
              <w:left w:w="57" w:type="dxa"/>
              <w:right w:w="57" w:type="dxa"/>
            </w:tcMar>
            <w:vAlign w:val="top"/>
          </w:tcPr>
          <w:p>
            <w:pPr>
              <w:spacing w:after="0" w:afterLines="0"/>
              <w:rPr>
                <w:rFonts w:hint="default" w:eastAsia="宋体"/>
                <w:color w:val="000000"/>
                <w:kern w:val="2"/>
                <w:sz w:val="15"/>
                <w:szCs w:val="15"/>
                <w:lang w:val="en-US" w:eastAsia="zh-CN"/>
              </w:rPr>
            </w:pPr>
            <w:r>
              <w:rPr>
                <w:rFonts w:hint="eastAsia" w:eastAsia="宋体"/>
                <w:color w:val="000000"/>
                <w:kern w:val="2"/>
                <w:sz w:val="15"/>
                <w:szCs w:val="15"/>
                <w:lang w:val="en-US" w:eastAsia="zh-CN"/>
              </w:rPr>
              <w:t>33.93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430" w:type="dxa"/>
            <w:vMerge w:val="continue"/>
            <w:noWrap w:val="0"/>
            <w:tcMar>
              <w:left w:w="57" w:type="dxa"/>
              <w:right w:w="57" w:type="dxa"/>
            </w:tcMar>
            <w:vAlign w:val="center"/>
          </w:tcPr>
          <w:p>
            <w:pPr>
              <w:spacing w:after="0" w:afterLines="0"/>
              <w:rPr>
                <w:color w:val="000000"/>
                <w:kern w:val="2"/>
                <w:sz w:val="15"/>
                <w:szCs w:val="15"/>
              </w:rPr>
            </w:pPr>
          </w:p>
        </w:tc>
        <w:tc>
          <w:tcPr>
            <w:tcW w:w="1964" w:type="dxa"/>
            <w:gridSpan w:val="3"/>
            <w:noWrap w:val="0"/>
            <w:tcMar>
              <w:left w:w="57" w:type="dxa"/>
              <w:right w:w="57" w:type="dxa"/>
            </w:tcMar>
            <w:vAlign w:val="center"/>
          </w:tcPr>
          <w:p>
            <w:pPr>
              <w:spacing w:after="0" w:afterLines="0"/>
              <w:rPr>
                <w:color w:val="000000"/>
                <w:kern w:val="2"/>
                <w:sz w:val="15"/>
                <w:szCs w:val="15"/>
              </w:rPr>
            </w:pPr>
            <w:r>
              <w:rPr>
                <w:b/>
                <w:color w:val="000000"/>
                <w:kern w:val="2"/>
                <w:sz w:val="15"/>
                <w:szCs w:val="15"/>
              </w:rPr>
              <w:t>废水治理（万元）</w:t>
            </w:r>
          </w:p>
        </w:tc>
        <w:tc>
          <w:tcPr>
            <w:tcW w:w="828" w:type="dxa"/>
            <w:noWrap w:val="0"/>
            <w:tcMar>
              <w:left w:w="57" w:type="dxa"/>
              <w:right w:w="57" w:type="dxa"/>
            </w:tcMar>
            <w:vAlign w:val="top"/>
          </w:tcPr>
          <w:p>
            <w:pPr>
              <w:spacing w:after="0" w:afterLines="0"/>
              <w:rPr>
                <w:color w:val="000000"/>
                <w:kern w:val="2"/>
                <w:sz w:val="15"/>
                <w:szCs w:val="15"/>
              </w:rPr>
            </w:pPr>
          </w:p>
        </w:tc>
        <w:tc>
          <w:tcPr>
            <w:tcW w:w="1379" w:type="dxa"/>
            <w:noWrap w:val="0"/>
            <w:tcMar>
              <w:left w:w="57" w:type="dxa"/>
              <w:right w:w="57" w:type="dxa"/>
            </w:tcMar>
            <w:vAlign w:val="center"/>
          </w:tcPr>
          <w:p>
            <w:pPr>
              <w:spacing w:after="0" w:afterLines="0"/>
              <w:jc w:val="center"/>
              <w:rPr>
                <w:b/>
                <w:color w:val="000000"/>
                <w:kern w:val="2"/>
                <w:sz w:val="15"/>
                <w:szCs w:val="15"/>
              </w:rPr>
            </w:pPr>
            <w:r>
              <w:rPr>
                <w:b/>
                <w:color w:val="000000"/>
                <w:kern w:val="2"/>
                <w:sz w:val="15"/>
                <w:szCs w:val="15"/>
              </w:rPr>
              <w:t>废气治理（万元）</w:t>
            </w:r>
          </w:p>
        </w:tc>
        <w:tc>
          <w:tcPr>
            <w:tcW w:w="1097" w:type="dxa"/>
            <w:noWrap w:val="0"/>
            <w:tcMar>
              <w:left w:w="57" w:type="dxa"/>
              <w:right w:w="57" w:type="dxa"/>
            </w:tcMar>
            <w:vAlign w:val="center"/>
          </w:tcPr>
          <w:p>
            <w:pPr>
              <w:spacing w:after="0" w:afterLines="0"/>
              <w:rPr>
                <w:color w:val="000000"/>
                <w:kern w:val="2"/>
                <w:sz w:val="15"/>
                <w:szCs w:val="15"/>
              </w:rPr>
            </w:pPr>
          </w:p>
        </w:tc>
        <w:tc>
          <w:tcPr>
            <w:tcW w:w="1504" w:type="dxa"/>
            <w:gridSpan w:val="3"/>
            <w:noWrap w:val="0"/>
            <w:tcMar>
              <w:left w:w="57" w:type="dxa"/>
              <w:right w:w="57" w:type="dxa"/>
            </w:tcMar>
            <w:vAlign w:val="center"/>
          </w:tcPr>
          <w:p>
            <w:pPr>
              <w:spacing w:after="0" w:afterLines="0"/>
              <w:jc w:val="center"/>
              <w:rPr>
                <w:b/>
                <w:color w:val="000000"/>
                <w:kern w:val="2"/>
                <w:sz w:val="15"/>
                <w:szCs w:val="15"/>
              </w:rPr>
            </w:pPr>
            <w:r>
              <w:rPr>
                <w:b/>
                <w:color w:val="000000"/>
                <w:kern w:val="2"/>
                <w:sz w:val="15"/>
                <w:szCs w:val="15"/>
              </w:rPr>
              <w:t>噪声治理（万元）</w:t>
            </w:r>
          </w:p>
        </w:tc>
        <w:tc>
          <w:tcPr>
            <w:tcW w:w="588" w:type="dxa"/>
            <w:noWrap w:val="0"/>
            <w:tcMar>
              <w:left w:w="57" w:type="dxa"/>
              <w:right w:w="57" w:type="dxa"/>
            </w:tcMar>
            <w:vAlign w:val="center"/>
          </w:tcPr>
          <w:p>
            <w:pPr>
              <w:spacing w:after="0" w:afterLines="0"/>
              <w:jc w:val="both"/>
              <w:rPr>
                <w:color w:val="000000"/>
                <w:kern w:val="2"/>
                <w:sz w:val="15"/>
                <w:szCs w:val="15"/>
              </w:rPr>
            </w:pPr>
          </w:p>
        </w:tc>
        <w:tc>
          <w:tcPr>
            <w:tcW w:w="2326" w:type="dxa"/>
            <w:gridSpan w:val="2"/>
            <w:noWrap w:val="0"/>
            <w:tcMar>
              <w:left w:w="57" w:type="dxa"/>
              <w:right w:w="57" w:type="dxa"/>
            </w:tcMar>
            <w:vAlign w:val="center"/>
          </w:tcPr>
          <w:p>
            <w:pPr>
              <w:spacing w:after="0" w:afterLines="0"/>
              <w:jc w:val="both"/>
              <w:rPr>
                <w:color w:val="000000"/>
                <w:kern w:val="2"/>
                <w:sz w:val="15"/>
                <w:szCs w:val="15"/>
              </w:rPr>
            </w:pPr>
            <w:r>
              <w:rPr>
                <w:b/>
                <w:color w:val="000000"/>
                <w:kern w:val="2"/>
                <w:sz w:val="15"/>
                <w:szCs w:val="15"/>
              </w:rPr>
              <w:t>固</w:t>
            </w:r>
            <w:r>
              <w:rPr>
                <w:rFonts w:hint="eastAsia"/>
                <w:b/>
                <w:color w:val="000000"/>
                <w:kern w:val="2"/>
                <w:sz w:val="15"/>
                <w:szCs w:val="15"/>
              </w:rPr>
              <w:t>体</w:t>
            </w:r>
            <w:r>
              <w:rPr>
                <w:b/>
                <w:color w:val="000000"/>
                <w:kern w:val="2"/>
                <w:sz w:val="15"/>
                <w:szCs w:val="15"/>
              </w:rPr>
              <w:t>废</w:t>
            </w:r>
            <w:r>
              <w:rPr>
                <w:rFonts w:hint="eastAsia"/>
                <w:b/>
                <w:color w:val="000000"/>
                <w:kern w:val="2"/>
                <w:sz w:val="15"/>
                <w:szCs w:val="15"/>
              </w:rPr>
              <w:t>物</w:t>
            </w:r>
            <w:r>
              <w:rPr>
                <w:b/>
                <w:color w:val="000000"/>
                <w:kern w:val="2"/>
                <w:sz w:val="15"/>
                <w:szCs w:val="15"/>
              </w:rPr>
              <w:t>治理（万元）</w:t>
            </w:r>
          </w:p>
        </w:tc>
        <w:tc>
          <w:tcPr>
            <w:tcW w:w="1593" w:type="dxa"/>
            <w:noWrap w:val="0"/>
            <w:tcMar>
              <w:left w:w="57" w:type="dxa"/>
              <w:right w:w="57" w:type="dxa"/>
            </w:tcMar>
            <w:vAlign w:val="top"/>
          </w:tcPr>
          <w:p>
            <w:pPr>
              <w:spacing w:after="0" w:afterLines="0"/>
              <w:rPr>
                <w:color w:val="000000"/>
                <w:kern w:val="2"/>
                <w:sz w:val="15"/>
                <w:szCs w:val="15"/>
              </w:rPr>
            </w:pPr>
          </w:p>
        </w:tc>
        <w:tc>
          <w:tcPr>
            <w:tcW w:w="1717" w:type="dxa"/>
            <w:gridSpan w:val="2"/>
            <w:noWrap w:val="0"/>
            <w:tcMar>
              <w:left w:w="57" w:type="dxa"/>
              <w:right w:w="57" w:type="dxa"/>
            </w:tcMar>
            <w:vAlign w:val="center"/>
          </w:tcPr>
          <w:p>
            <w:pPr>
              <w:spacing w:after="0" w:afterLines="0"/>
              <w:rPr>
                <w:b/>
                <w:color w:val="000000"/>
                <w:kern w:val="2"/>
                <w:sz w:val="15"/>
                <w:szCs w:val="15"/>
              </w:rPr>
            </w:pPr>
            <w:r>
              <w:rPr>
                <w:b/>
                <w:color w:val="000000"/>
                <w:kern w:val="2"/>
                <w:sz w:val="15"/>
                <w:szCs w:val="15"/>
              </w:rPr>
              <w:t>绿化及生态（万元）</w:t>
            </w:r>
          </w:p>
        </w:tc>
        <w:tc>
          <w:tcPr>
            <w:tcW w:w="554" w:type="dxa"/>
            <w:noWrap w:val="0"/>
            <w:tcMar>
              <w:left w:w="57" w:type="dxa"/>
              <w:right w:w="57" w:type="dxa"/>
            </w:tcMar>
            <w:vAlign w:val="center"/>
          </w:tcPr>
          <w:p>
            <w:pPr>
              <w:spacing w:after="0" w:afterLines="0"/>
              <w:rPr>
                <w:color w:val="000000"/>
                <w:kern w:val="2"/>
                <w:sz w:val="15"/>
                <w:szCs w:val="15"/>
              </w:rPr>
            </w:pPr>
          </w:p>
        </w:tc>
        <w:tc>
          <w:tcPr>
            <w:tcW w:w="1102" w:type="dxa"/>
            <w:noWrap w:val="0"/>
            <w:tcMar>
              <w:left w:w="57" w:type="dxa"/>
              <w:right w:w="57" w:type="dxa"/>
            </w:tcMar>
            <w:vAlign w:val="center"/>
          </w:tcPr>
          <w:p>
            <w:pPr>
              <w:spacing w:after="0" w:afterLines="0"/>
              <w:jc w:val="center"/>
              <w:rPr>
                <w:b/>
                <w:color w:val="000000"/>
                <w:kern w:val="2"/>
                <w:sz w:val="15"/>
                <w:szCs w:val="15"/>
              </w:rPr>
            </w:pPr>
            <w:r>
              <w:rPr>
                <w:b/>
                <w:color w:val="000000"/>
                <w:kern w:val="2"/>
                <w:sz w:val="15"/>
                <w:szCs w:val="15"/>
              </w:rPr>
              <w:t>其</w:t>
            </w:r>
            <w:r>
              <w:rPr>
                <w:rFonts w:hint="eastAsia"/>
                <w:b/>
                <w:color w:val="000000"/>
                <w:kern w:val="2"/>
                <w:sz w:val="15"/>
                <w:szCs w:val="15"/>
              </w:rPr>
              <w:t>他</w:t>
            </w:r>
            <w:r>
              <w:rPr>
                <w:b/>
                <w:color w:val="000000"/>
                <w:kern w:val="2"/>
                <w:sz w:val="15"/>
                <w:szCs w:val="15"/>
              </w:rPr>
              <w:t>（万元）</w:t>
            </w:r>
          </w:p>
        </w:tc>
        <w:tc>
          <w:tcPr>
            <w:tcW w:w="794" w:type="dxa"/>
            <w:gridSpan w:val="2"/>
            <w:noWrap w:val="0"/>
            <w:tcMar>
              <w:left w:w="57" w:type="dxa"/>
              <w:right w:w="57" w:type="dxa"/>
            </w:tcMar>
            <w:vAlign w:val="top"/>
          </w:tcPr>
          <w:p>
            <w:pPr>
              <w:spacing w:after="0" w:afterLines="0"/>
              <w:rPr>
                <w:color w:val="000000"/>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noWrap w:val="0"/>
            <w:tcMar>
              <w:left w:w="57" w:type="dxa"/>
              <w:right w:w="57" w:type="dxa"/>
            </w:tcMar>
            <w:vAlign w:val="center"/>
          </w:tcPr>
          <w:p>
            <w:pPr>
              <w:spacing w:after="0" w:afterLines="0"/>
              <w:rPr>
                <w:color w:val="000000"/>
                <w:kern w:val="2"/>
                <w:sz w:val="15"/>
                <w:szCs w:val="15"/>
              </w:rPr>
            </w:pPr>
          </w:p>
        </w:tc>
        <w:tc>
          <w:tcPr>
            <w:tcW w:w="1964" w:type="dxa"/>
            <w:gridSpan w:val="3"/>
            <w:noWrap w:val="0"/>
            <w:tcMar>
              <w:left w:w="57" w:type="dxa"/>
              <w:right w:w="57" w:type="dxa"/>
            </w:tcMar>
            <w:vAlign w:val="center"/>
          </w:tcPr>
          <w:p>
            <w:pPr>
              <w:spacing w:after="0" w:afterLines="0"/>
              <w:rPr>
                <w:color w:val="000000"/>
                <w:kern w:val="2"/>
                <w:sz w:val="15"/>
                <w:szCs w:val="15"/>
              </w:rPr>
            </w:pPr>
            <w:r>
              <w:rPr>
                <w:b/>
                <w:color w:val="000000"/>
                <w:kern w:val="2"/>
                <w:sz w:val="15"/>
                <w:szCs w:val="15"/>
              </w:rPr>
              <w:t>新增废水处理设施能力</w:t>
            </w:r>
          </w:p>
        </w:tc>
        <w:tc>
          <w:tcPr>
            <w:tcW w:w="5396" w:type="dxa"/>
            <w:gridSpan w:val="7"/>
            <w:noWrap w:val="0"/>
            <w:tcMar>
              <w:left w:w="57" w:type="dxa"/>
              <w:right w:w="57" w:type="dxa"/>
            </w:tcMar>
            <w:vAlign w:val="top"/>
          </w:tcPr>
          <w:p>
            <w:pPr>
              <w:spacing w:after="0" w:afterLines="0"/>
              <w:rPr>
                <w:color w:val="000000"/>
                <w:kern w:val="2"/>
                <w:sz w:val="15"/>
                <w:szCs w:val="15"/>
              </w:rPr>
            </w:pPr>
          </w:p>
        </w:tc>
        <w:tc>
          <w:tcPr>
            <w:tcW w:w="2326" w:type="dxa"/>
            <w:gridSpan w:val="2"/>
            <w:noWrap w:val="0"/>
            <w:tcMar>
              <w:left w:w="57" w:type="dxa"/>
              <w:right w:w="57" w:type="dxa"/>
            </w:tcMar>
            <w:vAlign w:val="top"/>
          </w:tcPr>
          <w:p>
            <w:pPr>
              <w:spacing w:after="0" w:afterLines="0"/>
              <w:rPr>
                <w:color w:val="000000"/>
                <w:kern w:val="2"/>
                <w:sz w:val="15"/>
                <w:szCs w:val="15"/>
              </w:rPr>
            </w:pPr>
            <w:r>
              <w:rPr>
                <w:b/>
                <w:color w:val="000000"/>
                <w:kern w:val="2"/>
                <w:sz w:val="15"/>
                <w:szCs w:val="15"/>
              </w:rPr>
              <w:t>新增废气处理设施能力</w:t>
            </w:r>
          </w:p>
        </w:tc>
        <w:tc>
          <w:tcPr>
            <w:tcW w:w="1593" w:type="dxa"/>
            <w:noWrap w:val="0"/>
            <w:tcMar>
              <w:left w:w="57" w:type="dxa"/>
              <w:right w:w="57" w:type="dxa"/>
            </w:tcMar>
            <w:vAlign w:val="top"/>
          </w:tcPr>
          <w:p>
            <w:pPr>
              <w:spacing w:after="0" w:afterLines="0"/>
              <w:rPr>
                <w:color w:val="000000"/>
                <w:kern w:val="2"/>
                <w:sz w:val="15"/>
                <w:szCs w:val="15"/>
              </w:rPr>
            </w:pPr>
          </w:p>
        </w:tc>
        <w:tc>
          <w:tcPr>
            <w:tcW w:w="1717" w:type="dxa"/>
            <w:gridSpan w:val="2"/>
            <w:noWrap w:val="0"/>
            <w:tcMar>
              <w:left w:w="57" w:type="dxa"/>
              <w:right w:w="57" w:type="dxa"/>
            </w:tcMar>
            <w:vAlign w:val="top"/>
          </w:tcPr>
          <w:p>
            <w:pPr>
              <w:spacing w:after="0" w:afterLines="0"/>
              <w:rPr>
                <w:color w:val="000000"/>
                <w:kern w:val="2"/>
                <w:sz w:val="15"/>
                <w:szCs w:val="15"/>
              </w:rPr>
            </w:pPr>
            <w:r>
              <w:rPr>
                <w:b/>
                <w:color w:val="000000"/>
                <w:kern w:val="2"/>
                <w:sz w:val="15"/>
                <w:szCs w:val="15"/>
              </w:rPr>
              <w:t>年平均工作时</w:t>
            </w:r>
          </w:p>
        </w:tc>
        <w:tc>
          <w:tcPr>
            <w:tcW w:w="2450" w:type="dxa"/>
            <w:gridSpan w:val="4"/>
            <w:noWrap w:val="0"/>
            <w:tcMar>
              <w:left w:w="57" w:type="dxa"/>
              <w:right w:w="57" w:type="dxa"/>
            </w:tcMar>
            <w:vAlign w:val="top"/>
          </w:tcPr>
          <w:p>
            <w:pPr>
              <w:spacing w:after="0" w:afterLines="0"/>
              <w:rPr>
                <w:color w:val="000000"/>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2394" w:type="dxa"/>
            <w:gridSpan w:val="4"/>
            <w:noWrap w:val="0"/>
            <w:tcMar>
              <w:left w:w="57" w:type="dxa"/>
              <w:right w:w="57" w:type="dxa"/>
            </w:tcMar>
            <w:vAlign w:val="center"/>
          </w:tcPr>
          <w:p>
            <w:pPr>
              <w:spacing w:after="0" w:afterLines="0"/>
              <w:jc w:val="center"/>
              <w:rPr>
                <w:b/>
                <w:color w:val="000000"/>
                <w:kern w:val="2"/>
                <w:sz w:val="15"/>
                <w:szCs w:val="15"/>
              </w:rPr>
            </w:pPr>
            <w:r>
              <w:rPr>
                <w:b/>
                <w:color w:val="000000"/>
                <w:kern w:val="2"/>
                <w:sz w:val="15"/>
                <w:szCs w:val="15"/>
              </w:rPr>
              <w:t>运营单位</w:t>
            </w:r>
          </w:p>
        </w:tc>
        <w:tc>
          <w:tcPr>
            <w:tcW w:w="4291" w:type="dxa"/>
            <w:gridSpan w:val="4"/>
            <w:noWrap w:val="0"/>
            <w:tcMar>
              <w:left w:w="57" w:type="dxa"/>
              <w:right w:w="57" w:type="dxa"/>
            </w:tcMar>
            <w:vAlign w:val="center"/>
          </w:tcPr>
          <w:p>
            <w:pPr>
              <w:spacing w:after="0" w:afterLines="0"/>
              <w:rPr>
                <w:color w:val="000000"/>
                <w:kern w:val="2"/>
                <w:sz w:val="15"/>
                <w:szCs w:val="15"/>
              </w:rPr>
            </w:pPr>
          </w:p>
        </w:tc>
        <w:tc>
          <w:tcPr>
            <w:tcW w:w="3431" w:type="dxa"/>
            <w:gridSpan w:val="5"/>
            <w:noWrap w:val="0"/>
            <w:tcMar>
              <w:left w:w="57" w:type="dxa"/>
              <w:right w:w="57" w:type="dxa"/>
            </w:tcMar>
            <w:vAlign w:val="center"/>
          </w:tcPr>
          <w:p>
            <w:pPr>
              <w:spacing w:after="0" w:afterLines="0"/>
              <w:jc w:val="center"/>
              <w:rPr>
                <w:color w:val="000000"/>
                <w:kern w:val="2"/>
                <w:sz w:val="15"/>
                <w:szCs w:val="15"/>
              </w:rPr>
            </w:pPr>
            <w:r>
              <w:rPr>
                <w:b/>
                <w:color w:val="000000"/>
                <w:kern w:val="2"/>
                <w:sz w:val="15"/>
                <w:szCs w:val="15"/>
              </w:rPr>
              <w:t>运营单位</w:t>
            </w:r>
            <w:r>
              <w:rPr>
                <w:rFonts w:hint="eastAsia"/>
                <w:b/>
                <w:color w:val="000000"/>
                <w:kern w:val="2"/>
                <w:sz w:val="15"/>
                <w:szCs w:val="15"/>
              </w:rPr>
              <w:t>社会统一信用代码（或组织机构代码）</w:t>
            </w:r>
          </w:p>
        </w:tc>
        <w:tc>
          <w:tcPr>
            <w:tcW w:w="1593" w:type="dxa"/>
            <w:noWrap w:val="0"/>
            <w:tcMar>
              <w:left w:w="57" w:type="dxa"/>
              <w:right w:w="57" w:type="dxa"/>
            </w:tcMar>
            <w:vAlign w:val="center"/>
          </w:tcPr>
          <w:p>
            <w:pPr>
              <w:spacing w:after="0" w:afterLines="0"/>
              <w:rPr>
                <w:b/>
                <w:color w:val="000000"/>
                <w:kern w:val="2"/>
                <w:sz w:val="15"/>
                <w:szCs w:val="15"/>
              </w:rPr>
            </w:pPr>
          </w:p>
        </w:tc>
        <w:tc>
          <w:tcPr>
            <w:tcW w:w="1717" w:type="dxa"/>
            <w:gridSpan w:val="2"/>
            <w:noWrap w:val="0"/>
            <w:tcMar>
              <w:left w:w="57" w:type="dxa"/>
              <w:right w:w="57" w:type="dxa"/>
            </w:tcMar>
            <w:vAlign w:val="top"/>
          </w:tcPr>
          <w:p>
            <w:pPr>
              <w:spacing w:after="0" w:afterLines="0"/>
              <w:rPr>
                <w:b/>
                <w:color w:val="000000"/>
                <w:kern w:val="2"/>
                <w:sz w:val="15"/>
                <w:szCs w:val="15"/>
              </w:rPr>
            </w:pPr>
            <w:r>
              <w:rPr>
                <w:b/>
                <w:color w:val="000000"/>
                <w:kern w:val="2"/>
                <w:sz w:val="15"/>
                <w:szCs w:val="15"/>
              </w:rPr>
              <w:t>验收时间</w:t>
            </w:r>
          </w:p>
        </w:tc>
        <w:tc>
          <w:tcPr>
            <w:tcW w:w="2450" w:type="dxa"/>
            <w:gridSpan w:val="4"/>
            <w:noWrap w:val="0"/>
            <w:tcMar>
              <w:left w:w="57" w:type="dxa"/>
              <w:right w:w="57" w:type="dxa"/>
            </w:tcMar>
            <w:vAlign w:val="top"/>
          </w:tcPr>
          <w:p>
            <w:pPr>
              <w:spacing w:after="0" w:afterLines="0"/>
              <w:rPr>
                <w:color w:val="000000"/>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restart"/>
            <w:noWrap w:val="0"/>
            <w:tcMar>
              <w:left w:w="57" w:type="dxa"/>
              <w:right w:w="57" w:type="dxa"/>
            </w:tcMar>
            <w:vAlign w:val="center"/>
          </w:tcPr>
          <w:p>
            <w:pPr>
              <w:spacing w:after="0" w:afterLines="0"/>
              <w:rPr>
                <w:rFonts w:eastAsia="黑体"/>
                <w:b/>
                <w:color w:val="000000"/>
                <w:spacing w:val="20"/>
                <w:kern w:val="2"/>
                <w:sz w:val="15"/>
                <w:szCs w:val="15"/>
              </w:rPr>
            </w:pPr>
            <w:r>
              <w:rPr>
                <w:rFonts w:eastAsia="黑体"/>
                <w:b/>
                <w:color w:val="000000"/>
                <w:spacing w:val="20"/>
                <w:kern w:val="2"/>
                <w:sz w:val="15"/>
                <w:szCs w:val="15"/>
              </w:rPr>
              <w:t>污染</w:t>
            </w:r>
          </w:p>
          <w:p>
            <w:pPr>
              <w:spacing w:after="0" w:afterLines="0"/>
              <w:rPr>
                <w:rFonts w:eastAsia="黑体"/>
                <w:b/>
                <w:color w:val="000000"/>
                <w:spacing w:val="20"/>
                <w:kern w:val="2"/>
                <w:sz w:val="15"/>
                <w:szCs w:val="15"/>
              </w:rPr>
            </w:pPr>
            <w:r>
              <w:rPr>
                <w:rFonts w:eastAsia="黑体"/>
                <w:b/>
                <w:color w:val="000000"/>
                <w:spacing w:val="20"/>
                <w:kern w:val="2"/>
                <w:sz w:val="15"/>
                <w:szCs w:val="15"/>
              </w:rPr>
              <w:t>物排</w:t>
            </w:r>
          </w:p>
          <w:p>
            <w:pPr>
              <w:spacing w:after="0" w:afterLines="0"/>
              <w:rPr>
                <w:rFonts w:eastAsia="黑体"/>
                <w:b/>
                <w:color w:val="000000"/>
                <w:spacing w:val="20"/>
                <w:kern w:val="2"/>
                <w:sz w:val="15"/>
                <w:szCs w:val="15"/>
              </w:rPr>
            </w:pPr>
            <w:r>
              <w:rPr>
                <w:rFonts w:eastAsia="黑体"/>
                <w:b/>
                <w:color w:val="000000"/>
                <w:spacing w:val="20"/>
                <w:kern w:val="2"/>
                <w:sz w:val="15"/>
                <w:szCs w:val="15"/>
              </w:rPr>
              <w:t>放达</w:t>
            </w:r>
          </w:p>
          <w:p>
            <w:pPr>
              <w:spacing w:after="0" w:afterLines="0"/>
              <w:rPr>
                <w:rFonts w:eastAsia="黑体"/>
                <w:b/>
                <w:color w:val="000000"/>
                <w:spacing w:val="20"/>
                <w:kern w:val="2"/>
                <w:sz w:val="15"/>
                <w:szCs w:val="15"/>
              </w:rPr>
            </w:pPr>
            <w:r>
              <w:rPr>
                <w:rFonts w:eastAsia="黑体"/>
                <w:b/>
                <w:color w:val="000000"/>
                <w:spacing w:val="20"/>
                <w:kern w:val="2"/>
                <w:sz w:val="15"/>
                <w:szCs w:val="15"/>
              </w:rPr>
              <w:t>标与</w:t>
            </w:r>
          </w:p>
          <w:p>
            <w:pPr>
              <w:spacing w:after="0" w:afterLines="0"/>
              <w:rPr>
                <w:rFonts w:eastAsia="黑体"/>
                <w:b/>
                <w:color w:val="000000"/>
                <w:spacing w:val="20"/>
                <w:kern w:val="2"/>
                <w:sz w:val="15"/>
                <w:szCs w:val="15"/>
              </w:rPr>
            </w:pPr>
            <w:r>
              <w:rPr>
                <w:rFonts w:eastAsia="黑体"/>
                <w:b/>
                <w:color w:val="000000"/>
                <w:spacing w:val="20"/>
                <w:kern w:val="2"/>
                <w:sz w:val="15"/>
                <w:szCs w:val="15"/>
              </w:rPr>
              <w:t>总量</w:t>
            </w:r>
          </w:p>
          <w:p>
            <w:pPr>
              <w:spacing w:after="0" w:afterLines="0"/>
              <w:rPr>
                <w:rFonts w:eastAsia="黑体"/>
                <w:b/>
                <w:color w:val="000000"/>
                <w:spacing w:val="20"/>
                <w:kern w:val="2"/>
                <w:sz w:val="15"/>
                <w:szCs w:val="15"/>
              </w:rPr>
            </w:pPr>
            <w:r>
              <w:rPr>
                <w:rFonts w:eastAsia="黑体"/>
                <w:b/>
                <w:color w:val="000000"/>
                <w:spacing w:val="20"/>
                <w:kern w:val="2"/>
                <w:sz w:val="15"/>
                <w:szCs w:val="15"/>
              </w:rPr>
              <w:t>控制（工</w:t>
            </w:r>
          </w:p>
          <w:p>
            <w:pPr>
              <w:spacing w:after="0" w:afterLines="0"/>
              <w:rPr>
                <w:rFonts w:eastAsia="黑体"/>
                <w:b/>
                <w:color w:val="000000"/>
                <w:spacing w:val="20"/>
                <w:kern w:val="2"/>
                <w:sz w:val="15"/>
                <w:szCs w:val="15"/>
              </w:rPr>
            </w:pPr>
            <w:r>
              <w:rPr>
                <w:rFonts w:eastAsia="黑体"/>
                <w:b/>
                <w:color w:val="000000"/>
                <w:spacing w:val="20"/>
                <w:kern w:val="2"/>
                <w:sz w:val="15"/>
                <w:szCs w:val="15"/>
              </w:rPr>
              <w:t>业建</w:t>
            </w:r>
          </w:p>
          <w:p>
            <w:pPr>
              <w:spacing w:after="0" w:afterLines="0"/>
              <w:rPr>
                <w:rFonts w:eastAsia="黑体"/>
                <w:b/>
                <w:color w:val="000000"/>
                <w:spacing w:val="20"/>
                <w:kern w:val="2"/>
                <w:sz w:val="15"/>
                <w:szCs w:val="15"/>
              </w:rPr>
            </w:pPr>
            <w:r>
              <w:rPr>
                <w:rFonts w:eastAsia="黑体"/>
                <w:b/>
                <w:color w:val="000000"/>
                <w:spacing w:val="20"/>
                <w:kern w:val="2"/>
                <w:sz w:val="15"/>
                <w:szCs w:val="15"/>
              </w:rPr>
              <w:t>设项</w:t>
            </w:r>
          </w:p>
          <w:p>
            <w:pPr>
              <w:spacing w:after="0" w:afterLines="0"/>
              <w:rPr>
                <w:rFonts w:eastAsia="黑体"/>
                <w:b/>
                <w:color w:val="000000"/>
                <w:spacing w:val="20"/>
                <w:kern w:val="2"/>
                <w:sz w:val="15"/>
                <w:szCs w:val="15"/>
              </w:rPr>
            </w:pPr>
            <w:r>
              <w:rPr>
                <w:rFonts w:eastAsia="黑体"/>
                <w:b/>
                <w:color w:val="000000"/>
                <w:spacing w:val="20"/>
                <w:kern w:val="2"/>
                <w:sz w:val="15"/>
                <w:szCs w:val="15"/>
              </w:rPr>
              <w:t>目详填）</w:t>
            </w:r>
          </w:p>
        </w:tc>
        <w:tc>
          <w:tcPr>
            <w:tcW w:w="1796" w:type="dxa"/>
            <w:gridSpan w:val="2"/>
            <w:noWrap w:val="0"/>
            <w:tcMar>
              <w:left w:w="57" w:type="dxa"/>
              <w:right w:w="57" w:type="dxa"/>
            </w:tcMar>
            <w:vAlign w:val="center"/>
          </w:tcPr>
          <w:p>
            <w:pPr>
              <w:spacing w:after="0" w:afterLines="0"/>
              <w:rPr>
                <w:color w:val="000000"/>
                <w:kern w:val="2"/>
                <w:sz w:val="15"/>
                <w:szCs w:val="15"/>
              </w:rPr>
            </w:pPr>
            <w:r>
              <w:rPr>
                <w:b/>
                <w:color w:val="000000"/>
                <w:kern w:val="2"/>
                <w:sz w:val="15"/>
                <w:szCs w:val="15"/>
              </w:rPr>
              <w:t>污染物</w:t>
            </w:r>
          </w:p>
        </w:tc>
        <w:tc>
          <w:tcPr>
            <w:tcW w:w="828" w:type="dxa"/>
            <w:noWrap w:val="0"/>
            <w:tcMar>
              <w:left w:w="57" w:type="dxa"/>
              <w:right w:w="57" w:type="dxa"/>
            </w:tcMar>
            <w:vAlign w:val="center"/>
          </w:tcPr>
          <w:p>
            <w:pPr>
              <w:spacing w:after="0" w:afterLines="0"/>
              <w:rPr>
                <w:b/>
                <w:color w:val="000000"/>
                <w:kern w:val="2"/>
                <w:sz w:val="15"/>
                <w:szCs w:val="15"/>
              </w:rPr>
            </w:pPr>
            <w:r>
              <w:rPr>
                <w:b/>
                <w:color w:val="000000"/>
                <w:kern w:val="2"/>
                <w:sz w:val="15"/>
                <w:szCs w:val="15"/>
              </w:rPr>
              <w:t>原有排</w:t>
            </w:r>
          </w:p>
          <w:p>
            <w:pPr>
              <w:spacing w:after="0" w:afterLines="0"/>
              <w:rPr>
                <w:b/>
                <w:color w:val="000000"/>
                <w:kern w:val="2"/>
                <w:sz w:val="15"/>
                <w:szCs w:val="15"/>
              </w:rPr>
            </w:pPr>
            <w:r>
              <w:rPr>
                <w:b/>
                <w:color w:val="000000"/>
                <w:kern w:val="2"/>
                <w:sz w:val="15"/>
                <w:szCs w:val="15"/>
              </w:rPr>
              <w:t>放量(1)</w:t>
            </w:r>
          </w:p>
        </w:tc>
        <w:tc>
          <w:tcPr>
            <w:tcW w:w="1379" w:type="dxa"/>
            <w:noWrap w:val="0"/>
            <w:tcMar>
              <w:left w:w="57" w:type="dxa"/>
              <w:right w:w="57" w:type="dxa"/>
            </w:tcMar>
            <w:vAlign w:val="center"/>
          </w:tcPr>
          <w:p>
            <w:pPr>
              <w:spacing w:after="0" w:afterLines="0"/>
              <w:rPr>
                <w:b/>
                <w:color w:val="000000"/>
                <w:kern w:val="2"/>
                <w:sz w:val="15"/>
                <w:szCs w:val="15"/>
              </w:rPr>
            </w:pPr>
            <w:r>
              <w:rPr>
                <w:b/>
                <w:color w:val="000000"/>
                <w:kern w:val="2"/>
                <w:sz w:val="15"/>
                <w:szCs w:val="15"/>
              </w:rPr>
              <w:t>本期工程实际排放浓度(2)</w:t>
            </w:r>
          </w:p>
        </w:tc>
        <w:tc>
          <w:tcPr>
            <w:tcW w:w="1097" w:type="dxa"/>
            <w:noWrap w:val="0"/>
            <w:tcMar>
              <w:left w:w="57" w:type="dxa"/>
              <w:right w:w="57" w:type="dxa"/>
            </w:tcMar>
            <w:vAlign w:val="center"/>
          </w:tcPr>
          <w:p>
            <w:pPr>
              <w:spacing w:after="0" w:afterLines="0"/>
              <w:rPr>
                <w:b/>
                <w:color w:val="000000"/>
                <w:kern w:val="2"/>
                <w:sz w:val="15"/>
                <w:szCs w:val="15"/>
              </w:rPr>
            </w:pPr>
            <w:r>
              <w:rPr>
                <w:b/>
                <w:color w:val="000000"/>
                <w:kern w:val="2"/>
                <w:sz w:val="15"/>
                <w:szCs w:val="15"/>
              </w:rPr>
              <w:t>本期工程允许排放浓度(3)</w:t>
            </w:r>
          </w:p>
        </w:tc>
        <w:tc>
          <w:tcPr>
            <w:tcW w:w="993" w:type="dxa"/>
            <w:gridSpan w:val="2"/>
            <w:noWrap w:val="0"/>
            <w:tcMar>
              <w:left w:w="57" w:type="dxa"/>
              <w:right w:w="57" w:type="dxa"/>
            </w:tcMar>
            <w:vAlign w:val="center"/>
          </w:tcPr>
          <w:p>
            <w:pPr>
              <w:spacing w:after="0" w:afterLines="0"/>
              <w:rPr>
                <w:b/>
                <w:color w:val="000000"/>
                <w:kern w:val="2"/>
                <w:sz w:val="15"/>
                <w:szCs w:val="15"/>
              </w:rPr>
            </w:pPr>
            <w:r>
              <w:rPr>
                <w:b/>
                <w:color w:val="000000"/>
                <w:kern w:val="2"/>
                <w:sz w:val="15"/>
                <w:szCs w:val="15"/>
              </w:rPr>
              <w:t>本期工程产生量(4)</w:t>
            </w:r>
          </w:p>
        </w:tc>
        <w:tc>
          <w:tcPr>
            <w:tcW w:w="1099" w:type="dxa"/>
            <w:gridSpan w:val="2"/>
            <w:noWrap w:val="0"/>
            <w:tcMar>
              <w:left w:w="57" w:type="dxa"/>
              <w:right w:w="57" w:type="dxa"/>
            </w:tcMar>
            <w:vAlign w:val="center"/>
          </w:tcPr>
          <w:p>
            <w:pPr>
              <w:spacing w:after="0" w:afterLines="0"/>
              <w:rPr>
                <w:b/>
                <w:color w:val="000000"/>
                <w:kern w:val="2"/>
                <w:sz w:val="15"/>
                <w:szCs w:val="15"/>
              </w:rPr>
            </w:pPr>
            <w:r>
              <w:rPr>
                <w:b/>
                <w:color w:val="000000"/>
                <w:kern w:val="2"/>
                <w:sz w:val="15"/>
                <w:szCs w:val="15"/>
              </w:rPr>
              <w:t>本期工程自身削减量(5)</w:t>
            </w:r>
          </w:p>
        </w:tc>
        <w:tc>
          <w:tcPr>
            <w:tcW w:w="1137" w:type="dxa"/>
            <w:noWrap w:val="0"/>
            <w:tcMar>
              <w:left w:w="57" w:type="dxa"/>
              <w:right w:w="57" w:type="dxa"/>
            </w:tcMar>
            <w:vAlign w:val="center"/>
          </w:tcPr>
          <w:p>
            <w:pPr>
              <w:spacing w:after="0" w:afterLines="0"/>
              <w:rPr>
                <w:b/>
                <w:color w:val="000000"/>
                <w:kern w:val="2"/>
                <w:sz w:val="15"/>
                <w:szCs w:val="15"/>
              </w:rPr>
            </w:pPr>
            <w:r>
              <w:rPr>
                <w:b/>
                <w:color w:val="000000"/>
                <w:kern w:val="2"/>
                <w:sz w:val="15"/>
                <w:szCs w:val="15"/>
              </w:rPr>
              <w:t>本期工程实际排放量(6)</w:t>
            </w:r>
          </w:p>
        </w:tc>
        <w:tc>
          <w:tcPr>
            <w:tcW w:w="1189" w:type="dxa"/>
            <w:noWrap w:val="0"/>
            <w:tcMar>
              <w:left w:w="57" w:type="dxa"/>
              <w:right w:w="57" w:type="dxa"/>
            </w:tcMar>
            <w:vAlign w:val="center"/>
          </w:tcPr>
          <w:p>
            <w:pPr>
              <w:spacing w:after="0" w:afterLines="0"/>
              <w:jc w:val="center"/>
              <w:rPr>
                <w:b/>
                <w:color w:val="000000"/>
                <w:kern w:val="2"/>
                <w:sz w:val="15"/>
                <w:szCs w:val="15"/>
              </w:rPr>
            </w:pPr>
            <w:r>
              <w:rPr>
                <w:b/>
                <w:color w:val="000000"/>
                <w:kern w:val="2"/>
                <w:sz w:val="15"/>
                <w:szCs w:val="15"/>
              </w:rPr>
              <w:t>本期工程核定排放总量(7)</w:t>
            </w:r>
          </w:p>
        </w:tc>
        <w:tc>
          <w:tcPr>
            <w:tcW w:w="1593" w:type="dxa"/>
            <w:noWrap w:val="0"/>
            <w:tcMar>
              <w:left w:w="57" w:type="dxa"/>
              <w:right w:w="57" w:type="dxa"/>
            </w:tcMar>
            <w:vAlign w:val="center"/>
          </w:tcPr>
          <w:p>
            <w:pPr>
              <w:spacing w:after="0" w:afterLines="0"/>
              <w:rPr>
                <w:b/>
                <w:color w:val="000000"/>
                <w:kern w:val="2"/>
                <w:sz w:val="15"/>
                <w:szCs w:val="15"/>
              </w:rPr>
            </w:pPr>
            <w:r>
              <w:rPr>
                <w:b/>
                <w:color w:val="000000"/>
                <w:kern w:val="2"/>
                <w:sz w:val="15"/>
                <w:szCs w:val="15"/>
              </w:rPr>
              <w:t>本期工程“以新带老”削减量(8)</w:t>
            </w:r>
          </w:p>
        </w:tc>
        <w:tc>
          <w:tcPr>
            <w:tcW w:w="1027" w:type="dxa"/>
            <w:noWrap w:val="0"/>
            <w:tcMar>
              <w:left w:w="57" w:type="dxa"/>
              <w:right w:w="57" w:type="dxa"/>
            </w:tcMar>
            <w:vAlign w:val="center"/>
          </w:tcPr>
          <w:p>
            <w:pPr>
              <w:spacing w:after="0" w:afterLines="0"/>
              <w:rPr>
                <w:b/>
                <w:color w:val="000000"/>
                <w:kern w:val="2"/>
                <w:sz w:val="15"/>
                <w:szCs w:val="15"/>
              </w:rPr>
            </w:pPr>
            <w:r>
              <w:rPr>
                <w:b/>
                <w:color w:val="000000"/>
                <w:kern w:val="2"/>
                <w:sz w:val="15"/>
                <w:szCs w:val="15"/>
              </w:rPr>
              <w:t>全厂实际排放总量(9)</w:t>
            </w:r>
          </w:p>
        </w:tc>
        <w:tc>
          <w:tcPr>
            <w:tcW w:w="1244" w:type="dxa"/>
            <w:gridSpan w:val="2"/>
            <w:noWrap w:val="0"/>
            <w:tcMar>
              <w:left w:w="57" w:type="dxa"/>
              <w:right w:w="57" w:type="dxa"/>
            </w:tcMar>
            <w:vAlign w:val="center"/>
          </w:tcPr>
          <w:p>
            <w:pPr>
              <w:spacing w:after="0" w:afterLines="0"/>
              <w:rPr>
                <w:b/>
                <w:color w:val="000000"/>
                <w:kern w:val="2"/>
                <w:sz w:val="15"/>
                <w:szCs w:val="15"/>
              </w:rPr>
            </w:pPr>
            <w:r>
              <w:rPr>
                <w:b/>
                <w:color w:val="000000"/>
                <w:kern w:val="2"/>
                <w:sz w:val="15"/>
                <w:szCs w:val="15"/>
              </w:rPr>
              <w:t>全厂核定排放总量(10)</w:t>
            </w:r>
          </w:p>
        </w:tc>
        <w:tc>
          <w:tcPr>
            <w:tcW w:w="1102" w:type="dxa"/>
            <w:noWrap w:val="0"/>
            <w:tcMar>
              <w:left w:w="57" w:type="dxa"/>
              <w:right w:w="57" w:type="dxa"/>
            </w:tcMar>
            <w:vAlign w:val="center"/>
          </w:tcPr>
          <w:p>
            <w:pPr>
              <w:spacing w:after="0" w:afterLines="0"/>
              <w:rPr>
                <w:b/>
                <w:color w:val="000000"/>
                <w:kern w:val="2"/>
                <w:sz w:val="15"/>
                <w:szCs w:val="15"/>
              </w:rPr>
            </w:pPr>
            <w:r>
              <w:rPr>
                <w:b/>
                <w:color w:val="000000"/>
                <w:kern w:val="2"/>
                <w:sz w:val="15"/>
                <w:szCs w:val="15"/>
              </w:rPr>
              <w:t>区域平衡替代削减量(11)</w:t>
            </w:r>
          </w:p>
        </w:tc>
        <w:tc>
          <w:tcPr>
            <w:tcW w:w="794" w:type="dxa"/>
            <w:gridSpan w:val="2"/>
            <w:noWrap w:val="0"/>
            <w:tcMar>
              <w:left w:w="57" w:type="dxa"/>
              <w:right w:w="57" w:type="dxa"/>
            </w:tcMar>
            <w:vAlign w:val="center"/>
          </w:tcPr>
          <w:p>
            <w:pPr>
              <w:spacing w:after="0" w:afterLines="0"/>
              <w:rPr>
                <w:b/>
                <w:color w:val="000000"/>
                <w:kern w:val="2"/>
                <w:sz w:val="15"/>
                <w:szCs w:val="15"/>
              </w:rPr>
            </w:pPr>
            <w:r>
              <w:rPr>
                <w:b/>
                <w:color w:val="000000"/>
                <w:kern w:val="2"/>
                <w:sz w:val="15"/>
                <w:szCs w:val="15"/>
              </w:rPr>
              <w:t>排放增减量(12)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noWrap w:val="0"/>
            <w:tcMar>
              <w:left w:w="57" w:type="dxa"/>
              <w:right w:w="57" w:type="dxa"/>
            </w:tcMar>
            <w:vAlign w:val="center"/>
          </w:tcPr>
          <w:p>
            <w:pPr>
              <w:spacing w:after="0" w:afterLines="0"/>
              <w:rPr>
                <w:color w:val="000000"/>
                <w:kern w:val="2"/>
                <w:sz w:val="15"/>
                <w:szCs w:val="15"/>
              </w:rPr>
            </w:pPr>
          </w:p>
        </w:tc>
        <w:tc>
          <w:tcPr>
            <w:tcW w:w="1796" w:type="dxa"/>
            <w:gridSpan w:val="2"/>
            <w:noWrap w:val="0"/>
            <w:tcMar>
              <w:left w:w="57" w:type="dxa"/>
              <w:right w:w="57" w:type="dxa"/>
            </w:tcMar>
            <w:vAlign w:val="center"/>
          </w:tcPr>
          <w:p>
            <w:pPr>
              <w:spacing w:after="0" w:afterLines="0"/>
              <w:jc w:val="both"/>
              <w:rPr>
                <w:color w:val="000000"/>
                <w:kern w:val="2"/>
                <w:sz w:val="15"/>
                <w:szCs w:val="15"/>
              </w:rPr>
            </w:pPr>
            <w:r>
              <w:rPr>
                <w:b/>
                <w:color w:val="000000"/>
                <w:kern w:val="2"/>
                <w:sz w:val="15"/>
                <w:szCs w:val="15"/>
              </w:rPr>
              <w:t>废水</w:t>
            </w:r>
          </w:p>
        </w:tc>
        <w:tc>
          <w:tcPr>
            <w:tcW w:w="828" w:type="dxa"/>
            <w:noWrap w:val="0"/>
            <w:tcMar>
              <w:left w:w="57" w:type="dxa"/>
              <w:right w:w="57" w:type="dxa"/>
            </w:tcMar>
            <w:vAlign w:val="center"/>
          </w:tcPr>
          <w:p>
            <w:pPr>
              <w:spacing w:after="0" w:afterLines="0"/>
              <w:jc w:val="center"/>
              <w:rPr>
                <w:rFonts w:hint="default" w:eastAsia="宋体"/>
                <w:color w:val="000000"/>
                <w:kern w:val="2"/>
                <w:sz w:val="15"/>
                <w:szCs w:val="15"/>
                <w:lang w:val="en-US" w:eastAsia="zh-CN"/>
              </w:rPr>
            </w:pPr>
            <w:r>
              <w:rPr>
                <w:rFonts w:hint="eastAsia" w:eastAsia="宋体"/>
                <w:color w:val="000000"/>
                <w:kern w:val="2"/>
                <w:sz w:val="15"/>
                <w:szCs w:val="15"/>
                <w:lang w:val="en-US" w:eastAsia="zh-CN"/>
              </w:rPr>
              <w:t>0</w:t>
            </w:r>
          </w:p>
        </w:tc>
        <w:tc>
          <w:tcPr>
            <w:tcW w:w="1379" w:type="dxa"/>
            <w:noWrap w:val="0"/>
            <w:tcMar>
              <w:left w:w="57" w:type="dxa"/>
              <w:right w:w="57" w:type="dxa"/>
            </w:tcMar>
            <w:vAlign w:val="center"/>
          </w:tcPr>
          <w:p>
            <w:pPr>
              <w:spacing w:after="0" w:afterLines="0"/>
              <w:jc w:val="center"/>
              <w:rPr>
                <w:color w:val="000000"/>
                <w:kern w:val="2"/>
                <w:sz w:val="15"/>
                <w:szCs w:val="15"/>
              </w:rPr>
            </w:pPr>
          </w:p>
        </w:tc>
        <w:tc>
          <w:tcPr>
            <w:tcW w:w="1097" w:type="dxa"/>
            <w:noWrap w:val="0"/>
            <w:tcMar>
              <w:left w:w="57" w:type="dxa"/>
              <w:right w:w="57" w:type="dxa"/>
            </w:tcMar>
            <w:vAlign w:val="center"/>
          </w:tcPr>
          <w:p>
            <w:pPr>
              <w:spacing w:after="0" w:afterLines="0"/>
              <w:jc w:val="center"/>
              <w:rPr>
                <w:color w:val="000000"/>
                <w:kern w:val="2"/>
                <w:sz w:val="15"/>
                <w:szCs w:val="15"/>
              </w:rPr>
            </w:pPr>
          </w:p>
        </w:tc>
        <w:tc>
          <w:tcPr>
            <w:tcW w:w="993" w:type="dxa"/>
            <w:gridSpan w:val="2"/>
            <w:noWrap w:val="0"/>
            <w:tcMar>
              <w:left w:w="57" w:type="dxa"/>
              <w:right w:w="57" w:type="dxa"/>
            </w:tcMar>
            <w:vAlign w:val="center"/>
          </w:tcPr>
          <w:p>
            <w:pPr>
              <w:spacing w:after="0" w:afterLines="0"/>
              <w:jc w:val="center"/>
              <w:rPr>
                <w:rFonts w:hint="default" w:eastAsia="宋体"/>
                <w:color w:val="000000"/>
                <w:kern w:val="2"/>
                <w:sz w:val="15"/>
                <w:szCs w:val="15"/>
                <w:lang w:val="en-US" w:eastAsia="zh-CN"/>
              </w:rPr>
            </w:pPr>
            <w:r>
              <w:rPr>
                <w:rFonts w:hint="eastAsia" w:eastAsia="宋体"/>
                <w:color w:val="000000"/>
                <w:kern w:val="2"/>
                <w:sz w:val="15"/>
                <w:szCs w:val="15"/>
                <w:lang w:val="en-US" w:eastAsia="zh-CN"/>
              </w:rPr>
              <w:t>0</w:t>
            </w:r>
          </w:p>
        </w:tc>
        <w:tc>
          <w:tcPr>
            <w:tcW w:w="1099" w:type="dxa"/>
            <w:gridSpan w:val="2"/>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c>
          <w:tcPr>
            <w:tcW w:w="1137" w:type="dxa"/>
            <w:noWrap w:val="0"/>
            <w:tcMar>
              <w:left w:w="57" w:type="dxa"/>
              <w:right w:w="57" w:type="dxa"/>
            </w:tcMar>
            <w:vAlign w:val="center"/>
          </w:tcPr>
          <w:p>
            <w:pPr>
              <w:spacing w:after="0" w:afterLines="0"/>
              <w:jc w:val="center"/>
              <w:rPr>
                <w:rFonts w:hint="default"/>
                <w:color w:val="000000"/>
                <w:kern w:val="2"/>
                <w:sz w:val="15"/>
                <w:szCs w:val="15"/>
                <w:lang w:val="en-US"/>
              </w:rPr>
            </w:pPr>
            <w:r>
              <w:rPr>
                <w:rFonts w:hint="eastAsia" w:eastAsia="宋体"/>
                <w:color w:val="000000"/>
                <w:kern w:val="2"/>
                <w:sz w:val="15"/>
                <w:szCs w:val="15"/>
                <w:lang w:val="en-US" w:eastAsia="zh-CN"/>
              </w:rPr>
              <w:t>0</w:t>
            </w:r>
          </w:p>
        </w:tc>
        <w:tc>
          <w:tcPr>
            <w:tcW w:w="1189" w:type="dxa"/>
            <w:noWrap w:val="0"/>
            <w:tcMar>
              <w:left w:w="57" w:type="dxa"/>
              <w:right w:w="57" w:type="dxa"/>
            </w:tcMar>
            <w:vAlign w:val="center"/>
          </w:tcPr>
          <w:p>
            <w:pPr>
              <w:spacing w:after="0" w:afterLines="0"/>
              <w:jc w:val="center"/>
              <w:rPr>
                <w:color w:val="000000"/>
                <w:kern w:val="2"/>
                <w:sz w:val="15"/>
                <w:szCs w:val="15"/>
              </w:rPr>
            </w:pPr>
          </w:p>
        </w:tc>
        <w:tc>
          <w:tcPr>
            <w:tcW w:w="1593" w:type="dxa"/>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c>
          <w:tcPr>
            <w:tcW w:w="1027" w:type="dxa"/>
            <w:noWrap w:val="0"/>
            <w:tcMar>
              <w:left w:w="57" w:type="dxa"/>
              <w:right w:w="57" w:type="dxa"/>
            </w:tcMar>
            <w:vAlign w:val="center"/>
          </w:tcPr>
          <w:p>
            <w:pPr>
              <w:spacing w:after="0" w:afterLines="0"/>
              <w:jc w:val="center"/>
              <w:rPr>
                <w:color w:val="000000"/>
                <w:kern w:val="2"/>
                <w:sz w:val="15"/>
                <w:szCs w:val="15"/>
              </w:rPr>
            </w:pPr>
          </w:p>
        </w:tc>
        <w:tc>
          <w:tcPr>
            <w:tcW w:w="1244" w:type="dxa"/>
            <w:gridSpan w:val="2"/>
            <w:noWrap w:val="0"/>
            <w:tcMar>
              <w:left w:w="57" w:type="dxa"/>
              <w:right w:w="57" w:type="dxa"/>
            </w:tcMar>
            <w:vAlign w:val="center"/>
          </w:tcPr>
          <w:p>
            <w:pPr>
              <w:spacing w:after="0" w:afterLines="0"/>
              <w:jc w:val="center"/>
              <w:rPr>
                <w:rFonts w:hint="default"/>
                <w:color w:val="000000"/>
                <w:kern w:val="2"/>
                <w:sz w:val="15"/>
                <w:szCs w:val="15"/>
                <w:lang w:val="en-US"/>
              </w:rPr>
            </w:pPr>
            <w:r>
              <w:rPr>
                <w:rFonts w:hint="eastAsia" w:eastAsia="宋体"/>
                <w:color w:val="000000"/>
                <w:kern w:val="2"/>
                <w:sz w:val="15"/>
                <w:szCs w:val="15"/>
                <w:lang w:val="en-US" w:eastAsia="zh-CN"/>
              </w:rPr>
              <w:t>0</w:t>
            </w:r>
          </w:p>
        </w:tc>
        <w:tc>
          <w:tcPr>
            <w:tcW w:w="1102" w:type="dxa"/>
            <w:noWrap w:val="0"/>
            <w:tcMar>
              <w:left w:w="57" w:type="dxa"/>
              <w:right w:w="57" w:type="dxa"/>
            </w:tcMar>
            <w:vAlign w:val="center"/>
          </w:tcPr>
          <w:p>
            <w:pPr>
              <w:spacing w:after="0" w:afterLines="0"/>
              <w:jc w:val="center"/>
              <w:rPr>
                <w:rFonts w:hint="default" w:eastAsia="宋体"/>
                <w:color w:val="000000"/>
                <w:kern w:val="2"/>
                <w:sz w:val="15"/>
                <w:szCs w:val="15"/>
                <w:lang w:val="en-US" w:eastAsia="zh-CN"/>
              </w:rPr>
            </w:pPr>
            <w:r>
              <w:rPr>
                <w:rFonts w:hint="eastAsia" w:eastAsia="宋体"/>
                <w:color w:val="000000"/>
                <w:kern w:val="2"/>
                <w:sz w:val="15"/>
                <w:szCs w:val="15"/>
                <w:lang w:val="en-US" w:eastAsia="zh-CN"/>
              </w:rPr>
              <w:t>0</w:t>
            </w:r>
          </w:p>
        </w:tc>
        <w:tc>
          <w:tcPr>
            <w:tcW w:w="794" w:type="dxa"/>
            <w:gridSpan w:val="2"/>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noWrap w:val="0"/>
            <w:tcMar>
              <w:left w:w="57" w:type="dxa"/>
              <w:right w:w="57" w:type="dxa"/>
            </w:tcMar>
            <w:vAlign w:val="top"/>
          </w:tcPr>
          <w:p>
            <w:pPr>
              <w:spacing w:after="0" w:afterLines="0"/>
              <w:rPr>
                <w:color w:val="000000"/>
                <w:kern w:val="2"/>
                <w:sz w:val="15"/>
                <w:szCs w:val="15"/>
              </w:rPr>
            </w:pPr>
          </w:p>
        </w:tc>
        <w:tc>
          <w:tcPr>
            <w:tcW w:w="1796" w:type="dxa"/>
            <w:gridSpan w:val="2"/>
            <w:noWrap w:val="0"/>
            <w:tcMar>
              <w:left w:w="57" w:type="dxa"/>
              <w:right w:w="57" w:type="dxa"/>
            </w:tcMar>
            <w:vAlign w:val="center"/>
          </w:tcPr>
          <w:p>
            <w:pPr>
              <w:spacing w:after="0" w:afterLines="0"/>
              <w:jc w:val="both"/>
              <w:rPr>
                <w:b/>
                <w:color w:val="000000"/>
                <w:kern w:val="2"/>
                <w:sz w:val="15"/>
                <w:szCs w:val="15"/>
              </w:rPr>
            </w:pPr>
            <w:r>
              <w:rPr>
                <w:b/>
                <w:color w:val="000000"/>
                <w:kern w:val="2"/>
                <w:sz w:val="15"/>
                <w:szCs w:val="15"/>
              </w:rPr>
              <w:t>化学需氧量</w:t>
            </w:r>
          </w:p>
        </w:tc>
        <w:tc>
          <w:tcPr>
            <w:tcW w:w="828" w:type="dxa"/>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c>
          <w:tcPr>
            <w:tcW w:w="1379" w:type="dxa"/>
            <w:noWrap w:val="0"/>
            <w:tcMar>
              <w:left w:w="57" w:type="dxa"/>
              <w:right w:w="57" w:type="dxa"/>
            </w:tcMar>
            <w:vAlign w:val="center"/>
          </w:tcPr>
          <w:p>
            <w:pPr>
              <w:spacing w:after="0" w:afterLines="0"/>
              <w:jc w:val="center"/>
              <w:rPr>
                <w:color w:val="000000"/>
                <w:kern w:val="2"/>
                <w:sz w:val="15"/>
                <w:szCs w:val="15"/>
              </w:rPr>
            </w:pPr>
          </w:p>
        </w:tc>
        <w:tc>
          <w:tcPr>
            <w:tcW w:w="1097" w:type="dxa"/>
            <w:noWrap w:val="0"/>
            <w:tcMar>
              <w:left w:w="57" w:type="dxa"/>
              <w:right w:w="57" w:type="dxa"/>
            </w:tcMar>
            <w:vAlign w:val="center"/>
          </w:tcPr>
          <w:p>
            <w:pPr>
              <w:spacing w:after="0" w:afterLines="0"/>
              <w:jc w:val="center"/>
              <w:rPr>
                <w:color w:val="000000"/>
                <w:kern w:val="2"/>
                <w:sz w:val="15"/>
                <w:szCs w:val="15"/>
              </w:rPr>
            </w:pPr>
          </w:p>
        </w:tc>
        <w:tc>
          <w:tcPr>
            <w:tcW w:w="993" w:type="dxa"/>
            <w:gridSpan w:val="2"/>
            <w:noWrap w:val="0"/>
            <w:tcMar>
              <w:left w:w="57" w:type="dxa"/>
              <w:right w:w="57" w:type="dxa"/>
            </w:tcMar>
            <w:vAlign w:val="center"/>
          </w:tcPr>
          <w:p>
            <w:pPr>
              <w:spacing w:after="0" w:afterLines="0"/>
              <w:jc w:val="center"/>
              <w:rPr>
                <w:rFonts w:hint="default" w:eastAsia="宋体"/>
                <w:color w:val="000000"/>
                <w:kern w:val="2"/>
                <w:sz w:val="15"/>
                <w:szCs w:val="15"/>
                <w:lang w:val="en-US" w:eastAsia="zh-CN"/>
              </w:rPr>
            </w:pPr>
            <w:r>
              <w:rPr>
                <w:rFonts w:hint="eastAsia" w:eastAsia="宋体"/>
                <w:color w:val="000000"/>
                <w:kern w:val="2"/>
                <w:sz w:val="15"/>
                <w:szCs w:val="15"/>
                <w:lang w:val="en-US" w:eastAsia="zh-CN"/>
              </w:rPr>
              <w:t>0</w:t>
            </w:r>
          </w:p>
        </w:tc>
        <w:tc>
          <w:tcPr>
            <w:tcW w:w="1099" w:type="dxa"/>
            <w:gridSpan w:val="2"/>
            <w:noWrap w:val="0"/>
            <w:tcMar>
              <w:left w:w="57" w:type="dxa"/>
              <w:right w:w="57" w:type="dxa"/>
            </w:tcMar>
            <w:vAlign w:val="center"/>
          </w:tcPr>
          <w:p>
            <w:pPr>
              <w:spacing w:after="0" w:afterLines="0"/>
              <w:jc w:val="center"/>
              <w:rPr>
                <w:rFonts w:hint="default" w:eastAsia="宋体"/>
                <w:color w:val="000000"/>
                <w:kern w:val="2"/>
                <w:sz w:val="15"/>
                <w:szCs w:val="15"/>
                <w:lang w:val="en-US" w:eastAsia="zh-CN"/>
              </w:rPr>
            </w:pPr>
            <w:r>
              <w:rPr>
                <w:rFonts w:hint="eastAsia" w:eastAsia="宋体"/>
                <w:color w:val="000000"/>
                <w:kern w:val="2"/>
                <w:sz w:val="15"/>
                <w:szCs w:val="15"/>
                <w:lang w:val="en-US" w:eastAsia="zh-CN"/>
              </w:rPr>
              <w:t>0</w:t>
            </w:r>
          </w:p>
        </w:tc>
        <w:tc>
          <w:tcPr>
            <w:tcW w:w="1137" w:type="dxa"/>
            <w:noWrap w:val="0"/>
            <w:tcMar>
              <w:left w:w="57" w:type="dxa"/>
              <w:right w:w="57" w:type="dxa"/>
            </w:tcMar>
            <w:vAlign w:val="center"/>
          </w:tcPr>
          <w:p>
            <w:pPr>
              <w:spacing w:after="0" w:afterLines="0"/>
              <w:jc w:val="center"/>
              <w:rPr>
                <w:rFonts w:hint="default"/>
                <w:color w:val="000000"/>
                <w:kern w:val="2"/>
                <w:sz w:val="15"/>
                <w:szCs w:val="15"/>
                <w:lang w:val="en-US"/>
              </w:rPr>
            </w:pPr>
            <w:r>
              <w:rPr>
                <w:rFonts w:hint="eastAsia" w:eastAsia="宋体"/>
                <w:color w:val="000000"/>
                <w:kern w:val="2"/>
                <w:sz w:val="15"/>
                <w:szCs w:val="15"/>
                <w:lang w:val="en-US" w:eastAsia="zh-CN"/>
              </w:rPr>
              <w:t>0</w:t>
            </w:r>
          </w:p>
        </w:tc>
        <w:tc>
          <w:tcPr>
            <w:tcW w:w="1189" w:type="dxa"/>
            <w:noWrap w:val="0"/>
            <w:tcMar>
              <w:left w:w="57" w:type="dxa"/>
              <w:right w:w="57" w:type="dxa"/>
            </w:tcMar>
            <w:vAlign w:val="center"/>
          </w:tcPr>
          <w:p>
            <w:pPr>
              <w:spacing w:after="0" w:afterLines="0"/>
              <w:jc w:val="center"/>
              <w:rPr>
                <w:color w:val="000000"/>
                <w:kern w:val="2"/>
                <w:sz w:val="15"/>
                <w:szCs w:val="15"/>
              </w:rPr>
            </w:pPr>
          </w:p>
        </w:tc>
        <w:tc>
          <w:tcPr>
            <w:tcW w:w="1593" w:type="dxa"/>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c>
          <w:tcPr>
            <w:tcW w:w="1027" w:type="dxa"/>
            <w:noWrap w:val="0"/>
            <w:tcMar>
              <w:left w:w="57" w:type="dxa"/>
              <w:right w:w="57" w:type="dxa"/>
            </w:tcMar>
            <w:vAlign w:val="center"/>
          </w:tcPr>
          <w:p>
            <w:pPr>
              <w:spacing w:after="0" w:afterLines="0"/>
              <w:jc w:val="center"/>
              <w:rPr>
                <w:color w:val="000000"/>
                <w:kern w:val="2"/>
                <w:sz w:val="15"/>
                <w:szCs w:val="15"/>
              </w:rPr>
            </w:pPr>
          </w:p>
        </w:tc>
        <w:tc>
          <w:tcPr>
            <w:tcW w:w="1244" w:type="dxa"/>
            <w:gridSpan w:val="2"/>
            <w:noWrap w:val="0"/>
            <w:tcMar>
              <w:left w:w="57" w:type="dxa"/>
              <w:right w:w="57" w:type="dxa"/>
            </w:tcMar>
            <w:vAlign w:val="center"/>
          </w:tcPr>
          <w:p>
            <w:pPr>
              <w:spacing w:after="0" w:afterLines="0"/>
              <w:jc w:val="center"/>
              <w:rPr>
                <w:rFonts w:hint="default"/>
                <w:color w:val="000000"/>
                <w:kern w:val="2"/>
                <w:sz w:val="15"/>
                <w:szCs w:val="15"/>
                <w:lang w:val="en-US"/>
              </w:rPr>
            </w:pPr>
            <w:r>
              <w:rPr>
                <w:rFonts w:hint="eastAsia" w:eastAsia="宋体"/>
                <w:color w:val="000000"/>
                <w:kern w:val="2"/>
                <w:sz w:val="15"/>
                <w:szCs w:val="15"/>
                <w:lang w:val="en-US" w:eastAsia="zh-CN"/>
              </w:rPr>
              <w:t>0</w:t>
            </w:r>
          </w:p>
        </w:tc>
        <w:tc>
          <w:tcPr>
            <w:tcW w:w="1102" w:type="dxa"/>
            <w:noWrap w:val="0"/>
            <w:tcMar>
              <w:left w:w="57" w:type="dxa"/>
              <w:right w:w="57" w:type="dxa"/>
            </w:tcMar>
            <w:vAlign w:val="center"/>
          </w:tcPr>
          <w:p>
            <w:pPr>
              <w:spacing w:after="0" w:afterLines="0"/>
              <w:jc w:val="center"/>
              <w:rPr>
                <w:rFonts w:hint="default" w:eastAsia="宋体"/>
                <w:color w:val="000000"/>
                <w:kern w:val="2"/>
                <w:sz w:val="15"/>
                <w:szCs w:val="15"/>
                <w:lang w:val="en-US" w:eastAsia="zh-CN"/>
              </w:rPr>
            </w:pPr>
            <w:r>
              <w:rPr>
                <w:rFonts w:hint="eastAsia" w:eastAsia="宋体"/>
                <w:color w:val="000000"/>
                <w:kern w:val="2"/>
                <w:sz w:val="15"/>
                <w:szCs w:val="15"/>
                <w:lang w:val="en-US" w:eastAsia="zh-CN"/>
              </w:rPr>
              <w:t>0</w:t>
            </w:r>
          </w:p>
        </w:tc>
        <w:tc>
          <w:tcPr>
            <w:tcW w:w="794" w:type="dxa"/>
            <w:gridSpan w:val="2"/>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noWrap w:val="0"/>
            <w:tcMar>
              <w:left w:w="57" w:type="dxa"/>
              <w:right w:w="57" w:type="dxa"/>
            </w:tcMar>
            <w:vAlign w:val="top"/>
          </w:tcPr>
          <w:p>
            <w:pPr>
              <w:spacing w:after="0" w:afterLines="0"/>
              <w:rPr>
                <w:color w:val="000000"/>
                <w:kern w:val="2"/>
                <w:sz w:val="15"/>
                <w:szCs w:val="15"/>
              </w:rPr>
            </w:pPr>
          </w:p>
        </w:tc>
        <w:tc>
          <w:tcPr>
            <w:tcW w:w="1796" w:type="dxa"/>
            <w:gridSpan w:val="2"/>
            <w:noWrap w:val="0"/>
            <w:tcMar>
              <w:left w:w="57" w:type="dxa"/>
              <w:right w:w="57" w:type="dxa"/>
            </w:tcMar>
            <w:vAlign w:val="center"/>
          </w:tcPr>
          <w:p>
            <w:pPr>
              <w:spacing w:after="0" w:afterLines="0"/>
              <w:jc w:val="both"/>
              <w:rPr>
                <w:b/>
                <w:color w:val="000000"/>
                <w:kern w:val="2"/>
                <w:sz w:val="15"/>
                <w:szCs w:val="15"/>
              </w:rPr>
            </w:pPr>
            <w:r>
              <w:rPr>
                <w:b/>
                <w:color w:val="000000"/>
                <w:kern w:val="2"/>
                <w:sz w:val="15"/>
                <w:szCs w:val="15"/>
              </w:rPr>
              <w:t>氨氮</w:t>
            </w:r>
          </w:p>
        </w:tc>
        <w:tc>
          <w:tcPr>
            <w:tcW w:w="828" w:type="dxa"/>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c>
          <w:tcPr>
            <w:tcW w:w="1379" w:type="dxa"/>
            <w:noWrap w:val="0"/>
            <w:tcMar>
              <w:left w:w="57" w:type="dxa"/>
              <w:right w:w="57" w:type="dxa"/>
            </w:tcMar>
            <w:vAlign w:val="center"/>
          </w:tcPr>
          <w:p>
            <w:pPr>
              <w:spacing w:after="0" w:afterLines="0"/>
              <w:jc w:val="center"/>
              <w:rPr>
                <w:color w:val="000000"/>
                <w:kern w:val="2"/>
                <w:sz w:val="15"/>
                <w:szCs w:val="15"/>
              </w:rPr>
            </w:pPr>
          </w:p>
        </w:tc>
        <w:tc>
          <w:tcPr>
            <w:tcW w:w="1097" w:type="dxa"/>
            <w:noWrap w:val="0"/>
            <w:tcMar>
              <w:left w:w="57" w:type="dxa"/>
              <w:right w:w="57" w:type="dxa"/>
            </w:tcMar>
            <w:vAlign w:val="center"/>
          </w:tcPr>
          <w:p>
            <w:pPr>
              <w:spacing w:after="0" w:afterLines="0"/>
              <w:jc w:val="center"/>
              <w:rPr>
                <w:color w:val="000000"/>
                <w:kern w:val="2"/>
                <w:sz w:val="15"/>
                <w:szCs w:val="15"/>
              </w:rPr>
            </w:pPr>
          </w:p>
        </w:tc>
        <w:tc>
          <w:tcPr>
            <w:tcW w:w="993" w:type="dxa"/>
            <w:gridSpan w:val="2"/>
            <w:noWrap w:val="0"/>
            <w:tcMar>
              <w:left w:w="57" w:type="dxa"/>
              <w:right w:w="57" w:type="dxa"/>
            </w:tcMar>
            <w:vAlign w:val="center"/>
          </w:tcPr>
          <w:p>
            <w:pPr>
              <w:spacing w:after="0" w:afterLines="0"/>
              <w:jc w:val="center"/>
              <w:rPr>
                <w:rFonts w:hint="default" w:eastAsia="宋体"/>
                <w:color w:val="000000"/>
                <w:kern w:val="2"/>
                <w:sz w:val="15"/>
                <w:szCs w:val="15"/>
                <w:lang w:val="en-US" w:eastAsia="zh-CN"/>
              </w:rPr>
            </w:pPr>
            <w:r>
              <w:rPr>
                <w:rFonts w:hint="eastAsia" w:eastAsia="宋体"/>
                <w:color w:val="000000"/>
                <w:kern w:val="2"/>
                <w:sz w:val="15"/>
                <w:szCs w:val="15"/>
                <w:lang w:val="en-US" w:eastAsia="zh-CN"/>
              </w:rPr>
              <w:t>0</w:t>
            </w:r>
          </w:p>
        </w:tc>
        <w:tc>
          <w:tcPr>
            <w:tcW w:w="1099" w:type="dxa"/>
            <w:gridSpan w:val="2"/>
            <w:noWrap w:val="0"/>
            <w:tcMar>
              <w:left w:w="57" w:type="dxa"/>
              <w:right w:w="57" w:type="dxa"/>
            </w:tcMar>
            <w:vAlign w:val="center"/>
          </w:tcPr>
          <w:p>
            <w:pPr>
              <w:spacing w:after="0" w:afterLines="0"/>
              <w:jc w:val="center"/>
              <w:rPr>
                <w:rFonts w:hint="default" w:eastAsia="宋体"/>
                <w:color w:val="000000"/>
                <w:kern w:val="2"/>
                <w:sz w:val="15"/>
                <w:szCs w:val="15"/>
                <w:lang w:val="en-US" w:eastAsia="zh-CN"/>
              </w:rPr>
            </w:pPr>
            <w:r>
              <w:rPr>
                <w:rFonts w:hint="eastAsia" w:eastAsia="宋体"/>
                <w:color w:val="000000"/>
                <w:kern w:val="2"/>
                <w:sz w:val="15"/>
                <w:szCs w:val="15"/>
                <w:lang w:val="en-US" w:eastAsia="zh-CN"/>
              </w:rPr>
              <w:t>0</w:t>
            </w:r>
          </w:p>
        </w:tc>
        <w:tc>
          <w:tcPr>
            <w:tcW w:w="1137" w:type="dxa"/>
            <w:noWrap w:val="0"/>
            <w:tcMar>
              <w:left w:w="57" w:type="dxa"/>
              <w:right w:w="57" w:type="dxa"/>
            </w:tcMar>
            <w:vAlign w:val="center"/>
          </w:tcPr>
          <w:p>
            <w:pPr>
              <w:spacing w:after="0" w:afterLines="0"/>
              <w:jc w:val="center"/>
              <w:rPr>
                <w:rFonts w:hint="default"/>
                <w:color w:val="000000"/>
                <w:kern w:val="2"/>
                <w:sz w:val="15"/>
                <w:szCs w:val="15"/>
                <w:lang w:val="en-US"/>
              </w:rPr>
            </w:pPr>
            <w:r>
              <w:rPr>
                <w:rFonts w:hint="eastAsia" w:eastAsia="宋体"/>
                <w:color w:val="000000"/>
                <w:kern w:val="2"/>
                <w:sz w:val="15"/>
                <w:szCs w:val="15"/>
                <w:lang w:val="en-US" w:eastAsia="zh-CN"/>
              </w:rPr>
              <w:t>0</w:t>
            </w:r>
          </w:p>
        </w:tc>
        <w:tc>
          <w:tcPr>
            <w:tcW w:w="1189" w:type="dxa"/>
            <w:noWrap w:val="0"/>
            <w:tcMar>
              <w:left w:w="57" w:type="dxa"/>
              <w:right w:w="57" w:type="dxa"/>
            </w:tcMar>
            <w:vAlign w:val="center"/>
          </w:tcPr>
          <w:p>
            <w:pPr>
              <w:spacing w:after="0" w:afterLines="0"/>
              <w:jc w:val="center"/>
              <w:rPr>
                <w:color w:val="000000"/>
                <w:kern w:val="2"/>
                <w:sz w:val="15"/>
                <w:szCs w:val="15"/>
              </w:rPr>
            </w:pPr>
          </w:p>
        </w:tc>
        <w:tc>
          <w:tcPr>
            <w:tcW w:w="1593" w:type="dxa"/>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c>
          <w:tcPr>
            <w:tcW w:w="1027" w:type="dxa"/>
            <w:noWrap w:val="0"/>
            <w:tcMar>
              <w:left w:w="57" w:type="dxa"/>
              <w:right w:w="57" w:type="dxa"/>
            </w:tcMar>
            <w:vAlign w:val="center"/>
          </w:tcPr>
          <w:p>
            <w:pPr>
              <w:spacing w:after="0" w:afterLines="0"/>
              <w:jc w:val="center"/>
              <w:rPr>
                <w:color w:val="000000"/>
                <w:kern w:val="2"/>
                <w:sz w:val="15"/>
                <w:szCs w:val="15"/>
              </w:rPr>
            </w:pPr>
          </w:p>
        </w:tc>
        <w:tc>
          <w:tcPr>
            <w:tcW w:w="1244" w:type="dxa"/>
            <w:gridSpan w:val="2"/>
            <w:noWrap w:val="0"/>
            <w:tcMar>
              <w:left w:w="57" w:type="dxa"/>
              <w:right w:w="57" w:type="dxa"/>
            </w:tcMar>
            <w:vAlign w:val="center"/>
          </w:tcPr>
          <w:p>
            <w:pPr>
              <w:spacing w:after="0" w:afterLines="0"/>
              <w:jc w:val="center"/>
              <w:rPr>
                <w:rFonts w:hint="default"/>
                <w:color w:val="000000"/>
                <w:kern w:val="2"/>
                <w:sz w:val="15"/>
                <w:szCs w:val="15"/>
                <w:lang w:val="en-US"/>
              </w:rPr>
            </w:pPr>
            <w:r>
              <w:rPr>
                <w:rFonts w:hint="eastAsia" w:eastAsia="宋体"/>
                <w:color w:val="000000"/>
                <w:kern w:val="2"/>
                <w:sz w:val="15"/>
                <w:szCs w:val="15"/>
                <w:lang w:val="en-US" w:eastAsia="zh-CN"/>
              </w:rPr>
              <w:t>0</w:t>
            </w:r>
          </w:p>
        </w:tc>
        <w:tc>
          <w:tcPr>
            <w:tcW w:w="1102" w:type="dxa"/>
            <w:noWrap w:val="0"/>
            <w:tcMar>
              <w:left w:w="57" w:type="dxa"/>
              <w:right w:w="57" w:type="dxa"/>
            </w:tcMar>
            <w:vAlign w:val="center"/>
          </w:tcPr>
          <w:p>
            <w:pPr>
              <w:spacing w:after="0" w:afterLines="0"/>
              <w:jc w:val="center"/>
              <w:rPr>
                <w:rFonts w:hint="default" w:eastAsia="宋体"/>
                <w:color w:val="000000"/>
                <w:kern w:val="2"/>
                <w:sz w:val="15"/>
                <w:szCs w:val="15"/>
                <w:lang w:val="en-US" w:eastAsia="zh-CN"/>
              </w:rPr>
            </w:pPr>
            <w:r>
              <w:rPr>
                <w:rFonts w:hint="eastAsia" w:eastAsia="宋体"/>
                <w:color w:val="000000"/>
                <w:kern w:val="2"/>
                <w:sz w:val="15"/>
                <w:szCs w:val="15"/>
                <w:lang w:val="en-US" w:eastAsia="zh-CN"/>
              </w:rPr>
              <w:t>0</w:t>
            </w:r>
          </w:p>
        </w:tc>
        <w:tc>
          <w:tcPr>
            <w:tcW w:w="794" w:type="dxa"/>
            <w:gridSpan w:val="2"/>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noWrap w:val="0"/>
            <w:tcMar>
              <w:left w:w="57" w:type="dxa"/>
              <w:right w:w="57" w:type="dxa"/>
            </w:tcMar>
            <w:vAlign w:val="top"/>
          </w:tcPr>
          <w:p>
            <w:pPr>
              <w:spacing w:after="0" w:afterLines="0"/>
              <w:rPr>
                <w:color w:val="000000"/>
                <w:kern w:val="2"/>
                <w:sz w:val="15"/>
                <w:szCs w:val="15"/>
              </w:rPr>
            </w:pPr>
          </w:p>
        </w:tc>
        <w:tc>
          <w:tcPr>
            <w:tcW w:w="1796" w:type="dxa"/>
            <w:gridSpan w:val="2"/>
            <w:noWrap w:val="0"/>
            <w:tcMar>
              <w:left w:w="57" w:type="dxa"/>
              <w:right w:w="57" w:type="dxa"/>
            </w:tcMar>
            <w:vAlign w:val="center"/>
          </w:tcPr>
          <w:p>
            <w:pPr>
              <w:spacing w:after="0" w:afterLines="0"/>
              <w:jc w:val="both"/>
              <w:rPr>
                <w:b/>
                <w:color w:val="000000"/>
                <w:kern w:val="2"/>
                <w:sz w:val="15"/>
                <w:szCs w:val="15"/>
              </w:rPr>
            </w:pPr>
            <w:r>
              <w:rPr>
                <w:b/>
                <w:color w:val="000000"/>
                <w:kern w:val="2"/>
                <w:sz w:val="15"/>
                <w:szCs w:val="15"/>
              </w:rPr>
              <w:t>石油类</w:t>
            </w:r>
          </w:p>
        </w:tc>
        <w:tc>
          <w:tcPr>
            <w:tcW w:w="828" w:type="dxa"/>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c>
          <w:tcPr>
            <w:tcW w:w="1379" w:type="dxa"/>
            <w:noWrap w:val="0"/>
            <w:tcMar>
              <w:left w:w="57" w:type="dxa"/>
              <w:right w:w="57" w:type="dxa"/>
            </w:tcMar>
            <w:vAlign w:val="center"/>
          </w:tcPr>
          <w:p>
            <w:pPr>
              <w:spacing w:after="0" w:afterLines="0"/>
              <w:jc w:val="center"/>
              <w:rPr>
                <w:color w:val="000000"/>
                <w:kern w:val="2"/>
                <w:sz w:val="15"/>
                <w:szCs w:val="15"/>
              </w:rPr>
            </w:pPr>
          </w:p>
        </w:tc>
        <w:tc>
          <w:tcPr>
            <w:tcW w:w="1097" w:type="dxa"/>
            <w:noWrap w:val="0"/>
            <w:tcMar>
              <w:left w:w="57" w:type="dxa"/>
              <w:right w:w="57" w:type="dxa"/>
            </w:tcMar>
            <w:vAlign w:val="center"/>
          </w:tcPr>
          <w:p>
            <w:pPr>
              <w:spacing w:after="0" w:afterLines="0"/>
              <w:jc w:val="center"/>
              <w:rPr>
                <w:color w:val="000000"/>
                <w:kern w:val="2"/>
                <w:sz w:val="15"/>
                <w:szCs w:val="15"/>
              </w:rPr>
            </w:pPr>
          </w:p>
        </w:tc>
        <w:tc>
          <w:tcPr>
            <w:tcW w:w="993" w:type="dxa"/>
            <w:gridSpan w:val="2"/>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c>
          <w:tcPr>
            <w:tcW w:w="1099" w:type="dxa"/>
            <w:gridSpan w:val="2"/>
            <w:noWrap w:val="0"/>
            <w:tcMar>
              <w:left w:w="57" w:type="dxa"/>
              <w:right w:w="57" w:type="dxa"/>
            </w:tcMar>
            <w:vAlign w:val="center"/>
          </w:tcPr>
          <w:p>
            <w:pPr>
              <w:spacing w:after="0" w:afterLines="0"/>
              <w:jc w:val="center"/>
              <w:rPr>
                <w:color w:val="000000"/>
                <w:kern w:val="2"/>
                <w:sz w:val="15"/>
                <w:szCs w:val="15"/>
              </w:rPr>
            </w:pPr>
          </w:p>
        </w:tc>
        <w:tc>
          <w:tcPr>
            <w:tcW w:w="1137" w:type="dxa"/>
            <w:noWrap w:val="0"/>
            <w:tcMar>
              <w:left w:w="57" w:type="dxa"/>
              <w:right w:w="57" w:type="dxa"/>
            </w:tcMar>
            <w:vAlign w:val="center"/>
          </w:tcPr>
          <w:p>
            <w:pPr>
              <w:spacing w:after="0" w:afterLines="0"/>
              <w:jc w:val="center"/>
              <w:rPr>
                <w:color w:val="000000"/>
                <w:kern w:val="2"/>
                <w:sz w:val="15"/>
                <w:szCs w:val="15"/>
              </w:rPr>
            </w:pPr>
          </w:p>
        </w:tc>
        <w:tc>
          <w:tcPr>
            <w:tcW w:w="1189" w:type="dxa"/>
            <w:noWrap w:val="0"/>
            <w:tcMar>
              <w:left w:w="57" w:type="dxa"/>
              <w:right w:w="57" w:type="dxa"/>
            </w:tcMar>
            <w:vAlign w:val="center"/>
          </w:tcPr>
          <w:p>
            <w:pPr>
              <w:spacing w:after="0" w:afterLines="0"/>
              <w:jc w:val="center"/>
              <w:rPr>
                <w:color w:val="000000"/>
                <w:kern w:val="2"/>
                <w:sz w:val="15"/>
                <w:szCs w:val="15"/>
              </w:rPr>
            </w:pPr>
          </w:p>
        </w:tc>
        <w:tc>
          <w:tcPr>
            <w:tcW w:w="1593" w:type="dxa"/>
            <w:noWrap w:val="0"/>
            <w:tcMar>
              <w:left w:w="57" w:type="dxa"/>
              <w:right w:w="57" w:type="dxa"/>
            </w:tcMar>
            <w:vAlign w:val="center"/>
          </w:tcPr>
          <w:p>
            <w:pPr>
              <w:spacing w:after="0" w:afterLines="0"/>
              <w:jc w:val="center"/>
              <w:rPr>
                <w:color w:val="000000"/>
                <w:kern w:val="2"/>
                <w:sz w:val="15"/>
                <w:szCs w:val="15"/>
              </w:rPr>
            </w:pPr>
          </w:p>
        </w:tc>
        <w:tc>
          <w:tcPr>
            <w:tcW w:w="1027" w:type="dxa"/>
            <w:noWrap w:val="0"/>
            <w:tcMar>
              <w:left w:w="57" w:type="dxa"/>
              <w:right w:w="57" w:type="dxa"/>
            </w:tcMar>
            <w:vAlign w:val="center"/>
          </w:tcPr>
          <w:p>
            <w:pPr>
              <w:spacing w:after="0" w:afterLines="0"/>
              <w:jc w:val="center"/>
              <w:rPr>
                <w:color w:val="000000"/>
                <w:kern w:val="2"/>
                <w:sz w:val="15"/>
                <w:szCs w:val="15"/>
              </w:rPr>
            </w:pPr>
          </w:p>
        </w:tc>
        <w:tc>
          <w:tcPr>
            <w:tcW w:w="1244" w:type="dxa"/>
            <w:gridSpan w:val="2"/>
            <w:noWrap w:val="0"/>
            <w:tcMar>
              <w:left w:w="57" w:type="dxa"/>
              <w:right w:w="57" w:type="dxa"/>
            </w:tcMar>
            <w:vAlign w:val="center"/>
          </w:tcPr>
          <w:p>
            <w:pPr>
              <w:spacing w:after="0" w:afterLines="0"/>
              <w:jc w:val="center"/>
              <w:rPr>
                <w:color w:val="000000"/>
                <w:kern w:val="2"/>
                <w:sz w:val="15"/>
                <w:szCs w:val="15"/>
              </w:rPr>
            </w:pPr>
          </w:p>
        </w:tc>
        <w:tc>
          <w:tcPr>
            <w:tcW w:w="1102" w:type="dxa"/>
            <w:noWrap w:val="0"/>
            <w:tcMar>
              <w:left w:w="57" w:type="dxa"/>
              <w:right w:w="57" w:type="dxa"/>
            </w:tcMar>
            <w:vAlign w:val="center"/>
          </w:tcPr>
          <w:p>
            <w:pPr>
              <w:spacing w:after="0" w:afterLines="0"/>
              <w:jc w:val="center"/>
              <w:rPr>
                <w:color w:val="000000"/>
                <w:kern w:val="2"/>
                <w:sz w:val="15"/>
                <w:szCs w:val="15"/>
              </w:rPr>
            </w:pPr>
          </w:p>
        </w:tc>
        <w:tc>
          <w:tcPr>
            <w:tcW w:w="794" w:type="dxa"/>
            <w:gridSpan w:val="2"/>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noWrap w:val="0"/>
            <w:tcMar>
              <w:left w:w="57" w:type="dxa"/>
              <w:right w:w="57" w:type="dxa"/>
            </w:tcMar>
            <w:vAlign w:val="top"/>
          </w:tcPr>
          <w:p>
            <w:pPr>
              <w:spacing w:after="0" w:afterLines="0"/>
              <w:rPr>
                <w:color w:val="000000"/>
                <w:kern w:val="2"/>
                <w:sz w:val="15"/>
                <w:szCs w:val="15"/>
              </w:rPr>
            </w:pPr>
          </w:p>
        </w:tc>
        <w:tc>
          <w:tcPr>
            <w:tcW w:w="1796" w:type="dxa"/>
            <w:gridSpan w:val="2"/>
            <w:noWrap w:val="0"/>
            <w:tcMar>
              <w:left w:w="57" w:type="dxa"/>
              <w:right w:w="57" w:type="dxa"/>
            </w:tcMar>
            <w:vAlign w:val="center"/>
          </w:tcPr>
          <w:p>
            <w:pPr>
              <w:spacing w:after="0" w:afterLines="0"/>
              <w:jc w:val="both"/>
              <w:rPr>
                <w:rFonts w:eastAsia="黑体"/>
                <w:b/>
                <w:color w:val="000000"/>
                <w:kern w:val="2"/>
                <w:sz w:val="15"/>
                <w:szCs w:val="15"/>
              </w:rPr>
            </w:pPr>
            <w:r>
              <w:rPr>
                <w:b/>
                <w:color w:val="000000"/>
                <w:kern w:val="2"/>
                <w:sz w:val="15"/>
                <w:szCs w:val="15"/>
              </w:rPr>
              <w:t>废气</w:t>
            </w:r>
          </w:p>
        </w:tc>
        <w:tc>
          <w:tcPr>
            <w:tcW w:w="828" w:type="dxa"/>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c>
          <w:tcPr>
            <w:tcW w:w="1379" w:type="dxa"/>
            <w:noWrap w:val="0"/>
            <w:tcMar>
              <w:left w:w="57" w:type="dxa"/>
              <w:right w:w="57" w:type="dxa"/>
            </w:tcMar>
            <w:vAlign w:val="center"/>
          </w:tcPr>
          <w:p>
            <w:pPr>
              <w:spacing w:after="0" w:afterLines="0"/>
              <w:jc w:val="center"/>
              <w:rPr>
                <w:color w:val="000000"/>
                <w:kern w:val="2"/>
                <w:sz w:val="15"/>
                <w:szCs w:val="15"/>
              </w:rPr>
            </w:pPr>
          </w:p>
        </w:tc>
        <w:tc>
          <w:tcPr>
            <w:tcW w:w="1097" w:type="dxa"/>
            <w:noWrap w:val="0"/>
            <w:tcMar>
              <w:left w:w="57" w:type="dxa"/>
              <w:right w:w="57" w:type="dxa"/>
            </w:tcMar>
            <w:vAlign w:val="center"/>
          </w:tcPr>
          <w:p>
            <w:pPr>
              <w:spacing w:after="0" w:afterLines="0"/>
              <w:jc w:val="center"/>
              <w:rPr>
                <w:color w:val="000000"/>
                <w:kern w:val="2"/>
                <w:sz w:val="15"/>
                <w:szCs w:val="15"/>
              </w:rPr>
            </w:pPr>
          </w:p>
        </w:tc>
        <w:tc>
          <w:tcPr>
            <w:tcW w:w="993" w:type="dxa"/>
            <w:gridSpan w:val="2"/>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c>
          <w:tcPr>
            <w:tcW w:w="1099" w:type="dxa"/>
            <w:gridSpan w:val="2"/>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c>
          <w:tcPr>
            <w:tcW w:w="1137"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0</w:t>
            </w:r>
          </w:p>
        </w:tc>
        <w:tc>
          <w:tcPr>
            <w:tcW w:w="1189" w:type="dxa"/>
            <w:noWrap w:val="0"/>
            <w:tcMar>
              <w:left w:w="57" w:type="dxa"/>
              <w:right w:w="57" w:type="dxa"/>
            </w:tcMar>
            <w:vAlign w:val="center"/>
          </w:tcPr>
          <w:p>
            <w:pPr>
              <w:spacing w:after="0" w:afterLines="0"/>
              <w:jc w:val="center"/>
              <w:rPr>
                <w:color w:val="000000"/>
                <w:kern w:val="2"/>
                <w:sz w:val="15"/>
                <w:szCs w:val="15"/>
              </w:rPr>
            </w:pPr>
          </w:p>
        </w:tc>
        <w:tc>
          <w:tcPr>
            <w:tcW w:w="1593" w:type="dxa"/>
            <w:noWrap w:val="0"/>
            <w:tcMar>
              <w:left w:w="57" w:type="dxa"/>
              <w:right w:w="57" w:type="dxa"/>
            </w:tcMar>
            <w:vAlign w:val="center"/>
          </w:tcPr>
          <w:p>
            <w:pPr>
              <w:spacing w:after="0" w:afterLines="0"/>
              <w:jc w:val="center"/>
              <w:rPr>
                <w:color w:val="000000"/>
                <w:kern w:val="2"/>
                <w:sz w:val="15"/>
                <w:szCs w:val="15"/>
              </w:rPr>
            </w:pPr>
          </w:p>
        </w:tc>
        <w:tc>
          <w:tcPr>
            <w:tcW w:w="1027" w:type="dxa"/>
            <w:noWrap w:val="0"/>
            <w:tcMar>
              <w:left w:w="57" w:type="dxa"/>
              <w:right w:w="57" w:type="dxa"/>
            </w:tcMar>
            <w:vAlign w:val="center"/>
          </w:tcPr>
          <w:p>
            <w:pPr>
              <w:spacing w:after="0" w:afterLines="0"/>
              <w:jc w:val="center"/>
              <w:rPr>
                <w:color w:val="000000"/>
                <w:kern w:val="2"/>
                <w:sz w:val="15"/>
                <w:szCs w:val="15"/>
              </w:rPr>
            </w:pPr>
          </w:p>
        </w:tc>
        <w:tc>
          <w:tcPr>
            <w:tcW w:w="1244" w:type="dxa"/>
            <w:gridSpan w:val="2"/>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0</w:t>
            </w:r>
          </w:p>
        </w:tc>
        <w:tc>
          <w:tcPr>
            <w:tcW w:w="1102"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0</w:t>
            </w:r>
          </w:p>
        </w:tc>
        <w:tc>
          <w:tcPr>
            <w:tcW w:w="794" w:type="dxa"/>
            <w:gridSpan w:val="2"/>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noWrap w:val="0"/>
            <w:tcMar>
              <w:left w:w="57" w:type="dxa"/>
              <w:right w:w="57" w:type="dxa"/>
            </w:tcMar>
            <w:vAlign w:val="top"/>
          </w:tcPr>
          <w:p>
            <w:pPr>
              <w:spacing w:after="0" w:afterLines="0"/>
              <w:rPr>
                <w:color w:val="000000"/>
                <w:kern w:val="2"/>
                <w:sz w:val="15"/>
                <w:szCs w:val="15"/>
              </w:rPr>
            </w:pPr>
          </w:p>
        </w:tc>
        <w:tc>
          <w:tcPr>
            <w:tcW w:w="1796" w:type="dxa"/>
            <w:gridSpan w:val="2"/>
            <w:noWrap w:val="0"/>
            <w:tcMar>
              <w:left w:w="57" w:type="dxa"/>
              <w:right w:w="57" w:type="dxa"/>
            </w:tcMar>
            <w:vAlign w:val="center"/>
          </w:tcPr>
          <w:p>
            <w:pPr>
              <w:spacing w:after="0" w:afterLines="0"/>
              <w:jc w:val="both"/>
              <w:rPr>
                <w:b/>
                <w:color w:val="000000"/>
                <w:kern w:val="2"/>
                <w:sz w:val="15"/>
                <w:szCs w:val="15"/>
              </w:rPr>
            </w:pPr>
            <w:r>
              <w:rPr>
                <w:b/>
                <w:color w:val="000000"/>
                <w:kern w:val="2"/>
                <w:sz w:val="15"/>
                <w:szCs w:val="15"/>
              </w:rPr>
              <w:t>二氧化硫</w:t>
            </w:r>
          </w:p>
        </w:tc>
        <w:tc>
          <w:tcPr>
            <w:tcW w:w="828" w:type="dxa"/>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c>
          <w:tcPr>
            <w:tcW w:w="1379" w:type="dxa"/>
            <w:noWrap w:val="0"/>
            <w:tcMar>
              <w:left w:w="57" w:type="dxa"/>
              <w:right w:w="57" w:type="dxa"/>
            </w:tcMar>
            <w:vAlign w:val="center"/>
          </w:tcPr>
          <w:p>
            <w:pPr>
              <w:spacing w:after="0" w:afterLines="0"/>
              <w:jc w:val="center"/>
              <w:rPr>
                <w:color w:val="000000"/>
                <w:kern w:val="2"/>
                <w:sz w:val="15"/>
                <w:szCs w:val="15"/>
              </w:rPr>
            </w:pPr>
          </w:p>
        </w:tc>
        <w:tc>
          <w:tcPr>
            <w:tcW w:w="1097" w:type="dxa"/>
            <w:noWrap w:val="0"/>
            <w:tcMar>
              <w:left w:w="57" w:type="dxa"/>
              <w:right w:w="57" w:type="dxa"/>
            </w:tcMar>
            <w:vAlign w:val="center"/>
          </w:tcPr>
          <w:p>
            <w:pPr>
              <w:spacing w:after="0" w:afterLines="0"/>
              <w:jc w:val="center"/>
              <w:rPr>
                <w:color w:val="000000"/>
                <w:kern w:val="2"/>
                <w:sz w:val="15"/>
                <w:szCs w:val="15"/>
              </w:rPr>
            </w:pPr>
          </w:p>
        </w:tc>
        <w:tc>
          <w:tcPr>
            <w:tcW w:w="993" w:type="dxa"/>
            <w:gridSpan w:val="2"/>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c>
          <w:tcPr>
            <w:tcW w:w="1099" w:type="dxa"/>
            <w:gridSpan w:val="2"/>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c>
          <w:tcPr>
            <w:tcW w:w="1137"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0</w:t>
            </w:r>
          </w:p>
        </w:tc>
        <w:tc>
          <w:tcPr>
            <w:tcW w:w="1189" w:type="dxa"/>
            <w:noWrap w:val="0"/>
            <w:tcMar>
              <w:left w:w="57" w:type="dxa"/>
              <w:right w:w="57" w:type="dxa"/>
            </w:tcMar>
            <w:vAlign w:val="center"/>
          </w:tcPr>
          <w:p>
            <w:pPr>
              <w:spacing w:after="0" w:afterLines="0"/>
              <w:jc w:val="center"/>
              <w:rPr>
                <w:color w:val="000000"/>
                <w:kern w:val="2"/>
                <w:sz w:val="15"/>
                <w:szCs w:val="15"/>
              </w:rPr>
            </w:pPr>
          </w:p>
        </w:tc>
        <w:tc>
          <w:tcPr>
            <w:tcW w:w="1593" w:type="dxa"/>
            <w:noWrap w:val="0"/>
            <w:tcMar>
              <w:left w:w="57" w:type="dxa"/>
              <w:right w:w="57" w:type="dxa"/>
            </w:tcMar>
            <w:vAlign w:val="center"/>
          </w:tcPr>
          <w:p>
            <w:pPr>
              <w:spacing w:after="0" w:afterLines="0"/>
              <w:jc w:val="center"/>
              <w:rPr>
                <w:color w:val="000000"/>
                <w:kern w:val="2"/>
                <w:sz w:val="15"/>
                <w:szCs w:val="15"/>
              </w:rPr>
            </w:pPr>
          </w:p>
        </w:tc>
        <w:tc>
          <w:tcPr>
            <w:tcW w:w="1027" w:type="dxa"/>
            <w:noWrap w:val="0"/>
            <w:tcMar>
              <w:left w:w="57" w:type="dxa"/>
              <w:right w:w="57" w:type="dxa"/>
            </w:tcMar>
            <w:vAlign w:val="center"/>
          </w:tcPr>
          <w:p>
            <w:pPr>
              <w:spacing w:after="0" w:afterLines="0"/>
              <w:jc w:val="center"/>
              <w:rPr>
                <w:color w:val="000000"/>
                <w:kern w:val="2"/>
                <w:sz w:val="15"/>
                <w:szCs w:val="15"/>
              </w:rPr>
            </w:pPr>
          </w:p>
        </w:tc>
        <w:tc>
          <w:tcPr>
            <w:tcW w:w="1244" w:type="dxa"/>
            <w:gridSpan w:val="2"/>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0</w:t>
            </w:r>
          </w:p>
        </w:tc>
        <w:tc>
          <w:tcPr>
            <w:tcW w:w="1102"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0</w:t>
            </w:r>
          </w:p>
        </w:tc>
        <w:tc>
          <w:tcPr>
            <w:tcW w:w="794" w:type="dxa"/>
            <w:gridSpan w:val="2"/>
            <w:noWrap w:val="0"/>
            <w:tcMar>
              <w:left w:w="57" w:type="dxa"/>
              <w:right w:w="57" w:type="dxa"/>
            </w:tcMar>
            <w:vAlign w:val="center"/>
          </w:tcPr>
          <w:p>
            <w:pPr>
              <w:spacing w:after="0" w:afterLines="0"/>
              <w:jc w:val="center"/>
              <w:textAlignment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noWrap w:val="0"/>
            <w:tcMar>
              <w:left w:w="57" w:type="dxa"/>
              <w:right w:w="57" w:type="dxa"/>
            </w:tcMar>
            <w:vAlign w:val="top"/>
          </w:tcPr>
          <w:p>
            <w:pPr>
              <w:spacing w:after="0" w:afterLines="0"/>
              <w:rPr>
                <w:color w:val="000000"/>
                <w:kern w:val="2"/>
                <w:sz w:val="15"/>
                <w:szCs w:val="15"/>
              </w:rPr>
            </w:pPr>
          </w:p>
        </w:tc>
        <w:tc>
          <w:tcPr>
            <w:tcW w:w="1796" w:type="dxa"/>
            <w:gridSpan w:val="2"/>
            <w:noWrap w:val="0"/>
            <w:tcMar>
              <w:left w:w="57" w:type="dxa"/>
              <w:right w:w="57" w:type="dxa"/>
            </w:tcMar>
            <w:vAlign w:val="center"/>
          </w:tcPr>
          <w:p>
            <w:pPr>
              <w:spacing w:after="0" w:afterLines="0"/>
              <w:jc w:val="both"/>
              <w:rPr>
                <w:b/>
                <w:color w:val="000000"/>
                <w:kern w:val="2"/>
                <w:sz w:val="15"/>
                <w:szCs w:val="15"/>
              </w:rPr>
            </w:pPr>
            <w:r>
              <w:rPr>
                <w:b/>
                <w:color w:val="000000"/>
                <w:kern w:val="2"/>
                <w:sz w:val="15"/>
                <w:szCs w:val="15"/>
              </w:rPr>
              <w:t>烟尘</w:t>
            </w:r>
          </w:p>
        </w:tc>
        <w:tc>
          <w:tcPr>
            <w:tcW w:w="828" w:type="dxa"/>
            <w:noWrap w:val="0"/>
            <w:tcMar>
              <w:left w:w="57" w:type="dxa"/>
              <w:right w:w="57" w:type="dxa"/>
            </w:tcMar>
            <w:vAlign w:val="center"/>
          </w:tcPr>
          <w:p>
            <w:pPr>
              <w:spacing w:after="0" w:afterLines="0"/>
              <w:jc w:val="center"/>
              <w:rPr>
                <w:color w:val="000000"/>
                <w:kern w:val="2"/>
                <w:sz w:val="15"/>
                <w:szCs w:val="15"/>
              </w:rPr>
            </w:pPr>
          </w:p>
        </w:tc>
        <w:tc>
          <w:tcPr>
            <w:tcW w:w="1379" w:type="dxa"/>
            <w:noWrap w:val="0"/>
            <w:tcMar>
              <w:left w:w="57" w:type="dxa"/>
              <w:right w:w="57" w:type="dxa"/>
            </w:tcMar>
            <w:vAlign w:val="center"/>
          </w:tcPr>
          <w:p>
            <w:pPr>
              <w:spacing w:after="0" w:afterLines="0"/>
              <w:jc w:val="center"/>
              <w:rPr>
                <w:color w:val="000000"/>
                <w:kern w:val="2"/>
                <w:sz w:val="15"/>
                <w:szCs w:val="15"/>
              </w:rPr>
            </w:pPr>
          </w:p>
        </w:tc>
        <w:tc>
          <w:tcPr>
            <w:tcW w:w="1097" w:type="dxa"/>
            <w:noWrap w:val="0"/>
            <w:tcMar>
              <w:left w:w="57" w:type="dxa"/>
              <w:right w:w="57" w:type="dxa"/>
            </w:tcMar>
            <w:vAlign w:val="center"/>
          </w:tcPr>
          <w:p>
            <w:pPr>
              <w:spacing w:after="0" w:afterLines="0"/>
              <w:jc w:val="center"/>
              <w:rPr>
                <w:color w:val="000000"/>
                <w:kern w:val="2"/>
                <w:sz w:val="15"/>
                <w:szCs w:val="15"/>
              </w:rPr>
            </w:pPr>
          </w:p>
        </w:tc>
        <w:tc>
          <w:tcPr>
            <w:tcW w:w="993" w:type="dxa"/>
            <w:gridSpan w:val="2"/>
            <w:noWrap w:val="0"/>
            <w:tcMar>
              <w:left w:w="57" w:type="dxa"/>
              <w:right w:w="57" w:type="dxa"/>
            </w:tcMar>
            <w:vAlign w:val="center"/>
          </w:tcPr>
          <w:p>
            <w:pPr>
              <w:spacing w:after="0" w:afterLines="0"/>
              <w:jc w:val="center"/>
              <w:rPr>
                <w:color w:val="000000"/>
                <w:kern w:val="2"/>
                <w:sz w:val="15"/>
                <w:szCs w:val="15"/>
              </w:rPr>
            </w:pPr>
          </w:p>
        </w:tc>
        <w:tc>
          <w:tcPr>
            <w:tcW w:w="1099" w:type="dxa"/>
            <w:gridSpan w:val="2"/>
            <w:noWrap w:val="0"/>
            <w:tcMar>
              <w:left w:w="57" w:type="dxa"/>
              <w:right w:w="57" w:type="dxa"/>
            </w:tcMar>
            <w:vAlign w:val="center"/>
          </w:tcPr>
          <w:p>
            <w:pPr>
              <w:spacing w:after="0" w:afterLines="0"/>
              <w:jc w:val="center"/>
              <w:rPr>
                <w:color w:val="000000"/>
                <w:kern w:val="2"/>
                <w:sz w:val="15"/>
                <w:szCs w:val="15"/>
              </w:rPr>
            </w:pPr>
          </w:p>
        </w:tc>
        <w:tc>
          <w:tcPr>
            <w:tcW w:w="1137" w:type="dxa"/>
            <w:noWrap w:val="0"/>
            <w:tcMar>
              <w:left w:w="57" w:type="dxa"/>
              <w:right w:w="57" w:type="dxa"/>
            </w:tcMar>
            <w:vAlign w:val="center"/>
          </w:tcPr>
          <w:p>
            <w:pPr>
              <w:spacing w:after="0" w:afterLines="0"/>
              <w:jc w:val="center"/>
              <w:rPr>
                <w:color w:val="000000"/>
                <w:kern w:val="2"/>
                <w:sz w:val="15"/>
                <w:szCs w:val="15"/>
              </w:rPr>
            </w:pPr>
          </w:p>
        </w:tc>
        <w:tc>
          <w:tcPr>
            <w:tcW w:w="1189" w:type="dxa"/>
            <w:noWrap w:val="0"/>
            <w:tcMar>
              <w:left w:w="57" w:type="dxa"/>
              <w:right w:w="57" w:type="dxa"/>
            </w:tcMar>
            <w:vAlign w:val="center"/>
          </w:tcPr>
          <w:p>
            <w:pPr>
              <w:spacing w:after="0" w:afterLines="0"/>
              <w:jc w:val="center"/>
              <w:rPr>
                <w:color w:val="000000"/>
                <w:kern w:val="2"/>
                <w:sz w:val="15"/>
                <w:szCs w:val="15"/>
              </w:rPr>
            </w:pPr>
          </w:p>
        </w:tc>
        <w:tc>
          <w:tcPr>
            <w:tcW w:w="1593" w:type="dxa"/>
            <w:noWrap w:val="0"/>
            <w:tcMar>
              <w:left w:w="57" w:type="dxa"/>
              <w:right w:w="57" w:type="dxa"/>
            </w:tcMar>
            <w:vAlign w:val="center"/>
          </w:tcPr>
          <w:p>
            <w:pPr>
              <w:spacing w:after="0" w:afterLines="0"/>
              <w:jc w:val="center"/>
              <w:rPr>
                <w:color w:val="000000"/>
                <w:kern w:val="2"/>
                <w:sz w:val="15"/>
                <w:szCs w:val="15"/>
              </w:rPr>
            </w:pPr>
          </w:p>
        </w:tc>
        <w:tc>
          <w:tcPr>
            <w:tcW w:w="1027" w:type="dxa"/>
            <w:noWrap w:val="0"/>
            <w:tcMar>
              <w:left w:w="57" w:type="dxa"/>
              <w:right w:w="57" w:type="dxa"/>
            </w:tcMar>
            <w:vAlign w:val="center"/>
          </w:tcPr>
          <w:p>
            <w:pPr>
              <w:spacing w:after="0" w:afterLines="0"/>
              <w:jc w:val="center"/>
              <w:rPr>
                <w:color w:val="000000"/>
                <w:kern w:val="2"/>
                <w:sz w:val="15"/>
                <w:szCs w:val="15"/>
              </w:rPr>
            </w:pPr>
          </w:p>
        </w:tc>
        <w:tc>
          <w:tcPr>
            <w:tcW w:w="1244" w:type="dxa"/>
            <w:gridSpan w:val="2"/>
            <w:noWrap w:val="0"/>
            <w:tcMar>
              <w:left w:w="57" w:type="dxa"/>
              <w:right w:w="57" w:type="dxa"/>
            </w:tcMar>
            <w:vAlign w:val="center"/>
          </w:tcPr>
          <w:p>
            <w:pPr>
              <w:spacing w:after="0" w:afterLines="0"/>
              <w:jc w:val="center"/>
              <w:rPr>
                <w:color w:val="000000"/>
                <w:kern w:val="2"/>
                <w:sz w:val="15"/>
                <w:szCs w:val="15"/>
              </w:rPr>
            </w:pPr>
          </w:p>
        </w:tc>
        <w:tc>
          <w:tcPr>
            <w:tcW w:w="1102" w:type="dxa"/>
            <w:noWrap w:val="0"/>
            <w:tcMar>
              <w:left w:w="57" w:type="dxa"/>
              <w:right w:w="57" w:type="dxa"/>
            </w:tcMar>
            <w:vAlign w:val="center"/>
          </w:tcPr>
          <w:p>
            <w:pPr>
              <w:spacing w:after="0" w:afterLines="0"/>
              <w:jc w:val="center"/>
              <w:rPr>
                <w:color w:val="000000"/>
                <w:kern w:val="2"/>
                <w:sz w:val="15"/>
                <w:szCs w:val="15"/>
              </w:rPr>
            </w:pPr>
          </w:p>
        </w:tc>
        <w:tc>
          <w:tcPr>
            <w:tcW w:w="794" w:type="dxa"/>
            <w:gridSpan w:val="2"/>
            <w:noWrap w:val="0"/>
            <w:tcMar>
              <w:left w:w="57" w:type="dxa"/>
              <w:right w:w="57" w:type="dxa"/>
            </w:tcMar>
            <w:vAlign w:val="center"/>
          </w:tcPr>
          <w:p>
            <w:pPr>
              <w:spacing w:after="0" w:afterLines="0"/>
              <w:jc w:val="center"/>
              <w:textAlignment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noWrap w:val="0"/>
            <w:tcMar>
              <w:left w:w="57" w:type="dxa"/>
              <w:right w:w="57" w:type="dxa"/>
            </w:tcMar>
            <w:vAlign w:val="top"/>
          </w:tcPr>
          <w:p>
            <w:pPr>
              <w:spacing w:after="0" w:afterLines="0"/>
              <w:rPr>
                <w:color w:val="000000"/>
                <w:kern w:val="2"/>
                <w:sz w:val="15"/>
                <w:szCs w:val="15"/>
              </w:rPr>
            </w:pPr>
          </w:p>
        </w:tc>
        <w:tc>
          <w:tcPr>
            <w:tcW w:w="1796" w:type="dxa"/>
            <w:gridSpan w:val="2"/>
            <w:noWrap w:val="0"/>
            <w:tcMar>
              <w:left w:w="57" w:type="dxa"/>
              <w:right w:w="57" w:type="dxa"/>
            </w:tcMar>
            <w:vAlign w:val="center"/>
          </w:tcPr>
          <w:p>
            <w:pPr>
              <w:spacing w:after="0" w:afterLines="0"/>
              <w:jc w:val="both"/>
              <w:rPr>
                <w:b/>
                <w:color w:val="000000"/>
                <w:kern w:val="2"/>
                <w:sz w:val="15"/>
                <w:szCs w:val="15"/>
              </w:rPr>
            </w:pPr>
            <w:r>
              <w:rPr>
                <w:b/>
                <w:color w:val="000000"/>
                <w:kern w:val="2"/>
                <w:sz w:val="15"/>
                <w:szCs w:val="15"/>
              </w:rPr>
              <w:t>工业粉尘</w:t>
            </w:r>
          </w:p>
        </w:tc>
        <w:tc>
          <w:tcPr>
            <w:tcW w:w="828" w:type="dxa"/>
            <w:noWrap w:val="0"/>
            <w:tcMar>
              <w:left w:w="57" w:type="dxa"/>
              <w:right w:w="57" w:type="dxa"/>
            </w:tcMar>
            <w:vAlign w:val="center"/>
          </w:tcPr>
          <w:p>
            <w:pPr>
              <w:spacing w:after="0" w:afterLines="0"/>
              <w:jc w:val="center"/>
              <w:rPr>
                <w:color w:val="000000"/>
                <w:kern w:val="2"/>
                <w:sz w:val="15"/>
                <w:szCs w:val="15"/>
              </w:rPr>
            </w:pPr>
          </w:p>
        </w:tc>
        <w:tc>
          <w:tcPr>
            <w:tcW w:w="1379" w:type="dxa"/>
            <w:noWrap w:val="0"/>
            <w:tcMar>
              <w:left w:w="57" w:type="dxa"/>
              <w:right w:w="57" w:type="dxa"/>
            </w:tcMar>
            <w:vAlign w:val="center"/>
          </w:tcPr>
          <w:p>
            <w:pPr>
              <w:spacing w:after="0" w:afterLines="0"/>
              <w:jc w:val="center"/>
              <w:rPr>
                <w:color w:val="000000"/>
                <w:kern w:val="2"/>
                <w:sz w:val="15"/>
                <w:szCs w:val="15"/>
              </w:rPr>
            </w:pPr>
          </w:p>
        </w:tc>
        <w:tc>
          <w:tcPr>
            <w:tcW w:w="1097" w:type="dxa"/>
            <w:noWrap w:val="0"/>
            <w:tcMar>
              <w:left w:w="57" w:type="dxa"/>
              <w:right w:w="57" w:type="dxa"/>
            </w:tcMar>
            <w:vAlign w:val="center"/>
          </w:tcPr>
          <w:p>
            <w:pPr>
              <w:spacing w:after="0" w:afterLines="0"/>
              <w:jc w:val="center"/>
              <w:rPr>
                <w:color w:val="000000"/>
                <w:kern w:val="2"/>
                <w:sz w:val="15"/>
                <w:szCs w:val="15"/>
              </w:rPr>
            </w:pPr>
          </w:p>
        </w:tc>
        <w:tc>
          <w:tcPr>
            <w:tcW w:w="993" w:type="dxa"/>
            <w:gridSpan w:val="2"/>
            <w:noWrap w:val="0"/>
            <w:tcMar>
              <w:left w:w="57" w:type="dxa"/>
              <w:right w:w="57" w:type="dxa"/>
            </w:tcMar>
            <w:vAlign w:val="center"/>
          </w:tcPr>
          <w:p>
            <w:pPr>
              <w:spacing w:after="0" w:afterLines="0"/>
              <w:jc w:val="center"/>
              <w:rPr>
                <w:color w:val="000000"/>
                <w:kern w:val="2"/>
                <w:sz w:val="15"/>
                <w:szCs w:val="15"/>
              </w:rPr>
            </w:pPr>
          </w:p>
        </w:tc>
        <w:tc>
          <w:tcPr>
            <w:tcW w:w="1099" w:type="dxa"/>
            <w:gridSpan w:val="2"/>
            <w:noWrap w:val="0"/>
            <w:tcMar>
              <w:left w:w="57" w:type="dxa"/>
              <w:right w:w="57" w:type="dxa"/>
            </w:tcMar>
            <w:vAlign w:val="center"/>
          </w:tcPr>
          <w:p>
            <w:pPr>
              <w:spacing w:after="0" w:afterLines="0"/>
              <w:jc w:val="center"/>
              <w:rPr>
                <w:color w:val="000000"/>
                <w:kern w:val="2"/>
                <w:sz w:val="15"/>
                <w:szCs w:val="15"/>
              </w:rPr>
            </w:pPr>
          </w:p>
        </w:tc>
        <w:tc>
          <w:tcPr>
            <w:tcW w:w="1137" w:type="dxa"/>
            <w:noWrap w:val="0"/>
            <w:tcMar>
              <w:left w:w="57" w:type="dxa"/>
              <w:right w:w="57" w:type="dxa"/>
            </w:tcMar>
            <w:vAlign w:val="center"/>
          </w:tcPr>
          <w:p>
            <w:pPr>
              <w:spacing w:after="0" w:afterLines="0"/>
              <w:jc w:val="center"/>
              <w:rPr>
                <w:color w:val="000000"/>
                <w:kern w:val="2"/>
                <w:sz w:val="15"/>
                <w:szCs w:val="15"/>
              </w:rPr>
            </w:pPr>
          </w:p>
        </w:tc>
        <w:tc>
          <w:tcPr>
            <w:tcW w:w="1189" w:type="dxa"/>
            <w:noWrap w:val="0"/>
            <w:tcMar>
              <w:left w:w="57" w:type="dxa"/>
              <w:right w:w="57" w:type="dxa"/>
            </w:tcMar>
            <w:vAlign w:val="center"/>
          </w:tcPr>
          <w:p>
            <w:pPr>
              <w:spacing w:after="0" w:afterLines="0"/>
              <w:jc w:val="center"/>
              <w:rPr>
                <w:color w:val="000000"/>
                <w:kern w:val="2"/>
                <w:sz w:val="15"/>
                <w:szCs w:val="15"/>
              </w:rPr>
            </w:pPr>
          </w:p>
        </w:tc>
        <w:tc>
          <w:tcPr>
            <w:tcW w:w="1593" w:type="dxa"/>
            <w:noWrap w:val="0"/>
            <w:tcMar>
              <w:left w:w="57" w:type="dxa"/>
              <w:right w:w="57" w:type="dxa"/>
            </w:tcMar>
            <w:vAlign w:val="center"/>
          </w:tcPr>
          <w:p>
            <w:pPr>
              <w:spacing w:after="0" w:afterLines="0"/>
              <w:jc w:val="center"/>
              <w:rPr>
                <w:color w:val="000000"/>
                <w:kern w:val="2"/>
                <w:sz w:val="15"/>
                <w:szCs w:val="15"/>
              </w:rPr>
            </w:pPr>
          </w:p>
        </w:tc>
        <w:tc>
          <w:tcPr>
            <w:tcW w:w="1027" w:type="dxa"/>
            <w:noWrap w:val="0"/>
            <w:tcMar>
              <w:left w:w="57" w:type="dxa"/>
              <w:right w:w="57" w:type="dxa"/>
            </w:tcMar>
            <w:vAlign w:val="center"/>
          </w:tcPr>
          <w:p>
            <w:pPr>
              <w:spacing w:after="0" w:afterLines="0"/>
              <w:jc w:val="center"/>
              <w:rPr>
                <w:color w:val="000000"/>
                <w:kern w:val="2"/>
                <w:sz w:val="15"/>
                <w:szCs w:val="15"/>
              </w:rPr>
            </w:pPr>
          </w:p>
        </w:tc>
        <w:tc>
          <w:tcPr>
            <w:tcW w:w="1244" w:type="dxa"/>
            <w:gridSpan w:val="2"/>
            <w:noWrap w:val="0"/>
            <w:tcMar>
              <w:left w:w="57" w:type="dxa"/>
              <w:right w:w="57" w:type="dxa"/>
            </w:tcMar>
            <w:vAlign w:val="center"/>
          </w:tcPr>
          <w:p>
            <w:pPr>
              <w:spacing w:after="0" w:afterLines="0"/>
              <w:jc w:val="center"/>
              <w:rPr>
                <w:color w:val="000000"/>
                <w:kern w:val="2"/>
                <w:sz w:val="15"/>
                <w:szCs w:val="15"/>
              </w:rPr>
            </w:pPr>
          </w:p>
        </w:tc>
        <w:tc>
          <w:tcPr>
            <w:tcW w:w="1102" w:type="dxa"/>
            <w:noWrap w:val="0"/>
            <w:tcMar>
              <w:left w:w="57" w:type="dxa"/>
              <w:right w:w="57" w:type="dxa"/>
            </w:tcMar>
            <w:vAlign w:val="center"/>
          </w:tcPr>
          <w:p>
            <w:pPr>
              <w:spacing w:after="0" w:afterLines="0"/>
              <w:jc w:val="center"/>
              <w:rPr>
                <w:color w:val="000000"/>
                <w:kern w:val="2"/>
                <w:sz w:val="15"/>
                <w:szCs w:val="15"/>
              </w:rPr>
            </w:pPr>
          </w:p>
        </w:tc>
        <w:tc>
          <w:tcPr>
            <w:tcW w:w="794" w:type="dxa"/>
            <w:gridSpan w:val="2"/>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noWrap w:val="0"/>
            <w:tcMar>
              <w:left w:w="57" w:type="dxa"/>
              <w:right w:w="57" w:type="dxa"/>
            </w:tcMar>
            <w:vAlign w:val="top"/>
          </w:tcPr>
          <w:p>
            <w:pPr>
              <w:spacing w:after="0" w:afterLines="0"/>
              <w:rPr>
                <w:color w:val="000000"/>
                <w:kern w:val="2"/>
                <w:sz w:val="15"/>
                <w:szCs w:val="15"/>
              </w:rPr>
            </w:pPr>
          </w:p>
        </w:tc>
        <w:tc>
          <w:tcPr>
            <w:tcW w:w="1796" w:type="dxa"/>
            <w:gridSpan w:val="2"/>
            <w:noWrap w:val="0"/>
            <w:tcMar>
              <w:left w:w="57" w:type="dxa"/>
              <w:right w:w="57" w:type="dxa"/>
            </w:tcMar>
            <w:vAlign w:val="center"/>
          </w:tcPr>
          <w:p>
            <w:pPr>
              <w:spacing w:after="0" w:afterLines="0"/>
              <w:jc w:val="both"/>
              <w:rPr>
                <w:b/>
                <w:color w:val="000000"/>
                <w:kern w:val="2"/>
                <w:sz w:val="15"/>
                <w:szCs w:val="15"/>
              </w:rPr>
            </w:pPr>
            <w:r>
              <w:rPr>
                <w:b/>
                <w:color w:val="000000"/>
                <w:kern w:val="2"/>
                <w:sz w:val="15"/>
                <w:szCs w:val="15"/>
              </w:rPr>
              <w:t>氮氧化物</w:t>
            </w:r>
          </w:p>
        </w:tc>
        <w:tc>
          <w:tcPr>
            <w:tcW w:w="828" w:type="dxa"/>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c>
          <w:tcPr>
            <w:tcW w:w="1379" w:type="dxa"/>
            <w:noWrap w:val="0"/>
            <w:tcMar>
              <w:left w:w="57" w:type="dxa"/>
              <w:right w:w="57" w:type="dxa"/>
            </w:tcMar>
            <w:vAlign w:val="center"/>
          </w:tcPr>
          <w:p>
            <w:pPr>
              <w:spacing w:after="0" w:afterLines="0"/>
              <w:jc w:val="center"/>
              <w:rPr>
                <w:color w:val="000000"/>
                <w:kern w:val="2"/>
                <w:sz w:val="15"/>
                <w:szCs w:val="15"/>
              </w:rPr>
            </w:pPr>
          </w:p>
        </w:tc>
        <w:tc>
          <w:tcPr>
            <w:tcW w:w="1097" w:type="dxa"/>
            <w:noWrap w:val="0"/>
            <w:tcMar>
              <w:left w:w="57" w:type="dxa"/>
              <w:right w:w="57" w:type="dxa"/>
            </w:tcMar>
            <w:vAlign w:val="center"/>
          </w:tcPr>
          <w:p>
            <w:pPr>
              <w:spacing w:after="0" w:afterLines="0"/>
              <w:jc w:val="center"/>
              <w:rPr>
                <w:color w:val="000000"/>
                <w:kern w:val="2"/>
                <w:sz w:val="15"/>
                <w:szCs w:val="15"/>
              </w:rPr>
            </w:pPr>
          </w:p>
        </w:tc>
        <w:tc>
          <w:tcPr>
            <w:tcW w:w="993" w:type="dxa"/>
            <w:gridSpan w:val="2"/>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c>
          <w:tcPr>
            <w:tcW w:w="1099" w:type="dxa"/>
            <w:gridSpan w:val="2"/>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c>
          <w:tcPr>
            <w:tcW w:w="1137"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0</w:t>
            </w:r>
          </w:p>
        </w:tc>
        <w:tc>
          <w:tcPr>
            <w:tcW w:w="1189" w:type="dxa"/>
            <w:noWrap w:val="0"/>
            <w:tcMar>
              <w:left w:w="57" w:type="dxa"/>
              <w:right w:w="57" w:type="dxa"/>
            </w:tcMar>
            <w:vAlign w:val="center"/>
          </w:tcPr>
          <w:p>
            <w:pPr>
              <w:spacing w:after="0" w:afterLines="0"/>
              <w:jc w:val="center"/>
              <w:rPr>
                <w:color w:val="000000"/>
                <w:kern w:val="2"/>
                <w:sz w:val="15"/>
                <w:szCs w:val="15"/>
              </w:rPr>
            </w:pPr>
          </w:p>
        </w:tc>
        <w:tc>
          <w:tcPr>
            <w:tcW w:w="1593" w:type="dxa"/>
            <w:noWrap w:val="0"/>
            <w:tcMar>
              <w:left w:w="57" w:type="dxa"/>
              <w:right w:w="57" w:type="dxa"/>
            </w:tcMar>
            <w:vAlign w:val="center"/>
          </w:tcPr>
          <w:p>
            <w:pPr>
              <w:spacing w:after="0" w:afterLines="0"/>
              <w:jc w:val="center"/>
              <w:rPr>
                <w:color w:val="000000"/>
                <w:kern w:val="2"/>
                <w:sz w:val="15"/>
                <w:szCs w:val="15"/>
              </w:rPr>
            </w:pPr>
          </w:p>
        </w:tc>
        <w:tc>
          <w:tcPr>
            <w:tcW w:w="1027" w:type="dxa"/>
            <w:noWrap w:val="0"/>
            <w:tcMar>
              <w:left w:w="57" w:type="dxa"/>
              <w:right w:w="57" w:type="dxa"/>
            </w:tcMar>
            <w:vAlign w:val="center"/>
          </w:tcPr>
          <w:p>
            <w:pPr>
              <w:spacing w:after="0" w:afterLines="0"/>
              <w:jc w:val="center"/>
              <w:rPr>
                <w:color w:val="000000"/>
                <w:kern w:val="2"/>
                <w:sz w:val="15"/>
                <w:szCs w:val="15"/>
              </w:rPr>
            </w:pPr>
          </w:p>
        </w:tc>
        <w:tc>
          <w:tcPr>
            <w:tcW w:w="1244" w:type="dxa"/>
            <w:gridSpan w:val="2"/>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0</w:t>
            </w:r>
          </w:p>
        </w:tc>
        <w:tc>
          <w:tcPr>
            <w:tcW w:w="1102"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0</w:t>
            </w:r>
          </w:p>
        </w:tc>
        <w:tc>
          <w:tcPr>
            <w:tcW w:w="794" w:type="dxa"/>
            <w:gridSpan w:val="2"/>
            <w:noWrap w:val="0"/>
            <w:tcMar>
              <w:left w:w="57" w:type="dxa"/>
              <w:right w:w="57" w:type="dxa"/>
            </w:tcMar>
            <w:vAlign w:val="center"/>
          </w:tcPr>
          <w:p>
            <w:pPr>
              <w:spacing w:after="0" w:afterLines="0"/>
              <w:jc w:val="center"/>
              <w:textAlignment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noWrap w:val="0"/>
            <w:tcMar>
              <w:left w:w="57" w:type="dxa"/>
              <w:right w:w="57" w:type="dxa"/>
            </w:tcMar>
            <w:vAlign w:val="top"/>
          </w:tcPr>
          <w:p>
            <w:pPr>
              <w:spacing w:after="0" w:afterLines="0"/>
              <w:rPr>
                <w:color w:val="000000"/>
                <w:kern w:val="2"/>
                <w:sz w:val="15"/>
                <w:szCs w:val="15"/>
              </w:rPr>
            </w:pPr>
          </w:p>
        </w:tc>
        <w:tc>
          <w:tcPr>
            <w:tcW w:w="1796" w:type="dxa"/>
            <w:gridSpan w:val="2"/>
            <w:noWrap w:val="0"/>
            <w:tcMar>
              <w:left w:w="57" w:type="dxa"/>
              <w:right w:w="57" w:type="dxa"/>
            </w:tcMar>
            <w:vAlign w:val="center"/>
          </w:tcPr>
          <w:p>
            <w:pPr>
              <w:spacing w:after="0" w:afterLines="0"/>
              <w:jc w:val="both"/>
              <w:rPr>
                <w:rFonts w:eastAsia="黑体"/>
                <w:b/>
                <w:color w:val="000000"/>
                <w:kern w:val="2"/>
                <w:sz w:val="15"/>
                <w:szCs w:val="15"/>
              </w:rPr>
            </w:pPr>
            <w:r>
              <w:rPr>
                <w:b/>
                <w:color w:val="000000"/>
                <w:kern w:val="2"/>
                <w:sz w:val="15"/>
                <w:szCs w:val="15"/>
              </w:rPr>
              <w:t>工业固体废物</w:t>
            </w:r>
          </w:p>
        </w:tc>
        <w:tc>
          <w:tcPr>
            <w:tcW w:w="828" w:type="dxa"/>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c>
          <w:tcPr>
            <w:tcW w:w="1379" w:type="dxa"/>
            <w:noWrap w:val="0"/>
            <w:tcMar>
              <w:left w:w="57" w:type="dxa"/>
              <w:right w:w="57" w:type="dxa"/>
            </w:tcMar>
            <w:vAlign w:val="center"/>
          </w:tcPr>
          <w:p>
            <w:pPr>
              <w:spacing w:after="0" w:afterLines="0"/>
              <w:jc w:val="center"/>
              <w:rPr>
                <w:color w:val="000000"/>
                <w:kern w:val="2"/>
                <w:sz w:val="15"/>
                <w:szCs w:val="15"/>
              </w:rPr>
            </w:pPr>
          </w:p>
        </w:tc>
        <w:tc>
          <w:tcPr>
            <w:tcW w:w="1097" w:type="dxa"/>
            <w:noWrap w:val="0"/>
            <w:tcMar>
              <w:left w:w="57" w:type="dxa"/>
              <w:right w:w="57" w:type="dxa"/>
            </w:tcMar>
            <w:vAlign w:val="center"/>
          </w:tcPr>
          <w:p>
            <w:pPr>
              <w:spacing w:after="0" w:afterLines="0"/>
              <w:jc w:val="center"/>
              <w:rPr>
                <w:color w:val="000000"/>
                <w:kern w:val="2"/>
                <w:sz w:val="15"/>
                <w:szCs w:val="15"/>
              </w:rPr>
            </w:pPr>
          </w:p>
        </w:tc>
        <w:tc>
          <w:tcPr>
            <w:tcW w:w="993" w:type="dxa"/>
            <w:gridSpan w:val="2"/>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c>
          <w:tcPr>
            <w:tcW w:w="1099" w:type="dxa"/>
            <w:gridSpan w:val="2"/>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c>
          <w:tcPr>
            <w:tcW w:w="1137" w:type="dxa"/>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c>
          <w:tcPr>
            <w:tcW w:w="1189" w:type="dxa"/>
            <w:noWrap w:val="0"/>
            <w:tcMar>
              <w:left w:w="57" w:type="dxa"/>
              <w:right w:w="57" w:type="dxa"/>
            </w:tcMar>
            <w:vAlign w:val="center"/>
          </w:tcPr>
          <w:p>
            <w:pPr>
              <w:spacing w:after="0" w:afterLines="0"/>
              <w:jc w:val="center"/>
              <w:rPr>
                <w:color w:val="000000"/>
                <w:kern w:val="2"/>
                <w:sz w:val="15"/>
                <w:szCs w:val="15"/>
              </w:rPr>
            </w:pPr>
          </w:p>
        </w:tc>
        <w:tc>
          <w:tcPr>
            <w:tcW w:w="1593" w:type="dxa"/>
            <w:noWrap w:val="0"/>
            <w:tcMar>
              <w:left w:w="57" w:type="dxa"/>
              <w:right w:w="57" w:type="dxa"/>
            </w:tcMar>
            <w:vAlign w:val="center"/>
          </w:tcPr>
          <w:p>
            <w:pPr>
              <w:spacing w:after="0" w:afterLines="0"/>
              <w:jc w:val="center"/>
              <w:rPr>
                <w:color w:val="000000"/>
                <w:kern w:val="2"/>
                <w:sz w:val="15"/>
                <w:szCs w:val="15"/>
              </w:rPr>
            </w:pPr>
          </w:p>
        </w:tc>
        <w:tc>
          <w:tcPr>
            <w:tcW w:w="1027" w:type="dxa"/>
            <w:noWrap w:val="0"/>
            <w:tcMar>
              <w:left w:w="57" w:type="dxa"/>
              <w:right w:w="57" w:type="dxa"/>
            </w:tcMar>
            <w:vAlign w:val="center"/>
          </w:tcPr>
          <w:p>
            <w:pPr>
              <w:spacing w:after="0" w:afterLines="0"/>
              <w:jc w:val="center"/>
              <w:rPr>
                <w:color w:val="000000"/>
                <w:kern w:val="2"/>
                <w:sz w:val="15"/>
                <w:szCs w:val="15"/>
              </w:rPr>
            </w:pPr>
          </w:p>
        </w:tc>
        <w:tc>
          <w:tcPr>
            <w:tcW w:w="1244" w:type="dxa"/>
            <w:gridSpan w:val="2"/>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c>
          <w:tcPr>
            <w:tcW w:w="1102" w:type="dxa"/>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c>
          <w:tcPr>
            <w:tcW w:w="794" w:type="dxa"/>
            <w:gridSpan w:val="2"/>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9" w:hRule="atLeast"/>
          <w:jc w:val="center"/>
        </w:trPr>
        <w:tc>
          <w:tcPr>
            <w:tcW w:w="598" w:type="dxa"/>
            <w:gridSpan w:val="2"/>
            <w:vMerge w:val="continue"/>
            <w:noWrap w:val="0"/>
            <w:tcMar>
              <w:left w:w="57" w:type="dxa"/>
              <w:right w:w="57" w:type="dxa"/>
            </w:tcMar>
            <w:vAlign w:val="top"/>
          </w:tcPr>
          <w:p>
            <w:pPr>
              <w:spacing w:after="0" w:afterLines="0"/>
              <w:rPr>
                <w:color w:val="000000"/>
                <w:kern w:val="2"/>
                <w:sz w:val="15"/>
                <w:szCs w:val="15"/>
              </w:rPr>
            </w:pPr>
          </w:p>
        </w:tc>
        <w:tc>
          <w:tcPr>
            <w:tcW w:w="1099" w:type="dxa"/>
            <w:vMerge w:val="restart"/>
            <w:noWrap w:val="0"/>
            <w:tcMar>
              <w:left w:w="57" w:type="dxa"/>
              <w:right w:w="57" w:type="dxa"/>
            </w:tcMar>
            <w:vAlign w:val="top"/>
          </w:tcPr>
          <w:p>
            <w:pPr>
              <w:spacing w:after="0" w:afterLines="0"/>
              <w:jc w:val="both"/>
              <w:rPr>
                <w:color w:val="000000"/>
                <w:kern w:val="2"/>
                <w:sz w:val="15"/>
                <w:szCs w:val="15"/>
              </w:rPr>
            </w:pPr>
            <w:r>
              <w:rPr>
                <w:b/>
                <w:color w:val="000000"/>
                <w:kern w:val="2"/>
                <w:sz w:val="15"/>
                <w:szCs w:val="15"/>
              </w:rPr>
              <w:t>与项目有关的其</w:t>
            </w:r>
            <w:r>
              <w:rPr>
                <w:rFonts w:hint="eastAsia"/>
                <w:b/>
                <w:color w:val="000000"/>
                <w:kern w:val="2"/>
                <w:sz w:val="15"/>
                <w:szCs w:val="15"/>
              </w:rPr>
              <w:t>他</w:t>
            </w:r>
            <w:r>
              <w:rPr>
                <w:b/>
                <w:color w:val="000000"/>
                <w:kern w:val="2"/>
                <w:sz w:val="15"/>
                <w:szCs w:val="15"/>
              </w:rPr>
              <w:t>特征污染物</w:t>
            </w:r>
          </w:p>
        </w:tc>
        <w:tc>
          <w:tcPr>
            <w:tcW w:w="697" w:type="dxa"/>
            <w:noWrap w:val="0"/>
            <w:tcMar>
              <w:left w:w="57" w:type="dxa"/>
              <w:right w:w="57" w:type="dxa"/>
            </w:tcMar>
            <w:vAlign w:val="center"/>
          </w:tcPr>
          <w:p>
            <w:pPr>
              <w:spacing w:after="0" w:afterLines="0"/>
              <w:rPr>
                <w:color w:val="000000"/>
                <w:kern w:val="2"/>
                <w:sz w:val="15"/>
                <w:szCs w:val="15"/>
              </w:rPr>
            </w:pPr>
            <w:r>
              <w:rPr>
                <w:rFonts w:hint="eastAsia" w:eastAsia="宋体"/>
                <w:color w:val="000000"/>
                <w:kern w:val="2"/>
                <w:sz w:val="15"/>
                <w:szCs w:val="15"/>
                <w:lang w:val="en-US" w:eastAsia="zh-CN"/>
              </w:rPr>
              <w:t>非甲烷总烃</w:t>
            </w:r>
          </w:p>
        </w:tc>
        <w:tc>
          <w:tcPr>
            <w:tcW w:w="828" w:type="dxa"/>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c>
          <w:tcPr>
            <w:tcW w:w="1379" w:type="dxa"/>
            <w:noWrap w:val="0"/>
            <w:tcMar>
              <w:left w:w="57" w:type="dxa"/>
              <w:right w:w="57" w:type="dxa"/>
            </w:tcMar>
            <w:vAlign w:val="center"/>
          </w:tcPr>
          <w:p>
            <w:pPr>
              <w:spacing w:after="0" w:afterLines="0"/>
              <w:jc w:val="center"/>
              <w:rPr>
                <w:color w:val="000000"/>
                <w:kern w:val="2"/>
                <w:sz w:val="15"/>
                <w:szCs w:val="15"/>
              </w:rPr>
            </w:pPr>
          </w:p>
        </w:tc>
        <w:tc>
          <w:tcPr>
            <w:tcW w:w="1097" w:type="dxa"/>
            <w:noWrap w:val="0"/>
            <w:tcMar>
              <w:left w:w="57" w:type="dxa"/>
              <w:right w:w="57" w:type="dxa"/>
            </w:tcMar>
            <w:vAlign w:val="center"/>
          </w:tcPr>
          <w:p>
            <w:pPr>
              <w:spacing w:after="0" w:afterLines="0"/>
              <w:jc w:val="center"/>
              <w:rPr>
                <w:color w:val="000000"/>
                <w:kern w:val="2"/>
                <w:sz w:val="15"/>
                <w:szCs w:val="15"/>
              </w:rPr>
            </w:pPr>
          </w:p>
        </w:tc>
        <w:tc>
          <w:tcPr>
            <w:tcW w:w="993" w:type="dxa"/>
            <w:gridSpan w:val="2"/>
            <w:noWrap w:val="0"/>
            <w:tcMar>
              <w:left w:w="57" w:type="dxa"/>
              <w:right w:w="57" w:type="dxa"/>
            </w:tcMar>
            <w:vAlign w:val="center"/>
          </w:tcPr>
          <w:p>
            <w:pPr>
              <w:spacing w:after="0" w:afterLines="0"/>
              <w:jc w:val="center"/>
              <w:rPr>
                <w:color w:val="000000"/>
                <w:kern w:val="2"/>
                <w:sz w:val="15"/>
                <w:szCs w:val="15"/>
              </w:rPr>
            </w:pPr>
          </w:p>
        </w:tc>
        <w:tc>
          <w:tcPr>
            <w:tcW w:w="1099" w:type="dxa"/>
            <w:gridSpan w:val="2"/>
            <w:noWrap w:val="0"/>
            <w:tcMar>
              <w:left w:w="57" w:type="dxa"/>
              <w:right w:w="57" w:type="dxa"/>
            </w:tcMar>
            <w:vAlign w:val="center"/>
          </w:tcPr>
          <w:p>
            <w:pPr>
              <w:spacing w:after="0" w:afterLines="0"/>
              <w:jc w:val="center"/>
              <w:rPr>
                <w:color w:val="000000"/>
                <w:kern w:val="2"/>
                <w:sz w:val="15"/>
                <w:szCs w:val="15"/>
              </w:rPr>
            </w:pPr>
          </w:p>
        </w:tc>
        <w:tc>
          <w:tcPr>
            <w:tcW w:w="1137" w:type="dxa"/>
            <w:noWrap w:val="0"/>
            <w:tcMar>
              <w:left w:w="57" w:type="dxa"/>
              <w:right w:w="57" w:type="dxa"/>
            </w:tcMar>
            <w:vAlign w:val="center"/>
          </w:tcPr>
          <w:p>
            <w:pPr>
              <w:spacing w:after="0" w:afterLines="0"/>
              <w:jc w:val="center"/>
              <w:rPr>
                <w:color w:val="000000"/>
                <w:kern w:val="2"/>
                <w:sz w:val="15"/>
                <w:szCs w:val="15"/>
              </w:rPr>
            </w:pPr>
            <w:r>
              <w:rPr>
                <w:rFonts w:hint="eastAsia" w:ascii="宋体" w:hAnsi="宋体" w:eastAsia="宋体" w:cs="宋体"/>
                <w:sz w:val="18"/>
                <w:szCs w:val="18"/>
              </w:rPr>
              <w:t>0.1459</w:t>
            </w:r>
            <w:r>
              <w:rPr>
                <w:rFonts w:hint="eastAsia" w:ascii="宋体" w:hAnsi="宋体" w:eastAsia="宋体" w:cs="宋体"/>
                <w:sz w:val="18"/>
                <w:szCs w:val="18"/>
                <w:lang w:val="en-GB"/>
              </w:rPr>
              <w:t>t/a</w:t>
            </w:r>
          </w:p>
        </w:tc>
        <w:tc>
          <w:tcPr>
            <w:tcW w:w="1189" w:type="dxa"/>
            <w:noWrap w:val="0"/>
            <w:tcMar>
              <w:left w:w="57" w:type="dxa"/>
              <w:right w:w="57" w:type="dxa"/>
            </w:tcMar>
            <w:vAlign w:val="center"/>
          </w:tcPr>
          <w:p>
            <w:pPr>
              <w:spacing w:after="0" w:afterLines="0"/>
              <w:jc w:val="center"/>
              <w:rPr>
                <w:color w:val="000000"/>
                <w:kern w:val="2"/>
                <w:sz w:val="15"/>
                <w:szCs w:val="15"/>
              </w:rPr>
            </w:pPr>
            <w:r>
              <w:rPr>
                <w:rFonts w:hint="eastAsia" w:ascii="宋体" w:hAnsi="宋体" w:eastAsia="宋体" w:cs="宋体"/>
                <w:sz w:val="18"/>
                <w:szCs w:val="18"/>
              </w:rPr>
              <w:t>0.1459</w:t>
            </w:r>
            <w:r>
              <w:rPr>
                <w:rFonts w:hint="eastAsia" w:ascii="宋体" w:hAnsi="宋体" w:eastAsia="宋体" w:cs="宋体"/>
                <w:sz w:val="18"/>
                <w:szCs w:val="18"/>
                <w:lang w:val="en-GB"/>
              </w:rPr>
              <w:t>t/a</w:t>
            </w:r>
          </w:p>
        </w:tc>
        <w:tc>
          <w:tcPr>
            <w:tcW w:w="1593" w:type="dxa"/>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c>
          <w:tcPr>
            <w:tcW w:w="1027" w:type="dxa"/>
            <w:noWrap w:val="0"/>
            <w:tcMar>
              <w:left w:w="57" w:type="dxa"/>
              <w:right w:w="57" w:type="dxa"/>
            </w:tcMar>
            <w:vAlign w:val="center"/>
          </w:tcPr>
          <w:p>
            <w:pPr>
              <w:spacing w:after="0" w:afterLines="0"/>
              <w:jc w:val="center"/>
              <w:rPr>
                <w:color w:val="000000"/>
                <w:kern w:val="2"/>
                <w:sz w:val="15"/>
                <w:szCs w:val="15"/>
              </w:rPr>
            </w:pPr>
          </w:p>
        </w:tc>
        <w:tc>
          <w:tcPr>
            <w:tcW w:w="1244" w:type="dxa"/>
            <w:gridSpan w:val="2"/>
            <w:noWrap w:val="0"/>
            <w:tcMar>
              <w:left w:w="57" w:type="dxa"/>
              <w:right w:w="57" w:type="dxa"/>
            </w:tcMar>
            <w:vAlign w:val="center"/>
          </w:tcPr>
          <w:p>
            <w:pPr>
              <w:spacing w:after="0" w:afterLines="0"/>
              <w:jc w:val="center"/>
              <w:rPr>
                <w:color w:val="000000"/>
                <w:kern w:val="2"/>
                <w:sz w:val="15"/>
                <w:szCs w:val="15"/>
              </w:rPr>
            </w:pPr>
            <w:r>
              <w:rPr>
                <w:rFonts w:hint="eastAsia" w:ascii="宋体" w:hAnsi="宋体" w:eastAsia="宋体" w:cs="宋体"/>
                <w:sz w:val="18"/>
                <w:szCs w:val="18"/>
              </w:rPr>
              <w:t>0.1459</w:t>
            </w:r>
            <w:r>
              <w:rPr>
                <w:rFonts w:hint="eastAsia" w:ascii="宋体" w:hAnsi="宋体" w:eastAsia="宋体" w:cs="宋体"/>
                <w:sz w:val="18"/>
                <w:szCs w:val="18"/>
                <w:lang w:val="en-GB"/>
              </w:rPr>
              <w:t>t/a</w:t>
            </w:r>
          </w:p>
        </w:tc>
        <w:tc>
          <w:tcPr>
            <w:tcW w:w="1102" w:type="dxa"/>
            <w:noWrap w:val="0"/>
            <w:tcMar>
              <w:left w:w="57" w:type="dxa"/>
              <w:right w:w="57" w:type="dxa"/>
            </w:tcMar>
            <w:vAlign w:val="center"/>
          </w:tcPr>
          <w:p>
            <w:pPr>
              <w:spacing w:after="0" w:afterLines="0"/>
              <w:jc w:val="center"/>
              <w:rPr>
                <w:color w:val="000000"/>
                <w:kern w:val="2"/>
                <w:sz w:val="15"/>
                <w:szCs w:val="15"/>
              </w:rPr>
            </w:pPr>
            <w:r>
              <w:rPr>
                <w:rFonts w:hint="eastAsia" w:ascii="宋体" w:hAnsi="宋体" w:eastAsia="宋体" w:cs="宋体"/>
                <w:sz w:val="18"/>
                <w:szCs w:val="18"/>
              </w:rPr>
              <w:t>0.1459</w:t>
            </w:r>
            <w:r>
              <w:rPr>
                <w:rFonts w:hint="eastAsia" w:ascii="宋体" w:hAnsi="宋体" w:eastAsia="宋体" w:cs="宋体"/>
                <w:sz w:val="18"/>
                <w:szCs w:val="18"/>
                <w:lang w:val="en-GB"/>
              </w:rPr>
              <w:t>t/a</w:t>
            </w:r>
          </w:p>
        </w:tc>
        <w:tc>
          <w:tcPr>
            <w:tcW w:w="794" w:type="dxa"/>
            <w:gridSpan w:val="2"/>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noWrap w:val="0"/>
            <w:tcMar>
              <w:left w:w="57" w:type="dxa"/>
              <w:right w:w="57" w:type="dxa"/>
            </w:tcMar>
            <w:vAlign w:val="top"/>
          </w:tcPr>
          <w:p>
            <w:pPr>
              <w:spacing w:after="0" w:afterLines="0"/>
              <w:rPr>
                <w:color w:val="000000"/>
                <w:kern w:val="2"/>
                <w:sz w:val="15"/>
                <w:szCs w:val="15"/>
              </w:rPr>
            </w:pPr>
          </w:p>
        </w:tc>
        <w:tc>
          <w:tcPr>
            <w:tcW w:w="1099" w:type="dxa"/>
            <w:vMerge w:val="continue"/>
            <w:noWrap w:val="0"/>
            <w:tcMar>
              <w:left w:w="57" w:type="dxa"/>
              <w:right w:w="57" w:type="dxa"/>
            </w:tcMar>
            <w:vAlign w:val="top"/>
          </w:tcPr>
          <w:p>
            <w:pPr>
              <w:spacing w:after="0" w:afterLines="0"/>
              <w:rPr>
                <w:b/>
                <w:color w:val="000000"/>
                <w:kern w:val="2"/>
                <w:sz w:val="15"/>
                <w:szCs w:val="15"/>
              </w:rPr>
            </w:pPr>
          </w:p>
        </w:tc>
        <w:tc>
          <w:tcPr>
            <w:tcW w:w="697" w:type="dxa"/>
            <w:noWrap w:val="0"/>
            <w:tcMar>
              <w:left w:w="57" w:type="dxa"/>
              <w:right w:w="57" w:type="dxa"/>
            </w:tcMar>
            <w:vAlign w:val="center"/>
          </w:tcPr>
          <w:p>
            <w:pPr>
              <w:spacing w:after="0" w:afterLines="0"/>
              <w:rPr>
                <w:color w:val="000000"/>
                <w:kern w:val="2"/>
                <w:sz w:val="15"/>
                <w:szCs w:val="15"/>
              </w:rPr>
            </w:pPr>
          </w:p>
        </w:tc>
        <w:tc>
          <w:tcPr>
            <w:tcW w:w="828" w:type="dxa"/>
            <w:noWrap w:val="0"/>
            <w:tcMar>
              <w:left w:w="57" w:type="dxa"/>
              <w:right w:w="57" w:type="dxa"/>
            </w:tcMar>
            <w:vAlign w:val="center"/>
          </w:tcPr>
          <w:p>
            <w:pPr>
              <w:spacing w:after="0" w:afterLines="0"/>
              <w:jc w:val="center"/>
              <w:rPr>
                <w:color w:val="000000"/>
                <w:kern w:val="2"/>
                <w:sz w:val="15"/>
                <w:szCs w:val="15"/>
              </w:rPr>
            </w:pPr>
          </w:p>
        </w:tc>
        <w:tc>
          <w:tcPr>
            <w:tcW w:w="1379" w:type="dxa"/>
            <w:noWrap w:val="0"/>
            <w:tcMar>
              <w:left w:w="57" w:type="dxa"/>
              <w:right w:w="57" w:type="dxa"/>
            </w:tcMar>
            <w:vAlign w:val="center"/>
          </w:tcPr>
          <w:p>
            <w:pPr>
              <w:spacing w:after="0" w:afterLines="0"/>
              <w:jc w:val="center"/>
              <w:rPr>
                <w:color w:val="000000"/>
                <w:kern w:val="2"/>
                <w:sz w:val="15"/>
                <w:szCs w:val="15"/>
              </w:rPr>
            </w:pPr>
          </w:p>
        </w:tc>
        <w:tc>
          <w:tcPr>
            <w:tcW w:w="1097" w:type="dxa"/>
            <w:noWrap w:val="0"/>
            <w:tcMar>
              <w:left w:w="57" w:type="dxa"/>
              <w:right w:w="57" w:type="dxa"/>
            </w:tcMar>
            <w:vAlign w:val="center"/>
          </w:tcPr>
          <w:p>
            <w:pPr>
              <w:spacing w:after="0" w:afterLines="0"/>
              <w:jc w:val="center"/>
              <w:rPr>
                <w:color w:val="000000"/>
                <w:kern w:val="2"/>
                <w:sz w:val="15"/>
                <w:szCs w:val="15"/>
              </w:rPr>
            </w:pPr>
          </w:p>
        </w:tc>
        <w:tc>
          <w:tcPr>
            <w:tcW w:w="993" w:type="dxa"/>
            <w:gridSpan w:val="2"/>
            <w:noWrap w:val="0"/>
            <w:tcMar>
              <w:left w:w="57" w:type="dxa"/>
              <w:right w:w="57" w:type="dxa"/>
            </w:tcMar>
            <w:vAlign w:val="center"/>
          </w:tcPr>
          <w:p>
            <w:pPr>
              <w:spacing w:after="0" w:afterLines="0"/>
              <w:jc w:val="center"/>
              <w:rPr>
                <w:color w:val="000000"/>
                <w:kern w:val="2"/>
                <w:sz w:val="15"/>
                <w:szCs w:val="15"/>
              </w:rPr>
            </w:pPr>
          </w:p>
        </w:tc>
        <w:tc>
          <w:tcPr>
            <w:tcW w:w="1099" w:type="dxa"/>
            <w:gridSpan w:val="2"/>
            <w:noWrap w:val="0"/>
            <w:tcMar>
              <w:left w:w="57" w:type="dxa"/>
              <w:right w:w="57" w:type="dxa"/>
            </w:tcMar>
            <w:vAlign w:val="center"/>
          </w:tcPr>
          <w:p>
            <w:pPr>
              <w:spacing w:after="0" w:afterLines="0"/>
              <w:jc w:val="center"/>
              <w:rPr>
                <w:color w:val="000000"/>
                <w:kern w:val="2"/>
                <w:sz w:val="15"/>
                <w:szCs w:val="15"/>
              </w:rPr>
            </w:pPr>
          </w:p>
        </w:tc>
        <w:tc>
          <w:tcPr>
            <w:tcW w:w="1137" w:type="dxa"/>
            <w:noWrap w:val="0"/>
            <w:tcMar>
              <w:left w:w="57" w:type="dxa"/>
              <w:right w:w="57" w:type="dxa"/>
            </w:tcMar>
            <w:vAlign w:val="center"/>
          </w:tcPr>
          <w:p>
            <w:pPr>
              <w:spacing w:after="0" w:afterLines="0"/>
              <w:jc w:val="center"/>
              <w:rPr>
                <w:color w:val="000000"/>
                <w:kern w:val="2"/>
                <w:sz w:val="15"/>
                <w:szCs w:val="15"/>
              </w:rPr>
            </w:pPr>
          </w:p>
        </w:tc>
        <w:tc>
          <w:tcPr>
            <w:tcW w:w="1189" w:type="dxa"/>
            <w:noWrap w:val="0"/>
            <w:tcMar>
              <w:left w:w="57" w:type="dxa"/>
              <w:right w:w="57" w:type="dxa"/>
            </w:tcMar>
            <w:vAlign w:val="center"/>
          </w:tcPr>
          <w:p>
            <w:pPr>
              <w:spacing w:after="0" w:afterLines="0"/>
              <w:jc w:val="center"/>
              <w:rPr>
                <w:color w:val="000000"/>
                <w:kern w:val="2"/>
                <w:sz w:val="15"/>
                <w:szCs w:val="15"/>
              </w:rPr>
            </w:pPr>
          </w:p>
        </w:tc>
        <w:tc>
          <w:tcPr>
            <w:tcW w:w="1593" w:type="dxa"/>
            <w:noWrap w:val="0"/>
            <w:tcMar>
              <w:left w:w="57" w:type="dxa"/>
              <w:right w:w="57" w:type="dxa"/>
            </w:tcMar>
            <w:vAlign w:val="center"/>
          </w:tcPr>
          <w:p>
            <w:pPr>
              <w:spacing w:after="0" w:afterLines="0"/>
              <w:jc w:val="center"/>
              <w:rPr>
                <w:color w:val="000000"/>
                <w:kern w:val="2"/>
                <w:sz w:val="15"/>
                <w:szCs w:val="15"/>
              </w:rPr>
            </w:pPr>
          </w:p>
        </w:tc>
        <w:tc>
          <w:tcPr>
            <w:tcW w:w="1027" w:type="dxa"/>
            <w:noWrap w:val="0"/>
            <w:tcMar>
              <w:left w:w="57" w:type="dxa"/>
              <w:right w:w="57" w:type="dxa"/>
            </w:tcMar>
            <w:vAlign w:val="center"/>
          </w:tcPr>
          <w:p>
            <w:pPr>
              <w:spacing w:after="0" w:afterLines="0"/>
              <w:jc w:val="center"/>
              <w:rPr>
                <w:color w:val="000000"/>
                <w:kern w:val="2"/>
                <w:sz w:val="15"/>
                <w:szCs w:val="15"/>
              </w:rPr>
            </w:pPr>
          </w:p>
        </w:tc>
        <w:tc>
          <w:tcPr>
            <w:tcW w:w="1244" w:type="dxa"/>
            <w:gridSpan w:val="2"/>
            <w:noWrap w:val="0"/>
            <w:tcMar>
              <w:left w:w="57" w:type="dxa"/>
              <w:right w:w="57" w:type="dxa"/>
            </w:tcMar>
            <w:vAlign w:val="center"/>
          </w:tcPr>
          <w:p>
            <w:pPr>
              <w:spacing w:after="0" w:afterLines="0"/>
              <w:jc w:val="center"/>
              <w:rPr>
                <w:color w:val="000000"/>
                <w:kern w:val="2"/>
                <w:sz w:val="15"/>
                <w:szCs w:val="15"/>
              </w:rPr>
            </w:pPr>
          </w:p>
        </w:tc>
        <w:tc>
          <w:tcPr>
            <w:tcW w:w="1102" w:type="dxa"/>
            <w:noWrap w:val="0"/>
            <w:tcMar>
              <w:left w:w="57" w:type="dxa"/>
              <w:right w:w="57" w:type="dxa"/>
            </w:tcMar>
            <w:vAlign w:val="center"/>
          </w:tcPr>
          <w:p>
            <w:pPr>
              <w:spacing w:after="0" w:afterLines="0"/>
              <w:jc w:val="center"/>
              <w:rPr>
                <w:color w:val="000000"/>
                <w:kern w:val="2"/>
                <w:sz w:val="15"/>
                <w:szCs w:val="15"/>
              </w:rPr>
            </w:pPr>
          </w:p>
        </w:tc>
        <w:tc>
          <w:tcPr>
            <w:tcW w:w="794" w:type="dxa"/>
            <w:gridSpan w:val="2"/>
            <w:noWrap w:val="0"/>
            <w:tcMar>
              <w:left w:w="57" w:type="dxa"/>
              <w:right w:w="57" w:type="dxa"/>
            </w:tcMar>
            <w:vAlign w:val="center"/>
          </w:tcPr>
          <w:p>
            <w:pPr>
              <w:spacing w:after="0" w:afterLines="0"/>
              <w:jc w:val="center"/>
              <w:rPr>
                <w:color w:val="000000"/>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598" w:type="dxa"/>
            <w:gridSpan w:val="2"/>
            <w:vMerge w:val="continue"/>
            <w:noWrap w:val="0"/>
            <w:tcMar>
              <w:left w:w="57" w:type="dxa"/>
              <w:right w:w="57" w:type="dxa"/>
            </w:tcMar>
            <w:vAlign w:val="top"/>
          </w:tcPr>
          <w:p>
            <w:pPr>
              <w:spacing w:after="0" w:afterLines="0"/>
              <w:rPr>
                <w:color w:val="000000"/>
                <w:kern w:val="2"/>
                <w:sz w:val="15"/>
                <w:szCs w:val="15"/>
              </w:rPr>
            </w:pPr>
          </w:p>
        </w:tc>
        <w:tc>
          <w:tcPr>
            <w:tcW w:w="1099" w:type="dxa"/>
            <w:vMerge w:val="continue"/>
            <w:noWrap w:val="0"/>
            <w:tcMar>
              <w:left w:w="57" w:type="dxa"/>
              <w:right w:w="57" w:type="dxa"/>
            </w:tcMar>
            <w:vAlign w:val="top"/>
          </w:tcPr>
          <w:p>
            <w:pPr>
              <w:spacing w:after="0" w:afterLines="0"/>
              <w:rPr>
                <w:b/>
                <w:color w:val="000000"/>
                <w:kern w:val="2"/>
                <w:sz w:val="15"/>
                <w:szCs w:val="15"/>
              </w:rPr>
            </w:pPr>
          </w:p>
        </w:tc>
        <w:tc>
          <w:tcPr>
            <w:tcW w:w="697" w:type="dxa"/>
            <w:noWrap w:val="0"/>
            <w:tcMar>
              <w:left w:w="57" w:type="dxa"/>
              <w:right w:w="57" w:type="dxa"/>
            </w:tcMar>
            <w:vAlign w:val="center"/>
          </w:tcPr>
          <w:p>
            <w:pPr>
              <w:spacing w:after="0" w:afterLines="0"/>
              <w:rPr>
                <w:color w:val="000000"/>
                <w:kern w:val="2"/>
                <w:sz w:val="15"/>
                <w:szCs w:val="15"/>
              </w:rPr>
            </w:pPr>
          </w:p>
        </w:tc>
        <w:tc>
          <w:tcPr>
            <w:tcW w:w="828" w:type="dxa"/>
            <w:noWrap w:val="0"/>
            <w:tcMar>
              <w:left w:w="57" w:type="dxa"/>
              <w:right w:w="57" w:type="dxa"/>
            </w:tcMar>
            <w:vAlign w:val="top"/>
          </w:tcPr>
          <w:p>
            <w:pPr>
              <w:spacing w:after="0" w:afterLines="0"/>
              <w:jc w:val="center"/>
              <w:rPr>
                <w:color w:val="000000"/>
                <w:kern w:val="2"/>
                <w:sz w:val="15"/>
                <w:szCs w:val="15"/>
              </w:rPr>
            </w:pPr>
          </w:p>
        </w:tc>
        <w:tc>
          <w:tcPr>
            <w:tcW w:w="1379" w:type="dxa"/>
            <w:noWrap w:val="0"/>
            <w:tcMar>
              <w:left w:w="57" w:type="dxa"/>
              <w:right w:w="57" w:type="dxa"/>
            </w:tcMar>
            <w:vAlign w:val="top"/>
          </w:tcPr>
          <w:p>
            <w:pPr>
              <w:spacing w:after="0" w:afterLines="0"/>
              <w:jc w:val="center"/>
              <w:rPr>
                <w:color w:val="000000"/>
                <w:kern w:val="2"/>
                <w:sz w:val="15"/>
                <w:szCs w:val="15"/>
              </w:rPr>
            </w:pPr>
          </w:p>
        </w:tc>
        <w:tc>
          <w:tcPr>
            <w:tcW w:w="1097" w:type="dxa"/>
            <w:noWrap w:val="0"/>
            <w:tcMar>
              <w:left w:w="57" w:type="dxa"/>
              <w:right w:w="57" w:type="dxa"/>
            </w:tcMar>
            <w:vAlign w:val="top"/>
          </w:tcPr>
          <w:p>
            <w:pPr>
              <w:spacing w:after="0" w:afterLines="0"/>
              <w:jc w:val="center"/>
              <w:rPr>
                <w:color w:val="000000"/>
                <w:kern w:val="2"/>
                <w:sz w:val="15"/>
                <w:szCs w:val="15"/>
              </w:rPr>
            </w:pPr>
          </w:p>
        </w:tc>
        <w:tc>
          <w:tcPr>
            <w:tcW w:w="993" w:type="dxa"/>
            <w:gridSpan w:val="2"/>
            <w:noWrap w:val="0"/>
            <w:tcMar>
              <w:left w:w="57" w:type="dxa"/>
              <w:right w:w="57" w:type="dxa"/>
            </w:tcMar>
            <w:vAlign w:val="top"/>
          </w:tcPr>
          <w:p>
            <w:pPr>
              <w:spacing w:after="0" w:afterLines="0"/>
              <w:jc w:val="center"/>
              <w:rPr>
                <w:color w:val="000000"/>
                <w:kern w:val="2"/>
                <w:sz w:val="15"/>
                <w:szCs w:val="15"/>
              </w:rPr>
            </w:pPr>
          </w:p>
        </w:tc>
        <w:tc>
          <w:tcPr>
            <w:tcW w:w="1099" w:type="dxa"/>
            <w:gridSpan w:val="2"/>
            <w:noWrap w:val="0"/>
            <w:tcMar>
              <w:left w:w="57" w:type="dxa"/>
              <w:right w:w="57" w:type="dxa"/>
            </w:tcMar>
            <w:vAlign w:val="top"/>
          </w:tcPr>
          <w:p>
            <w:pPr>
              <w:spacing w:after="0" w:afterLines="0"/>
              <w:jc w:val="center"/>
              <w:rPr>
                <w:color w:val="000000"/>
                <w:kern w:val="2"/>
                <w:sz w:val="15"/>
                <w:szCs w:val="15"/>
              </w:rPr>
            </w:pPr>
          </w:p>
        </w:tc>
        <w:tc>
          <w:tcPr>
            <w:tcW w:w="1137" w:type="dxa"/>
            <w:noWrap w:val="0"/>
            <w:tcMar>
              <w:left w:w="57" w:type="dxa"/>
              <w:right w:w="57" w:type="dxa"/>
            </w:tcMar>
            <w:vAlign w:val="top"/>
          </w:tcPr>
          <w:p>
            <w:pPr>
              <w:spacing w:after="0" w:afterLines="0"/>
              <w:jc w:val="center"/>
              <w:rPr>
                <w:color w:val="000000"/>
                <w:kern w:val="2"/>
                <w:sz w:val="15"/>
                <w:szCs w:val="15"/>
              </w:rPr>
            </w:pPr>
          </w:p>
        </w:tc>
        <w:tc>
          <w:tcPr>
            <w:tcW w:w="1189" w:type="dxa"/>
            <w:noWrap w:val="0"/>
            <w:tcMar>
              <w:left w:w="57" w:type="dxa"/>
              <w:right w:w="57" w:type="dxa"/>
            </w:tcMar>
            <w:vAlign w:val="top"/>
          </w:tcPr>
          <w:p>
            <w:pPr>
              <w:spacing w:after="0" w:afterLines="0"/>
              <w:jc w:val="center"/>
              <w:rPr>
                <w:color w:val="000000"/>
                <w:kern w:val="2"/>
                <w:sz w:val="15"/>
                <w:szCs w:val="15"/>
              </w:rPr>
            </w:pPr>
          </w:p>
        </w:tc>
        <w:tc>
          <w:tcPr>
            <w:tcW w:w="1593" w:type="dxa"/>
            <w:noWrap w:val="0"/>
            <w:tcMar>
              <w:left w:w="57" w:type="dxa"/>
              <w:right w:w="57" w:type="dxa"/>
            </w:tcMar>
            <w:vAlign w:val="top"/>
          </w:tcPr>
          <w:p>
            <w:pPr>
              <w:spacing w:after="0" w:afterLines="0"/>
              <w:jc w:val="center"/>
              <w:rPr>
                <w:color w:val="000000"/>
                <w:kern w:val="2"/>
                <w:sz w:val="15"/>
                <w:szCs w:val="15"/>
              </w:rPr>
            </w:pPr>
          </w:p>
        </w:tc>
        <w:tc>
          <w:tcPr>
            <w:tcW w:w="1027" w:type="dxa"/>
            <w:noWrap w:val="0"/>
            <w:tcMar>
              <w:left w:w="57" w:type="dxa"/>
              <w:right w:w="57" w:type="dxa"/>
            </w:tcMar>
            <w:vAlign w:val="top"/>
          </w:tcPr>
          <w:p>
            <w:pPr>
              <w:spacing w:after="0" w:afterLines="0"/>
              <w:jc w:val="center"/>
              <w:rPr>
                <w:color w:val="000000"/>
                <w:kern w:val="2"/>
                <w:sz w:val="15"/>
                <w:szCs w:val="15"/>
              </w:rPr>
            </w:pPr>
          </w:p>
        </w:tc>
        <w:tc>
          <w:tcPr>
            <w:tcW w:w="1244" w:type="dxa"/>
            <w:gridSpan w:val="2"/>
            <w:noWrap w:val="0"/>
            <w:tcMar>
              <w:left w:w="57" w:type="dxa"/>
              <w:right w:w="57" w:type="dxa"/>
            </w:tcMar>
            <w:vAlign w:val="top"/>
          </w:tcPr>
          <w:p>
            <w:pPr>
              <w:spacing w:after="0" w:afterLines="0"/>
              <w:jc w:val="center"/>
              <w:rPr>
                <w:color w:val="000000"/>
                <w:kern w:val="2"/>
                <w:sz w:val="15"/>
                <w:szCs w:val="15"/>
              </w:rPr>
            </w:pPr>
          </w:p>
        </w:tc>
        <w:tc>
          <w:tcPr>
            <w:tcW w:w="1102" w:type="dxa"/>
            <w:noWrap w:val="0"/>
            <w:tcMar>
              <w:left w:w="57" w:type="dxa"/>
              <w:right w:w="57" w:type="dxa"/>
            </w:tcMar>
            <w:vAlign w:val="top"/>
          </w:tcPr>
          <w:p>
            <w:pPr>
              <w:spacing w:after="0" w:afterLines="0"/>
              <w:jc w:val="center"/>
              <w:rPr>
                <w:color w:val="000000"/>
                <w:kern w:val="2"/>
                <w:sz w:val="15"/>
                <w:szCs w:val="15"/>
              </w:rPr>
            </w:pPr>
          </w:p>
        </w:tc>
        <w:tc>
          <w:tcPr>
            <w:tcW w:w="794" w:type="dxa"/>
            <w:gridSpan w:val="2"/>
            <w:noWrap w:val="0"/>
            <w:tcMar>
              <w:left w:w="57" w:type="dxa"/>
              <w:right w:w="57" w:type="dxa"/>
            </w:tcMar>
            <w:vAlign w:val="top"/>
          </w:tcPr>
          <w:p>
            <w:pPr>
              <w:spacing w:after="0" w:afterLines="0"/>
              <w:jc w:val="center"/>
              <w:rPr>
                <w:color w:val="000000"/>
                <w:kern w:val="2"/>
                <w:sz w:val="15"/>
                <w:szCs w:val="15"/>
              </w:rPr>
            </w:pPr>
          </w:p>
        </w:tc>
      </w:tr>
    </w:tbl>
    <w:p>
      <w:pPr>
        <w:spacing w:after="0" w:afterLines="0"/>
        <w:rPr>
          <w:color w:val="000000"/>
          <w:sz w:val="15"/>
          <w:szCs w:val="15"/>
        </w:rPr>
      </w:pPr>
      <w:r>
        <w:rPr>
          <w:b/>
          <w:color w:val="000000"/>
          <w:sz w:val="15"/>
          <w:szCs w:val="15"/>
        </w:rPr>
        <w:t>注</w:t>
      </w:r>
      <w:r>
        <w:rPr>
          <w:color w:val="000000"/>
          <w:sz w:val="15"/>
          <w:szCs w:val="15"/>
        </w:rPr>
        <w:t>：1、</w:t>
      </w:r>
      <w:r>
        <w:rPr>
          <w:color w:val="000000"/>
          <w:spacing w:val="-4"/>
          <w:sz w:val="15"/>
          <w:szCs w:val="15"/>
        </w:rPr>
        <w:t>排放增减量：（+）表示增加，（-）表示减少。2、(12)=(6)-(8)-(11)，（9）= (4)-(5)-(8)- (11) +（1）。3、计量单位：废水排放量——万吨/年；废气排放量——万标立方米/年；工业固体废物排放</w:t>
      </w:r>
      <w:r>
        <w:rPr>
          <w:color w:val="000000"/>
          <w:sz w:val="15"/>
          <w:szCs w:val="15"/>
        </w:rPr>
        <w:t>量——万吨/年；水污染物排放浓度——毫克/升</w:t>
      </w:r>
    </w:p>
    <w:p>
      <w:pPr>
        <w:rPr>
          <w:color w:val="000000"/>
          <w:sz w:val="15"/>
          <w:szCs w:val="15"/>
        </w:rPr>
        <w:sectPr>
          <w:footerReference r:id="rId13" w:type="default"/>
          <w:footerReference r:id="rId14" w:type="even"/>
          <w:pgSz w:w="16840" w:h="11907" w:orient="landscape"/>
          <w:pgMar w:top="1531" w:right="1304" w:bottom="1531" w:left="1304" w:header="284" w:footer="851" w:gutter="0"/>
          <w:pgBorders>
            <w:top w:val="none" w:sz="0" w:space="0"/>
            <w:left w:val="none" w:sz="0" w:space="0"/>
            <w:bottom w:val="none" w:sz="0" w:space="0"/>
            <w:right w:val="none" w:sz="0" w:space="0"/>
          </w:pgBorders>
          <w:pgNumType w:fmt="decimal"/>
          <w:cols w:space="720" w:num="1"/>
          <w:docGrid w:linePitch="285" w:charSpace="0"/>
        </w:sectPr>
      </w:pPr>
    </w:p>
    <w:p/>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roman"/>
    <w:pitch w:val="default"/>
    <w:sig w:usb0="FFFFFFFF" w:usb1="E9FFFFFF" w:usb2="0000003F" w:usb3="00000000" w:csb0="603F01FF" w:csb1="FFFF0000"/>
  </w:font>
  <w:font w:name="华文新魏">
    <w:panose1 w:val="02010800040101010101"/>
    <w:charset w:val="86"/>
    <w:family w:val="auto"/>
    <w:pitch w:val="default"/>
    <w:sig w:usb0="00000001" w:usb1="080F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ind w:right="-27"/>
      <w:jc w:val="right"/>
    </w:pPr>
    <w:r>
      <w:rPr>
        <w:sz w:val="2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rPr>
                        <w:rFonts w:hint="eastAsia"/>
                        <w:lang w:eastAsia="zh-CN"/>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ind w:right="-27"/>
      <w:jc w:val="right"/>
    </w:pPr>
    <w:r>
      <w:rPr>
        <w:sz w:val="22"/>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pPr>
                      <w:pStyle w:val="8"/>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14</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8"/>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14</w:t>
                    </w:r>
                    <w:r>
                      <w:rPr>
                        <w:rFonts w:hint="eastAsia" w:eastAsia="宋体"/>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ind w:left="919"/>
    </w:pPr>
    <w:r>
      <w:rPr>
        <w:rFonts w:ascii="宋体" w:hAnsi="宋体" w:eastAsia="宋体" w:cs="宋体"/>
        <w:sz w:val="28"/>
      </w:rPr>
      <w:t xml:space="preserve">— </w:t>
    </w:r>
    <w:r>
      <w:rPr>
        <w:rFonts w:ascii="宋体" w:hAnsi="宋体" w:eastAsia="宋体" w:cs="宋体"/>
        <w:sz w:val="26"/>
      </w:rPr>
      <w:fldChar w:fldCharType="begin"/>
    </w:r>
    <w:r>
      <w:rPr>
        <w:rFonts w:ascii="宋体" w:hAnsi="宋体" w:eastAsia="宋体" w:cs="宋体"/>
        <w:sz w:val="26"/>
      </w:rPr>
      <w:instrText xml:space="preserve"> PAGE   \* MERGEFORMAT </w:instrText>
    </w:r>
    <w:r>
      <w:rPr>
        <w:rFonts w:ascii="宋体" w:hAnsi="宋体" w:eastAsia="宋体" w:cs="宋体"/>
        <w:sz w:val="26"/>
      </w:rPr>
      <w:fldChar w:fldCharType="separate"/>
    </w:r>
    <w:r>
      <w:rPr>
        <w:rFonts w:ascii="宋体" w:hAnsi="宋体" w:eastAsia="宋体" w:cs="宋体"/>
        <w:sz w:val="26"/>
      </w:rPr>
      <w:t>10</w:t>
    </w:r>
    <w:r>
      <w:rPr>
        <w:rFonts w:ascii="宋体" w:hAnsi="宋体" w:eastAsia="宋体" w:cs="宋体"/>
        <w:sz w:val="26"/>
      </w:rPr>
      <w:fldChar w:fldCharType="end"/>
    </w:r>
    <w:r>
      <w:rPr>
        <w:rFonts w:ascii="宋体" w:hAnsi="宋体" w:eastAsia="宋体" w:cs="宋体"/>
        <w:sz w:val="26"/>
      </w:rPr>
      <w:t xml:space="preserve"> </w:t>
    </w:r>
    <w:r>
      <w:rPr>
        <w:rFonts w:ascii="宋体" w:hAnsi="宋体" w:eastAsia="宋体" w:cs="宋体"/>
        <w:sz w:val="28"/>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25</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8"/>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25</w:t>
                    </w:r>
                    <w:r>
                      <w:rPr>
                        <w:rFonts w:hint="eastAsia" w:eastAsia="宋体"/>
                        <w:lang w:eastAsia="zh-CN"/>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rPr>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28</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pPr>
                      <w:pStyle w:val="8"/>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28</w:t>
                    </w:r>
                    <w:r>
                      <w:rPr>
                        <w:rFonts w:hint="eastAsia" w:eastAsia="宋体"/>
                        <w:lang w:eastAsia="zh-CN"/>
                      </w:rP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outside" w:y="1"/>
      <w:rPr>
        <w:rStyle w:val="19"/>
      </w:rPr>
    </w:pPr>
    <w:r>
      <w:fldChar w:fldCharType="begin"/>
    </w:r>
    <w:r>
      <w:rPr>
        <w:rStyle w:val="19"/>
      </w:rPr>
      <w:instrText xml:space="preserve">PAGE  </w:instrText>
    </w:r>
    <w:r>
      <w:fldChar w:fldCharType="separate"/>
    </w:r>
    <w:r>
      <w:rPr>
        <w:rStyle w:val="19"/>
      </w:rPr>
      <w:t>36</w:t>
    </w:r>
    <w:r>
      <w:fldChar w:fldCharType="end"/>
    </w:r>
  </w:p>
  <w:p>
    <w:pPr>
      <w:pStyle w:val="8"/>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1562A"/>
    <w:rsid w:val="00172E78"/>
    <w:rsid w:val="008625C9"/>
    <w:rsid w:val="00A82DA5"/>
    <w:rsid w:val="00B93060"/>
    <w:rsid w:val="00DA3EA5"/>
    <w:rsid w:val="00F76175"/>
    <w:rsid w:val="01186031"/>
    <w:rsid w:val="018F06B8"/>
    <w:rsid w:val="01907C41"/>
    <w:rsid w:val="02467175"/>
    <w:rsid w:val="02615EE7"/>
    <w:rsid w:val="02762140"/>
    <w:rsid w:val="02E55898"/>
    <w:rsid w:val="03222165"/>
    <w:rsid w:val="03805992"/>
    <w:rsid w:val="03B25320"/>
    <w:rsid w:val="03BB7FBE"/>
    <w:rsid w:val="03C77F14"/>
    <w:rsid w:val="03E573E5"/>
    <w:rsid w:val="04A31E56"/>
    <w:rsid w:val="04C60105"/>
    <w:rsid w:val="04C665C9"/>
    <w:rsid w:val="04C66FC3"/>
    <w:rsid w:val="05B2405E"/>
    <w:rsid w:val="05F26FB9"/>
    <w:rsid w:val="06067F40"/>
    <w:rsid w:val="062F7A57"/>
    <w:rsid w:val="064734A7"/>
    <w:rsid w:val="06532730"/>
    <w:rsid w:val="06640499"/>
    <w:rsid w:val="06E76F8F"/>
    <w:rsid w:val="06F51918"/>
    <w:rsid w:val="07131EBF"/>
    <w:rsid w:val="071335E9"/>
    <w:rsid w:val="073672E5"/>
    <w:rsid w:val="07C5140B"/>
    <w:rsid w:val="07FC62B0"/>
    <w:rsid w:val="081D2FF5"/>
    <w:rsid w:val="08A70430"/>
    <w:rsid w:val="090F51F3"/>
    <w:rsid w:val="091601B0"/>
    <w:rsid w:val="091D58EA"/>
    <w:rsid w:val="09753EC3"/>
    <w:rsid w:val="09A64229"/>
    <w:rsid w:val="09A6701A"/>
    <w:rsid w:val="0AE612FA"/>
    <w:rsid w:val="0B5A7DD4"/>
    <w:rsid w:val="0BA925FD"/>
    <w:rsid w:val="0C1608CE"/>
    <w:rsid w:val="0CA503B1"/>
    <w:rsid w:val="0CCB2B7C"/>
    <w:rsid w:val="0D124D64"/>
    <w:rsid w:val="0D48132E"/>
    <w:rsid w:val="0D5B22E7"/>
    <w:rsid w:val="0D8C6527"/>
    <w:rsid w:val="0D8D7560"/>
    <w:rsid w:val="0DD059BE"/>
    <w:rsid w:val="0E166CF6"/>
    <w:rsid w:val="0E66648D"/>
    <w:rsid w:val="0ED3594F"/>
    <w:rsid w:val="10271A57"/>
    <w:rsid w:val="10E336D5"/>
    <w:rsid w:val="110A4333"/>
    <w:rsid w:val="111F0253"/>
    <w:rsid w:val="112233F8"/>
    <w:rsid w:val="114C5EE7"/>
    <w:rsid w:val="11D87F8D"/>
    <w:rsid w:val="11E82692"/>
    <w:rsid w:val="12367320"/>
    <w:rsid w:val="123A47A4"/>
    <w:rsid w:val="12577037"/>
    <w:rsid w:val="12AB56E5"/>
    <w:rsid w:val="12ED7D70"/>
    <w:rsid w:val="13445C36"/>
    <w:rsid w:val="134B5EAE"/>
    <w:rsid w:val="134C4749"/>
    <w:rsid w:val="13AE5449"/>
    <w:rsid w:val="13B534F1"/>
    <w:rsid w:val="13BA16FF"/>
    <w:rsid w:val="13E13053"/>
    <w:rsid w:val="142876B5"/>
    <w:rsid w:val="14320D66"/>
    <w:rsid w:val="14534989"/>
    <w:rsid w:val="146E6FCA"/>
    <w:rsid w:val="152504A3"/>
    <w:rsid w:val="1543747B"/>
    <w:rsid w:val="157A52A9"/>
    <w:rsid w:val="159A02C9"/>
    <w:rsid w:val="15A20673"/>
    <w:rsid w:val="15E20D18"/>
    <w:rsid w:val="163969B3"/>
    <w:rsid w:val="16B279C8"/>
    <w:rsid w:val="16E005AE"/>
    <w:rsid w:val="17163E34"/>
    <w:rsid w:val="17726549"/>
    <w:rsid w:val="17D43C7C"/>
    <w:rsid w:val="17FE01BE"/>
    <w:rsid w:val="180A163A"/>
    <w:rsid w:val="18846779"/>
    <w:rsid w:val="188B1E7C"/>
    <w:rsid w:val="189837C8"/>
    <w:rsid w:val="18A312F5"/>
    <w:rsid w:val="18B020DF"/>
    <w:rsid w:val="18D00845"/>
    <w:rsid w:val="19357574"/>
    <w:rsid w:val="1960248F"/>
    <w:rsid w:val="196A1C5C"/>
    <w:rsid w:val="198E1977"/>
    <w:rsid w:val="19A76461"/>
    <w:rsid w:val="19B034B7"/>
    <w:rsid w:val="19BB5E0F"/>
    <w:rsid w:val="19CD414F"/>
    <w:rsid w:val="1A0A7F25"/>
    <w:rsid w:val="1A2C356C"/>
    <w:rsid w:val="1A9473A9"/>
    <w:rsid w:val="1AC03C9B"/>
    <w:rsid w:val="1AF851FC"/>
    <w:rsid w:val="1B025898"/>
    <w:rsid w:val="1B7B1982"/>
    <w:rsid w:val="1B9F09AA"/>
    <w:rsid w:val="1BA6579A"/>
    <w:rsid w:val="1BDF5D83"/>
    <w:rsid w:val="1C204A0A"/>
    <w:rsid w:val="1C261350"/>
    <w:rsid w:val="1C47643B"/>
    <w:rsid w:val="1C597F1C"/>
    <w:rsid w:val="1C8A044A"/>
    <w:rsid w:val="1C8B7D53"/>
    <w:rsid w:val="1C8C019B"/>
    <w:rsid w:val="1CA23653"/>
    <w:rsid w:val="1CA566F3"/>
    <w:rsid w:val="1CEA619F"/>
    <w:rsid w:val="1D97469E"/>
    <w:rsid w:val="1DB12EBB"/>
    <w:rsid w:val="1EBD0C36"/>
    <w:rsid w:val="1EC45B21"/>
    <w:rsid w:val="1F03211A"/>
    <w:rsid w:val="1F4F07C7"/>
    <w:rsid w:val="1FC74F1E"/>
    <w:rsid w:val="21B668F5"/>
    <w:rsid w:val="221462BF"/>
    <w:rsid w:val="22206E61"/>
    <w:rsid w:val="228706A8"/>
    <w:rsid w:val="22CB75EB"/>
    <w:rsid w:val="22CD29BA"/>
    <w:rsid w:val="22F2105F"/>
    <w:rsid w:val="233C0B6A"/>
    <w:rsid w:val="234C573D"/>
    <w:rsid w:val="24161D66"/>
    <w:rsid w:val="2424116B"/>
    <w:rsid w:val="24597DD7"/>
    <w:rsid w:val="246E41AA"/>
    <w:rsid w:val="24755BAF"/>
    <w:rsid w:val="248B76A7"/>
    <w:rsid w:val="249C061B"/>
    <w:rsid w:val="249E6CF3"/>
    <w:rsid w:val="24C22842"/>
    <w:rsid w:val="24CF7160"/>
    <w:rsid w:val="24D7670E"/>
    <w:rsid w:val="24F60F7E"/>
    <w:rsid w:val="25882156"/>
    <w:rsid w:val="25A66F02"/>
    <w:rsid w:val="25F255BA"/>
    <w:rsid w:val="25F50BE3"/>
    <w:rsid w:val="26221F1F"/>
    <w:rsid w:val="264E7C6C"/>
    <w:rsid w:val="266739E7"/>
    <w:rsid w:val="26C67561"/>
    <w:rsid w:val="26DE215A"/>
    <w:rsid w:val="27050BEB"/>
    <w:rsid w:val="27734588"/>
    <w:rsid w:val="27B32409"/>
    <w:rsid w:val="27DE029F"/>
    <w:rsid w:val="27F615CB"/>
    <w:rsid w:val="28B20EB9"/>
    <w:rsid w:val="29231B78"/>
    <w:rsid w:val="292C0E92"/>
    <w:rsid w:val="29877315"/>
    <w:rsid w:val="298C3B26"/>
    <w:rsid w:val="29B328ED"/>
    <w:rsid w:val="29F56F83"/>
    <w:rsid w:val="2A091C29"/>
    <w:rsid w:val="2A195558"/>
    <w:rsid w:val="2A1C4BD8"/>
    <w:rsid w:val="2A6031B9"/>
    <w:rsid w:val="2A640A5D"/>
    <w:rsid w:val="2AA007D3"/>
    <w:rsid w:val="2AC15693"/>
    <w:rsid w:val="2B7026D0"/>
    <w:rsid w:val="2B976CC6"/>
    <w:rsid w:val="2BA62E57"/>
    <w:rsid w:val="2BDB26FC"/>
    <w:rsid w:val="2C6B18DE"/>
    <w:rsid w:val="2C8C732F"/>
    <w:rsid w:val="2CB96CD9"/>
    <w:rsid w:val="2CD77367"/>
    <w:rsid w:val="2D233947"/>
    <w:rsid w:val="2D377FE1"/>
    <w:rsid w:val="2D9608F3"/>
    <w:rsid w:val="2E731311"/>
    <w:rsid w:val="2F176370"/>
    <w:rsid w:val="2F603644"/>
    <w:rsid w:val="2F6550EA"/>
    <w:rsid w:val="2F6F76FD"/>
    <w:rsid w:val="2F864FF3"/>
    <w:rsid w:val="2FE918DD"/>
    <w:rsid w:val="30021543"/>
    <w:rsid w:val="304A20B9"/>
    <w:rsid w:val="306E0A44"/>
    <w:rsid w:val="30D873DB"/>
    <w:rsid w:val="30DF7A7B"/>
    <w:rsid w:val="3113791B"/>
    <w:rsid w:val="3137045E"/>
    <w:rsid w:val="31465F6D"/>
    <w:rsid w:val="3152520E"/>
    <w:rsid w:val="315564B1"/>
    <w:rsid w:val="317E4C28"/>
    <w:rsid w:val="31A91D5C"/>
    <w:rsid w:val="31CD62EC"/>
    <w:rsid w:val="31D038DE"/>
    <w:rsid w:val="31D25837"/>
    <w:rsid w:val="322E7A29"/>
    <w:rsid w:val="32607DFF"/>
    <w:rsid w:val="326524BF"/>
    <w:rsid w:val="327C3817"/>
    <w:rsid w:val="328B7F1E"/>
    <w:rsid w:val="32955B6D"/>
    <w:rsid w:val="32A23565"/>
    <w:rsid w:val="33020251"/>
    <w:rsid w:val="33341235"/>
    <w:rsid w:val="333523CA"/>
    <w:rsid w:val="3360472C"/>
    <w:rsid w:val="33C72096"/>
    <w:rsid w:val="33EB3046"/>
    <w:rsid w:val="341327F3"/>
    <w:rsid w:val="342F6229"/>
    <w:rsid w:val="34316E2D"/>
    <w:rsid w:val="343C0449"/>
    <w:rsid w:val="34446B43"/>
    <w:rsid w:val="34983E53"/>
    <w:rsid w:val="34B429D6"/>
    <w:rsid w:val="34BD5094"/>
    <w:rsid w:val="34BE4BAE"/>
    <w:rsid w:val="34C12DD7"/>
    <w:rsid w:val="35020CF9"/>
    <w:rsid w:val="35311510"/>
    <w:rsid w:val="35564B84"/>
    <w:rsid w:val="358C5DB0"/>
    <w:rsid w:val="35B8751A"/>
    <w:rsid w:val="35C21895"/>
    <w:rsid w:val="35CA6795"/>
    <w:rsid w:val="35CE4EE3"/>
    <w:rsid w:val="360C7951"/>
    <w:rsid w:val="367E0853"/>
    <w:rsid w:val="36845A75"/>
    <w:rsid w:val="368B0A12"/>
    <w:rsid w:val="36C43A1F"/>
    <w:rsid w:val="36C7515B"/>
    <w:rsid w:val="370A07D1"/>
    <w:rsid w:val="373D5096"/>
    <w:rsid w:val="374F7650"/>
    <w:rsid w:val="376E3151"/>
    <w:rsid w:val="3797088A"/>
    <w:rsid w:val="379F015D"/>
    <w:rsid w:val="37B00EE0"/>
    <w:rsid w:val="37D516A5"/>
    <w:rsid w:val="38A0452E"/>
    <w:rsid w:val="38B96BA7"/>
    <w:rsid w:val="38DE19E6"/>
    <w:rsid w:val="393E5787"/>
    <w:rsid w:val="39642BB0"/>
    <w:rsid w:val="39C83294"/>
    <w:rsid w:val="39F9048A"/>
    <w:rsid w:val="3A181D6D"/>
    <w:rsid w:val="3A1A6AE5"/>
    <w:rsid w:val="3AB02558"/>
    <w:rsid w:val="3ACE525E"/>
    <w:rsid w:val="3ACE550A"/>
    <w:rsid w:val="3B346053"/>
    <w:rsid w:val="3B547004"/>
    <w:rsid w:val="3B5B6FEC"/>
    <w:rsid w:val="3BA24FE4"/>
    <w:rsid w:val="3BB1220F"/>
    <w:rsid w:val="3BF02E57"/>
    <w:rsid w:val="3BFD2E51"/>
    <w:rsid w:val="3C2A5A6A"/>
    <w:rsid w:val="3C2D4470"/>
    <w:rsid w:val="3C6E221F"/>
    <w:rsid w:val="3C805325"/>
    <w:rsid w:val="3C987A7E"/>
    <w:rsid w:val="3CEF336A"/>
    <w:rsid w:val="3D007C66"/>
    <w:rsid w:val="3D155D2B"/>
    <w:rsid w:val="3D1E1BEA"/>
    <w:rsid w:val="3D332398"/>
    <w:rsid w:val="3D7147F9"/>
    <w:rsid w:val="3D7707CD"/>
    <w:rsid w:val="3E0E1C4F"/>
    <w:rsid w:val="3F262BE0"/>
    <w:rsid w:val="3F4533E9"/>
    <w:rsid w:val="3F5C459C"/>
    <w:rsid w:val="3F791865"/>
    <w:rsid w:val="3F890995"/>
    <w:rsid w:val="3F93711E"/>
    <w:rsid w:val="3FB97169"/>
    <w:rsid w:val="3FBF3D1D"/>
    <w:rsid w:val="3FC43E6C"/>
    <w:rsid w:val="40287E82"/>
    <w:rsid w:val="402D6993"/>
    <w:rsid w:val="407F58F4"/>
    <w:rsid w:val="409A272E"/>
    <w:rsid w:val="40DF5A70"/>
    <w:rsid w:val="41123AC3"/>
    <w:rsid w:val="419B5121"/>
    <w:rsid w:val="41C44992"/>
    <w:rsid w:val="41D1129A"/>
    <w:rsid w:val="421C74EE"/>
    <w:rsid w:val="422173E6"/>
    <w:rsid w:val="423E4A11"/>
    <w:rsid w:val="42CF690B"/>
    <w:rsid w:val="430D10DC"/>
    <w:rsid w:val="4363795A"/>
    <w:rsid w:val="4379016E"/>
    <w:rsid w:val="438D7DEB"/>
    <w:rsid w:val="43B15A0E"/>
    <w:rsid w:val="43EC3F6F"/>
    <w:rsid w:val="43F70213"/>
    <w:rsid w:val="44006D4C"/>
    <w:rsid w:val="44136A7F"/>
    <w:rsid w:val="448253AB"/>
    <w:rsid w:val="44C36A11"/>
    <w:rsid w:val="44C43E03"/>
    <w:rsid w:val="44EE79C6"/>
    <w:rsid w:val="44F216D3"/>
    <w:rsid w:val="451720EB"/>
    <w:rsid w:val="454A2974"/>
    <w:rsid w:val="457E43CC"/>
    <w:rsid w:val="461E795D"/>
    <w:rsid w:val="466D2C76"/>
    <w:rsid w:val="46945389"/>
    <w:rsid w:val="472A168E"/>
    <w:rsid w:val="47690BFD"/>
    <w:rsid w:val="47C36A0E"/>
    <w:rsid w:val="483B2A48"/>
    <w:rsid w:val="484A5637"/>
    <w:rsid w:val="48624202"/>
    <w:rsid w:val="4876173D"/>
    <w:rsid w:val="48886F2F"/>
    <w:rsid w:val="48A15C0A"/>
    <w:rsid w:val="48C50AB8"/>
    <w:rsid w:val="48CC63D0"/>
    <w:rsid w:val="48D662CD"/>
    <w:rsid w:val="49615971"/>
    <w:rsid w:val="4982354A"/>
    <w:rsid w:val="49C23626"/>
    <w:rsid w:val="4A070951"/>
    <w:rsid w:val="4A6D726F"/>
    <w:rsid w:val="4A7A6EA3"/>
    <w:rsid w:val="4ABF1E70"/>
    <w:rsid w:val="4AE84B34"/>
    <w:rsid w:val="4BB450D9"/>
    <w:rsid w:val="4C0A69C8"/>
    <w:rsid w:val="4C0C3F7A"/>
    <w:rsid w:val="4C4E0062"/>
    <w:rsid w:val="4C804ECE"/>
    <w:rsid w:val="4CBC3294"/>
    <w:rsid w:val="4CE963D1"/>
    <w:rsid w:val="4D194CF7"/>
    <w:rsid w:val="4D337D2B"/>
    <w:rsid w:val="4D3E2C85"/>
    <w:rsid w:val="4D524A3A"/>
    <w:rsid w:val="4D9B3D2C"/>
    <w:rsid w:val="4DC4528E"/>
    <w:rsid w:val="4DD21AC0"/>
    <w:rsid w:val="4DFC3FAE"/>
    <w:rsid w:val="4ED375AC"/>
    <w:rsid w:val="4ED92D0E"/>
    <w:rsid w:val="4EEC2525"/>
    <w:rsid w:val="4F0C7236"/>
    <w:rsid w:val="4F2255C8"/>
    <w:rsid w:val="4F253AF5"/>
    <w:rsid w:val="4F3E31E5"/>
    <w:rsid w:val="4FCA36FA"/>
    <w:rsid w:val="503B3E1B"/>
    <w:rsid w:val="50B72B7F"/>
    <w:rsid w:val="50DE2F54"/>
    <w:rsid w:val="50F81202"/>
    <w:rsid w:val="51C21AE4"/>
    <w:rsid w:val="520558BF"/>
    <w:rsid w:val="526A2B1D"/>
    <w:rsid w:val="5283592E"/>
    <w:rsid w:val="52903990"/>
    <w:rsid w:val="52CA4931"/>
    <w:rsid w:val="52D02004"/>
    <w:rsid w:val="53652FA3"/>
    <w:rsid w:val="537544AB"/>
    <w:rsid w:val="53767997"/>
    <w:rsid w:val="537A524D"/>
    <w:rsid w:val="53DC61EC"/>
    <w:rsid w:val="54136627"/>
    <w:rsid w:val="54782D2A"/>
    <w:rsid w:val="54A234FA"/>
    <w:rsid w:val="54DE09E3"/>
    <w:rsid w:val="550A7A2A"/>
    <w:rsid w:val="550B4363"/>
    <w:rsid w:val="552F494A"/>
    <w:rsid w:val="553247FA"/>
    <w:rsid w:val="55AC65BB"/>
    <w:rsid w:val="55BC5636"/>
    <w:rsid w:val="563E0075"/>
    <w:rsid w:val="5644125B"/>
    <w:rsid w:val="56BA722E"/>
    <w:rsid w:val="56E4076B"/>
    <w:rsid w:val="56EA1426"/>
    <w:rsid w:val="57562A68"/>
    <w:rsid w:val="57CF3B6B"/>
    <w:rsid w:val="57F50AB6"/>
    <w:rsid w:val="58613E05"/>
    <w:rsid w:val="58935EBE"/>
    <w:rsid w:val="593D65E2"/>
    <w:rsid w:val="596A787F"/>
    <w:rsid w:val="597108B9"/>
    <w:rsid w:val="59AD43EA"/>
    <w:rsid w:val="59F13CCA"/>
    <w:rsid w:val="5A417F73"/>
    <w:rsid w:val="5A605B62"/>
    <w:rsid w:val="5A6635A0"/>
    <w:rsid w:val="5ABF3065"/>
    <w:rsid w:val="5AE122C9"/>
    <w:rsid w:val="5AE24D65"/>
    <w:rsid w:val="5AF01470"/>
    <w:rsid w:val="5B140283"/>
    <w:rsid w:val="5B4A5167"/>
    <w:rsid w:val="5C162CCB"/>
    <w:rsid w:val="5C957576"/>
    <w:rsid w:val="5CC25A6A"/>
    <w:rsid w:val="5D1A7C8E"/>
    <w:rsid w:val="5D40120E"/>
    <w:rsid w:val="5D7243BE"/>
    <w:rsid w:val="5D915892"/>
    <w:rsid w:val="5DC34358"/>
    <w:rsid w:val="5E3929D1"/>
    <w:rsid w:val="5E6737F7"/>
    <w:rsid w:val="5E93612F"/>
    <w:rsid w:val="5ECA181B"/>
    <w:rsid w:val="5EFE42B3"/>
    <w:rsid w:val="5F3C6EF9"/>
    <w:rsid w:val="5F750BEB"/>
    <w:rsid w:val="5F981173"/>
    <w:rsid w:val="5F9D490F"/>
    <w:rsid w:val="5FC04395"/>
    <w:rsid w:val="5FC92290"/>
    <w:rsid w:val="5FCF2C50"/>
    <w:rsid w:val="5FE86837"/>
    <w:rsid w:val="60421FD9"/>
    <w:rsid w:val="60500F70"/>
    <w:rsid w:val="60531C25"/>
    <w:rsid w:val="606D435A"/>
    <w:rsid w:val="60A012A7"/>
    <w:rsid w:val="61371BA7"/>
    <w:rsid w:val="619D7AE8"/>
    <w:rsid w:val="62011084"/>
    <w:rsid w:val="621C6838"/>
    <w:rsid w:val="6273415C"/>
    <w:rsid w:val="62BD001A"/>
    <w:rsid w:val="631033BF"/>
    <w:rsid w:val="631206A1"/>
    <w:rsid w:val="634B4D5D"/>
    <w:rsid w:val="635B2A71"/>
    <w:rsid w:val="636047E1"/>
    <w:rsid w:val="63716EC6"/>
    <w:rsid w:val="638F6F8D"/>
    <w:rsid w:val="639E232C"/>
    <w:rsid w:val="63D423FC"/>
    <w:rsid w:val="644751B0"/>
    <w:rsid w:val="646156E6"/>
    <w:rsid w:val="64CE27FC"/>
    <w:rsid w:val="64EC4DA7"/>
    <w:rsid w:val="65165F77"/>
    <w:rsid w:val="6559290D"/>
    <w:rsid w:val="655A2434"/>
    <w:rsid w:val="657E4974"/>
    <w:rsid w:val="65E45F29"/>
    <w:rsid w:val="66215937"/>
    <w:rsid w:val="66286A6F"/>
    <w:rsid w:val="662D7722"/>
    <w:rsid w:val="6681120B"/>
    <w:rsid w:val="669F1DF2"/>
    <w:rsid w:val="66AA5E33"/>
    <w:rsid w:val="67265991"/>
    <w:rsid w:val="67520949"/>
    <w:rsid w:val="67771E25"/>
    <w:rsid w:val="67AE422B"/>
    <w:rsid w:val="67CD40DB"/>
    <w:rsid w:val="6845148D"/>
    <w:rsid w:val="68966C5D"/>
    <w:rsid w:val="68BA4E6C"/>
    <w:rsid w:val="68E91377"/>
    <w:rsid w:val="6906222A"/>
    <w:rsid w:val="694330E9"/>
    <w:rsid w:val="694D4F57"/>
    <w:rsid w:val="69F16394"/>
    <w:rsid w:val="6A164B2B"/>
    <w:rsid w:val="6A3F2779"/>
    <w:rsid w:val="6A8C7426"/>
    <w:rsid w:val="6AB23E00"/>
    <w:rsid w:val="6AE925D4"/>
    <w:rsid w:val="6B0C5964"/>
    <w:rsid w:val="6B4C7FFA"/>
    <w:rsid w:val="6B662DE5"/>
    <w:rsid w:val="6B7B2284"/>
    <w:rsid w:val="6B9549D7"/>
    <w:rsid w:val="6B997622"/>
    <w:rsid w:val="6BF04748"/>
    <w:rsid w:val="6C312BEA"/>
    <w:rsid w:val="6C4563A0"/>
    <w:rsid w:val="6CA200F0"/>
    <w:rsid w:val="6CCE5039"/>
    <w:rsid w:val="6D68332D"/>
    <w:rsid w:val="6D7312A9"/>
    <w:rsid w:val="6D87337F"/>
    <w:rsid w:val="6DEC185C"/>
    <w:rsid w:val="6E1868BC"/>
    <w:rsid w:val="6E616590"/>
    <w:rsid w:val="6E74187E"/>
    <w:rsid w:val="6E83001B"/>
    <w:rsid w:val="6EE56FD4"/>
    <w:rsid w:val="6F140BA3"/>
    <w:rsid w:val="6F6124E5"/>
    <w:rsid w:val="6F737CA9"/>
    <w:rsid w:val="6F8F434E"/>
    <w:rsid w:val="6FCC5496"/>
    <w:rsid w:val="6FE27182"/>
    <w:rsid w:val="70105009"/>
    <w:rsid w:val="70367D6A"/>
    <w:rsid w:val="70933DDF"/>
    <w:rsid w:val="70B07F61"/>
    <w:rsid w:val="70D17C9A"/>
    <w:rsid w:val="70DD447D"/>
    <w:rsid w:val="710C5F7B"/>
    <w:rsid w:val="712F2B4C"/>
    <w:rsid w:val="71515482"/>
    <w:rsid w:val="715319DA"/>
    <w:rsid w:val="715A1B0E"/>
    <w:rsid w:val="71AD1C9F"/>
    <w:rsid w:val="71D66261"/>
    <w:rsid w:val="71F94C57"/>
    <w:rsid w:val="71FC7E50"/>
    <w:rsid w:val="72467E97"/>
    <w:rsid w:val="72882EC6"/>
    <w:rsid w:val="72907BCC"/>
    <w:rsid w:val="72B172DF"/>
    <w:rsid w:val="72D05F5E"/>
    <w:rsid w:val="73034C7D"/>
    <w:rsid w:val="73410663"/>
    <w:rsid w:val="734835DA"/>
    <w:rsid w:val="73506AF8"/>
    <w:rsid w:val="73823BEA"/>
    <w:rsid w:val="738342D5"/>
    <w:rsid w:val="7386052B"/>
    <w:rsid w:val="73E7745D"/>
    <w:rsid w:val="73EF0BA6"/>
    <w:rsid w:val="740D49E9"/>
    <w:rsid w:val="741C2EFD"/>
    <w:rsid w:val="74431D5D"/>
    <w:rsid w:val="74CF4E07"/>
    <w:rsid w:val="7519479D"/>
    <w:rsid w:val="757805D5"/>
    <w:rsid w:val="757C7048"/>
    <w:rsid w:val="759B2353"/>
    <w:rsid w:val="75A13BFF"/>
    <w:rsid w:val="75AB44BA"/>
    <w:rsid w:val="761A06B1"/>
    <w:rsid w:val="76C83755"/>
    <w:rsid w:val="778D1470"/>
    <w:rsid w:val="77987695"/>
    <w:rsid w:val="779C3951"/>
    <w:rsid w:val="77BF78C1"/>
    <w:rsid w:val="78342545"/>
    <w:rsid w:val="784D3606"/>
    <w:rsid w:val="78520CED"/>
    <w:rsid w:val="78A612F3"/>
    <w:rsid w:val="78FF51F4"/>
    <w:rsid w:val="797A054D"/>
    <w:rsid w:val="79B97763"/>
    <w:rsid w:val="79DF697E"/>
    <w:rsid w:val="7A0A4E84"/>
    <w:rsid w:val="7A13718C"/>
    <w:rsid w:val="7A66251C"/>
    <w:rsid w:val="7A6650C5"/>
    <w:rsid w:val="7AF347A6"/>
    <w:rsid w:val="7AF53003"/>
    <w:rsid w:val="7B684D80"/>
    <w:rsid w:val="7BDB2569"/>
    <w:rsid w:val="7C202CBB"/>
    <w:rsid w:val="7C5F6EA0"/>
    <w:rsid w:val="7CD91921"/>
    <w:rsid w:val="7D1631E5"/>
    <w:rsid w:val="7D1E3062"/>
    <w:rsid w:val="7D2A03BA"/>
    <w:rsid w:val="7D747F6A"/>
    <w:rsid w:val="7DCD3875"/>
    <w:rsid w:val="7DDB3462"/>
    <w:rsid w:val="7E2B0591"/>
    <w:rsid w:val="7E356206"/>
    <w:rsid w:val="7E382D12"/>
    <w:rsid w:val="7E4C032E"/>
    <w:rsid w:val="7E4C2529"/>
    <w:rsid w:val="7EA03DE8"/>
    <w:rsid w:val="7EE00882"/>
    <w:rsid w:val="7F0A2028"/>
    <w:rsid w:val="7F3565F3"/>
    <w:rsid w:val="7F3E5B5B"/>
    <w:rsid w:val="7FFE30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160" w:line="259" w:lineRule="auto"/>
    </w:pPr>
    <w:rPr>
      <w:rFonts w:ascii="Calibri" w:hAnsi="Calibri" w:eastAsia="Calibri" w:cs="Calibri"/>
      <w:color w:val="000000"/>
      <w:kern w:val="2"/>
      <w:sz w:val="22"/>
      <w:szCs w:val="22"/>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outlineLvl w:val="1"/>
    </w:pPr>
    <w:rPr>
      <w:sz w:val="28"/>
    </w:rPr>
  </w:style>
  <w:style w:type="paragraph" w:styleId="4">
    <w:name w:val="heading 3"/>
    <w:basedOn w:val="3"/>
    <w:next w:val="1"/>
    <w:qFormat/>
    <w:uiPriority w:val="0"/>
    <w:pPr>
      <w:spacing w:line="480" w:lineRule="atLeast"/>
      <w:outlineLvl w:val="2"/>
    </w:pPr>
    <w:rPr>
      <w:rFonts w:ascii="宋体" w:hAnsi="宋体" w:eastAsia="宋体"/>
      <w:sz w:val="24"/>
      <w:szCs w:val="24"/>
    </w:rPr>
  </w:style>
  <w:style w:type="character" w:default="1" w:styleId="14">
    <w:name w:val="Default Paragraph Font"/>
    <w:link w:val="15"/>
    <w:semiHidden/>
    <w:qFormat/>
    <w:uiPriority w:val="0"/>
    <w:rPr>
      <w:rFonts w:ascii="宋体" w:hAnsi="宋体" w:cs="宋体"/>
      <w:szCs w:val="24"/>
    </w:rPr>
  </w:style>
  <w:style w:type="table" w:default="1" w:styleId="12">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rFonts w:eastAsia="宋体"/>
      <w:szCs w:val="24"/>
    </w:rPr>
  </w:style>
  <w:style w:type="paragraph" w:styleId="6">
    <w:name w:val="Body Text Indent"/>
    <w:basedOn w:val="1"/>
    <w:qFormat/>
    <w:uiPriority w:val="0"/>
    <w:pPr>
      <w:spacing w:after="120"/>
      <w:ind w:left="420" w:leftChars="200"/>
    </w:pPr>
  </w:style>
  <w:style w:type="paragraph" w:styleId="7">
    <w:name w:val="Block Text"/>
    <w:basedOn w:val="1"/>
    <w:next w:val="1"/>
    <w:qFormat/>
    <w:uiPriority w:val="0"/>
    <w:pPr>
      <w:adjustRightInd w:val="0"/>
      <w:snapToGrid w:val="0"/>
      <w:ind w:left="-108" w:right="-30"/>
      <w:jc w:val="center"/>
    </w:pPr>
    <w:rPr>
      <w:rFonts w:ascii="宋体"/>
      <w:sz w:val="24"/>
      <w:szCs w:val="28"/>
    </w:rPr>
  </w:style>
  <w:style w:type="paragraph" w:styleId="8">
    <w:name w:val="footer"/>
    <w:basedOn w:val="1"/>
    <w:qFormat/>
    <w:uiPriority w:val="0"/>
    <w:pPr>
      <w:tabs>
        <w:tab w:val="center" w:pos="4153"/>
        <w:tab w:val="right" w:pos="8306"/>
      </w:tabs>
    </w:pPr>
    <w:rPr>
      <w:rFonts w:ascii="Tahoma" w:hAnsi="Tahoma"/>
      <w:sz w:val="18"/>
      <w:szCs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1">
    <w:name w:val="Body Text First Indent 2"/>
    <w:basedOn w:val="1"/>
    <w:next w:val="1"/>
    <w:qFormat/>
    <w:uiPriority w:val="0"/>
    <w:pPr>
      <w:spacing w:after="120" w:line="240" w:lineRule="auto"/>
      <w:ind w:left="420" w:leftChars="200" w:firstLine="420"/>
    </w:pPr>
    <w:rPr>
      <w:rFonts w:hint="default" w:ascii="Times New Roman" w:hAnsi="Times New Roman" w:eastAsia="宋体"/>
      <w:sz w:val="21"/>
    </w:rPr>
  </w:style>
  <w:style w:type="table" w:styleId="13">
    <w:name w:val="Table Grid"/>
    <w:basedOn w:val="1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 Char Char1 Char"/>
    <w:basedOn w:val="1"/>
    <w:link w:val="14"/>
    <w:qFormat/>
    <w:uiPriority w:val="0"/>
    <w:pPr>
      <w:spacing w:line="360" w:lineRule="auto"/>
      <w:ind w:firstLine="200" w:firstLineChars="200"/>
    </w:pPr>
    <w:rPr>
      <w:rFonts w:ascii="宋体" w:hAnsi="宋体" w:cs="宋体"/>
      <w:szCs w:val="24"/>
    </w:rPr>
  </w:style>
  <w:style w:type="paragraph" w:customStyle="1" w:styleId="16">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table" w:customStyle="1" w:styleId="17">
    <w:name w:val="TableGrid"/>
    <w:qFormat/>
    <w:uiPriority w:val="0"/>
    <w:tblPr>
      <w:tblCellMar>
        <w:top w:w="0" w:type="dxa"/>
        <w:left w:w="0" w:type="dxa"/>
        <w:bottom w:w="0" w:type="dxa"/>
        <w:right w:w="0" w:type="dxa"/>
      </w:tblCellMar>
    </w:tblPr>
  </w:style>
  <w:style w:type="paragraph" w:customStyle="1" w:styleId="18">
    <w:name w:val="我的表格"/>
    <w:basedOn w:val="1"/>
    <w:qFormat/>
    <w:uiPriority w:val="0"/>
    <w:pPr>
      <w:autoSpaceDE w:val="0"/>
      <w:autoSpaceDN w:val="0"/>
      <w:adjustRightInd w:val="0"/>
      <w:jc w:val="center"/>
    </w:pPr>
    <w:rPr>
      <w:kern w:val="0"/>
      <w:szCs w:val="21"/>
    </w:rPr>
  </w:style>
  <w:style w:type="character" w:customStyle="1" w:styleId="19">
    <w:name w:val="page number"/>
    <w:basedOn w:val="14"/>
    <w:qFormat/>
    <w:uiPriority w:val="0"/>
  </w:style>
  <w:style w:type="paragraph" w:customStyle="1" w:styleId="20">
    <w:name w:val="文本正文"/>
    <w:basedOn w:val="1"/>
    <w:qFormat/>
    <w:uiPriority w:val="0"/>
    <w:pPr>
      <w:widowControl/>
      <w:spacing w:line="360" w:lineRule="auto"/>
      <w:ind w:firstLine="480" w:firstLineChars="200"/>
      <w:jc w:val="left"/>
    </w:pPr>
    <w:rPr>
      <w:sz w:val="24"/>
      <w:lang w:val="zh-CN" w:eastAsia="zh-CN"/>
    </w:rPr>
  </w:style>
  <w:style w:type="paragraph" w:customStyle="1" w:styleId="21">
    <w:name w:val="表格标题"/>
    <w:basedOn w:val="1"/>
    <w:next w:val="1"/>
    <w:qFormat/>
    <w:uiPriority w:val="0"/>
    <w:pPr>
      <w:snapToGrid w:val="0"/>
      <w:spacing w:line="360" w:lineRule="auto"/>
      <w:ind w:firstLine="626" w:firstLineChars="298"/>
    </w:pPr>
    <w:rPr>
      <w:rFonts w:ascii="黑体" w:hAnsi="Arial Unicode MS" w:eastAsia="黑体" w:cs="黑体"/>
      <w:color w:val="000000"/>
      <w:szCs w:val="21"/>
    </w:rPr>
  </w:style>
  <w:style w:type="paragraph" w:customStyle="1" w:styleId="22">
    <w:name w:val="表格内容"/>
    <w:basedOn w:val="1"/>
    <w:qFormat/>
    <w:uiPriority w:val="0"/>
    <w:pPr>
      <w:widowControl/>
      <w:autoSpaceDE w:val="0"/>
      <w:autoSpaceDN w:val="0"/>
      <w:adjustRightInd w:val="0"/>
      <w:snapToGrid w:val="0"/>
      <w:spacing w:line="240" w:lineRule="atLeast"/>
      <w:jc w:val="center"/>
      <w:textAlignment w:val="baseline"/>
    </w:pPr>
    <w:rPr>
      <w:kern w:val="24"/>
      <w:szCs w:val="21"/>
      <w:lang w:val="zh-CN" w:eastAsia="zh-CN"/>
    </w:rPr>
  </w:style>
  <w:style w:type="character" w:customStyle="1" w:styleId="23">
    <w:name w:val="font31"/>
    <w:basedOn w:val="14"/>
    <w:qFormat/>
    <w:uiPriority w:val="0"/>
    <w:rPr>
      <w:rFonts w:hint="eastAsia" w:ascii="宋体" w:hAnsi="宋体" w:eastAsia="宋体" w:cs="宋体"/>
      <w:color w:val="000000"/>
      <w:sz w:val="22"/>
      <w:szCs w:val="22"/>
      <w:u w:val="none"/>
    </w:rPr>
  </w:style>
  <w:style w:type="paragraph" w:customStyle="1" w:styleId="24">
    <w:name w:val="表内格式"/>
    <w:qFormat/>
    <w:uiPriority w:val="0"/>
    <w:pPr>
      <w:spacing w:line="276" w:lineRule="auto"/>
      <w:jc w:val="center"/>
    </w:pPr>
    <w:rPr>
      <w:rFonts w:ascii="Times New Roman" w:hAnsi="Times New Roman" w:eastAsia="宋体" w:cs="Times New Roman"/>
      <w:kern w:val="2"/>
      <w:sz w:val="21"/>
      <w:szCs w:val="22"/>
      <w:lang w:val="en-US" w:eastAsia="zh-CN" w:bidi="ar-SA"/>
    </w:rPr>
  </w:style>
  <w:style w:type="character" w:customStyle="1" w:styleId="25">
    <w:name w:val="17"/>
    <w:basedOn w:val="14"/>
    <w:qFormat/>
    <w:uiPriority w:val="0"/>
    <w:rPr>
      <w:rFonts w:hint="default" w:ascii="Times New Roman" w:hAnsi="Times New Roman" w:cs="Times New Roman"/>
      <w:color w:val="000000"/>
      <w:sz w:val="22"/>
      <w:szCs w:val="22"/>
      <w:vertAlign w:val="superscript"/>
    </w:rPr>
  </w:style>
  <w:style w:type="character" w:customStyle="1" w:styleId="26">
    <w:name w:val="19"/>
    <w:basedOn w:val="14"/>
    <w:qFormat/>
    <w:uiPriority w:val="0"/>
    <w:rPr>
      <w:rFonts w:hint="default" w:ascii="Times New Roman" w:hAnsi="Times New Roman" w:cs="Times New Roman"/>
      <w:color w:val="000000"/>
      <w:sz w:val="20"/>
      <w:szCs w:val="20"/>
    </w:rPr>
  </w:style>
  <w:style w:type="character" w:customStyle="1" w:styleId="27">
    <w:name w:val="18"/>
    <w:basedOn w:val="14"/>
    <w:qFormat/>
    <w:uiPriority w:val="0"/>
    <w:rPr>
      <w:rFonts w:hint="eastAsia" w:ascii="宋体" w:hAnsi="宋体" w:eastAsia="宋体" w:cs="宋体"/>
      <w:color w:val="000000"/>
      <w:sz w:val="20"/>
      <w:szCs w:val="20"/>
    </w:rPr>
  </w:style>
  <w:style w:type="character" w:customStyle="1" w:styleId="28">
    <w:name w:val="23"/>
    <w:basedOn w:val="14"/>
    <w:qFormat/>
    <w:uiPriority w:val="0"/>
    <w:rPr>
      <w:rFonts w:hint="default" w:ascii="Times New Roman" w:hAnsi="Times New Roman" w:cs="Times New Roman"/>
      <w:color w:val="000000"/>
      <w:sz w:val="20"/>
      <w:szCs w:val="20"/>
      <w:vertAlign w:val="subscript"/>
    </w:rPr>
  </w:style>
  <w:style w:type="character" w:customStyle="1" w:styleId="29">
    <w:name w:val="22"/>
    <w:basedOn w:val="14"/>
    <w:qFormat/>
    <w:uiPriority w:val="0"/>
    <w:rPr>
      <w:rFonts w:hint="default" w:ascii="Times New Roman" w:hAnsi="Times New Roman" w:cs="Times New Roman"/>
      <w:color w:val="000000"/>
      <w:sz w:val="21"/>
      <w:szCs w:val="21"/>
    </w:rPr>
  </w:style>
  <w:style w:type="character" w:customStyle="1" w:styleId="30">
    <w:name w:val="16"/>
    <w:basedOn w:val="14"/>
    <w:qFormat/>
    <w:uiPriority w:val="0"/>
    <w:rPr>
      <w:rFonts w:hint="default" w:ascii="Times New Roman" w:hAnsi="Times New Roman" w:cs="Times New Roman"/>
      <w:color w:val="000000"/>
      <w:sz w:val="20"/>
      <w:szCs w:val="20"/>
    </w:rPr>
  </w:style>
  <w:style w:type="paragraph" w:customStyle="1" w:styleId="31">
    <w:name w:val="标准正文"/>
    <w:basedOn w:val="1"/>
    <w:qFormat/>
    <w:uiPriority w:val="0"/>
    <w:pPr>
      <w:adjustRightInd w:val="0"/>
      <w:spacing w:line="460" w:lineRule="atLeast"/>
      <w:ind w:firstLine="567"/>
      <w:jc w:val="left"/>
    </w:pPr>
    <w:rPr>
      <w:kern w:val="28"/>
      <w:sz w:val="28"/>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4.png"/><Relationship Id="rId18" Type="http://schemas.openxmlformats.org/officeDocument/2006/relationships/image" Target="media/image3.png"/><Relationship Id="rId17" Type="http://schemas.openxmlformats.org/officeDocument/2006/relationships/image" Target="media/image2.png"/><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LENOVO</cp:lastModifiedBy>
  <dcterms:modified xsi:type="dcterms:W3CDTF">2021-12-28T11:50:51Z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474608B71A154FCD8B70269C06ED148F</vt:lpwstr>
  </property>
</Properties>
</file>