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spacing w:line="500" w:lineRule="exact"/>
        <w:rPr>
          <w:rFonts w:hint="eastAsia" w:ascii="宋体" w:hAnsi="宋体" w:eastAsia="宋体" w:cs="宋体"/>
          <w:sz w:val="28"/>
          <w:szCs w:val="28"/>
          <w:lang w:eastAsia="zh-CN"/>
        </w:rPr>
      </w:pPr>
      <w:r>
        <w:rPr>
          <w:rFonts w:hint="eastAsia" w:ascii="宋体" w:hAnsi="宋体" w:eastAsia="宋体" w:cs="宋体"/>
          <w:b/>
          <w:bCs/>
          <w:sz w:val="28"/>
          <w:szCs w:val="28"/>
          <w:lang w:val="en-US" w:eastAsia="zh-CN"/>
        </w:rPr>
        <w:t>公司简介：</w:t>
      </w:r>
      <w:r>
        <w:rPr>
          <w:rFonts w:hint="eastAsia" w:ascii="宋体" w:hAnsi="宋体" w:eastAsia="宋体" w:cs="宋体"/>
          <w:sz w:val="28"/>
          <w:szCs w:val="28"/>
        </w:rPr>
        <w:t>广西天盛港务有限公司油气项目建设规模为5万吨级油气化工专业码头一座，拥有8万m</w:t>
      </w:r>
      <w:r>
        <w:rPr>
          <w:rFonts w:hint="eastAsia" w:ascii="宋体" w:hAnsi="宋体" w:eastAsia="宋体" w:cs="宋体"/>
          <w:sz w:val="28"/>
          <w:szCs w:val="28"/>
          <w:vertAlign w:val="superscript"/>
        </w:rPr>
        <w:t>3</w:t>
      </w:r>
      <w:r>
        <w:rPr>
          <w:rFonts w:hint="eastAsia" w:ascii="宋体" w:hAnsi="宋体" w:eastAsia="宋体" w:cs="宋体"/>
          <w:sz w:val="28"/>
          <w:szCs w:val="28"/>
        </w:rPr>
        <w:t>低温液化石油气库、0.7万m</w:t>
      </w:r>
      <w:r>
        <w:rPr>
          <w:rFonts w:hint="eastAsia" w:ascii="宋体" w:hAnsi="宋体" w:eastAsia="宋体" w:cs="宋体"/>
          <w:sz w:val="28"/>
          <w:szCs w:val="28"/>
          <w:vertAlign w:val="superscript"/>
        </w:rPr>
        <w:t>3</w:t>
      </w:r>
      <w:r>
        <w:rPr>
          <w:rFonts w:hint="eastAsia" w:ascii="宋体" w:hAnsi="宋体" w:eastAsia="宋体" w:cs="宋体"/>
          <w:sz w:val="28"/>
          <w:szCs w:val="28"/>
        </w:rPr>
        <w:t>常温高压液化石油气库、9万m</w:t>
      </w:r>
      <w:r>
        <w:rPr>
          <w:rFonts w:hint="eastAsia" w:ascii="宋体" w:hAnsi="宋体" w:eastAsia="宋体" w:cs="宋体"/>
          <w:sz w:val="28"/>
          <w:szCs w:val="28"/>
          <w:vertAlign w:val="superscript"/>
        </w:rPr>
        <w:t>3</w:t>
      </w:r>
      <w:r>
        <w:rPr>
          <w:rFonts w:hint="eastAsia" w:ascii="宋体" w:hAnsi="宋体" w:eastAsia="宋体" w:cs="宋体"/>
          <w:sz w:val="28"/>
          <w:szCs w:val="28"/>
        </w:rPr>
        <w:t>成品油及1万m</w:t>
      </w:r>
      <w:r>
        <w:rPr>
          <w:rFonts w:hint="eastAsia" w:ascii="宋体" w:hAnsi="宋体" w:eastAsia="宋体" w:cs="宋体"/>
          <w:sz w:val="28"/>
          <w:szCs w:val="28"/>
          <w:vertAlign w:val="superscript"/>
        </w:rPr>
        <w:t>3</w:t>
      </w:r>
      <w:r>
        <w:rPr>
          <w:rFonts w:hint="eastAsia" w:ascii="宋体" w:hAnsi="宋体" w:eastAsia="宋体" w:cs="宋体"/>
          <w:sz w:val="28"/>
          <w:szCs w:val="28"/>
        </w:rPr>
        <w:t>化工产品仓储能力，另预留仓储用地33000m</w:t>
      </w:r>
      <w:r>
        <w:rPr>
          <w:rFonts w:hint="eastAsia" w:ascii="宋体" w:hAnsi="宋体" w:eastAsia="宋体" w:cs="宋体"/>
          <w:sz w:val="28"/>
          <w:szCs w:val="28"/>
          <w:vertAlign w:val="superscript"/>
        </w:rPr>
        <w:t>2</w:t>
      </w:r>
      <w:r>
        <w:rPr>
          <w:rFonts w:hint="eastAsia" w:ascii="宋体" w:hAnsi="宋体" w:eastAsia="宋体" w:cs="宋体"/>
          <w:sz w:val="28"/>
          <w:szCs w:val="28"/>
        </w:rPr>
        <w:t>。油气库区LPG年周转能力为60万吨，柴油年周转能力90万吨，汽油年周转能力为38万吨，是目前中国西南功能最齐全、设备最完善的专业油气化工码头且经海关批准的油气、化工保税仓库。该项目装卸、储运的危险化学品包括液化石油气(LPG)、成品油（汽油、柴油）、乙醇、乙酸及乙酸乙脂等，具有易燃、易爆、易产生和积聚静电荷、易流淌、易扩散、易蒸发、腐蚀性大、有毒等危险有害特性；项目于2006年6月竣工投产</w:t>
      </w:r>
      <w:r>
        <w:rPr>
          <w:rFonts w:hint="eastAsia" w:ascii="宋体" w:hAnsi="宋体" w:eastAsia="宋体" w:cs="宋体"/>
          <w:sz w:val="28"/>
          <w:szCs w:val="28"/>
          <w:lang w:eastAsia="zh-CN"/>
        </w:rPr>
        <w:t>。</w:t>
      </w:r>
    </w:p>
    <w:p>
      <w:pPr>
        <w:numPr>
          <w:ilvl w:val="0"/>
          <w:numId w:val="1"/>
        </w:numPr>
        <w:spacing w:line="24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危险废物特性及产生环节：</w:t>
      </w:r>
      <w:r>
        <w:rPr>
          <w:rFonts w:hint="eastAsia" w:ascii="宋体" w:hAnsi="宋体" w:eastAsia="宋体" w:cs="宋体"/>
          <w:b/>
          <w:bCs/>
          <w:sz w:val="28"/>
          <w:szCs w:val="28"/>
          <w:lang w:val="en-US" w:eastAsia="zh-CN"/>
        </w:rPr>
        <w:drawing>
          <wp:inline distT="0" distB="0" distL="114300" distR="114300">
            <wp:extent cx="1311910" cy="851535"/>
            <wp:effectExtent l="0" t="0" r="2540" b="5715"/>
            <wp:docPr id="1" name="图片 1" descr="D:\所有资料汇总（2017）\天盛油气黄日焕制作效果图\公开信息.jpg公开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所有资料汇总（2017）\天盛油气黄日焕制作效果图\公开信息.jpg公开信息"/>
                    <pic:cNvPicPr>
                      <a:picLocks noChangeAspect="1"/>
                    </pic:cNvPicPr>
                  </pic:nvPicPr>
                  <pic:blipFill>
                    <a:blip r:embed="rId4"/>
                    <a:srcRect/>
                    <a:stretch>
                      <a:fillRect/>
                    </a:stretch>
                  </pic:blipFill>
                  <pic:spPr>
                    <a:xfrm>
                      <a:off x="0" y="0"/>
                      <a:ext cx="1311910" cy="851535"/>
                    </a:xfrm>
                    <a:prstGeom prst="rect">
                      <a:avLst/>
                    </a:prstGeom>
                  </pic:spPr>
                </pic:pic>
              </a:graphicData>
            </a:graphic>
          </wp:inline>
        </w:drawing>
      </w:r>
    </w:p>
    <w:p>
      <w:pPr>
        <w:numPr>
          <w:ilvl w:val="0"/>
          <w:numId w:val="1"/>
        </w:numPr>
        <w:spacing w:line="240" w:lineRule="auto"/>
        <w:rPr>
          <w:rFonts w:hint="eastAsia"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2021年危险废物产生量：1、油/水混合物（HW08 900-210-08)产生量为0；2、废活性碳（HW49 900-039-49)产生量为0；3、废矿物油（HW08 900-214-08）产生量为2.34吨，已委托广西梧州鸿都物流有限公司安全转移到广西亮普再生资源回收利用有限公司进行处置。</w:t>
      </w:r>
    </w:p>
    <w:p>
      <w:pPr>
        <w:numPr>
          <w:numId w:val="0"/>
        </w:numPr>
        <w:spacing w:line="240" w:lineRule="auto"/>
        <w:rPr>
          <w:rFonts w:hint="eastAsia" w:ascii="宋体" w:hAnsi="宋体" w:eastAsia="宋体" w:cs="宋体"/>
          <w:b/>
          <w:bCs/>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B3131"/>
    <w:multiLevelType w:val="singleLevel"/>
    <w:tmpl w:val="B19B313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7F29B6"/>
    <w:rsid w:val="11996ADC"/>
    <w:rsid w:val="193A6314"/>
    <w:rsid w:val="2C6D676B"/>
    <w:rsid w:val="38C577DD"/>
    <w:rsid w:val="4CEF76A2"/>
    <w:rsid w:val="4EA166B2"/>
    <w:rsid w:val="5A7F29B6"/>
    <w:rsid w:val="5B7C6F7E"/>
    <w:rsid w:val="67AA4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2021-09-16T07:56:00Z</dcterms:created>
  <dc:creator>ZYS</dc:creator>
  <cp:lastModifiedBy>ZYS</cp:lastModifiedBy>
  <cp:lastPrinted>2022-02-09T07:55:00Z</cp:lastPrinted>
  <dcterms:modified xsi:type="dcterms:W3CDTF">2022-02-22T07:47:59Z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6383DE16EE994ED3935FA39707237FD6</vt:lpwstr>
  </property>
</Properties>
</file>