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pStyle w:val="7"/>
        <w:shd w:val="clear" w:color="auto" w:fill="FFFFFF"/>
        <w:spacing w:before="0" w:beforeAutospacing="0" w:after="0" w:afterAutospacing="0" w:line="384" w:lineRule="atLeast"/>
        <w:jc w:val="center"/>
        <w:rPr>
          <w:rStyle w:val="11"/>
          <w:rFonts w:hint="eastAsia" w:ascii="Times New Roman" w:hAnsi="Times New Roman" w:eastAsia="微软雅黑" w:cs="Times New Roman"/>
          <w:bCs w:val="0"/>
        </w:rPr>
      </w:pPr>
      <w:r>
        <w:rPr>
          <w:rStyle w:val="11"/>
          <w:rFonts w:hint="eastAsia" w:ascii="Times New Roman" w:hAnsi="Times New Roman" w:eastAsia="微软雅黑" w:cs="Times New Roman"/>
          <w:bCs w:val="0"/>
        </w:rPr>
        <w:t>新乡市初心食品有限公司年加工2万吨速冻食品建设项目</w:t>
      </w:r>
    </w:p>
    <w:p>
      <w:pPr>
        <w:pStyle w:val="7"/>
        <w:shd w:val="clear" w:color="auto" w:fill="FFFFFF"/>
        <w:spacing w:before="0" w:beforeAutospacing="0" w:after="0" w:afterAutospacing="0" w:line="384" w:lineRule="atLeast"/>
        <w:jc w:val="center"/>
        <w:rPr>
          <w:rStyle w:val="11"/>
          <w:rFonts w:ascii="Times New Roman" w:hAnsi="Times New Roman" w:eastAsia="微软雅黑" w:cs="Times New Roman"/>
          <w:bCs w:val="0"/>
          <w:sz w:val="28"/>
        </w:rPr>
      </w:pPr>
      <w:r>
        <w:rPr>
          <w:rStyle w:val="11"/>
          <w:rFonts w:ascii="Times New Roman" w:hAnsi="Times New Roman" w:eastAsia="微软雅黑" w:cs="Times New Roman"/>
          <w:bCs w:val="0"/>
        </w:rPr>
        <w:t>竣工环境保护验收意见</w:t>
      </w:r>
    </w:p>
    <w:p>
      <w:pPr>
        <w:pStyle w:val="7"/>
        <w:shd w:val="clear" w:color="auto" w:fill="FFFFFF"/>
        <w:spacing w:before="0" w:beforeAutospacing="0" w:after="0" w:afterAutospacing="0" w:line="384" w:lineRule="atLeast"/>
        <w:jc w:val="center"/>
        <w:rPr>
          <w:rFonts w:ascii="Times New Roman" w:hAnsi="Times New Roman" w:eastAsia="微软雅黑" w:cs="Times New Roman"/>
          <w:b/>
          <w:sz w:val="28"/>
        </w:rPr>
      </w:pP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color w:val="000000" w:themeColor="text1"/>
          <w14:textFill>
            <w14:solidFill>
              <w14:schemeClr w14:val="tx1"/>
            </w14:solidFill>
          </w14:textFill>
        </w:rPr>
      </w:pPr>
      <w:r>
        <w:rPr>
          <w:rFonts w:ascii="Times New Roman" w:hAnsi="Times New Roman" w:cs="Times New Roman" w:eastAsiaTheme="minorEastAsia"/>
          <w:bCs/>
          <w:color w:val="000000" w:themeColor="text1"/>
          <w14:textFill>
            <w14:solidFill>
              <w14:schemeClr w14:val="tx1"/>
            </w14:solidFill>
          </w14:textFill>
        </w:rPr>
        <w:t>20</w:t>
      </w:r>
      <w:r>
        <w:rPr>
          <w:rFonts w:hint="eastAsia" w:ascii="Times New Roman" w:hAnsi="Times New Roman" w:cs="Times New Roman" w:eastAsiaTheme="minorEastAsia"/>
          <w:bCs/>
          <w:color w:val="000000" w:themeColor="text1"/>
          <w14:textFill>
            <w14:solidFill>
              <w14:schemeClr w14:val="tx1"/>
            </w14:solidFill>
          </w14:textFill>
        </w:rPr>
        <w:t>2</w:t>
      </w:r>
      <w:r>
        <w:rPr>
          <w:rFonts w:hint="eastAsia" w:ascii="Times New Roman" w:hAnsi="Times New Roman" w:cs="Times New Roman" w:eastAsiaTheme="minorEastAsia"/>
          <w:bCs/>
          <w:color w:val="000000" w:themeColor="text1"/>
          <w:lang w:val="en-US" w:eastAsia="zh-CN"/>
          <w14:textFill>
            <w14:solidFill>
              <w14:schemeClr w14:val="tx1"/>
            </w14:solidFill>
          </w14:textFill>
        </w:rPr>
        <w:t>2</w:t>
      </w:r>
      <w:r>
        <w:rPr>
          <w:rFonts w:ascii="Times New Roman" w:hAnsi="Times New Roman" w:cs="Times New Roman" w:eastAsiaTheme="minorEastAsia"/>
          <w:bCs/>
          <w:color w:val="000000" w:themeColor="text1"/>
          <w14:textFill>
            <w14:solidFill>
              <w14:schemeClr w14:val="tx1"/>
            </w14:solidFill>
          </w14:textFill>
        </w:rPr>
        <w:t>年</w:t>
      </w:r>
      <w:r>
        <w:rPr>
          <w:rFonts w:hint="eastAsia" w:ascii="Times New Roman" w:hAnsi="Times New Roman" w:cs="Times New Roman" w:eastAsiaTheme="minorEastAsia"/>
          <w:bCs/>
          <w:color w:val="000000" w:themeColor="text1"/>
          <w:lang w:val="en-US" w:eastAsia="zh-CN"/>
          <w14:textFill>
            <w14:solidFill>
              <w14:schemeClr w14:val="tx1"/>
            </w14:solidFill>
          </w14:textFill>
        </w:rPr>
        <w:t>2</w:t>
      </w:r>
      <w:r>
        <w:rPr>
          <w:rFonts w:ascii="Times New Roman" w:hAnsi="Times New Roman" w:cs="Times New Roman" w:eastAsiaTheme="minorEastAsia"/>
          <w:bCs/>
          <w:color w:val="000000" w:themeColor="text1"/>
          <w14:textFill>
            <w14:solidFill>
              <w14:schemeClr w14:val="tx1"/>
            </w14:solidFill>
          </w14:textFill>
        </w:rPr>
        <w:t>月</w:t>
      </w:r>
      <w:r>
        <w:rPr>
          <w:rFonts w:hint="eastAsia" w:ascii="Times New Roman" w:hAnsi="Times New Roman" w:cs="Times New Roman" w:eastAsiaTheme="minorEastAsia"/>
          <w:bCs/>
          <w:color w:val="000000" w:themeColor="text1"/>
          <w:lang w:val="en-US" w:eastAsia="zh-CN"/>
          <w14:textFill>
            <w14:solidFill>
              <w14:schemeClr w14:val="tx1"/>
            </w14:solidFill>
          </w14:textFill>
        </w:rPr>
        <w:t>7</w:t>
      </w:r>
      <w:r>
        <w:rPr>
          <w:rFonts w:ascii="Times New Roman" w:hAnsi="Times New Roman" w:cs="Times New Roman" w:eastAsiaTheme="minorEastAsia"/>
          <w:bCs/>
          <w:color w:val="000000" w:themeColor="text1"/>
          <w14:textFill>
            <w14:solidFill>
              <w14:schemeClr w14:val="tx1"/>
            </w14:solidFill>
          </w14:textFill>
        </w:rPr>
        <w:t>日，</w:t>
      </w:r>
      <w:r>
        <w:rPr>
          <w:rFonts w:hint="eastAsia" w:ascii="Times New Roman" w:hAnsi="Times New Roman" w:cs="Times New Roman" w:eastAsiaTheme="minorEastAsia"/>
          <w:bCs/>
          <w:color w:val="000000" w:themeColor="text1"/>
          <w14:textFill>
            <w14:solidFill>
              <w14:schemeClr w14:val="tx1"/>
            </w14:solidFill>
          </w14:textFill>
        </w:rPr>
        <w:t>新乡市初心食品有限公司年加工2万吨速冻食品建设项目</w:t>
      </w:r>
      <w:r>
        <w:rPr>
          <w:rFonts w:ascii="Times New Roman" w:hAnsi="Times New Roman" w:cs="Times New Roman" w:eastAsiaTheme="minorEastAsia"/>
          <w:bCs/>
          <w:color w:val="000000" w:themeColor="text1"/>
          <w14:textFill>
            <w14:solidFill>
              <w14:schemeClr w14:val="tx1"/>
            </w14:solidFill>
          </w14:textFill>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pStyle w:val="7"/>
        <w:shd w:val="clear" w:color="auto" w:fill="FFFFFF"/>
        <w:adjustRightInd w:val="0"/>
        <w:snapToGrid w:val="0"/>
        <w:spacing w:before="0" w:beforeAutospacing="0" w:after="0" w:afterAutospacing="0" w:line="360" w:lineRule="auto"/>
        <w:jc w:val="both"/>
        <w:rPr>
          <w:rFonts w:ascii="Times New Roman" w:hAnsi="Times New Roman" w:cs="Times New Roman" w:eastAsiaTheme="minorEastAsia"/>
          <w:bCs/>
        </w:rPr>
      </w:pPr>
      <w:r>
        <w:rPr>
          <w:rStyle w:val="11"/>
          <w:rFonts w:ascii="Times New Roman" w:hAnsi="Times New Roman" w:cs="Times New Roman" w:eastAsiaTheme="minorEastAsia"/>
          <w:b w:val="0"/>
        </w:rPr>
        <w:t>一、工程建设基本情况</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（一）建设地点、规模、主要建设内容</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建设地点：</w:t>
      </w:r>
      <w:r>
        <w:rPr>
          <w:rFonts w:hint="eastAsia" w:ascii="Times New Roman" w:hAnsi="Times New Roman" w:cs="Times New Roman" w:eastAsiaTheme="minorEastAsia"/>
          <w:bCs/>
        </w:rPr>
        <w:t>封丘县尹岗镇张岗村</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建设性质：</w:t>
      </w:r>
      <w:r>
        <w:rPr>
          <w:rFonts w:hint="eastAsia" w:ascii="Times New Roman" w:hAnsi="Times New Roman" w:cs="Times New Roman" w:eastAsiaTheme="minorEastAsia"/>
          <w:bCs/>
          <w:lang w:eastAsia="zh-CN"/>
        </w:rPr>
        <w:t>新</w:t>
      </w:r>
      <w:r>
        <w:rPr>
          <w:rFonts w:hint="eastAsia" w:ascii="Times New Roman" w:hAnsi="Times New Roman" w:cs="Times New Roman" w:eastAsiaTheme="minorEastAsia"/>
          <w:bCs/>
        </w:rPr>
        <w:t>建</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产品、规模：</w:t>
      </w:r>
      <w:r>
        <w:rPr>
          <w:rFonts w:hint="eastAsia" w:ascii="Times New Roman" w:hAnsi="Times New Roman" w:cs="Times New Roman" w:eastAsiaTheme="minorEastAsia"/>
          <w:bCs/>
        </w:rPr>
        <w:t>年加工2万吨速冻食品</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（二）建设过程及环保审批情况</w:t>
      </w:r>
    </w:p>
    <w:p>
      <w:pPr>
        <w:pStyle w:val="7"/>
        <w:shd w:val="clear" w:color="auto" w:fill="FFFFFF"/>
        <w:adjustRightInd w:val="0"/>
        <w:snapToGrid w:val="0"/>
        <w:spacing w:before="0" w:beforeAutospacing="0" w:after="0" w:afterAutospacing="0" w:line="360" w:lineRule="auto"/>
        <w:ind w:firstLine="480" w:firstLineChars="200"/>
        <w:rPr>
          <w:rFonts w:hint="default" w:ascii="Times New Roman" w:hAnsi="Times New Roman" w:eastAsia="宋体" w:cs="Times New Roman"/>
          <w:color w:val="0000FF"/>
          <w:kern w:val="2"/>
          <w:lang w:val="en-US" w:eastAsia="zh-CN"/>
        </w:rPr>
      </w:pPr>
      <w:r>
        <w:rPr>
          <w:rFonts w:hint="eastAsia" w:ascii="Times New Roman" w:hAnsi="Times New Roman"/>
          <w:color w:val="171717"/>
          <w:sz w:val="24"/>
          <w:szCs w:val="24"/>
          <w:lang w:eastAsia="zh-CN"/>
        </w:rPr>
        <w:t>新乡市初心食品有限公司“</w:t>
      </w:r>
      <w:r>
        <w:rPr>
          <w:rFonts w:hint="eastAsia" w:ascii="Times New Roman" w:hAnsi="宋体"/>
          <w:bCs/>
          <w:color w:val="auto"/>
          <w:sz w:val="24"/>
          <w:lang w:val="en-US" w:eastAsia="zh-CN"/>
        </w:rPr>
        <w:t>年加工2万吨速冻食品建设项目</w:t>
      </w:r>
      <w:r>
        <w:rPr>
          <w:rFonts w:hint="eastAsia" w:ascii="Times New Roman" w:hAnsi="Times New Roman"/>
          <w:color w:val="171717"/>
          <w:sz w:val="24"/>
          <w:szCs w:val="24"/>
          <w:lang w:eastAsia="zh-CN"/>
        </w:rPr>
        <w:t>”位于</w:t>
      </w:r>
      <w:r>
        <w:rPr>
          <w:rFonts w:hint="eastAsia" w:ascii="Times New Roman" w:hAnsi="宋体"/>
          <w:bCs/>
          <w:color w:val="auto"/>
          <w:sz w:val="24"/>
          <w:highlight w:val="none"/>
          <w:lang w:eastAsia="zh-CN"/>
        </w:rPr>
        <w:t>新乡市封丘县尹岗镇张岗村</w:t>
      </w:r>
      <w:r>
        <w:rPr>
          <w:rFonts w:ascii="Times New Roman"/>
          <w:color w:val="auto"/>
          <w:sz w:val="24"/>
        </w:rPr>
        <w:t>，占地面积</w:t>
      </w:r>
      <w:r>
        <w:rPr>
          <w:rFonts w:ascii="Times New Roman"/>
          <w:color w:val="auto"/>
          <w:sz w:val="24"/>
          <w:highlight w:val="none"/>
        </w:rPr>
        <w:t>约</w:t>
      </w:r>
      <w:r>
        <w:rPr>
          <w:rFonts w:hint="eastAsia" w:ascii="Times New Roman"/>
          <w:color w:val="auto"/>
          <w:sz w:val="24"/>
          <w:highlight w:val="none"/>
        </w:rPr>
        <w:t>13200</w:t>
      </w:r>
      <w:r>
        <w:rPr>
          <w:rFonts w:ascii="Times New Roman" w:hAnsi="Times New Roman"/>
          <w:color w:val="auto"/>
          <w:sz w:val="24"/>
          <w:highlight w:val="none"/>
        </w:rPr>
        <w:t>m</w:t>
      </w:r>
      <w:r>
        <w:rPr>
          <w:rFonts w:ascii="Times New Roman" w:hAnsi="Times New Roman"/>
          <w:color w:val="auto"/>
          <w:sz w:val="24"/>
          <w:highlight w:val="none"/>
          <w:vertAlign w:val="superscript"/>
        </w:rPr>
        <w:t>2</w:t>
      </w:r>
      <w:r>
        <w:rPr>
          <w:rFonts w:ascii="Times New Roman"/>
          <w:color w:val="auto"/>
          <w:sz w:val="24"/>
        </w:rPr>
        <w:t>，</w:t>
      </w:r>
      <w:r>
        <w:rPr>
          <w:rFonts w:hint="eastAsia" w:ascii="Times New Roman"/>
          <w:color w:val="auto"/>
          <w:sz w:val="24"/>
          <w:lang w:eastAsia="zh-CN"/>
        </w:rPr>
        <w:t>该项目于</w:t>
      </w:r>
      <w:r>
        <w:rPr>
          <w:rFonts w:hint="eastAsia" w:ascii="Times New Roman"/>
          <w:color w:val="auto"/>
          <w:sz w:val="24"/>
          <w:lang w:val="en-US" w:eastAsia="zh-CN"/>
        </w:rPr>
        <w:t>2019年9月11日得到封丘县环境保护局的批复</w:t>
      </w:r>
      <w:r>
        <w:rPr>
          <w:rFonts w:hint="eastAsia" w:ascii="Times New Roman" w:hAnsi="Times New Roman"/>
          <w:color w:val="171717"/>
          <w:sz w:val="24"/>
          <w:szCs w:val="24"/>
          <w:lang w:eastAsia="zh-CN"/>
        </w:rPr>
        <w:t>，批复文号为封环表审</w:t>
      </w:r>
      <w:r>
        <w:rPr>
          <w:rFonts w:hint="eastAsia" w:ascii="Times New Roman" w:hAnsi="Times New Roman"/>
          <w:color w:val="171717"/>
          <w:sz w:val="24"/>
          <w:szCs w:val="24"/>
          <w:lang w:val="en-US" w:eastAsia="zh-CN"/>
        </w:rPr>
        <w:t>[2019]25号</w:t>
      </w:r>
      <w:r>
        <w:rPr>
          <w:rFonts w:hint="eastAsia" w:ascii="Times New Roman" w:hAnsi="Times New Roman" w:cs="Times New Roman" w:eastAsiaTheme="minorEastAsia"/>
          <w:bCs/>
          <w:lang w:val="en-US" w:eastAsia="zh-CN"/>
        </w:rPr>
        <w:t>。</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（三）投资情况</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项目实际总投资</w:t>
      </w:r>
      <w:r>
        <w:rPr>
          <w:rFonts w:hint="eastAsia" w:ascii="Times New Roman" w:hAnsi="Times New Roman" w:cs="Times New Roman" w:eastAsiaTheme="minorEastAsia"/>
          <w:bCs/>
          <w:lang w:val="en-US" w:eastAsia="zh-CN"/>
        </w:rPr>
        <w:t>1100</w:t>
      </w:r>
      <w:r>
        <w:rPr>
          <w:rFonts w:ascii="Times New Roman" w:hAnsi="Times New Roman" w:cs="Times New Roman" w:eastAsiaTheme="minorEastAsia"/>
          <w:bCs/>
        </w:rPr>
        <w:t>万元，其中环保投资</w:t>
      </w:r>
      <w:r>
        <w:rPr>
          <w:rFonts w:hint="eastAsia" w:ascii="Times New Roman" w:hAnsi="Times New Roman" w:cs="Times New Roman" w:eastAsiaTheme="minorEastAsia"/>
          <w:bCs/>
          <w:lang w:val="en-US" w:eastAsia="zh-CN"/>
        </w:rPr>
        <w:t>14</w:t>
      </w:r>
      <w:r>
        <w:rPr>
          <w:rFonts w:ascii="Times New Roman" w:hAnsi="Times New Roman" w:cs="Times New Roman" w:eastAsiaTheme="minorEastAsia"/>
          <w:bCs/>
        </w:rPr>
        <w:t>万元，占比约为</w:t>
      </w:r>
      <w:r>
        <w:rPr>
          <w:rFonts w:hint="eastAsia" w:ascii="Times New Roman" w:hAnsi="Times New Roman" w:cs="Times New Roman" w:eastAsiaTheme="minorEastAsia"/>
          <w:bCs/>
          <w:lang w:val="en-US" w:eastAsia="zh-CN"/>
        </w:rPr>
        <w:t>1.27</w:t>
      </w:r>
      <w:r>
        <w:rPr>
          <w:rFonts w:hint="eastAsia" w:ascii="Times New Roman" w:hAnsi="Times New Roman" w:cs="Times New Roman" w:eastAsiaTheme="minorEastAsia"/>
          <w:bCs/>
        </w:rPr>
        <w:t>%</w:t>
      </w:r>
      <w:r>
        <w:rPr>
          <w:rFonts w:ascii="Times New Roman" w:hAnsi="Times New Roman" w:cs="Times New Roman" w:eastAsiaTheme="minorEastAsia"/>
          <w:bCs/>
        </w:rPr>
        <w:t>。</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（四）验收范围</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本次验收范围为</w:t>
      </w:r>
      <w:r>
        <w:rPr>
          <w:rFonts w:hint="eastAsia" w:ascii="Times New Roman" w:hAnsi="Times New Roman" w:cs="Times New Roman" w:eastAsiaTheme="minorEastAsia"/>
          <w:bCs/>
          <w:lang w:eastAsia="zh-CN"/>
        </w:rPr>
        <w:t>新乡市初心食品有限公司年加工2万吨速冻食品建设项目</w:t>
      </w:r>
      <w:r>
        <w:rPr>
          <w:rFonts w:ascii="Times New Roman" w:hAnsi="Times New Roman" w:cs="Times New Roman" w:eastAsiaTheme="minorEastAsia"/>
          <w:bCs/>
        </w:rPr>
        <w:t>的主体工程、配套设施、辅助设施、环保设施的建设、运行及环保要求落实情况。</w:t>
      </w:r>
    </w:p>
    <w:p>
      <w:pPr>
        <w:pStyle w:val="7"/>
        <w:keepNext w:val="0"/>
        <w:keepLines w:val="0"/>
        <w:pageBreakBefore w:val="0"/>
        <w:widowControl/>
        <w:numPr>
          <w:ilvl w:val="0"/>
          <w:numId w:val="0"/>
        </w:numPr>
        <w:shd w:val="clear" w:color="auto" w:fill="FFFFFF"/>
        <w:kinsoku/>
        <w:wordWrap/>
        <w:overflowPunct/>
        <w:topLinePunct w:val="0"/>
        <w:autoSpaceDE/>
        <w:autoSpaceDN/>
        <w:bidi w:val="0"/>
        <w:adjustRightInd w:val="0"/>
        <w:snapToGrid w:val="0"/>
        <w:spacing w:before="0" w:beforeAutospacing="0" w:after="0" w:afterAutospacing="0" w:line="360" w:lineRule="auto"/>
        <w:ind w:right="0" w:rightChars="0"/>
        <w:jc w:val="both"/>
        <w:textAlignment w:val="auto"/>
        <w:outlineLvl w:val="9"/>
        <w:rPr>
          <w:rFonts w:ascii="Times New Roman" w:hAnsi="Times New Roman" w:cs="Times New Roman" w:eastAsiaTheme="minorEastAsia"/>
          <w:bCs/>
        </w:rPr>
      </w:pPr>
      <w:r>
        <w:rPr>
          <w:rStyle w:val="11"/>
          <w:rFonts w:hint="eastAsia" w:ascii="Times New Roman" w:hAnsi="Times New Roman" w:cs="Times New Roman" w:eastAsiaTheme="minorEastAsia"/>
          <w:b w:val="0"/>
          <w:lang w:eastAsia="zh-CN"/>
        </w:rPr>
        <w:t>二</w:t>
      </w:r>
      <w:r>
        <w:rPr>
          <w:rStyle w:val="11"/>
          <w:rFonts w:ascii="Times New Roman" w:hAnsi="Times New Roman" w:cs="Times New Roman" w:eastAsiaTheme="minorEastAsia"/>
          <w:b w:val="0"/>
        </w:rPr>
        <w:t>、</w:t>
      </w:r>
      <w:r>
        <w:rPr>
          <w:rStyle w:val="11"/>
          <w:rFonts w:hint="default" w:ascii="Times New Roman" w:hAnsi="Times New Roman" w:cs="Times New Roman" w:eastAsiaTheme="minorEastAsia"/>
          <w:b w:val="0"/>
          <w:bCs/>
          <w:sz w:val="24"/>
          <w:szCs w:val="24"/>
        </w:rPr>
        <w:t>工程变更</w:t>
      </w:r>
      <w:r>
        <w:rPr>
          <w:rStyle w:val="11"/>
          <w:rFonts w:hint="eastAsia" w:ascii="Times New Roman" w:hAnsi="Times New Roman" w:cs="Times New Roman" w:eastAsiaTheme="minorEastAsia"/>
          <w:b w:val="0"/>
          <w:bCs/>
          <w:sz w:val="24"/>
          <w:szCs w:val="24"/>
          <w:lang w:eastAsia="zh-CN"/>
        </w:rPr>
        <w:t>情况</w:t>
      </w:r>
    </w:p>
    <w:p>
      <w:pPr>
        <w:numPr>
          <w:ilvl w:val="0"/>
          <w:numId w:val="0"/>
        </w:numPr>
        <w:tabs>
          <w:tab w:val="left" w:pos="706"/>
        </w:tabs>
        <w:adjustRightInd w:val="0"/>
        <w:snapToGrid w:val="0"/>
        <w:spacing w:line="360" w:lineRule="auto"/>
        <w:ind w:firstLine="480" w:firstLineChars="200"/>
        <w:jc w:val="both"/>
        <w:outlineLvl w:val="1"/>
        <w:rPr>
          <w:rFonts w:hint="default"/>
          <w:lang w:val="en-US" w:eastAsia="zh-CN"/>
        </w:rPr>
        <w:sectPr>
          <w:pgSz w:w="11906" w:h="16838"/>
          <w:pgMar w:top="1440" w:right="1800" w:bottom="1440" w:left="1800" w:header="851" w:footer="992" w:gutter="0"/>
          <w:cols w:space="720" w:num="1"/>
          <w:docGrid w:type="lines" w:linePitch="312" w:charSpace="0"/>
        </w:sectPr>
      </w:pPr>
      <w:r>
        <w:rPr>
          <w:rFonts w:hint="eastAsia" w:ascii="Times New Roman" w:hAnsi="Times New Roman"/>
          <w:sz w:val="24"/>
          <w:szCs w:val="24"/>
        </w:rPr>
        <w:t>经现场勘查，项目无变动情况</w:t>
      </w:r>
      <w:r>
        <w:rPr>
          <w:rFonts w:hint="eastAsia" w:ascii="Times New Roman" w:hAnsi="Times New Roman"/>
          <w:sz w:val="24"/>
          <w:szCs w:val="24"/>
          <w:lang w:val="en-US" w:eastAsia="zh-CN"/>
        </w:rPr>
        <w:t>。</w:t>
      </w:r>
    </w:p>
    <w:p>
      <w:pPr>
        <w:pStyle w:val="7"/>
        <w:shd w:val="clear" w:color="auto" w:fill="FFFFFF"/>
        <w:adjustRightInd w:val="0"/>
        <w:snapToGrid w:val="0"/>
        <w:spacing w:before="0" w:beforeAutospacing="0" w:after="0" w:afterAutospacing="0" w:line="360" w:lineRule="auto"/>
        <w:rPr>
          <w:rFonts w:hint="eastAsia" w:ascii="Times New Roman" w:hAnsi="Times New Roman" w:cs="Times New Roman" w:eastAsiaTheme="minorEastAsia"/>
          <w:bCs/>
          <w:lang w:eastAsia="zh-CN"/>
        </w:rPr>
      </w:pPr>
    </w:p>
    <w:p>
      <w:pPr>
        <w:pStyle w:val="7"/>
        <w:shd w:val="clear" w:color="auto" w:fill="FFFFFF"/>
        <w:adjustRightInd w:val="0"/>
        <w:snapToGrid w:val="0"/>
        <w:spacing w:before="0" w:beforeAutospacing="0" w:after="0" w:afterAutospacing="0" w:line="360" w:lineRule="auto"/>
        <w:jc w:val="both"/>
        <w:rPr>
          <w:rFonts w:ascii="Times New Roman" w:hAnsi="Times New Roman" w:cs="Times New Roman" w:eastAsiaTheme="minorEastAsia"/>
          <w:bCs/>
        </w:rPr>
      </w:pPr>
      <w:r>
        <w:rPr>
          <w:rStyle w:val="11"/>
          <w:rFonts w:hint="eastAsia" w:ascii="Times New Roman" w:hAnsi="Times New Roman" w:cs="Times New Roman" w:eastAsiaTheme="minorEastAsia"/>
          <w:b w:val="0"/>
          <w:lang w:eastAsia="zh-CN"/>
        </w:rPr>
        <w:t>三</w:t>
      </w:r>
      <w:r>
        <w:rPr>
          <w:rStyle w:val="11"/>
          <w:rFonts w:ascii="Times New Roman" w:hAnsi="Times New Roman" w:cs="Times New Roman" w:eastAsiaTheme="minorEastAsia"/>
          <w:b w:val="0"/>
        </w:rPr>
        <w:t>、环境保护设施建设情况</w:t>
      </w:r>
    </w:p>
    <w:p>
      <w:pPr>
        <w:adjustRightInd w:val="0"/>
        <w:snapToGrid w:val="0"/>
        <w:spacing w:line="360" w:lineRule="auto"/>
        <w:ind w:firstLine="480" w:firstLineChars="200"/>
        <w:jc w:val="both"/>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废气</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本项目营运期间废气主要为和面工段产生的粉尘，经采取降低投料高度，减小投料速率，加强车间通风等措施后无组织排放。</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rPr>
        <w:t>经过验收现场踏勘检查：</w:t>
      </w:r>
    </w:p>
    <w:p>
      <w:pPr>
        <w:tabs>
          <w:tab w:val="left" w:pos="820"/>
        </w:tabs>
        <w:adjustRightInd w:val="0"/>
        <w:snapToGrid w:val="0"/>
        <w:spacing w:line="360" w:lineRule="auto"/>
        <w:ind w:firstLine="480" w:firstLineChars="200"/>
        <w:jc w:val="both"/>
        <w:rPr>
          <w:rFonts w:hint="default" w:ascii="Times New Roman" w:hAnsi="Times New Roman" w:cs="Times New Roman"/>
          <w:color w:val="auto"/>
          <w:sz w:val="24"/>
          <w:szCs w:val="24"/>
        </w:rPr>
      </w:pPr>
      <w:r>
        <w:rPr>
          <w:rFonts w:hint="default" w:ascii="Times New Roman" w:hAnsi="Times New Roman" w:cs="Times New Roman"/>
          <w:sz w:val="24"/>
          <w:szCs w:val="24"/>
        </w:rPr>
        <w:t>本项目产生的大气污染物治理措施及排放情况与环评及批复内容一致。</w:t>
      </w:r>
    </w:p>
    <w:p>
      <w:pPr>
        <w:tabs>
          <w:tab w:val="left" w:pos="820"/>
        </w:tabs>
        <w:adjustRightInd w:val="0"/>
        <w:snapToGrid w:val="0"/>
        <w:spacing w:line="360" w:lineRule="auto"/>
        <w:ind w:firstLine="480" w:firstLineChars="200"/>
        <w:jc w:val="both"/>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2</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废水</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本项目产生的废水主要为粽子清洗废水、设备清洗废水、车间地面清洗废水、职工生活废水。</w:t>
      </w:r>
    </w:p>
    <w:p>
      <w:pPr>
        <w:tabs>
          <w:tab w:val="left" w:pos="820"/>
        </w:tabs>
        <w:adjustRightInd w:val="0"/>
        <w:snapToGrid w:val="0"/>
        <w:spacing w:line="360" w:lineRule="auto"/>
        <w:ind w:firstLine="480" w:firstLineChars="200"/>
        <w:jc w:val="both"/>
        <w:rPr>
          <w:rFonts w:hint="eastAsia" w:ascii="Times New Roman" w:hAnsi="Times New Roman" w:eastAsia="宋体"/>
          <w:sz w:val="24"/>
          <w:szCs w:val="24"/>
          <w:lang w:eastAsia="zh-CN"/>
        </w:rPr>
      </w:pPr>
      <w:r>
        <w:rPr>
          <w:rFonts w:hint="eastAsia" w:ascii="Times New Roman" w:hAnsi="Times New Roman"/>
          <w:sz w:val="24"/>
          <w:szCs w:val="24"/>
        </w:rPr>
        <w:t>混合废水在厂区新建一座处理能力为30m</w:t>
      </w:r>
      <w:r>
        <w:rPr>
          <w:rFonts w:hint="eastAsia" w:ascii="Times New Roman" w:hAnsi="Times New Roman"/>
          <w:sz w:val="24"/>
          <w:szCs w:val="24"/>
          <w:vertAlign w:val="superscript"/>
        </w:rPr>
        <w:t>3</w:t>
      </w:r>
      <w:r>
        <w:rPr>
          <w:rFonts w:hint="eastAsia" w:ascii="Times New Roman" w:hAnsi="Times New Roman"/>
          <w:sz w:val="24"/>
          <w:szCs w:val="24"/>
        </w:rPr>
        <w:t>/d的污水处理站（AO工艺）进行处理，处理后排入封丘县尹岗镇玉兰苑社区农村污水处理厂</w:t>
      </w:r>
      <w:r>
        <w:rPr>
          <w:rFonts w:hint="eastAsia" w:ascii="Times New Roman" w:hAnsi="Times New Roman"/>
          <w:sz w:val="24"/>
          <w:szCs w:val="24"/>
          <w:lang w:eastAsia="zh-CN"/>
        </w:rPr>
        <w:t>深度处理。</w:t>
      </w:r>
    </w:p>
    <w:p>
      <w:pPr>
        <w:tabs>
          <w:tab w:val="left" w:pos="820"/>
        </w:tabs>
        <w:adjustRightInd w:val="0"/>
        <w:snapToGrid w:val="0"/>
        <w:spacing w:line="360" w:lineRule="auto"/>
        <w:ind w:firstLine="480" w:firstLineChars="200"/>
        <w:jc w:val="both"/>
        <w:rPr>
          <w:rFonts w:ascii="Times New Roman" w:hAnsi="Times New Roman"/>
          <w:sz w:val="24"/>
          <w:szCs w:val="24"/>
        </w:rPr>
      </w:pPr>
      <w:r>
        <w:rPr>
          <w:rFonts w:ascii="Times New Roman" w:hAnsi="Times New Roman"/>
          <w:sz w:val="24"/>
          <w:szCs w:val="24"/>
        </w:rPr>
        <w:t>经过验收现场踏勘检查：</w:t>
      </w:r>
    </w:p>
    <w:p>
      <w:pPr>
        <w:adjustRightInd w:val="0"/>
        <w:snapToGrid w:val="0"/>
        <w:spacing w:line="360" w:lineRule="auto"/>
        <w:ind w:firstLine="480" w:firstLineChars="200"/>
        <w:jc w:val="both"/>
        <w:rPr>
          <w:rFonts w:hint="default" w:ascii="Times New Roman" w:hAnsi="Times New Roman" w:cs="Times New Roman"/>
          <w:sz w:val="24"/>
          <w:szCs w:val="24"/>
        </w:rPr>
      </w:pPr>
      <w:r>
        <w:rPr>
          <w:rFonts w:hint="eastAsia" w:ascii="Times New Roman" w:hAnsi="Times New Roman"/>
          <w:sz w:val="24"/>
          <w:szCs w:val="24"/>
          <w:lang w:val="en-US" w:eastAsia="zh-CN"/>
        </w:rPr>
        <w:t>本项目产生的废水污染物治理措施及排放情况与环评及批复内容一致</w:t>
      </w:r>
      <w:r>
        <w:rPr>
          <w:rFonts w:hint="eastAsia" w:ascii="Times New Roman" w:hAnsi="Times New Roman"/>
          <w:sz w:val="24"/>
          <w:szCs w:val="24"/>
        </w:rPr>
        <w:t>。</w:t>
      </w:r>
    </w:p>
    <w:p>
      <w:pPr>
        <w:adjustRightInd w:val="0"/>
        <w:snapToGrid w:val="0"/>
        <w:spacing w:line="360" w:lineRule="auto"/>
        <w:ind w:firstLine="480" w:firstLineChars="200"/>
        <w:jc w:val="both"/>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噪声</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该项目噪声主要</w:t>
      </w:r>
      <w:r>
        <w:rPr>
          <w:rFonts w:hint="eastAsia" w:ascii="Times New Roman" w:hAnsi="Times New Roman"/>
          <w:sz w:val="24"/>
          <w:szCs w:val="24"/>
          <w:lang w:eastAsia="zh-CN"/>
        </w:rPr>
        <w:t>为机械设备</w:t>
      </w:r>
      <w:r>
        <w:rPr>
          <w:rFonts w:hint="eastAsia" w:ascii="Times New Roman" w:hAnsi="Times New Roman"/>
          <w:sz w:val="24"/>
          <w:szCs w:val="24"/>
        </w:rPr>
        <w:t>运行时发出的机械噪声。</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经验收现场勘踏检查</w:t>
      </w:r>
      <w:r>
        <w:rPr>
          <w:rFonts w:hint="eastAsia" w:ascii="Times New Roman" w:hAnsi="Times New Roman"/>
          <w:sz w:val="24"/>
          <w:szCs w:val="24"/>
          <w:lang w:eastAsia="zh-CN"/>
        </w:rPr>
        <w:t>，项目噪声治理采取了以下措施</w:t>
      </w:r>
      <w:r>
        <w:rPr>
          <w:rFonts w:hint="eastAsia" w:ascii="Times New Roman" w:hAnsi="Times New Roman"/>
          <w:sz w:val="24"/>
          <w:szCs w:val="24"/>
        </w:rPr>
        <w:t>：</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1</w:t>
      </w:r>
      <w:r>
        <w:rPr>
          <w:rFonts w:hint="default" w:ascii="Times New Roman" w:hAnsi="Times New Roman" w:cs="Times New Roman"/>
          <w:color w:val="000000"/>
          <w:kern w:val="21"/>
          <w:sz w:val="24"/>
          <w:szCs w:val="24"/>
        </w:rPr>
        <w:t>）从声源上控制，选择低噪声和符合国家噪声标准的设备；</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2</w:t>
      </w:r>
      <w:r>
        <w:rPr>
          <w:rFonts w:hint="default" w:ascii="Times New Roman" w:hAnsi="Times New Roman" w:cs="Times New Roman"/>
          <w:color w:val="000000"/>
          <w:kern w:val="21"/>
          <w:sz w:val="24"/>
          <w:szCs w:val="24"/>
        </w:rPr>
        <w:t>）合理安排设备位置，尽量远离敏感点，尽可能利用距离进行声级衰减；</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eastAsia="Times New Roman" w:cs="Times New Roman"/>
          <w:color w:val="000000"/>
          <w:kern w:val="21"/>
          <w:sz w:val="24"/>
          <w:szCs w:val="24"/>
        </w:rPr>
        <w:t>3</w:t>
      </w:r>
      <w:r>
        <w:rPr>
          <w:rFonts w:hint="default" w:ascii="Times New Roman" w:hAnsi="Times New Roman" w:cs="Times New Roman"/>
          <w:color w:val="000000"/>
          <w:kern w:val="21"/>
          <w:sz w:val="24"/>
          <w:szCs w:val="24"/>
        </w:rPr>
        <w:t>）项目运营后加强设备的使用和日常维护管理，维持设备处于良好的运转状态，定期检查、维修，不符合要求的要及时更换，避免因设备运转不正常导致噪声的增高；</w:t>
      </w:r>
    </w:p>
    <w:p>
      <w:pPr>
        <w:adjustRightInd w:val="0"/>
        <w:snapToGrid w:val="0"/>
        <w:spacing w:line="360" w:lineRule="auto"/>
        <w:ind w:firstLine="480" w:firstLineChars="200"/>
        <w:rPr>
          <w:rFonts w:hint="eastAsia" w:ascii="Times New Roman" w:hAnsi="Times New Roman"/>
          <w:sz w:val="24"/>
        </w:rPr>
      </w:pPr>
      <w:r>
        <w:rPr>
          <w:rFonts w:hint="default" w:ascii="Times New Roman" w:hAnsi="Times New Roman" w:cs="Times New Roman"/>
          <w:color w:val="000000"/>
          <w:kern w:val="21"/>
          <w:sz w:val="24"/>
          <w:szCs w:val="24"/>
        </w:rPr>
        <w:t>4）厂界四周种植高大乔木等，最大限度减低噪声对区域环境的影响</w:t>
      </w:r>
      <w:r>
        <w:rPr>
          <w:rFonts w:hint="eastAsia" w:ascii="Times New Roman" w:hAnsi="Times New Roman"/>
          <w:sz w:val="24"/>
        </w:rPr>
        <w:t>。</w:t>
      </w:r>
    </w:p>
    <w:p>
      <w:pPr>
        <w:adjustRightInd w:val="0"/>
        <w:snapToGrid w:val="0"/>
        <w:spacing w:line="360" w:lineRule="auto"/>
        <w:ind w:firstLine="480" w:firstLineChars="200"/>
        <w:jc w:val="both"/>
        <w:rPr>
          <w:rFonts w:hint="default" w:ascii="Times New Roman" w:hAnsi="Times New Roman" w:cs="Times New Roman"/>
          <w:color w:val="FF0000"/>
          <w:sz w:val="24"/>
          <w:szCs w:val="24"/>
        </w:rPr>
      </w:pPr>
      <w:r>
        <w:rPr>
          <w:rFonts w:hint="eastAsia" w:ascii="Times New Roman" w:hAnsi="Times New Roman"/>
          <w:sz w:val="24"/>
        </w:rPr>
        <w:t xml:space="preserve"> 通过以上措施，本项目厂界噪声可达标排放，对周围环境影响不大。</w:t>
      </w:r>
      <w:r>
        <w:rPr>
          <w:rFonts w:hint="default" w:ascii="Times New Roman" w:hAnsi="Times New Roman" w:cs="Times New Roman"/>
          <w:color w:val="FF0000"/>
          <w:sz w:val="24"/>
          <w:szCs w:val="24"/>
        </w:rPr>
        <mc:AlternateContent>
          <mc:Choice Requires="wps">
            <w:drawing>
              <wp:anchor distT="0" distB="0" distL="114300" distR="114300" simplePos="0" relativeHeight="251663360" behindDoc="1" locked="0" layoutInCell="0" allowOverlap="1">
                <wp:simplePos x="0" y="0"/>
                <wp:positionH relativeFrom="column">
                  <wp:posOffset>1161415</wp:posOffset>
                </wp:positionH>
                <wp:positionV relativeFrom="paragraph">
                  <wp:posOffset>-2397125</wp:posOffset>
                </wp:positionV>
                <wp:extent cx="12700" cy="12700"/>
                <wp:effectExtent l="4445" t="4445" r="20955" b="11430"/>
                <wp:wrapNone/>
                <wp:docPr id="67" name="矩形 67"/>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solidFill>
                            <a:srgbClr val="FFFFFF"/>
                          </a:solidFill>
                          <a:prstDash val="solid"/>
                          <a:miter/>
                          <a:headEnd type="none" w="med" len="med"/>
                          <a:tailEnd type="none" w="med" len="med"/>
                        </a:ln>
                        <a:effectLst/>
                      </wps:spPr>
                      <wps:txbx>
                        <w:txbxContent>
                          <w:p/>
                        </w:txbxContent>
                      </wps:txbx>
                      <wps:bodyPr upright="1"/>
                    </wps:wsp>
                  </a:graphicData>
                </a:graphic>
              </wp:anchor>
            </w:drawing>
          </mc:Choice>
          <mc:Fallback>
            <w:pict>
              <v:rect id="_x0000_s1026" o:spid="_x0000_s1026" o:spt="1" style="position:absolute;left:0pt;margin-left:91.45pt;margin-top:-188.75pt;height:1pt;width:1pt;z-index:-251653120;mso-width-relative:page;mso-height-relative:page;" fillcolor="#000000" filled="t" stroked="t" coordsize="21600,21600" o:allowincell="f" o:gfxdata="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3KoCX2QAAAA0BAAAPAAAAAAAAAAEAIAAAACIAAABkcnMv&#10;ZG93bnJldi54bWxQSwECFAAUAAAACACHTuJAMuyFuQICAAA2BAAADgAAAAAAAAABACAAAAAoAQAA&#10;ZHJzL2Uyb0RvYy54bWxQSwUGAAAAAAYABgBZAQAAnAUAAAAA&#10;">
                <v:fill on="t" focussize="0,0"/>
                <v:stroke color="#FFFFFF" joinstyle="miter"/>
                <v:imagedata o:title=""/>
                <o:lock v:ext="edit" aspectratio="f"/>
                <v:textbox>
                  <w:txbxContent>
                    <w:p/>
                  </w:txbxContent>
                </v:textbox>
              </v:rect>
            </w:pict>
          </mc:Fallback>
        </mc:AlternateContent>
      </w:r>
      <w:r>
        <w:rPr>
          <w:rFonts w:hint="default" w:ascii="Times New Roman" w:hAnsi="Times New Roman" w:cs="Times New Roman"/>
          <w:color w:val="FF0000"/>
          <w:sz w:val="24"/>
          <w:szCs w:val="24"/>
        </w:rPr>
        <mc:AlternateContent>
          <mc:Choice Requires="wps">
            <w:drawing>
              <wp:anchor distT="0" distB="0" distL="114300" distR="114300" simplePos="0" relativeHeight="251664384" behindDoc="1" locked="0" layoutInCell="0" allowOverlap="1">
                <wp:simplePos x="0" y="0"/>
                <wp:positionH relativeFrom="column">
                  <wp:posOffset>2327910</wp:posOffset>
                </wp:positionH>
                <wp:positionV relativeFrom="paragraph">
                  <wp:posOffset>-2397125</wp:posOffset>
                </wp:positionV>
                <wp:extent cx="12700" cy="12700"/>
                <wp:effectExtent l="4445" t="4445" r="20955" b="11430"/>
                <wp:wrapNone/>
                <wp:docPr id="68" name="矩形 68"/>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solidFill>
                            <a:srgbClr val="FFFFFF"/>
                          </a:solidFill>
                          <a:prstDash val="solid"/>
                          <a:miter/>
                          <a:headEnd type="none" w="med" len="med"/>
                          <a:tailEnd type="none" w="med" len="med"/>
                        </a:ln>
                        <a:effectLst/>
                      </wps:spPr>
                      <wps:txbx>
                        <w:txbxContent>
                          <w:p/>
                        </w:txbxContent>
                      </wps:txbx>
                      <wps:bodyPr upright="1"/>
                    </wps:wsp>
                  </a:graphicData>
                </a:graphic>
              </wp:anchor>
            </w:drawing>
          </mc:Choice>
          <mc:Fallback>
            <w:pict>
              <v:rect id="_x0000_s1026" o:spid="_x0000_s1026" o:spt="1" style="position:absolute;left:0pt;margin-left:183.3pt;margin-top:-188.75pt;height:1pt;width:1pt;z-index:-251652096;mso-width-relative:page;mso-height-relative:page;" fillcolor="#000000" filled="t" stroked="t" coordsize="21600,21600" o:allowincell="f" o:gfxdata="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V+m6bZAAAADQEAAA8AAAAAAAAAAQAgAAAAIgAAAGRycy9k&#10;b3ducmV2LnhtbFBLAQIUABQAAAAIAIdO4kA0tHnSAQIAADYEAAAOAAAAAAAAAAEAIAAAACgBAABk&#10;cnMvZTJvRG9jLnhtbFBLBQYAAAAABgAGAFkBAACbBQAAAAA=&#10;">
                <v:fill on="t" focussize="0,0"/>
                <v:stroke color="#FFFFFF" joinstyle="miter"/>
                <v:imagedata o:title=""/>
                <o:lock v:ext="edit" aspectratio="f"/>
                <v:textbox>
                  <w:txbxContent>
                    <w:p/>
                  </w:txbxContent>
                </v:textbox>
              </v:rect>
            </w:pict>
          </mc:Fallback>
        </mc:AlternateContent>
      </w:r>
      <w:r>
        <w:rPr>
          <w:rFonts w:hint="default" w:ascii="Times New Roman" w:hAnsi="Times New Roman" w:cs="Times New Roman"/>
          <w:color w:val="FF0000"/>
          <w:sz w:val="24"/>
          <w:szCs w:val="24"/>
        </w:rPr>
        <mc:AlternateContent>
          <mc:Choice Requires="wps">
            <w:drawing>
              <wp:anchor distT="0" distB="0" distL="114300" distR="114300" simplePos="0" relativeHeight="251665408" behindDoc="1" locked="0" layoutInCell="0" allowOverlap="1">
                <wp:simplePos x="0" y="0"/>
                <wp:positionH relativeFrom="column">
                  <wp:posOffset>3492500</wp:posOffset>
                </wp:positionH>
                <wp:positionV relativeFrom="paragraph">
                  <wp:posOffset>-2397125</wp:posOffset>
                </wp:positionV>
                <wp:extent cx="12700" cy="12700"/>
                <wp:effectExtent l="4445" t="4445" r="20955" b="11430"/>
                <wp:wrapNone/>
                <wp:docPr id="69" name="矩形 69"/>
                <wp:cNvGraphicFramePr/>
                <a:graphic xmlns:a="http://schemas.openxmlformats.org/drawingml/2006/main">
                  <a:graphicData uri="http://schemas.microsoft.com/office/word/2010/wordprocessingShape">
                    <wps:wsp>
                      <wps:cNvSpPr/>
                      <wps:spPr>
                        <a:xfrm>
                          <a:off x="0" y="0"/>
                          <a:ext cx="12700" cy="12700"/>
                        </a:xfrm>
                        <a:prstGeom prst="rect">
                          <a:avLst/>
                        </a:prstGeom>
                        <a:solidFill>
                          <a:srgbClr val="000000"/>
                        </a:solidFill>
                        <a:ln w="9525" cap="flat" cmpd="sng">
                          <a:solidFill>
                            <a:srgbClr val="FFFFFF"/>
                          </a:solidFill>
                          <a:prstDash val="solid"/>
                          <a:miter/>
                          <a:headEnd type="none" w="med" len="med"/>
                          <a:tailEnd type="none" w="med" len="med"/>
                        </a:ln>
                        <a:effectLst/>
                      </wps:spPr>
                      <wps:txbx>
                        <w:txbxContent>
                          <w:p/>
                        </w:txbxContent>
                      </wps:txbx>
                      <wps:bodyPr upright="1"/>
                    </wps:wsp>
                  </a:graphicData>
                </a:graphic>
              </wp:anchor>
            </w:drawing>
          </mc:Choice>
          <mc:Fallback>
            <w:pict>
              <v:rect id="_x0000_s1026" o:spid="_x0000_s1026" o:spt="1" style="position:absolute;left:0pt;margin-left:275pt;margin-top:-188.75pt;height:1pt;width:1pt;z-index:-251651072;mso-width-relative:page;mso-height-relative:page;" fillcolor="#000000" filled="t" stroked="t" coordsize="21600,21600" o:allowincell="f" o:gfxdata="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JrTi7PYAAAADQEAAA8AAAAAAAAAAQAgAAAAIgAAAGRycy9k&#10;b3ducmV2LnhtbFBLAQIUABQAAAAIAIdO4kChdN5vAgIAADYEAAAOAAAAAAAAAAEAIAAAACcBAABk&#10;cnMvZTJvRG9jLnhtbFBLBQYAAAAABgAGAFkBAACbBQAAAAA=&#10;">
                <v:fill on="t" focussize="0,0"/>
                <v:stroke color="#FFFFFF" joinstyle="miter"/>
                <v:imagedata o:title=""/>
                <o:lock v:ext="edit" aspectratio="f"/>
                <v:textbox>
                  <w:txbxContent>
                    <w:p/>
                  </w:txbxContent>
                </v:textbox>
              </v:rect>
            </w:pict>
          </mc:Fallback>
        </mc:AlternateContent>
      </w:r>
      <w:r>
        <w:rPr>
          <w:rFonts w:hint="default" w:ascii="Times New Roman" w:hAnsi="Times New Roman" w:cs="Times New Roman"/>
          <w:color w:val="FF0000"/>
          <w:sz w:val="24"/>
          <w:szCs w:val="24"/>
        </w:rPr>
        <mc:AlternateContent>
          <mc:Choice Requires="wps">
            <w:drawing>
              <wp:anchor distT="0" distB="0" distL="114300" distR="114300" simplePos="0" relativeHeight="251666432" behindDoc="1" locked="0" layoutInCell="0" allowOverlap="1">
                <wp:simplePos x="0" y="0"/>
                <wp:positionH relativeFrom="column">
                  <wp:posOffset>4658995</wp:posOffset>
                </wp:positionH>
                <wp:positionV relativeFrom="paragraph">
                  <wp:posOffset>-2397125</wp:posOffset>
                </wp:positionV>
                <wp:extent cx="12065" cy="12700"/>
                <wp:effectExtent l="4445" t="4445" r="21590" b="11430"/>
                <wp:wrapNone/>
                <wp:docPr id="70" name="矩形 70"/>
                <wp:cNvGraphicFramePr/>
                <a:graphic xmlns:a="http://schemas.openxmlformats.org/drawingml/2006/main">
                  <a:graphicData uri="http://schemas.microsoft.com/office/word/2010/wordprocessingShape">
                    <wps:wsp>
                      <wps:cNvSpPr/>
                      <wps:spPr>
                        <a:xfrm>
                          <a:off x="0" y="0"/>
                          <a:ext cx="12065" cy="12700"/>
                        </a:xfrm>
                        <a:prstGeom prst="rect">
                          <a:avLst/>
                        </a:prstGeom>
                        <a:solidFill>
                          <a:srgbClr val="000000"/>
                        </a:solidFill>
                        <a:ln w="9525" cap="flat" cmpd="sng">
                          <a:solidFill>
                            <a:srgbClr val="FFFFFF"/>
                          </a:solidFill>
                          <a:prstDash val="solid"/>
                          <a:miter/>
                          <a:headEnd type="none" w="med" len="med"/>
                          <a:tailEnd type="none" w="med" len="med"/>
                        </a:ln>
                        <a:effectLst/>
                      </wps:spPr>
                      <wps:txbx>
                        <w:txbxContent>
                          <w:p/>
                        </w:txbxContent>
                      </wps:txbx>
                      <wps:bodyPr upright="1"/>
                    </wps:wsp>
                  </a:graphicData>
                </a:graphic>
              </wp:anchor>
            </w:drawing>
          </mc:Choice>
          <mc:Fallback>
            <w:pict>
              <v:rect id="_x0000_s1026" o:spid="_x0000_s1026" o:spt="1" style="position:absolute;left:0pt;margin-left:366.85pt;margin-top:-188.75pt;height:1pt;width:0.95pt;z-index:-251650048;mso-width-relative:page;mso-height-relative:page;" fillcolor="#000000" filled="t" stroked="t" coordsize="21600,21600" o:allowincell="f" o:gfxdata="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a52ZktoAAAANAQAADwAAAAAAAAABACAAAAAiAAAA&#10;ZHJzL2Rvd25yZXYueG1sUEsBAhQAFAAAAAgAh07iQGs/WjIFAgAANgQAAA4AAAAAAAAAAQAgAAAA&#10;KQEAAGRycy9lMm9Eb2MueG1sUEsFBgAAAAAGAAYAWQEAAKAFAAAAAA==&#10;">
                <v:fill on="t" focussize="0,0"/>
                <v:stroke color="#FFFFFF" joinstyle="miter"/>
                <v:imagedata o:title=""/>
                <o:lock v:ext="edit" aspectratio="f"/>
                <v:textbox>
                  <w:txbxContent>
                    <w:p/>
                  </w:txbxContent>
                </v:textbox>
              </v:rect>
            </w:pict>
          </mc:Fallback>
        </mc:AlternateContent>
      </w:r>
      <w:bookmarkStart w:id="0" w:name="page24"/>
      <w:bookmarkEnd w:id="0"/>
    </w:p>
    <w:p>
      <w:pPr>
        <w:adjustRightInd w:val="0"/>
        <w:snapToGrid w:val="0"/>
        <w:spacing w:line="360" w:lineRule="auto"/>
        <w:ind w:firstLine="480" w:firstLineChars="200"/>
        <w:jc w:val="both"/>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4</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固体废物</w:t>
      </w:r>
    </w:p>
    <w:p>
      <w:pPr>
        <w:adjustRightInd w:val="0"/>
        <w:snapToGrid w:val="0"/>
        <w:spacing w:line="360" w:lineRule="auto"/>
        <w:ind w:firstLine="480" w:firstLineChars="200"/>
        <w:jc w:val="both"/>
        <w:rPr>
          <w:rFonts w:hint="eastAsia" w:ascii="Times New Roman" w:hAnsi="Times New Roman"/>
          <w:sz w:val="24"/>
          <w:szCs w:val="24"/>
          <w:lang w:eastAsia="zh-CN"/>
        </w:rPr>
      </w:pPr>
      <w:r>
        <w:rPr>
          <w:rFonts w:hint="default" w:ascii="Times New Roman" w:hAnsi="Times New Roman" w:cs="Times New Roman"/>
          <w:color w:val="000000"/>
          <w:kern w:val="21"/>
          <w:sz w:val="24"/>
        </w:rPr>
        <w:t>项目营运过程产生废包装袋在厂房内集中收集后外售，剩余污泥脱水后送往垃圾填埋厂填埋，生活垃圾收集后送往垃圾中转站，项目固废得到妥善处理，不会对周围环境产生二次污染。</w:t>
      </w:r>
    </w:p>
    <w:p>
      <w:pPr>
        <w:adjustRightInd w:val="0"/>
        <w:snapToGrid w:val="0"/>
        <w:spacing w:line="360" w:lineRule="auto"/>
        <w:jc w:val="both"/>
        <w:rPr>
          <w:rFonts w:ascii="Times New Roman" w:hAnsi="Times New Roman"/>
          <w:kern w:val="21"/>
          <w:sz w:val="24"/>
          <w:szCs w:val="24"/>
        </w:rPr>
      </w:pPr>
      <w:r>
        <w:rPr>
          <w:rFonts w:hint="eastAsia" w:ascii="宋体" w:hAnsi="宋体"/>
          <w:sz w:val="24"/>
        </w:rPr>
        <w:t xml:space="preserve">    经验收现场勘踏检查：</w:t>
      </w:r>
    </w:p>
    <w:p>
      <w:pPr>
        <w:adjustRightInd w:val="0"/>
        <w:snapToGrid w:val="0"/>
        <w:spacing w:line="360" w:lineRule="auto"/>
        <w:ind w:firstLine="480" w:firstLineChars="200"/>
        <w:jc w:val="both"/>
        <w:rPr>
          <w:rFonts w:hint="default" w:ascii="Times New Roman" w:hAnsi="Times New Roman" w:cs="Times New Roman"/>
          <w:kern w:val="21"/>
          <w:sz w:val="24"/>
          <w:szCs w:val="24"/>
        </w:rPr>
      </w:pPr>
      <w:r>
        <w:rPr>
          <w:rFonts w:hint="eastAsia" w:ascii="Times New Roman" w:hAnsi="Times New Roman"/>
          <w:sz w:val="24"/>
          <w:szCs w:val="24"/>
          <w:lang w:val="en-US" w:eastAsia="zh-CN"/>
        </w:rPr>
        <w:t>项目营运过程产生废包装袋在厂房内集中收集后外售，剩余污泥脱水后送往垃圾填埋厂填埋，生活垃圾收集后送往垃圾中转站，项目固废得到妥善处理，不会对周围环境产生二次污染。</w:t>
      </w:r>
    </w:p>
    <w:p>
      <w:pPr>
        <w:pStyle w:val="7"/>
        <w:shd w:val="clear" w:color="auto" w:fill="FFFFFF"/>
        <w:adjustRightInd w:val="0"/>
        <w:snapToGrid w:val="0"/>
        <w:spacing w:before="0" w:beforeAutospacing="0" w:after="0" w:afterAutospacing="0" w:line="360" w:lineRule="auto"/>
        <w:ind w:firstLine="480" w:firstLineChars="200"/>
        <w:jc w:val="both"/>
        <w:rPr>
          <w:rFonts w:ascii="Times New Roman" w:hAnsi="Times New Roman" w:cs="Times New Roman" w:eastAsiaTheme="minorEastAsia"/>
          <w:bCs/>
        </w:rPr>
      </w:pPr>
      <w:r>
        <w:rPr>
          <w:rStyle w:val="11"/>
          <w:rFonts w:hint="eastAsia" w:ascii="Times New Roman" w:hAnsi="Times New Roman" w:cs="Times New Roman" w:eastAsiaTheme="minorEastAsia"/>
          <w:b w:val="0"/>
          <w:lang w:eastAsia="zh-CN"/>
        </w:rPr>
        <w:t>四</w:t>
      </w:r>
      <w:r>
        <w:rPr>
          <w:rStyle w:val="11"/>
          <w:rFonts w:ascii="Times New Roman" w:hAnsi="Times New Roman" w:cs="Times New Roman" w:eastAsiaTheme="minorEastAsia"/>
          <w:b w:val="0"/>
        </w:rPr>
        <w:t>、环境保护设施调试效果</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根据《</w:t>
      </w:r>
      <w:r>
        <w:rPr>
          <w:rFonts w:hint="eastAsia" w:ascii="Times New Roman" w:hAnsi="Times New Roman" w:cs="Times New Roman" w:eastAsiaTheme="minorEastAsia"/>
          <w:bCs/>
          <w:lang w:eastAsia="zh-CN"/>
        </w:rPr>
        <w:t>新乡市初心食品有限公司年加工2万吨速冻食品建设项目</w:t>
      </w:r>
      <w:r>
        <w:rPr>
          <w:rFonts w:ascii="Times New Roman" w:hAnsi="Times New Roman" w:cs="Times New Roman" w:eastAsiaTheme="minorEastAsia"/>
          <w:bCs/>
        </w:rPr>
        <w:t>竣工环境保护验收监测报告表》，监测期间，各环保设施运行正常，生产负荷在</w:t>
      </w:r>
      <w:r>
        <w:rPr>
          <w:rFonts w:ascii="Times New Roman" w:hAnsi="Times New Roman"/>
          <w:color w:val="171717"/>
        </w:rPr>
        <w:t>75%以上</w:t>
      </w:r>
      <w:r>
        <w:rPr>
          <w:rFonts w:ascii="Times New Roman" w:hAnsi="Times New Roman" w:cs="Times New Roman" w:eastAsiaTheme="minorEastAsia"/>
          <w:bCs/>
        </w:rPr>
        <w:t>，符合监测期间生产负荷大于75%的工况要求。</w:t>
      </w:r>
    </w:p>
    <w:p>
      <w:pPr>
        <w:adjustRightInd w:val="0"/>
        <w:snapToGrid w:val="0"/>
        <w:spacing w:line="360" w:lineRule="auto"/>
        <w:ind w:firstLine="480" w:firstLineChars="200"/>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1）废水：验收检测期间，项目废水污染物化学需氧量排放浓度为58~70mg/L，悬浮物排放浓度为20~32mg/L，氨氮排放浓度为8.88~10.9mg/L，总磷排放浓度为0.68~0.81mg/L，总氮排放浓度为12.7~15.2mg/L，出水水质较好，可排入封丘县尹岗镇玉兰苑社区农村污水处理厂进行深度处理。</w:t>
      </w:r>
    </w:p>
    <w:p>
      <w:pPr>
        <w:adjustRightInd w:val="0"/>
        <w:snapToGrid w:val="0"/>
        <w:spacing w:line="360" w:lineRule="auto"/>
        <w:ind w:firstLine="480" w:firstLineChars="200"/>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2）废气：验收检测期间，项目厂界颗粒物排放浓度为0.284~0.484mg/m3，能够满足《大气污染物综合排放标准》（GB16297-1996）表2周界最高允许排放浓度1.0mg/m3的标准要求，同时满足新乡市生态环境局《关于进一步规范工业企业颗粒物放限值的通知》中涉气工业企业厂界颗粒物排放浓度不高于0.5mg/m3的限值要求；</w:t>
      </w:r>
    </w:p>
    <w:p>
      <w:pPr>
        <w:adjustRightInd w:val="0"/>
        <w:snapToGrid w:val="0"/>
        <w:spacing w:line="360" w:lineRule="auto"/>
        <w:ind w:firstLine="480" w:firstLineChars="200"/>
        <w:jc w:val="both"/>
        <w:rPr>
          <w:rFonts w:hint="eastAsia" w:ascii="Times New Roman" w:hAnsi="Times New Roman" w:cs="Times New Roman"/>
          <w:color w:val="auto"/>
          <w:sz w:val="24"/>
          <w:szCs w:val="24"/>
          <w:lang w:val="en-US" w:eastAsia="zh-CN"/>
        </w:rPr>
      </w:pPr>
      <w:r>
        <w:rPr>
          <w:rFonts w:hint="eastAsia" w:ascii="Times New Roman" w:hAnsi="Times New Roman" w:cs="Times New Roman"/>
          <w:color w:val="auto"/>
          <w:sz w:val="24"/>
          <w:szCs w:val="24"/>
          <w:lang w:val="en-US" w:eastAsia="zh-CN"/>
        </w:rPr>
        <w:t>3）噪声：验收检测期间，该公司厂界昼间环境噪声值在56.7~57.6dB(A)之间，能够达到《工业企业厂界环境噪声排放标准》(GB12348-2008)2类标准：昼间≤60dB(A)的限值要求；敏感点张岗村及张岗村幼儿园昼间环境噪声值在50.7~53.9dB(A)之间，能够达到《声环境质量标准》（GB3096-2008）2类标准：昼间≤60dB(A)的限值要求。</w:t>
      </w:r>
    </w:p>
    <w:p>
      <w:pPr>
        <w:spacing w:line="360" w:lineRule="auto"/>
        <w:ind w:firstLine="480" w:firstLineChars="200"/>
        <w:jc w:val="both"/>
        <w:rPr>
          <w:rFonts w:hint="eastAsia" w:ascii="Times New Roman" w:hAnsi="Times New Roman" w:cs="Times New Roman" w:eastAsiaTheme="minorEastAsia"/>
          <w:color w:val="0000FF"/>
          <w:sz w:val="24"/>
          <w:szCs w:val="24"/>
          <w:lang w:eastAsia="zh-CN"/>
        </w:rPr>
      </w:pPr>
      <w:r>
        <w:rPr>
          <w:rFonts w:hint="eastAsia" w:ascii="Times New Roman" w:hAnsi="Times New Roman" w:cs="Times New Roman"/>
          <w:color w:val="auto"/>
          <w:sz w:val="24"/>
          <w:szCs w:val="24"/>
          <w:lang w:val="en-US" w:eastAsia="zh-CN"/>
        </w:rPr>
        <w:t>4）固体废物：项目营运过程产生废包装袋在厂房内集中收集后外售，剩余污泥脱水后送往垃圾填埋厂填埋，生活垃圾收集后送往垃圾中转站，项目固废得到妥善处理，不会对周围环境产生二次污染。</w:t>
      </w:r>
    </w:p>
    <w:p>
      <w:pPr>
        <w:widowControl/>
        <w:spacing w:line="360" w:lineRule="auto"/>
        <w:rPr>
          <w:rFonts w:ascii="Times New Roman" w:hAnsi="Times New Roman"/>
          <w:color w:val="171717"/>
          <w:sz w:val="24"/>
          <w:szCs w:val="24"/>
        </w:rPr>
      </w:pPr>
      <w:r>
        <w:rPr>
          <w:rFonts w:hint="eastAsia" w:ascii="Times New Roman" w:hAnsi="Times New Roman"/>
          <w:color w:val="171717"/>
          <w:sz w:val="24"/>
          <w:szCs w:val="24"/>
          <w:lang w:eastAsia="zh-CN"/>
        </w:rPr>
        <w:t>五</w:t>
      </w:r>
      <w:r>
        <w:rPr>
          <w:rFonts w:ascii="Times New Roman" w:hAnsi="Times New Roman"/>
          <w:color w:val="171717"/>
          <w:sz w:val="24"/>
          <w:szCs w:val="24"/>
        </w:rPr>
        <w:t>、验收结论</w:t>
      </w:r>
    </w:p>
    <w:p>
      <w:pPr>
        <w:widowControl/>
        <w:spacing w:line="360" w:lineRule="auto"/>
        <w:ind w:firstLine="480" w:firstLineChars="200"/>
        <w:rPr>
          <w:rFonts w:ascii="Times New Roman" w:hAnsi="Times New Roman"/>
          <w:color w:val="171717"/>
          <w:sz w:val="24"/>
          <w:szCs w:val="24"/>
        </w:rPr>
      </w:pPr>
      <w:r>
        <w:rPr>
          <w:rFonts w:ascii="Times New Roman" w:hAnsi="Times New Roman"/>
          <w:color w:val="171717"/>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widowControl/>
        <w:spacing w:line="360" w:lineRule="auto"/>
        <w:ind w:firstLine="480" w:firstLineChars="200"/>
        <w:rPr>
          <w:rFonts w:ascii="Times New Roman" w:hAnsi="Times New Roman"/>
          <w:color w:val="171717"/>
          <w:sz w:val="24"/>
          <w:szCs w:val="24"/>
        </w:rPr>
      </w:pPr>
      <w:r>
        <w:rPr>
          <w:rFonts w:ascii="Times New Roman" w:hAnsi="Times New Roman"/>
          <w:color w:val="171717"/>
          <w:sz w:val="24"/>
          <w:szCs w:val="24"/>
        </w:rPr>
        <w:t>综上所述，</w:t>
      </w:r>
      <w:r>
        <w:rPr>
          <w:rFonts w:hint="eastAsia" w:ascii="Times New Roman" w:hAnsi="Times New Roman"/>
          <w:color w:val="171717"/>
          <w:sz w:val="24"/>
          <w:szCs w:val="24"/>
          <w:lang w:eastAsia="zh-CN"/>
        </w:rPr>
        <w:t>新乡市初心食品有限公司年加工2万吨速冻食品建设项目</w:t>
      </w:r>
      <w:r>
        <w:rPr>
          <w:rFonts w:ascii="Times New Roman" w:hAnsi="Times New Roman"/>
          <w:color w:val="171717"/>
          <w:sz w:val="24"/>
          <w:szCs w:val="24"/>
        </w:rPr>
        <w:t>不存在《建设项目竣工环境保护暂行办法》中所规定的验收不合格情形，验收组一致同意本项目通过项目竣工环境保护验收。</w:t>
      </w:r>
    </w:p>
    <w:p>
      <w:pPr>
        <w:widowControl/>
        <w:spacing w:line="360" w:lineRule="auto"/>
        <w:ind w:firstLine="480" w:firstLineChars="200"/>
        <w:rPr>
          <w:rFonts w:ascii="Times New Roman" w:hAnsi="Times New Roman"/>
          <w:color w:val="171717"/>
          <w:sz w:val="24"/>
          <w:szCs w:val="24"/>
        </w:rPr>
      </w:pPr>
      <w:r>
        <w:rPr>
          <w:rFonts w:ascii="Times New Roman" w:hAnsi="Times New Roman"/>
          <w:color w:val="171717"/>
          <w:sz w:val="24"/>
          <w:szCs w:val="24"/>
        </w:rPr>
        <w:t>建议：</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1.企业对各种污染防治措施加强管理，发现问题及时采取措施解决，确保污染治理设施能够长期稳定运行，做到污染物稳定达标排放。</w:t>
      </w:r>
    </w:p>
    <w:p>
      <w:pPr>
        <w:pStyle w:val="7"/>
        <w:shd w:val="clear" w:color="auto" w:fill="FFFFFF"/>
        <w:adjustRightInd w:val="0"/>
        <w:snapToGrid w:val="0"/>
        <w:spacing w:before="0" w:beforeAutospacing="0" w:after="0" w:afterAutospacing="0" w:line="360" w:lineRule="auto"/>
        <w:ind w:firstLine="480" w:firstLineChars="200"/>
        <w:rPr>
          <w:rFonts w:ascii="Times New Roman" w:hAnsi="Times New Roman" w:cs="Times New Roman" w:eastAsiaTheme="minorEastAsia"/>
          <w:bCs/>
        </w:rPr>
      </w:pPr>
      <w:r>
        <w:rPr>
          <w:rFonts w:ascii="Times New Roman" w:hAnsi="Times New Roman" w:cs="Times New Roman" w:eastAsiaTheme="minorEastAsia"/>
          <w:bCs/>
        </w:rPr>
        <w:t>2.完善排污口管理，规范环保标识。</w:t>
      </w:r>
    </w:p>
    <w:p>
      <w:pPr>
        <w:pStyle w:val="7"/>
        <w:shd w:val="clear" w:color="auto" w:fill="FFFFFF"/>
        <w:adjustRightInd w:val="0"/>
        <w:snapToGrid w:val="0"/>
        <w:spacing w:before="0" w:beforeAutospacing="0" w:after="0" w:afterAutospacing="0" w:line="360" w:lineRule="auto"/>
        <w:jc w:val="right"/>
        <w:rPr>
          <w:rFonts w:hint="eastAsia" w:ascii="Times New Roman" w:hAnsi="Times New Roman" w:cs="Times New Roman" w:eastAsiaTheme="minorEastAsia"/>
          <w:bCs/>
          <w:lang w:eastAsia="zh-CN"/>
        </w:rPr>
      </w:pPr>
      <w:r>
        <w:rPr>
          <w:rFonts w:hint="eastAsia" w:ascii="Times New Roman" w:hAnsi="Times New Roman" w:cs="Times New Roman" w:eastAsiaTheme="minorEastAsia"/>
          <w:bCs/>
        </w:rPr>
        <w:t xml:space="preserve">            </w:t>
      </w:r>
      <w:r>
        <w:rPr>
          <w:rFonts w:hint="eastAsia" w:ascii="Times New Roman" w:hAnsi="Times New Roman" w:cs="Times New Roman" w:eastAsiaTheme="minorEastAsia"/>
          <w:bCs/>
          <w:lang w:eastAsia="zh-CN"/>
        </w:rPr>
        <w:t>新乡市初心食品有限公司</w:t>
      </w:r>
    </w:p>
    <w:p>
      <w:pPr>
        <w:pStyle w:val="7"/>
        <w:shd w:val="clear" w:color="auto" w:fill="FFFFFF"/>
        <w:adjustRightInd w:val="0"/>
        <w:snapToGrid w:val="0"/>
        <w:spacing w:before="0" w:beforeAutospacing="0" w:after="0" w:afterAutospacing="0" w:line="360" w:lineRule="auto"/>
        <w:ind w:firstLine="480" w:firstLineChars="200"/>
        <w:jc w:val="right"/>
        <w:rPr>
          <w:rFonts w:ascii="Times New Roman" w:hAnsi="Times New Roman" w:cs="Times New Roman" w:eastAsiaTheme="minorEastAsia"/>
          <w:bCs/>
        </w:rPr>
      </w:pPr>
      <w:r>
        <w:rPr>
          <w:rFonts w:hint="eastAsia" w:ascii="Times New Roman" w:hAnsi="Times New Roman" w:cs="Times New Roman" w:eastAsiaTheme="minorEastAsia"/>
          <w:bCs/>
        </w:rPr>
        <w:t>202</w:t>
      </w:r>
      <w:r>
        <w:rPr>
          <w:rFonts w:hint="eastAsia" w:ascii="Times New Roman" w:hAnsi="Times New Roman" w:cs="Times New Roman" w:eastAsiaTheme="minorEastAsia"/>
          <w:bCs/>
          <w:lang w:val="en-US" w:eastAsia="zh-CN"/>
        </w:rPr>
        <w:t>2</w:t>
      </w:r>
      <w:r>
        <w:rPr>
          <w:rFonts w:hint="eastAsia" w:ascii="Times New Roman" w:hAnsi="Times New Roman" w:cs="Times New Roman" w:eastAsiaTheme="minorEastAsia"/>
          <w:bCs/>
        </w:rPr>
        <w:t>年</w:t>
      </w:r>
      <w:r>
        <w:rPr>
          <w:rFonts w:hint="eastAsia" w:ascii="Times New Roman" w:hAnsi="Times New Roman" w:cs="Times New Roman" w:eastAsiaTheme="minorEastAsia"/>
          <w:bCs/>
          <w:lang w:val="en-US" w:eastAsia="zh-CN"/>
        </w:rPr>
        <w:t>2</w:t>
      </w:r>
      <w:r>
        <w:rPr>
          <w:rFonts w:hint="eastAsia" w:ascii="Times New Roman" w:hAnsi="Times New Roman" w:cs="Times New Roman" w:eastAsiaTheme="minorEastAsia"/>
          <w:bCs/>
        </w:rPr>
        <w:t>月</w:t>
      </w:r>
    </w:p>
    <w:p>
      <w:pPr>
        <w:pStyle w:val="7"/>
        <w:shd w:val="clear" w:color="auto" w:fill="FFFFFF"/>
        <w:adjustRightInd w:val="0"/>
        <w:snapToGrid w:val="0"/>
        <w:spacing w:before="0" w:beforeAutospacing="0" w:after="0" w:afterAutospacing="0" w:line="360" w:lineRule="auto"/>
        <w:rPr>
          <w:rFonts w:ascii="Times New Roman" w:hAnsi="Times New Roman" w:cs="Times New Roman" w:eastAsiaTheme="minorEastAsia"/>
          <w:bCs/>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pStyle w:val="7"/>
        <w:shd w:val="clear" w:color="auto" w:fill="FFFFFF"/>
        <w:spacing w:before="0" w:beforeAutospacing="0" w:after="0" w:afterAutospacing="0" w:line="384" w:lineRule="atLeast"/>
        <w:jc w:val="center"/>
        <w:rPr>
          <w:rFonts w:hint="eastAsia" w:eastAsia="宋体"/>
          <w:bCs/>
          <w:sz w:val="40"/>
          <w:szCs w:val="40"/>
          <w:lang w:eastAsia="zh-CN"/>
        </w:rPr>
      </w:pPr>
      <w:r>
        <w:rPr>
          <w:rFonts w:hint="eastAsia"/>
          <w:bCs/>
          <w:sz w:val="40"/>
          <w:szCs w:val="40"/>
          <w:lang w:eastAsia="zh-CN"/>
        </w:rPr>
        <w:drawing>
          <wp:anchor distT="0" distB="0" distL="114300" distR="114300" simplePos="0" relativeHeight="251667456" behindDoc="0" locked="0" layoutInCell="1" allowOverlap="1">
            <wp:simplePos x="0" y="0"/>
            <wp:positionH relativeFrom="column">
              <wp:posOffset>666750</wp:posOffset>
            </wp:positionH>
            <wp:positionV relativeFrom="paragraph">
              <wp:posOffset>-2714625</wp:posOffset>
            </wp:positionV>
            <wp:extent cx="7560310" cy="10691495"/>
            <wp:effectExtent l="0" t="0" r="14605" b="2540"/>
            <wp:wrapNone/>
            <wp:docPr id="2" name="图片 2" descr="doc00513420220228141110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c00513420220228141110_001"/>
                    <pic:cNvPicPr>
                      <a:picLocks noChangeAspect="1"/>
                    </pic:cNvPicPr>
                  </pic:nvPicPr>
                  <pic:blipFill>
                    <a:blip r:embed="rId6"/>
                    <a:stretch>
                      <a:fillRect/>
                    </a:stretch>
                  </pic:blipFill>
                  <pic:spPr>
                    <a:xfrm rot="5400000">
                      <a:off x="0" y="0"/>
                      <a:ext cx="7560310" cy="10691495"/>
                    </a:xfrm>
                    <a:prstGeom prst="rect">
                      <a:avLst/>
                    </a:prstGeom>
                  </pic:spPr>
                </pic:pic>
              </a:graphicData>
            </a:graphic>
          </wp:anchor>
        </w:drawing>
      </w:r>
      <w:r>
        <w:rPr>
          <w:rFonts w:hint="eastAsia"/>
          <w:bCs/>
          <w:sz w:val="40"/>
          <w:szCs w:val="40"/>
          <w:lang w:eastAsia="zh-CN"/>
        </w:rPr>
        <w:t>新乡市初心食品有限公司</w:t>
      </w:r>
    </w:p>
    <w:p>
      <w:pPr>
        <w:pStyle w:val="7"/>
        <w:shd w:val="clear" w:color="auto" w:fill="FFFFFF"/>
        <w:spacing w:before="0" w:beforeAutospacing="0" w:after="0" w:afterAutospacing="0" w:line="384" w:lineRule="atLeast"/>
        <w:jc w:val="center"/>
        <w:rPr>
          <w:bCs/>
          <w:sz w:val="40"/>
          <w:szCs w:val="40"/>
        </w:rPr>
      </w:pPr>
      <w:r>
        <w:rPr>
          <w:rFonts w:hint="eastAsia"/>
          <w:bCs/>
          <w:sz w:val="40"/>
          <w:szCs w:val="40"/>
        </w:rPr>
        <w:t>年加工2万吨速冻食品建设项目竣工环境保护验收组名单</w:t>
      </w:r>
    </w:p>
    <w:tbl>
      <w:tblPr>
        <w:tblStyle w:val="9"/>
        <w:tblW w:w="141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1"/>
        <w:gridCol w:w="1667"/>
        <w:gridCol w:w="4000"/>
        <w:gridCol w:w="1419"/>
        <w:gridCol w:w="2363"/>
        <w:gridCol w:w="23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2361"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组成</w:t>
            </w:r>
          </w:p>
        </w:tc>
        <w:tc>
          <w:tcPr>
            <w:tcW w:w="1667"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姓名</w:t>
            </w:r>
          </w:p>
        </w:tc>
        <w:tc>
          <w:tcPr>
            <w:tcW w:w="4000"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单位</w:t>
            </w:r>
          </w:p>
        </w:tc>
        <w:tc>
          <w:tcPr>
            <w:tcW w:w="1419"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职称/职务</w:t>
            </w:r>
          </w:p>
        </w:tc>
        <w:tc>
          <w:tcPr>
            <w:tcW w:w="2363"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电话</w:t>
            </w:r>
          </w:p>
        </w:tc>
        <w:tc>
          <w:tcPr>
            <w:tcW w:w="2363"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1"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负责人（建设单位）</w:t>
            </w:r>
          </w:p>
        </w:tc>
        <w:tc>
          <w:tcPr>
            <w:tcW w:w="1667" w:type="dxa"/>
            <w:vAlign w:val="center"/>
          </w:tcPr>
          <w:p>
            <w:pPr>
              <w:pStyle w:val="7"/>
              <w:spacing w:before="0" w:beforeAutospacing="0" w:after="0" w:afterAutospacing="0" w:line="384" w:lineRule="atLeast"/>
              <w:jc w:val="center"/>
              <w:rPr>
                <w:rFonts w:ascii="Times New Roman" w:hAnsi="Times New Roman" w:cs="Times New Roman"/>
                <w:bCs/>
              </w:rPr>
            </w:pPr>
            <w:r>
              <w:rPr>
                <w:rFonts w:hint="eastAsia" w:ascii="Times New Roman" w:hAnsi="Times New Roman" w:cs="Times New Roman"/>
                <w:bCs/>
              </w:rPr>
              <w:t>张福</w:t>
            </w:r>
          </w:p>
        </w:tc>
        <w:tc>
          <w:tcPr>
            <w:tcW w:w="4000" w:type="dxa"/>
            <w:vAlign w:val="center"/>
          </w:tcPr>
          <w:p>
            <w:pPr>
              <w:pStyle w:val="7"/>
              <w:shd w:val="clear" w:color="auto" w:fill="FFFFFF"/>
              <w:spacing w:before="0" w:beforeAutospacing="0" w:after="0" w:afterAutospacing="0" w:line="384" w:lineRule="atLeast"/>
              <w:jc w:val="center"/>
              <w:rPr>
                <w:rFonts w:hint="eastAsia" w:ascii="Times New Roman" w:hAnsi="Times New Roman" w:eastAsia="宋体" w:cs="Times New Roman"/>
                <w:bCs/>
                <w:lang w:eastAsia="zh-CN"/>
              </w:rPr>
            </w:pPr>
            <w:r>
              <w:rPr>
                <w:rFonts w:hint="eastAsia" w:ascii="Times New Roman" w:hAnsi="Times New Roman" w:cs="Times New Roman"/>
                <w:bCs/>
                <w:lang w:eastAsia="zh-CN"/>
              </w:rPr>
              <w:t>新乡市初心食品有限公司</w:t>
            </w:r>
          </w:p>
        </w:tc>
        <w:tc>
          <w:tcPr>
            <w:tcW w:w="1419"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总经理</w:t>
            </w:r>
          </w:p>
        </w:tc>
        <w:tc>
          <w:tcPr>
            <w:tcW w:w="236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13603737428</w:t>
            </w:r>
          </w:p>
        </w:tc>
        <w:tc>
          <w:tcPr>
            <w:tcW w:w="2363" w:type="dxa"/>
            <w:vAlign w:val="center"/>
          </w:tcPr>
          <w:p>
            <w:pPr>
              <w:pStyle w:val="7"/>
              <w:spacing w:before="0" w:beforeAutospacing="0" w:after="0" w:afterAutospacing="0" w:line="384" w:lineRule="atLeast"/>
              <w:jc w:val="center"/>
              <w:rPr>
                <w:rFonts w:ascii="Times New Roman" w:hAnsi="Times New Roman" w:cs="Times New Roman"/>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1"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验收报告编制单位</w:t>
            </w:r>
          </w:p>
        </w:tc>
        <w:tc>
          <w:tcPr>
            <w:tcW w:w="1667" w:type="dxa"/>
            <w:vAlign w:val="center"/>
          </w:tcPr>
          <w:p>
            <w:pPr>
              <w:pStyle w:val="7"/>
              <w:spacing w:before="0" w:beforeAutospacing="0" w:after="0" w:afterAutospacing="0" w:line="384" w:lineRule="atLeast"/>
              <w:jc w:val="center"/>
              <w:rPr>
                <w:rFonts w:ascii="Times New Roman" w:hAnsi="Times New Roman" w:cs="Times New Roman"/>
                <w:bCs/>
              </w:rPr>
            </w:pPr>
            <w:r>
              <w:rPr>
                <w:rFonts w:hint="eastAsia" w:ascii="Times New Roman" w:hAnsi="Times New Roman" w:cs="Times New Roman"/>
                <w:bCs/>
              </w:rPr>
              <w:t>张福</w:t>
            </w:r>
          </w:p>
        </w:tc>
        <w:tc>
          <w:tcPr>
            <w:tcW w:w="4000" w:type="dxa"/>
            <w:vAlign w:val="center"/>
          </w:tcPr>
          <w:p>
            <w:pPr>
              <w:pStyle w:val="7"/>
              <w:spacing w:before="0" w:beforeAutospacing="0" w:after="0" w:afterAutospacing="0" w:line="384" w:lineRule="atLeast"/>
              <w:jc w:val="center"/>
              <w:rPr>
                <w:rFonts w:hint="eastAsia" w:ascii="Times New Roman" w:hAnsi="Times New Roman" w:eastAsia="宋体" w:cs="Times New Roman"/>
                <w:bCs/>
                <w:lang w:eastAsia="zh-CN"/>
              </w:rPr>
            </w:pPr>
            <w:r>
              <w:rPr>
                <w:rFonts w:hint="eastAsia" w:ascii="Times New Roman" w:hAnsi="Times New Roman" w:cs="Times New Roman"/>
                <w:bCs/>
                <w:lang w:eastAsia="zh-CN"/>
              </w:rPr>
              <w:t>新乡市初心食品有限公司</w:t>
            </w:r>
          </w:p>
        </w:tc>
        <w:tc>
          <w:tcPr>
            <w:tcW w:w="1419"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总经理</w:t>
            </w:r>
          </w:p>
        </w:tc>
        <w:tc>
          <w:tcPr>
            <w:tcW w:w="236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13603737428</w:t>
            </w:r>
          </w:p>
        </w:tc>
        <w:tc>
          <w:tcPr>
            <w:tcW w:w="2363" w:type="dxa"/>
            <w:vAlign w:val="center"/>
          </w:tcPr>
          <w:p>
            <w:pPr>
              <w:pStyle w:val="7"/>
              <w:spacing w:before="0" w:beforeAutospacing="0" w:after="0" w:afterAutospacing="0" w:line="384" w:lineRule="atLeast"/>
              <w:jc w:val="center"/>
              <w:rPr>
                <w:rFonts w:ascii="Times New Roman" w:hAnsi="Times New Roman" w:cs="Times New Roman"/>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361" w:type="dxa"/>
            <w:vAlign w:val="center"/>
          </w:tcPr>
          <w:p>
            <w:pPr>
              <w:pStyle w:val="7"/>
              <w:spacing w:before="0" w:beforeAutospacing="0" w:after="0" w:afterAutospacing="0" w:line="384" w:lineRule="atLeast"/>
              <w:jc w:val="center"/>
              <w:rPr>
                <w:rFonts w:ascii="Times New Roman" w:hAnsi="Times New Roman" w:cs="Times New Roman"/>
                <w:bCs/>
              </w:rPr>
            </w:pPr>
            <w:r>
              <w:rPr>
                <w:rFonts w:ascii="Times New Roman" w:hAnsi="Times New Roman" w:cs="Times New Roman"/>
                <w:bCs/>
              </w:rPr>
              <w:t>验收监测单位</w:t>
            </w:r>
          </w:p>
        </w:tc>
        <w:tc>
          <w:tcPr>
            <w:tcW w:w="1667"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Cs/>
                <w:lang w:eastAsia="zh-CN"/>
              </w:rPr>
            </w:pPr>
            <w:r>
              <w:rPr>
                <w:rFonts w:hint="eastAsia" w:eastAsia="宋体"/>
                <w:sz w:val="24"/>
                <w:szCs w:val="24"/>
                <w:lang w:eastAsia="zh-CN"/>
              </w:rPr>
              <w:t>丁鹏</w:t>
            </w:r>
          </w:p>
        </w:tc>
        <w:tc>
          <w:tcPr>
            <w:tcW w:w="4000"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Times New Roman" w:hAnsi="Times New Roman" w:eastAsia="宋体" w:cs="Times New Roman"/>
                <w:bCs/>
                <w:lang w:eastAsia="zh-CN"/>
              </w:rPr>
            </w:pPr>
            <w:r>
              <w:rPr>
                <w:rFonts w:hint="eastAsia" w:ascii="Times New Roman" w:hAnsi="Times New Roman" w:eastAsia="宋体" w:cs="Times New Roman"/>
                <w:bCs/>
                <w:kern w:val="0"/>
                <w:sz w:val="24"/>
                <w:szCs w:val="24"/>
                <w:lang w:val="en-US" w:eastAsia="zh-CN" w:bidi="ar-SA"/>
              </w:rPr>
              <w:t>河南析源环境检测有限公司</w:t>
            </w:r>
          </w:p>
        </w:tc>
        <w:tc>
          <w:tcPr>
            <w:tcW w:w="1419"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ascii="Times New Roman" w:hAnsi="Times New Roman" w:cs="Times New Roman"/>
                <w:bCs/>
              </w:rPr>
            </w:pPr>
            <w:r>
              <w:rPr>
                <w:rFonts w:hint="eastAsia"/>
                <w:sz w:val="24"/>
                <w:szCs w:val="24"/>
                <w:lang w:eastAsia="zh-CN"/>
              </w:rPr>
              <w:t>业务经理</w:t>
            </w:r>
          </w:p>
        </w:tc>
        <w:tc>
          <w:tcPr>
            <w:tcW w:w="2363"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15803735085</w:t>
            </w:r>
          </w:p>
        </w:tc>
        <w:tc>
          <w:tcPr>
            <w:tcW w:w="2363" w:type="dxa"/>
            <w:vAlign w:val="center"/>
          </w:tcPr>
          <w:p>
            <w:pPr>
              <w:pStyle w:val="7"/>
              <w:spacing w:before="0" w:beforeAutospacing="0" w:after="0" w:afterAutospacing="0" w:line="384" w:lineRule="atLeast"/>
              <w:jc w:val="center"/>
              <w:rPr>
                <w:rFonts w:ascii="Times New Roman" w:hAnsi="Times New Roman" w:cs="Times New Roman"/>
                <w:bCs/>
              </w:rPr>
            </w:pPr>
          </w:p>
        </w:tc>
      </w:tr>
    </w:tbl>
    <w:p>
      <w:pPr>
        <w:pStyle w:val="7"/>
        <w:shd w:val="clear" w:color="auto" w:fill="FFFFFF"/>
        <w:spacing w:before="0" w:beforeAutospacing="0" w:after="0" w:afterAutospacing="0" w:line="384" w:lineRule="atLeast"/>
        <w:jc w:val="center"/>
        <w:rPr>
          <w:bCs/>
        </w:rPr>
      </w:pPr>
      <w:bookmarkStart w:id="1" w:name="_GoBack"/>
      <w:bookmarkEnd w:id="1"/>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44"/>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87909"/>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5576E"/>
    <w:rsid w:val="00357831"/>
    <w:rsid w:val="00390FC5"/>
    <w:rsid w:val="003A3E19"/>
    <w:rsid w:val="003F1C57"/>
    <w:rsid w:val="00423751"/>
    <w:rsid w:val="00463824"/>
    <w:rsid w:val="0047211D"/>
    <w:rsid w:val="00493FD2"/>
    <w:rsid w:val="004A4E58"/>
    <w:rsid w:val="004B7740"/>
    <w:rsid w:val="004C2E63"/>
    <w:rsid w:val="004C6481"/>
    <w:rsid w:val="00514110"/>
    <w:rsid w:val="00581143"/>
    <w:rsid w:val="00585231"/>
    <w:rsid w:val="00585C40"/>
    <w:rsid w:val="00593F0A"/>
    <w:rsid w:val="005B0FE4"/>
    <w:rsid w:val="005C0ED7"/>
    <w:rsid w:val="005C5DF1"/>
    <w:rsid w:val="005D3F10"/>
    <w:rsid w:val="005D6591"/>
    <w:rsid w:val="005E22E9"/>
    <w:rsid w:val="005F10EE"/>
    <w:rsid w:val="00623174"/>
    <w:rsid w:val="006432FF"/>
    <w:rsid w:val="00646B30"/>
    <w:rsid w:val="006521E2"/>
    <w:rsid w:val="00662745"/>
    <w:rsid w:val="006705BF"/>
    <w:rsid w:val="00672FA6"/>
    <w:rsid w:val="00691FE8"/>
    <w:rsid w:val="006D01E5"/>
    <w:rsid w:val="006D2943"/>
    <w:rsid w:val="006F7CB5"/>
    <w:rsid w:val="00700C0E"/>
    <w:rsid w:val="00712543"/>
    <w:rsid w:val="00721628"/>
    <w:rsid w:val="007363F9"/>
    <w:rsid w:val="00740B1E"/>
    <w:rsid w:val="00741B8C"/>
    <w:rsid w:val="007642AA"/>
    <w:rsid w:val="007845BD"/>
    <w:rsid w:val="007A3EF8"/>
    <w:rsid w:val="007A63B0"/>
    <w:rsid w:val="008248C4"/>
    <w:rsid w:val="00844B2F"/>
    <w:rsid w:val="00847FE5"/>
    <w:rsid w:val="008538D0"/>
    <w:rsid w:val="00863780"/>
    <w:rsid w:val="00886555"/>
    <w:rsid w:val="00893108"/>
    <w:rsid w:val="008C1E80"/>
    <w:rsid w:val="008C613B"/>
    <w:rsid w:val="008C65AC"/>
    <w:rsid w:val="008F6758"/>
    <w:rsid w:val="009248EB"/>
    <w:rsid w:val="009A01D8"/>
    <w:rsid w:val="009E4AF0"/>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CF0529"/>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97FCA"/>
    <w:rsid w:val="00EB6268"/>
    <w:rsid w:val="00ED40F3"/>
    <w:rsid w:val="00F175C6"/>
    <w:rsid w:val="00F20866"/>
    <w:rsid w:val="00F35FAF"/>
    <w:rsid w:val="00F42CBB"/>
    <w:rsid w:val="00F432A5"/>
    <w:rsid w:val="00F76916"/>
    <w:rsid w:val="00F860C5"/>
    <w:rsid w:val="00FB6438"/>
    <w:rsid w:val="00FE3535"/>
    <w:rsid w:val="00FE7C54"/>
    <w:rsid w:val="00FF748C"/>
    <w:rsid w:val="013F4264"/>
    <w:rsid w:val="018F5A3E"/>
    <w:rsid w:val="02EA1FB6"/>
    <w:rsid w:val="030818E6"/>
    <w:rsid w:val="03C120C6"/>
    <w:rsid w:val="048F67ED"/>
    <w:rsid w:val="04C43B6C"/>
    <w:rsid w:val="04DD2EF7"/>
    <w:rsid w:val="05834CF0"/>
    <w:rsid w:val="058A151D"/>
    <w:rsid w:val="059C5FE4"/>
    <w:rsid w:val="061C4684"/>
    <w:rsid w:val="06706D10"/>
    <w:rsid w:val="06EC6576"/>
    <w:rsid w:val="071E7E1C"/>
    <w:rsid w:val="079E063C"/>
    <w:rsid w:val="089E5ADA"/>
    <w:rsid w:val="09350E3D"/>
    <w:rsid w:val="0A43298D"/>
    <w:rsid w:val="0A8D73D4"/>
    <w:rsid w:val="0AB42CE0"/>
    <w:rsid w:val="0BB74D8E"/>
    <w:rsid w:val="0C6F608D"/>
    <w:rsid w:val="0C736937"/>
    <w:rsid w:val="0CA46B2F"/>
    <w:rsid w:val="0D754A8F"/>
    <w:rsid w:val="0E106F72"/>
    <w:rsid w:val="0EFE0A51"/>
    <w:rsid w:val="0F265862"/>
    <w:rsid w:val="0F782CA6"/>
    <w:rsid w:val="124B6651"/>
    <w:rsid w:val="125C14D7"/>
    <w:rsid w:val="12BE2148"/>
    <w:rsid w:val="12C710E0"/>
    <w:rsid w:val="12EF3357"/>
    <w:rsid w:val="1402572E"/>
    <w:rsid w:val="15983DA1"/>
    <w:rsid w:val="15BA3D7E"/>
    <w:rsid w:val="16E52340"/>
    <w:rsid w:val="16F7679E"/>
    <w:rsid w:val="170C0C80"/>
    <w:rsid w:val="178C57D6"/>
    <w:rsid w:val="186E44DD"/>
    <w:rsid w:val="191418A3"/>
    <w:rsid w:val="191B20BF"/>
    <w:rsid w:val="19773175"/>
    <w:rsid w:val="1BA51A70"/>
    <w:rsid w:val="1E9E5D2C"/>
    <w:rsid w:val="1F9251E5"/>
    <w:rsid w:val="1FAE5773"/>
    <w:rsid w:val="20021D26"/>
    <w:rsid w:val="21230F23"/>
    <w:rsid w:val="22534CF9"/>
    <w:rsid w:val="22D22954"/>
    <w:rsid w:val="24D81AE5"/>
    <w:rsid w:val="25301047"/>
    <w:rsid w:val="255B5FDB"/>
    <w:rsid w:val="268F2534"/>
    <w:rsid w:val="26AB7E2D"/>
    <w:rsid w:val="26AE0AA3"/>
    <w:rsid w:val="2755245E"/>
    <w:rsid w:val="296B2246"/>
    <w:rsid w:val="297C422B"/>
    <w:rsid w:val="2AB51F63"/>
    <w:rsid w:val="2AC83F18"/>
    <w:rsid w:val="2B2C4ABF"/>
    <w:rsid w:val="2B8843D8"/>
    <w:rsid w:val="2B915C4B"/>
    <w:rsid w:val="2BC73F46"/>
    <w:rsid w:val="2BCD7495"/>
    <w:rsid w:val="2BD12062"/>
    <w:rsid w:val="2C0C5032"/>
    <w:rsid w:val="2CC63522"/>
    <w:rsid w:val="2D0E1816"/>
    <w:rsid w:val="2D826DA7"/>
    <w:rsid w:val="2E3831CF"/>
    <w:rsid w:val="2E437241"/>
    <w:rsid w:val="2ED16762"/>
    <w:rsid w:val="2EF666F9"/>
    <w:rsid w:val="2FE54ED2"/>
    <w:rsid w:val="301D2ED1"/>
    <w:rsid w:val="30287758"/>
    <w:rsid w:val="30D06AD2"/>
    <w:rsid w:val="31A165B3"/>
    <w:rsid w:val="32014372"/>
    <w:rsid w:val="33B82FAD"/>
    <w:rsid w:val="343A6CC7"/>
    <w:rsid w:val="34924D80"/>
    <w:rsid w:val="363F2C07"/>
    <w:rsid w:val="368B67A1"/>
    <w:rsid w:val="37AC57BC"/>
    <w:rsid w:val="38AE5227"/>
    <w:rsid w:val="39C130FE"/>
    <w:rsid w:val="3E7B6652"/>
    <w:rsid w:val="3E8D4838"/>
    <w:rsid w:val="40936C08"/>
    <w:rsid w:val="40C17610"/>
    <w:rsid w:val="418F79DF"/>
    <w:rsid w:val="426741BC"/>
    <w:rsid w:val="449C2B88"/>
    <w:rsid w:val="45142222"/>
    <w:rsid w:val="468D3775"/>
    <w:rsid w:val="48300717"/>
    <w:rsid w:val="493C530A"/>
    <w:rsid w:val="4B710BF4"/>
    <w:rsid w:val="4C04349E"/>
    <w:rsid w:val="4C4A5CBD"/>
    <w:rsid w:val="4C4B7E57"/>
    <w:rsid w:val="4DB929A7"/>
    <w:rsid w:val="50D36A2A"/>
    <w:rsid w:val="50E739BC"/>
    <w:rsid w:val="50ED5C7F"/>
    <w:rsid w:val="513E4433"/>
    <w:rsid w:val="534E2F55"/>
    <w:rsid w:val="53AB7A56"/>
    <w:rsid w:val="53CE195D"/>
    <w:rsid w:val="53D0636B"/>
    <w:rsid w:val="53FD30C3"/>
    <w:rsid w:val="54B76B92"/>
    <w:rsid w:val="55EE7D1D"/>
    <w:rsid w:val="565628D9"/>
    <w:rsid w:val="5759408D"/>
    <w:rsid w:val="57F75317"/>
    <w:rsid w:val="58AA32EE"/>
    <w:rsid w:val="58E9192B"/>
    <w:rsid w:val="592E0A2E"/>
    <w:rsid w:val="59A159BC"/>
    <w:rsid w:val="59CC7CA8"/>
    <w:rsid w:val="5A1D4BFE"/>
    <w:rsid w:val="5A8B07B5"/>
    <w:rsid w:val="5B702475"/>
    <w:rsid w:val="5BAE6BE9"/>
    <w:rsid w:val="5BBC3F53"/>
    <w:rsid w:val="5BCC7373"/>
    <w:rsid w:val="5BE31BE0"/>
    <w:rsid w:val="5D88499D"/>
    <w:rsid w:val="5EE62A9C"/>
    <w:rsid w:val="5EF55D38"/>
    <w:rsid w:val="5EF83BE7"/>
    <w:rsid w:val="5F021E24"/>
    <w:rsid w:val="5FA45E41"/>
    <w:rsid w:val="60F560DB"/>
    <w:rsid w:val="61E8707F"/>
    <w:rsid w:val="61FD0C7C"/>
    <w:rsid w:val="6234025D"/>
    <w:rsid w:val="6305094D"/>
    <w:rsid w:val="636329E9"/>
    <w:rsid w:val="63B94E47"/>
    <w:rsid w:val="63C35D71"/>
    <w:rsid w:val="649D24E3"/>
    <w:rsid w:val="64EE735C"/>
    <w:rsid w:val="64F7020E"/>
    <w:rsid w:val="655C7CB1"/>
    <w:rsid w:val="66876B88"/>
    <w:rsid w:val="66911121"/>
    <w:rsid w:val="68852168"/>
    <w:rsid w:val="69BD20FD"/>
    <w:rsid w:val="69FA0C4C"/>
    <w:rsid w:val="6B631B9C"/>
    <w:rsid w:val="6BAE0177"/>
    <w:rsid w:val="6DCD2E1B"/>
    <w:rsid w:val="6E342CEF"/>
    <w:rsid w:val="6F0816C4"/>
    <w:rsid w:val="707A7894"/>
    <w:rsid w:val="71164EE1"/>
    <w:rsid w:val="73337DFD"/>
    <w:rsid w:val="733C5085"/>
    <w:rsid w:val="73F12902"/>
    <w:rsid w:val="74D212EE"/>
    <w:rsid w:val="74D2220B"/>
    <w:rsid w:val="74E502DA"/>
    <w:rsid w:val="7553101C"/>
    <w:rsid w:val="75F60143"/>
    <w:rsid w:val="767A2764"/>
    <w:rsid w:val="783141E3"/>
    <w:rsid w:val="79647BE9"/>
    <w:rsid w:val="7A2E2B83"/>
    <w:rsid w:val="7AE54DD1"/>
    <w:rsid w:val="7B887411"/>
    <w:rsid w:val="7BE22588"/>
    <w:rsid w:val="7BFF31E8"/>
    <w:rsid w:val="7CC9090F"/>
    <w:rsid w:val="7D4533BE"/>
    <w:rsid w:val="7E7E4B6D"/>
    <w:rsid w:val="7F340A1F"/>
    <w:rsid w:val="7FDE552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jc w:val="center"/>
      <w:outlineLvl w:val="0"/>
    </w:pPr>
    <w:rPr>
      <w:rFonts w:eastAsia="仿宋_GB2312"/>
      <w:sz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22"/>
    <w:rPr>
      <w:b/>
      <w:bCs/>
    </w:rPr>
  </w:style>
  <w:style w:type="paragraph" w:customStyle="1" w:styleId="12">
    <w:name w:val="正文内容"/>
    <w:basedOn w:val="1"/>
    <w:qFormat/>
    <w:uiPriority w:val="0"/>
    <w:pPr>
      <w:spacing w:line="360" w:lineRule="auto"/>
      <w:ind w:firstLine="200" w:firstLineChars="200"/>
      <w:jc w:val="left"/>
    </w:pPr>
    <w:rPr>
      <w:rFonts w:ascii="宋体" w:hAnsi="宋体"/>
      <w:sz w:val="24"/>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character" w:customStyle="1" w:styleId="15">
    <w:name w:val="不明显强调1"/>
    <w:basedOn w:val="10"/>
    <w:qFormat/>
    <w:uiPriority w:val="19"/>
    <w:rPr>
      <w:i/>
      <w:iCs/>
      <w:color w:val="7F7F7F"/>
    </w:rPr>
  </w:style>
  <w:style w:type="character" w:customStyle="1" w:styleId="16">
    <w:name w:val="Subtle Emphasis"/>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B6B4E5-1985-4E00-9281-8E350D7AA89F}">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Pages>
  <Words>306</Words>
  <Characters>1750</Characters>
  <Lines>14</Lines>
  <Paragraphs>4</Paragraphs>
  <TotalTime>0</TotalTime>
  <ScaleCrop>false</ScaleCrop>
  <LinksUpToDate>false</LinksUpToDate>
  <CharactersWithSpaces>2052</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Administrator</cp:lastModifiedBy>
  <cp:lastPrinted>2022-02-28T06:06:17Z</cp:lastPrinted>
  <dcterms:modified xsi:type="dcterms:W3CDTF">2022-02-28T06:09:02Z</dcterms:modified>
  <cp:revision>216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