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临海市博鑫眼镜制造厂年产150万副塑料眼镜技改项目其它需要说明事项</w:t>
      </w:r>
      <w:bookmarkStart w:id="1" w:name="_GoBack"/>
      <w:bookmarkEnd w:id="1"/>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jc w:val="left"/>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w:t>
      </w:r>
      <w:r>
        <w:rPr>
          <w:rFonts w:hint="default" w:ascii="Times New Roman" w:hAnsi="Times New Roman" w:eastAsia="楷体" w:cs="Times New Roman"/>
          <w:b/>
          <w:bCs/>
          <w:sz w:val="28"/>
          <w:szCs w:val="28"/>
          <w:lang w:eastAsia="zh-CN"/>
        </w:rPr>
        <w:t>.</w:t>
      </w:r>
      <w:r>
        <w:rPr>
          <w:rFonts w:hint="default" w:ascii="Times New Roman" w:hAnsi="Times New Roman" w:eastAsia="楷体" w:cs="Times New Roman"/>
          <w:b/>
          <w:bCs/>
          <w:sz w:val="28"/>
          <w:szCs w:val="28"/>
          <w:lang w:eastAsia="zh-CN"/>
        </w:rPr>
        <w:t>环境保护设施设计、施工和验收过程简况</w:t>
      </w:r>
    </w:p>
    <w:p>
      <w:pPr>
        <w:spacing w:line="360" w:lineRule="auto"/>
        <w:ind w:firstLine="562" w:firstLineChars="200"/>
        <w:jc w:val="left"/>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val="en-US" w:eastAsia="zh-CN"/>
        </w:rPr>
        <w:t>企业于2019年11月委托浙江联强环境工程技术有限公司编制了《临海市博鑫眼镜制造厂年产150万副塑料眼镜技改项目环境影响报告表》，台州市生态环境局临海分局于2019年12月12日台环建（临）【2019】269号进行了批复</w:t>
      </w:r>
      <w:r>
        <w:rPr>
          <w:rFonts w:hint="default" w:ascii="Times New Roman" w:hAnsi="Times New Roman" w:eastAsia="楷体" w:cs="Times New Roman"/>
          <w:sz w:val="24"/>
          <w:szCs w:val="24"/>
          <w:lang w:eastAsia="zh-CN"/>
        </w:rPr>
        <w:t>，</w:t>
      </w:r>
      <w:r>
        <w:rPr>
          <w:rFonts w:hint="default" w:ascii="Times New Roman" w:hAnsi="Times New Roman" w:eastAsia="楷体" w:cs="Times New Roman"/>
          <w:sz w:val="24"/>
          <w:szCs w:val="24"/>
          <w:lang w:eastAsia="zh-CN"/>
        </w:rPr>
        <w:t>企业在项目设计过程中落实了环评中防治污染的措施以及环境保护设施投资的概算。</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1.2施工简况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eastAsia="zh-CN"/>
        </w:rPr>
      </w:pPr>
      <w:r>
        <w:rPr>
          <w:rFonts w:hint="default" w:ascii="Times New Roman" w:hAnsi="Times New Roman" w:eastAsia="楷体" w:cs="Times New Roman"/>
          <w:sz w:val="24"/>
          <w:szCs w:val="24"/>
          <w:lang w:eastAsia="zh-CN"/>
        </w:rPr>
        <w:t>项目建设过程中，企业组织实施了环境影响报告表及其审批部门的审批决定中提出的环境保护对策措施。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楷体" w:cs="Times New Roman"/>
          <w:b/>
          <w:bCs/>
          <w:sz w:val="28"/>
          <w:szCs w:val="28"/>
          <w:lang w:eastAsia="zh-CN"/>
        </w:rPr>
      </w:pPr>
      <w:r>
        <w:rPr>
          <w:rFonts w:hint="default" w:ascii="Times New Roman" w:hAnsi="Times New Roman" w:eastAsia="楷体" w:cs="Times New Roman"/>
          <w:b/>
          <w:bCs/>
          <w:sz w:val="28"/>
          <w:szCs w:val="28"/>
          <w:lang w:eastAsia="zh-CN"/>
        </w:rPr>
        <w:t>1.3验收过程简况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企业</w:t>
      </w:r>
      <w:r>
        <w:rPr>
          <w:rFonts w:hint="default" w:ascii="Times New Roman" w:hAnsi="Times New Roman" w:eastAsia="楷体" w:cs="Times New Roman"/>
          <w:sz w:val="24"/>
          <w:szCs w:val="24"/>
          <w:lang w:val="en-US" w:eastAsia="zh-CN"/>
        </w:rPr>
        <w:t>于20</w:t>
      </w:r>
      <w:r>
        <w:rPr>
          <w:rFonts w:hint="default" w:ascii="Times New Roman" w:hAnsi="Times New Roman" w:eastAsia="楷体" w:cs="Times New Roman"/>
          <w:sz w:val="24"/>
          <w:szCs w:val="24"/>
          <w:lang w:val="en-US" w:eastAsia="zh-CN"/>
        </w:rPr>
        <w:t>19</w:t>
      </w:r>
      <w:r>
        <w:rPr>
          <w:rFonts w:hint="default" w:ascii="Times New Roman" w:hAnsi="Times New Roman" w:eastAsia="楷体" w:cs="Times New Roman"/>
          <w:sz w:val="24"/>
          <w:szCs w:val="24"/>
          <w:lang w:val="en-US" w:eastAsia="zh-CN"/>
        </w:rPr>
        <w:t>年</w:t>
      </w:r>
      <w:r>
        <w:rPr>
          <w:rFonts w:hint="default" w:ascii="Times New Roman" w:hAnsi="Times New Roman" w:eastAsia="楷体" w:cs="Times New Roman"/>
          <w:sz w:val="24"/>
          <w:szCs w:val="24"/>
          <w:lang w:val="en-US" w:eastAsia="zh-CN"/>
        </w:rPr>
        <w:t>12月开工建设，同时建设配套过程中的废气、废水、固废相应的环保设施，2021年7月进行调试生产。</w:t>
      </w:r>
      <w:r>
        <w:rPr>
          <w:rFonts w:hint="default" w:ascii="Times New Roman" w:hAnsi="Times New Roman" w:eastAsia="楷体" w:cs="Times New Roman"/>
          <w:sz w:val="24"/>
          <w:szCs w:val="24"/>
          <w:lang w:val="en-US" w:eastAsia="zh-CN"/>
        </w:rPr>
        <w:t>根据国家有关环保法律法规的要求，建设项目必须执行“</w:t>
      </w:r>
      <w:r>
        <w:rPr>
          <w:rFonts w:hint="default" w:ascii="Times New Roman" w:hAnsi="Times New Roman" w:eastAsia="楷体" w:cs="Times New Roman"/>
          <w:sz w:val="24"/>
          <w:szCs w:val="24"/>
          <w:lang w:val="en-US" w:eastAsia="zh-CN"/>
        </w:rPr>
        <w:t>三</w:t>
      </w:r>
      <w:r>
        <w:rPr>
          <w:rFonts w:hint="default" w:ascii="Times New Roman" w:hAnsi="Times New Roman" w:eastAsia="楷体" w:cs="Times New Roman"/>
          <w:sz w:val="24"/>
          <w:szCs w:val="24"/>
          <w:lang w:val="en-US" w:eastAsia="zh-CN"/>
        </w:rPr>
        <w:t>同时”制度，相应的环保设施须经验收合格后方可投入运行使用。受临海市华宇锻压机械厂委托，</w:t>
      </w:r>
      <w:r>
        <w:rPr>
          <w:rFonts w:hint="default" w:ascii="Times New Roman" w:hAnsi="Times New Roman" w:eastAsia="楷体" w:cs="Times New Roman"/>
          <w:sz w:val="24"/>
          <w:szCs w:val="24"/>
          <w:lang w:val="en-US" w:eastAsia="zh-CN"/>
        </w:rPr>
        <w:t>台州普洛赛斯检测科技</w:t>
      </w:r>
      <w:r>
        <w:rPr>
          <w:rFonts w:hint="default" w:ascii="Times New Roman" w:hAnsi="Times New Roman" w:eastAsia="楷体" w:cs="Times New Roman"/>
          <w:sz w:val="24"/>
          <w:szCs w:val="24"/>
          <w:lang w:val="en-US" w:eastAsia="zh-CN"/>
        </w:rPr>
        <w:t>有限公司承担了临海市博鑫眼镜制造厂年产150万副塑料眼镜技改项目竣工环境保护收监测工作。</w:t>
      </w:r>
      <w:r>
        <w:rPr>
          <w:rFonts w:hint="default" w:ascii="Times New Roman" w:hAnsi="Times New Roman" w:eastAsia="楷体" w:cs="Times New Roman"/>
          <w:sz w:val="24"/>
          <w:szCs w:val="24"/>
          <w:lang w:val="en-US" w:eastAsia="zh-CN"/>
        </w:rPr>
        <w:t>依据《建设项目环境保护管理条例》和《建设项目竣工环境保护验收暂行办法》等有关规定。收集相关资料。开展现场踏勘和调查。编写了该项目环保保护设施竣工验收监测方案。并于2021年7月21日对该项目进行现场监测和调查，在此基础上编写了验收监测报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依据《建设项目环境保护管理条例》和《建设项目竣工环境保护验收暂行办法》等有关规定，收集相关资料。开展现场踏勘和调查，编写了该项目环境保护设施竣工验收监测方案，并于22021年08月31日、09月01日、09月13日（雨水监测），对该项目进行现场监测和调查，在此基础上编写了验收监测报告。根据《建设项目环境保护管理条例》和《建设项目竣工环境保护验收暂行办法》，2021年09月30日临海市博鑫眼镜制造厂组织召开了“临海市博鑫眼镜制造厂年产150万副塑料眼镜技改项目环保设施环境保护组织验收会议”，出席会议的有环评单位（浙江联强环境工程技术有限公司），废水、废气设施工程设计单位（临海市恒田环保科技有限公司）、验收监测单位（台州普洛赛斯检测科技有限公司）以及三位专家（名单见附件），最后形成了验收组意见。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1、监测单位按照《建设项目竣工环境保护验收技术指南污染影响类》的要求进一步完善监测报告表内容及附图附件。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2、加强废气收集，加强废气处理设施日常运行维护，定期监测，做好台账，确保废气稳定达标排放。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3、加强废水处理设施运维管理，做好台账，确保废水稳定达标排放。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4、完善危废堆场标识标牌，做好分区分类，完善危废周知卡及台账记录，及时转移危险固废，严格执行转移联单制度，防止二次污染确保废气稳定达标排放。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楷体" w:cs="Times New Roman"/>
          <w:sz w:val="24"/>
          <w:szCs w:val="24"/>
          <w:lang w:val="en-US" w:eastAsia="zh-CN"/>
        </w:rPr>
      </w:pPr>
      <w:r>
        <w:rPr>
          <w:rFonts w:hint="default" w:ascii="Times New Roman" w:hAnsi="Times New Roman" w:eastAsia="楷体" w:cs="Times New Roman"/>
          <w:sz w:val="24"/>
          <w:szCs w:val="24"/>
          <w:lang w:val="en-US" w:eastAsia="zh-CN"/>
        </w:rPr>
        <w:t>5、建立长效环保管理制度，加强环境风险防范管理，完善各项应急措施，确保环境安全。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楷体" w:cs="Times New Roman"/>
          <w:b/>
          <w:bCs/>
          <w:sz w:val="28"/>
          <w:szCs w:val="28"/>
          <w:lang w:val="en-US" w:eastAsia="zh-CN"/>
        </w:rPr>
      </w:pPr>
      <w:r>
        <w:rPr>
          <w:rFonts w:hint="default" w:ascii="Times New Roman" w:hAnsi="Times New Roman" w:eastAsia="楷体" w:cs="Times New Roman"/>
          <w:b/>
          <w:bCs/>
          <w:sz w:val="28"/>
          <w:szCs w:val="28"/>
          <w:lang w:val="en-US" w:eastAsia="zh-CN"/>
        </w:rPr>
        <w:t>2、其他环境保护措施落实情况</w:t>
      </w:r>
    </w:p>
    <w:p>
      <w:pPr>
        <w:pStyle w:val="16"/>
        <w:spacing w:line="360" w:lineRule="auto"/>
        <w:ind w:firstLine="482" w:firstLineChars="200"/>
        <w:rPr>
          <w:rFonts w:hint="default" w:ascii="Times New Roman" w:hAnsi="Times New Roman" w:eastAsia="楷体" w:cs="Times New Roman"/>
          <w:b/>
          <w:bCs/>
          <w:sz w:val="24"/>
          <w:szCs w:val="24"/>
          <w:lang w:val="en-US" w:eastAsia="zh-CN"/>
        </w:rPr>
      </w:pPr>
      <w:r>
        <w:rPr>
          <w:rFonts w:hint="default" w:ascii="Times New Roman" w:hAnsi="Times New Roman" w:eastAsia="楷体" w:cs="Times New Roman"/>
          <w:b/>
          <w:bCs/>
          <w:sz w:val="24"/>
          <w:szCs w:val="24"/>
          <w:lang w:val="en-US" w:eastAsia="zh-CN"/>
        </w:rPr>
        <w:t>2.1制度措施落实情况</w:t>
      </w:r>
    </w:p>
    <w:p>
      <w:pPr>
        <w:pStyle w:val="16"/>
        <w:numPr>
          <w:ilvl w:val="0"/>
          <w:numId w:val="1"/>
        </w:numPr>
        <w:spacing w:line="360" w:lineRule="auto"/>
        <w:ind w:firstLine="480" w:firstLineChars="200"/>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环保组织机构及规章制度</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企业建立了相关环保组织机构，明确了相关环保人，建立了废水、噪声运行及日常维护等相关制度、固废管理制度。</w:t>
      </w:r>
    </w:p>
    <w:p>
      <w:pPr>
        <w:pStyle w:val="16"/>
        <w:numPr>
          <w:ilvl w:val="0"/>
          <w:numId w:val="1"/>
        </w:numPr>
        <w:spacing w:line="360" w:lineRule="auto"/>
        <w:ind w:firstLine="480" w:firstLineChars="200"/>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环境风险防范措施</w:t>
      </w:r>
    </w:p>
    <w:p>
      <w:pPr>
        <w:pStyle w:val="16"/>
        <w:numPr>
          <w:ilvl w:val="0"/>
          <w:numId w:val="0"/>
        </w:numPr>
        <w:spacing w:line="360" w:lineRule="auto"/>
        <w:ind w:firstLine="480" w:firstLineChars="200"/>
        <w:jc w:val="both"/>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该企业确意以公司航人为总指。统围应急总指挥部。是公司整个应急数援工作的中心，负责向上级部门报告和请示，负责与应急部门和社区联络，负责协调应急期间各救援队伍的运作。统筹安排各项应急行动，保证应急工作快速、有序、有效地进行。</w:t>
      </w:r>
    </w:p>
    <w:p>
      <w:pPr>
        <w:pStyle w:val="16"/>
        <w:numPr>
          <w:ilvl w:val="0"/>
          <w:numId w:val="2"/>
        </w:numPr>
        <w:spacing w:line="360" w:lineRule="auto"/>
        <w:ind w:firstLine="562" w:firstLineChars="200"/>
        <w:jc w:val="both"/>
        <w:rPr>
          <w:rFonts w:hint="default" w:ascii="Times New Roman" w:hAnsi="Times New Roman" w:eastAsia="楷体" w:cs="Times New Roman"/>
          <w:b/>
          <w:bCs/>
          <w:color w:val="auto"/>
          <w:kern w:val="2"/>
          <w:sz w:val="28"/>
          <w:szCs w:val="28"/>
          <w:lang w:val="en-US" w:eastAsia="zh-CN" w:bidi="ar-SA"/>
        </w:rPr>
      </w:pPr>
      <w:r>
        <w:rPr>
          <w:rFonts w:hint="default" w:ascii="Times New Roman" w:hAnsi="Times New Roman" w:eastAsia="楷体" w:cs="Times New Roman"/>
          <w:b/>
          <w:bCs/>
          <w:color w:val="auto"/>
          <w:kern w:val="2"/>
          <w:sz w:val="28"/>
          <w:szCs w:val="28"/>
          <w:lang w:val="en-US" w:eastAsia="zh-CN" w:bidi="ar-SA"/>
        </w:rPr>
        <w:t>整改工作落实情况</w:t>
      </w:r>
    </w:p>
    <w:p>
      <w:pPr>
        <w:pStyle w:val="16"/>
        <w:numPr>
          <w:ilvl w:val="0"/>
          <w:numId w:val="0"/>
        </w:numPr>
        <w:spacing w:line="360" w:lineRule="auto"/>
        <w:ind w:firstLine="480" w:firstLineChars="200"/>
        <w:jc w:val="left"/>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临海市博鑫眼镜制造厂年产150万副塑料眼镜技改项目在建设过程中、竣工后、验收监测期间，提出验收意见后等环节采取了以下整改工作：</w:t>
      </w:r>
    </w:p>
    <w:p>
      <w:pPr>
        <w:pStyle w:val="16"/>
        <w:numPr>
          <w:ilvl w:val="0"/>
          <w:numId w:val="0"/>
        </w:numPr>
        <w:spacing w:line="360" w:lineRule="auto"/>
        <w:ind w:firstLine="480" w:firstLineChars="200"/>
        <w:jc w:val="center"/>
        <w:rPr>
          <w:rFonts w:hint="default" w:ascii="Times New Roman" w:hAnsi="Times New Roman" w:eastAsia="楷体" w:cs="Times New Roman"/>
          <w:b w:val="0"/>
          <w:bCs w:val="0"/>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楷体" w:cs="Times New Roman"/>
          <w:b/>
          <w:bCs/>
          <w:sz w:val="24"/>
          <w:szCs w:val="24"/>
          <w:lang w:val="en-US" w:eastAsia="zh-CN"/>
        </w:rPr>
      </w:pPr>
      <w:r>
        <w:rPr>
          <w:rFonts w:hint="default" w:ascii="Times New Roman" w:hAnsi="Times New Roman" w:eastAsia="楷体" w:cs="Times New Roman"/>
          <w:b/>
          <w:bCs/>
          <w:sz w:val="24"/>
          <w:szCs w:val="24"/>
          <w:lang w:val="en-US" w:eastAsia="zh-CN"/>
        </w:rPr>
        <w:t>项目整改工作情况一览表</w:t>
      </w:r>
    </w:p>
    <w:tbl>
      <w:tblPr>
        <w:tblStyle w:val="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080"/>
        <w:gridCol w:w="4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top"/>
          </w:tcPr>
          <w:p>
            <w:pPr>
              <w:keepNext w:val="0"/>
              <w:keepLines w:val="0"/>
              <w:widowControl w:val="0"/>
              <w:suppressLineNumbers w:val="0"/>
              <w:spacing w:before="0" w:beforeAutospacing="0" w:after="0" w:afterAutospacing="0" w:line="240" w:lineRule="auto"/>
              <w:ind w:left="0" w:right="0" w:firstLine="0" w:firstLineChars="0"/>
              <w:jc w:val="both"/>
              <w:rPr>
                <w:rFonts w:hint="default" w:ascii="Times New Roman" w:hAnsi="Times New Roman" w:eastAsia="楷体" w:cs="Times New Roman"/>
                <w:b/>
                <w:bCs/>
                <w:color w:val="000000"/>
                <w:kern w:val="0"/>
                <w:sz w:val="21"/>
                <w:szCs w:val="21"/>
                <w:lang w:val="en-US" w:eastAsia="zh-CN" w:bidi="ar-SA"/>
              </w:rPr>
            </w:pPr>
            <w:r>
              <w:rPr>
                <w:rFonts w:hint="default" w:ascii="Times New Roman" w:hAnsi="Times New Roman" w:eastAsia="楷体" w:cs="Times New Roman"/>
                <w:b/>
                <w:bCs/>
                <w:color w:val="000000"/>
                <w:kern w:val="0"/>
                <w:sz w:val="21"/>
                <w:szCs w:val="21"/>
                <w:lang w:val="en-US" w:eastAsia="zh-CN" w:bidi="ar-SA"/>
              </w:rPr>
              <w:t>序号</w:t>
            </w:r>
          </w:p>
        </w:tc>
        <w:tc>
          <w:tcPr>
            <w:tcW w:w="4080"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bCs/>
                <w:color w:val="000000"/>
                <w:kern w:val="0"/>
                <w:sz w:val="21"/>
                <w:szCs w:val="21"/>
                <w:lang w:val="en-US" w:eastAsia="zh-CN" w:bidi="ar-SA"/>
              </w:rPr>
            </w:pPr>
            <w:r>
              <w:rPr>
                <w:rFonts w:hint="default" w:ascii="Times New Roman" w:hAnsi="Times New Roman" w:eastAsia="楷体" w:cs="Times New Roman"/>
                <w:b/>
                <w:bCs/>
                <w:color w:val="000000"/>
                <w:kern w:val="0"/>
                <w:sz w:val="21"/>
                <w:szCs w:val="21"/>
                <w:lang w:val="en-US" w:eastAsia="zh-CN" w:bidi="ar-SA"/>
              </w:rPr>
              <w:t>评审意见</w:t>
            </w:r>
          </w:p>
        </w:tc>
        <w:tc>
          <w:tcPr>
            <w:tcW w:w="4663"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bCs/>
                <w:color w:val="000000"/>
                <w:kern w:val="0"/>
                <w:sz w:val="21"/>
                <w:szCs w:val="21"/>
                <w:lang w:val="en-US" w:eastAsia="zh-CN" w:bidi="ar-SA"/>
              </w:rPr>
            </w:pPr>
            <w:r>
              <w:rPr>
                <w:rFonts w:hint="default" w:ascii="Times New Roman" w:hAnsi="Times New Roman" w:eastAsia="楷体" w:cs="Times New Roman"/>
                <w:b/>
                <w:bCs/>
                <w:color w:val="000000"/>
                <w:kern w:val="0"/>
                <w:sz w:val="21"/>
                <w:szCs w:val="21"/>
                <w:lang w:val="en-US" w:eastAsia="zh-CN" w:bidi="ar-SA"/>
              </w:rPr>
              <w:t>修改意见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1</w:t>
            </w:r>
          </w:p>
        </w:tc>
        <w:tc>
          <w:tcPr>
            <w:tcW w:w="4080" w:type="dxa"/>
            <w:noWrap w:val="0"/>
            <w:vAlign w:val="top"/>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楷体" w:cs="Times New Roman"/>
                <w:color w:val="000000"/>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监测单位按照《建设项目竣工环境保护验收技术指南污染影响类》的要求进一步完善监测报告表内容及附图附件。</w:t>
            </w:r>
          </w:p>
        </w:tc>
        <w:tc>
          <w:tcPr>
            <w:tcW w:w="4663" w:type="dxa"/>
            <w:noWrap w:val="0"/>
            <w:vAlign w:val="top"/>
          </w:tcPr>
          <w:p>
            <w:pPr>
              <w:keepNext w:val="0"/>
              <w:keepLines w:val="0"/>
              <w:widowControl w:val="0"/>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kern w:val="2"/>
                <w:sz w:val="21"/>
                <w:szCs w:val="21"/>
                <w:lang w:val="en-US" w:eastAsia="zh-CN" w:bidi="ar-SA"/>
              </w:rPr>
            </w:pPr>
            <w:r>
              <w:rPr>
                <w:rFonts w:hint="default" w:ascii="Times New Roman" w:hAnsi="Times New Roman" w:eastAsia="楷体" w:cs="Times New Roman"/>
                <w:kern w:val="2"/>
                <w:sz w:val="21"/>
                <w:szCs w:val="21"/>
                <w:lang w:eastAsia="zh-CN"/>
              </w:rPr>
              <w:t>已按照</w:t>
            </w:r>
            <w:r>
              <w:rPr>
                <w:rFonts w:hint="default" w:ascii="Times New Roman" w:hAnsi="Times New Roman" w:eastAsia="楷体" w:cs="Times New Roman"/>
                <w:color w:val="000000"/>
                <w:kern w:val="2"/>
                <w:sz w:val="21"/>
                <w:szCs w:val="21"/>
                <w:lang w:val="en-US" w:eastAsia="zh-CN" w:bidi="ar-SA"/>
              </w:rPr>
              <w:t>《建设项目竣工环境保护验收技术指南污染影响类》的要求进一步完善监测报告表内容及附图附件。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2</w:t>
            </w:r>
          </w:p>
        </w:tc>
        <w:tc>
          <w:tcPr>
            <w:tcW w:w="4080" w:type="dxa"/>
            <w:noWrap w:val="0"/>
            <w:vAlign w:val="top"/>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color w:val="000000"/>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加强废气收集，加强废气处理设施日常运行维护，定期监测，做好台账，确保废气稳定达标排放。</w:t>
            </w:r>
          </w:p>
        </w:tc>
        <w:tc>
          <w:tcPr>
            <w:tcW w:w="4663" w:type="dxa"/>
            <w:noWrap w:val="0"/>
            <w:vAlign w:val="top"/>
          </w:tcPr>
          <w:p>
            <w:pPr>
              <w:keepNext w:val="0"/>
              <w:keepLines w:val="0"/>
              <w:widowControl w:val="0"/>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kern w:val="2"/>
                <w:sz w:val="21"/>
                <w:szCs w:val="21"/>
                <w:lang w:val="en-US" w:eastAsia="zh-CN" w:bidi="ar-SA"/>
              </w:rPr>
            </w:pPr>
            <w:r>
              <w:rPr>
                <w:rFonts w:hint="default" w:ascii="Times New Roman" w:hAnsi="Times New Roman" w:eastAsia="楷体" w:cs="Times New Roman"/>
                <w:kern w:val="2"/>
                <w:sz w:val="21"/>
                <w:szCs w:val="21"/>
                <w:lang w:val="en-US" w:eastAsia="zh-CN"/>
              </w:rPr>
              <w:t>企业已</w:t>
            </w:r>
            <w:r>
              <w:rPr>
                <w:rFonts w:hint="default" w:ascii="Times New Roman" w:hAnsi="Times New Roman" w:eastAsia="楷体" w:cs="Times New Roman"/>
                <w:color w:val="000000"/>
                <w:kern w:val="2"/>
                <w:sz w:val="21"/>
                <w:szCs w:val="21"/>
                <w:lang w:val="en-US" w:eastAsia="zh-CN" w:bidi="ar-SA"/>
              </w:rPr>
              <w:t>加强废气收集，定期对废气处理设施进行运行维护和监测，</w:t>
            </w:r>
            <w:r>
              <w:rPr>
                <w:rFonts w:hint="default" w:ascii="Times New Roman" w:hAnsi="Times New Roman" w:eastAsia="楷体" w:cs="Times New Roman"/>
                <w:kern w:val="2"/>
                <w:sz w:val="21"/>
                <w:szCs w:val="21"/>
                <w:lang w:val="en-US" w:eastAsia="zh-CN"/>
              </w:rPr>
              <w:t>已</w:t>
            </w:r>
            <w:r>
              <w:rPr>
                <w:rFonts w:hint="default" w:ascii="Times New Roman" w:hAnsi="Times New Roman" w:eastAsia="楷体" w:cs="Times New Roman"/>
                <w:color w:val="000000"/>
                <w:kern w:val="2"/>
                <w:sz w:val="21"/>
                <w:szCs w:val="21"/>
                <w:lang w:val="en-US" w:eastAsia="zh-CN" w:bidi="ar-SA"/>
              </w:rPr>
              <w:t>做好台账，确保废气稳定达标排放，三废台账见附件8。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3</w:t>
            </w:r>
          </w:p>
        </w:tc>
        <w:tc>
          <w:tcPr>
            <w:tcW w:w="4080" w:type="dxa"/>
            <w:noWrap w:val="0"/>
            <w:vAlign w:val="top"/>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color w:val="000000"/>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加强废水处理设施运维管理，做好台账，确保废水稳定达标排放。</w:t>
            </w:r>
          </w:p>
        </w:tc>
        <w:tc>
          <w:tcPr>
            <w:tcW w:w="4663" w:type="dxa"/>
            <w:noWrap w:val="0"/>
            <w:vAlign w:val="top"/>
          </w:tcPr>
          <w:p>
            <w:pPr>
              <w:keepNext w:val="0"/>
              <w:keepLines w:val="0"/>
              <w:widowControl w:val="0"/>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已加强废水处理设施运维管理做到定期维护，废水台账见附件8。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bookmarkStart w:id="0" w:name="_Toc436"/>
            <w:r>
              <w:rPr>
                <w:rFonts w:hint="default" w:ascii="Times New Roman" w:hAnsi="Times New Roman" w:eastAsia="楷体" w:cs="Times New Roman"/>
                <w:b w:val="0"/>
                <w:bCs w:val="0"/>
                <w:color w:val="000000"/>
                <w:kern w:val="0"/>
                <w:sz w:val="21"/>
                <w:szCs w:val="21"/>
                <w:lang w:val="en-US" w:eastAsia="zh-CN" w:bidi="ar-SA"/>
              </w:rPr>
              <w:t>4</w:t>
            </w:r>
          </w:p>
        </w:tc>
        <w:tc>
          <w:tcPr>
            <w:tcW w:w="4080" w:type="dxa"/>
            <w:vAlign w:val="top"/>
          </w:tcPr>
          <w:p>
            <w:pPr>
              <w:keepNext w:val="0"/>
              <w:keepLines w:val="0"/>
              <w:widowControl w:val="0"/>
              <w:suppressLineNumbers w:val="0"/>
              <w:autoSpaceDE w:val="0"/>
              <w:autoSpaceDN w:val="0"/>
              <w:adjustRightInd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color w:val="000000"/>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完善危废堆场标识标牌，做好分区分类，完善危废周知卡及台账记录，及时转移危险固废，严格执行转移联单制度，防止二次污染确保废气稳定达标排放。</w:t>
            </w:r>
          </w:p>
        </w:tc>
        <w:tc>
          <w:tcPr>
            <w:tcW w:w="4663" w:type="dxa"/>
            <w:vAlign w:val="top"/>
          </w:tcPr>
          <w:p>
            <w:pPr>
              <w:keepNext w:val="0"/>
              <w:keepLines w:val="0"/>
              <w:widowControl w:val="0"/>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已完善危废堆场标识标牌，做好分区分类，完善危废周知卡及台账记录，及时转移危险固废，严格执行转移联单制度。见附图4。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楷体" w:cs="Times New Roman"/>
                <w:b w:val="0"/>
                <w:bCs w:val="0"/>
                <w:color w:val="000000"/>
                <w:kern w:val="0"/>
                <w:sz w:val="21"/>
                <w:szCs w:val="21"/>
                <w:lang w:val="en-US" w:eastAsia="zh-CN" w:bidi="ar-SA"/>
              </w:rPr>
            </w:pPr>
            <w:r>
              <w:rPr>
                <w:rFonts w:hint="default" w:ascii="Times New Roman" w:hAnsi="Times New Roman" w:eastAsia="楷体" w:cs="Times New Roman"/>
                <w:b w:val="0"/>
                <w:bCs w:val="0"/>
                <w:color w:val="000000"/>
                <w:kern w:val="0"/>
                <w:sz w:val="21"/>
                <w:szCs w:val="21"/>
                <w:lang w:val="en-US" w:eastAsia="zh-CN" w:bidi="ar-SA"/>
              </w:rPr>
              <w:t>5</w:t>
            </w:r>
          </w:p>
        </w:tc>
        <w:tc>
          <w:tcPr>
            <w:tcW w:w="4080" w:type="dxa"/>
            <w:vAlign w:val="top"/>
          </w:tcPr>
          <w:p>
            <w:pPr>
              <w:keepNext w:val="0"/>
              <w:keepLines w:val="0"/>
              <w:widowControl w:val="0"/>
              <w:suppressLineNumbers w:val="0"/>
              <w:autoSpaceDE w:val="0"/>
              <w:autoSpaceDN w:val="0"/>
              <w:adjustRightInd w:val="0"/>
              <w:snapToGrid w:val="0"/>
              <w:spacing w:before="0" w:beforeAutospacing="0" w:after="0" w:afterAutospacing="0" w:line="240" w:lineRule="auto"/>
              <w:ind w:left="0" w:leftChars="0" w:right="0" w:rightChars="0" w:firstLine="0" w:firstLineChars="0"/>
              <w:contextualSpacing/>
              <w:jc w:val="both"/>
              <w:rPr>
                <w:rFonts w:hint="default" w:ascii="Times New Roman" w:hAnsi="Times New Roman" w:eastAsia="楷体" w:cs="Times New Roman"/>
                <w:color w:val="000000"/>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建立长效环保管理制度，加强环境风险防范管理，完善各项应急措施，确保环境安全。</w:t>
            </w:r>
          </w:p>
        </w:tc>
        <w:tc>
          <w:tcPr>
            <w:tcW w:w="4663" w:type="dxa"/>
            <w:vAlign w:val="top"/>
          </w:tcPr>
          <w:p>
            <w:pPr>
              <w:keepNext w:val="0"/>
              <w:keepLines w:val="0"/>
              <w:widowControl w:val="0"/>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楷体" w:cs="Times New Roman"/>
                <w:kern w:val="2"/>
                <w:sz w:val="21"/>
                <w:szCs w:val="21"/>
                <w:lang w:val="en-US" w:eastAsia="zh-CN" w:bidi="ar-SA"/>
              </w:rPr>
            </w:pPr>
            <w:r>
              <w:rPr>
                <w:rFonts w:hint="default" w:ascii="Times New Roman" w:hAnsi="Times New Roman" w:eastAsia="楷体" w:cs="Times New Roman"/>
                <w:color w:val="000000"/>
                <w:kern w:val="2"/>
                <w:sz w:val="21"/>
                <w:szCs w:val="21"/>
                <w:lang w:val="en-US" w:eastAsia="zh-CN" w:bidi="ar-SA"/>
              </w:rPr>
              <w:t>企业已做好相关长效环保管理制度，加强环境风险防范管理，完善各项应急措施，确保环境安全。</w:t>
            </w:r>
          </w:p>
        </w:tc>
      </w:tr>
      <w:bookmarkEnd w:id="0"/>
    </w:tbl>
    <w:p>
      <w:pPr>
        <w:pStyle w:val="16"/>
        <w:numPr>
          <w:ilvl w:val="0"/>
          <w:numId w:val="0"/>
        </w:numPr>
        <w:spacing w:line="360" w:lineRule="auto"/>
        <w:ind w:firstLine="480" w:firstLineChars="200"/>
        <w:jc w:val="right"/>
        <w:rPr>
          <w:rFonts w:hint="default" w:ascii="Times New Roman" w:hAnsi="Times New Roman" w:eastAsia="楷体" w:cs="Times New Roman"/>
          <w:b w:val="0"/>
          <w:bCs w:val="0"/>
          <w:sz w:val="24"/>
          <w:szCs w:val="24"/>
          <w:lang w:val="en-US" w:eastAsia="zh-CN"/>
        </w:rPr>
      </w:pPr>
      <w:r>
        <w:rPr>
          <w:rFonts w:hint="default" w:ascii="Times New Roman" w:hAnsi="Times New Roman" w:eastAsia="楷体" w:cs="Times New Roman"/>
          <w:b w:val="0"/>
          <w:bCs w:val="0"/>
          <w:sz w:val="24"/>
          <w:szCs w:val="24"/>
          <w:lang w:val="en-US" w:eastAsia="zh-CN"/>
        </w:rPr>
        <w:t>临海市博鑫眼镜制造厂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4DD5E"/>
    <w:multiLevelType w:val="singleLevel"/>
    <w:tmpl w:val="A254DD5E"/>
    <w:lvl w:ilvl="0" w:tentative="0">
      <w:start w:val="3"/>
      <w:numFmt w:val="decimal"/>
      <w:suff w:val="nothing"/>
      <w:lvlText w:val="%1、"/>
      <w:lvlJc w:val="left"/>
    </w:lvl>
  </w:abstractNum>
  <w:abstractNum w:abstractNumId="1">
    <w:nsid w:val="CB22D258"/>
    <w:multiLevelType w:val="singleLevel"/>
    <w:tmpl w:val="CB22D258"/>
    <w:lvl w:ilvl="0" w:tentative="0">
      <w:start w:val="1"/>
      <w:numFmt w:val="decimal"/>
      <w:suff w:val="nothing"/>
      <w:lvlText w:val="（%1）"/>
      <w:lvlJc w:val="left"/>
      <w:rPr>
        <w:rFonts w:hint="default"/>
        <w:b w:val="0"/>
        <w:bCs w:val="0"/>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E0239"/>
    <w:rsid w:val="163C60F6"/>
    <w:rsid w:val="16CC35AD"/>
    <w:rsid w:val="1BD572AC"/>
    <w:rsid w:val="2BF16F79"/>
    <w:rsid w:val="2D351861"/>
    <w:rsid w:val="2D60357F"/>
    <w:rsid w:val="2DEE32AA"/>
    <w:rsid w:val="3024287E"/>
    <w:rsid w:val="38E212AC"/>
    <w:rsid w:val="48BF3210"/>
    <w:rsid w:val="6B956BEA"/>
    <w:rsid w:val="77AD6851"/>
    <w:rsid w:val="7FB34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unhideWhenUsed/>
    <w:qFormat/>
    <w:uiPriority w:val="0"/>
    <w:pPr>
      <w:keepNext/>
      <w:keepLines/>
      <w:outlineLvl w:val="5"/>
    </w:pPr>
    <w:rPr>
      <w:rFonts w:ascii="Times New Roman" w:hAnsi="Times New Roman" w:cs="Times New Roman"/>
      <w:b/>
      <w:bCs/>
      <w:color w:val="00000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9">
    <w:name w:val="Normal Indent"/>
    <w:basedOn w:val="1"/>
    <w:qFormat/>
    <w:uiPriority w:val="0"/>
    <w:pPr>
      <w:spacing w:line="360" w:lineRule="auto"/>
      <w:ind w:firstLine="1134"/>
    </w:pPr>
    <w:rPr>
      <w:rFonts w:ascii="Calibri" w:hAnsi="Calibri" w:eastAsia="仿宋" w:cs="Times New Roman"/>
      <w:sz w:val="24"/>
      <w:szCs w:val="20"/>
      <w:lang w:eastAsia="en-US"/>
    </w:rPr>
  </w:style>
  <w:style w:type="paragraph" w:styleId="10">
    <w:name w:val="footer"/>
    <w:basedOn w:val="1"/>
    <w:uiPriority w:val="0"/>
    <w:pPr>
      <w:tabs>
        <w:tab w:val="center" w:pos="4153"/>
        <w:tab w:val="right" w:pos="8306"/>
      </w:tabs>
      <w:snapToGrid w:val="0"/>
      <w:jc w:val="left"/>
    </w:pPr>
    <w:rPr>
      <w:sz w:val="18"/>
    </w:rPr>
  </w:style>
  <w:style w:type="paragraph" w:styleId="11">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qFormat/>
    <w:uiPriority w:val="0"/>
    <w:pPr>
      <w:spacing w:line="360" w:lineRule="auto"/>
      <w:ind w:firstLine="440" w:firstLineChars="200"/>
    </w:pPr>
    <w:rPr>
      <w:rFonts w:ascii="Times New Roman" w:hAnsi="Times New Roman" w:eastAsia="仿宋" w:cs="Times New Roman"/>
      <w:color w:val="000000"/>
      <w:sz w:val="24"/>
      <w:szCs w:val="24"/>
      <w:lang w:eastAsia="en-U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unhideWhenUsed/>
    <w:qFormat/>
    <w:uiPriority w:val="0"/>
    <w:pPr>
      <w:widowControl w:val="0"/>
      <w:autoSpaceDE w:val="0"/>
      <w:autoSpaceDN w:val="0"/>
      <w:adjustRightInd w:val="0"/>
    </w:pPr>
    <w:rPr>
      <w:rFonts w:hint="eastAsia"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2021-05-14T00:24:00Z</dcterms:created>
  <dc:creator>win10</dc:creator>
  <cp:lastModifiedBy>戴博峰</cp:lastModifiedBy>
  <cp:lastPrinted>2021-06-28T03:44:00Z</cp:lastPrinted>
  <dcterms:modified xsi:type="dcterms:W3CDTF">2022-03-04T05:07:20Z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6E7151760AF0445F87BD271D130E29FE</vt:lpwstr>
  </property>
</Properties>
</file>