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ind w:firstLine="552"/>
        <w:jc w:val="center"/>
        <w:rPr>
          <w:b/>
          <w:bCs/>
          <w:sz w:val="28"/>
          <w:szCs w:val="28"/>
        </w:rPr>
      </w:pPr>
      <w:r>
        <w:rPr>
          <w:rFonts w:hint="eastAsia"/>
          <w:b/>
          <w:bCs/>
          <w:sz w:val="28"/>
          <w:szCs w:val="28"/>
        </w:rPr>
        <w:t>平陆县前岭石灰岩矿年产5万吨石灰岩矿项目</w:t>
      </w:r>
    </w:p>
    <w:p>
      <w:pPr>
        <w:spacing w:line="460" w:lineRule="exact"/>
        <w:ind w:firstLine="552"/>
        <w:jc w:val="center"/>
        <w:rPr>
          <w:b/>
          <w:sz w:val="28"/>
          <w:szCs w:val="28"/>
        </w:rPr>
      </w:pPr>
      <w:r>
        <w:rPr>
          <w:b/>
          <w:sz w:val="28"/>
          <w:szCs w:val="28"/>
        </w:rPr>
        <w:t>竣工环境保护验收意见</w:t>
      </w:r>
    </w:p>
    <w:p>
      <w:pPr>
        <w:spacing w:line="460" w:lineRule="exact"/>
        <w:ind w:firstLine="552"/>
        <w:jc w:val="center"/>
        <w:rPr>
          <w:b/>
          <w:sz w:val="28"/>
          <w:szCs w:val="28"/>
        </w:rPr>
      </w:pPr>
    </w:p>
    <w:p>
      <w:pPr>
        <w:ind w:firstLine="470"/>
        <w:rPr>
          <w:b/>
          <w:bCs/>
        </w:rPr>
      </w:pPr>
      <w:r>
        <w:t>依照《建设项目竣工环境保护验收暂行办法》和山西省环境保护厅</w:t>
      </w:r>
      <w:r>
        <w:rPr>
          <w:rFonts w:hint="eastAsia"/>
        </w:rPr>
        <w:t>“</w:t>
      </w:r>
      <w:r>
        <w:t>关于做好建设项目环境保护管理相关工作的通知</w:t>
      </w:r>
      <w:r>
        <w:rPr>
          <w:rFonts w:hint="eastAsia"/>
        </w:rPr>
        <w:t>”</w:t>
      </w:r>
      <w:r>
        <w:t>（晋环许可函【2018】39号），</w:t>
      </w:r>
      <w:r>
        <w:rPr>
          <w:rFonts w:hint="eastAsia"/>
        </w:rPr>
        <w:t>平陆县鑫垚矿业有限公司</w:t>
      </w:r>
      <w:r>
        <w:rPr>
          <w:bCs/>
        </w:rPr>
        <w:t>邀请有关环保专家</w:t>
      </w:r>
      <w:r>
        <w:rPr>
          <w:rFonts w:hint="eastAsia"/>
          <w:bCs/>
          <w:lang w:eastAsia="zh-CN"/>
        </w:rPr>
        <w:t>和</w:t>
      </w:r>
      <w:r>
        <w:rPr>
          <w:rFonts w:hint="eastAsia" w:ascii="宋体" w:hAnsi="宋体" w:cs="宋体"/>
        </w:rPr>
        <w:t>河南鑫成环境保护监测有限公司</w:t>
      </w:r>
      <w:r>
        <w:rPr>
          <w:rFonts w:hint="eastAsia" w:ascii="宋体" w:hAnsi="宋体" w:cs="宋体"/>
          <w:lang w:eastAsia="zh-CN"/>
        </w:rPr>
        <w:t>成立项目验收组，</w:t>
      </w:r>
      <w:r>
        <w:t>于</w:t>
      </w:r>
      <w:r>
        <w:rPr>
          <w:bCs/>
        </w:rPr>
        <w:t>202</w:t>
      </w:r>
      <w:r>
        <w:rPr>
          <w:rFonts w:hint="eastAsia"/>
          <w:bCs/>
        </w:rPr>
        <w:t>2</w:t>
      </w:r>
      <w:r>
        <w:rPr>
          <w:bCs/>
        </w:rPr>
        <w:t>年</w:t>
      </w:r>
      <w:r>
        <w:rPr>
          <w:rFonts w:hint="eastAsia"/>
          <w:bCs/>
        </w:rPr>
        <w:t>3</w:t>
      </w:r>
      <w:r>
        <w:rPr>
          <w:bCs/>
        </w:rPr>
        <w:t>月7日对</w:t>
      </w:r>
      <w:r>
        <w:rPr>
          <w:rFonts w:hint="eastAsia"/>
          <w:bCs/>
        </w:rPr>
        <w:t>“平陆县前岭石灰岩矿年产5万吨石灰岩矿项目”</w:t>
      </w:r>
      <w:r>
        <w:t>进行</w:t>
      </w:r>
      <w:r>
        <w:rPr>
          <w:bCs/>
        </w:rPr>
        <w:t>竣工环境保护验收。公司领导介绍了项目的建设情况和环保设施的执行情况，</w:t>
      </w:r>
      <w:r>
        <w:t>监测单位</w:t>
      </w:r>
      <w:r>
        <w:rPr>
          <w:rFonts w:hint="eastAsia"/>
        </w:rPr>
        <w:t>河南鑫成环境保护监测有限公司</w:t>
      </w:r>
      <w:r>
        <w:t>介绍了验收监测报告的内容，</w:t>
      </w:r>
      <w:r>
        <w:rPr>
          <w:bCs/>
        </w:rPr>
        <w:t>验收组现场检查了工程环保设施的建设、运营情况，经过讨论和审议，在综合会议意见的基础上形成验收意见如下：</w:t>
      </w:r>
    </w:p>
    <w:p>
      <w:pPr>
        <w:ind w:firstLine="470"/>
        <w:rPr>
          <w:bCs/>
        </w:rPr>
      </w:pPr>
      <w:r>
        <w:rPr>
          <w:bCs/>
        </w:rPr>
        <w:t>一、项目基本情况</w:t>
      </w:r>
    </w:p>
    <w:p>
      <w:pPr>
        <w:ind w:firstLine="470"/>
      </w:pPr>
      <w:r>
        <w:t>1、基本情况</w:t>
      </w:r>
    </w:p>
    <w:p>
      <w:pPr>
        <w:ind w:firstLine="470"/>
      </w:pPr>
      <w:r>
        <w:t>平陆县</w:t>
      </w:r>
      <w:r>
        <w:rPr>
          <w:rFonts w:hint="eastAsia"/>
        </w:rPr>
        <w:t>前岭石灰岩矿</w:t>
      </w:r>
      <w:r>
        <w:t>年</w:t>
      </w:r>
      <w:r>
        <w:rPr>
          <w:rFonts w:hint="eastAsia"/>
        </w:rPr>
        <w:t>产</w:t>
      </w:r>
      <w:r>
        <w:t>5万吨石灰岩矿项目</w:t>
      </w:r>
      <w:r>
        <w:rPr>
          <w:rFonts w:hint="eastAsia"/>
        </w:rPr>
        <w:t>位于平陆县坡底乡郑家场村西南方向</w:t>
      </w:r>
      <w:r>
        <w:t>857m</w:t>
      </w:r>
      <w:r>
        <w:rPr>
          <w:rFonts w:hint="eastAsia"/>
        </w:rPr>
        <w:t>处，生产规模5万吨/年。</w:t>
      </w:r>
      <w:r>
        <w:rPr>
          <w:rFonts w:hint="eastAsia" w:cs="宋体"/>
          <w:color w:val="000000"/>
          <w:szCs w:val="22"/>
        </w:rPr>
        <w:t>2021年</w:t>
      </w:r>
      <w:r>
        <w:rPr>
          <w:rFonts w:hint="eastAsia" w:cs="宋体"/>
          <w:color w:val="000000"/>
          <w:szCs w:val="22"/>
          <w:lang w:val="en-US" w:eastAsia="zh-CN"/>
        </w:rPr>
        <w:t>6</w:t>
      </w:r>
      <w:r>
        <w:rPr>
          <w:rFonts w:hint="eastAsia" w:cs="宋体"/>
          <w:color w:val="000000"/>
          <w:szCs w:val="22"/>
        </w:rPr>
        <w:t>月2日，平陆县前岭石灰岩矿将公司转让给了平陆县鑫垚矿业有限公司。</w:t>
      </w:r>
    </w:p>
    <w:p>
      <w:pPr>
        <w:ind w:firstLine="486"/>
      </w:pPr>
      <w:r>
        <w:rPr>
          <w:spacing w:val="4"/>
        </w:rPr>
        <w:t>2、环</w:t>
      </w:r>
      <w:r>
        <w:t>评审批情况</w:t>
      </w:r>
      <w:bookmarkStart w:id="0" w:name="_GoBack"/>
      <w:bookmarkEnd w:id="0"/>
    </w:p>
    <w:p>
      <w:pPr>
        <w:ind w:firstLine="470"/>
        <w:rPr>
          <w:rFonts w:cs="宋体"/>
          <w:color w:val="000000"/>
          <w:szCs w:val="22"/>
        </w:rPr>
      </w:pPr>
      <w:r>
        <w:rPr>
          <w:rFonts w:hint="eastAsia" w:cs="宋体"/>
          <w:color w:val="000000"/>
          <w:szCs w:val="22"/>
        </w:rPr>
        <w:t>根据运城市人民政府非煤矿山企业资源整合和有偿使用工作领导组办公室文件，山西平陆县前岭石灰岩矿是非煤矿山资源整合单独保留矿山，整合前矿区面积为0.62km</w:t>
      </w:r>
      <w:r>
        <w:rPr>
          <w:rFonts w:hint="eastAsia" w:cs="宋体"/>
          <w:color w:val="000000"/>
          <w:szCs w:val="22"/>
          <w:vertAlign w:val="superscript"/>
        </w:rPr>
        <w:t>2</w:t>
      </w:r>
      <w:r>
        <w:rPr>
          <w:rFonts w:hint="eastAsia" w:cs="宋体"/>
          <w:color w:val="000000"/>
          <w:szCs w:val="22"/>
        </w:rPr>
        <w:t>，批采标高为465-335m，生产规模为2.00万吨/年；整合后矿区范围不变，面积仍为0.62km</w:t>
      </w:r>
      <w:r>
        <w:rPr>
          <w:rFonts w:hint="eastAsia" w:cs="宋体"/>
          <w:color w:val="000000"/>
          <w:szCs w:val="22"/>
          <w:vertAlign w:val="superscript"/>
        </w:rPr>
        <w:t>2</w:t>
      </w:r>
      <w:r>
        <w:rPr>
          <w:rFonts w:hint="eastAsia" w:cs="宋体"/>
          <w:color w:val="000000"/>
          <w:szCs w:val="22"/>
        </w:rPr>
        <w:t>，生产规模由原来的2.00万吨/年变为5万吨/年，批采标高为465-335m。原料堆场的面积为1000m</w:t>
      </w:r>
      <w:r>
        <w:rPr>
          <w:rFonts w:hint="eastAsia" w:cs="宋体"/>
          <w:color w:val="000000"/>
          <w:szCs w:val="22"/>
          <w:vertAlign w:val="superscript"/>
        </w:rPr>
        <w:t>2</w:t>
      </w:r>
      <w:r>
        <w:rPr>
          <w:rFonts w:hint="eastAsia" w:cs="宋体"/>
          <w:color w:val="000000"/>
          <w:szCs w:val="22"/>
        </w:rPr>
        <w:t>。建设地点位于山西省运城市平陆县坡底乡郑家场村，营业范围主要为：石灰岩矿的开采，加工、销售。</w:t>
      </w:r>
    </w:p>
    <w:p>
      <w:pPr>
        <w:ind w:firstLine="470"/>
      </w:pPr>
      <w:r>
        <w:rPr>
          <w:rFonts w:hint="eastAsia"/>
        </w:rPr>
        <w:t>2016年4月15日，平陆县前岭石灰岩矿委托山西中天安环科技有限公司编制完成了《平陆县前岭石灰岩矿年产5万吨石灰岩矿项目环境影响报告表》。</w:t>
      </w:r>
    </w:p>
    <w:p>
      <w:pPr>
        <w:ind w:firstLine="470"/>
      </w:pPr>
      <w:r>
        <w:rPr>
          <w:rFonts w:hint="eastAsia"/>
        </w:rPr>
        <w:t>2017年3月16日，平陆县环境保护局以平环函〔</w:t>
      </w:r>
      <w:r>
        <w:t>20</w:t>
      </w:r>
      <w:r>
        <w:rPr>
          <w:rFonts w:hint="eastAsia"/>
        </w:rPr>
        <w:t>17〕13号，对项目予以批复，准予其生产建设。</w:t>
      </w:r>
    </w:p>
    <w:p>
      <w:pPr>
        <w:ind w:firstLine="470"/>
      </w:pPr>
      <w:r>
        <w:rPr>
          <w:rFonts w:hint="eastAsia"/>
        </w:rPr>
        <w:t>2021年7月27日，运城市生态环境局平陆分局以平环函〔</w:t>
      </w:r>
      <w:r>
        <w:t>20</w:t>
      </w:r>
      <w:r>
        <w:rPr>
          <w:rFonts w:hint="eastAsia"/>
        </w:rPr>
        <w:t>21〕38号，对“平陆县鑫垚矿业有限公司”使用原“平陆县前岭石灰岩矿年产5万吨石灰岩矿项目”建设项目环境影响报告表及其他相关环保手续予以批复。</w:t>
      </w:r>
    </w:p>
    <w:p>
      <w:pPr>
        <w:ind w:firstLine="470"/>
      </w:pPr>
      <w:r>
        <w:rPr>
          <w:rFonts w:hint="eastAsia"/>
        </w:rPr>
        <w:t>2022年1月12日，平陆县鑫垚矿业有限公司填报了固定污染源排污登记，登记编号为：91140829MA0KJMEQ0L001Y。</w:t>
      </w:r>
    </w:p>
    <w:p>
      <w:pPr>
        <w:ind w:firstLine="470"/>
      </w:pPr>
      <w:r>
        <w:t>2022年1月</w:t>
      </w:r>
      <w:r>
        <w:rPr>
          <w:rFonts w:hint="eastAsia" w:cs="宋体"/>
        </w:rPr>
        <w:t>，平陆县鑫垚矿业有限公司完成了项目建设，并同步开展调试，</w:t>
      </w:r>
      <w:r>
        <w:rPr>
          <w:rFonts w:hint="eastAsia" w:cs="宋体"/>
          <w:bCs/>
        </w:rPr>
        <w:t>项目主体工程与配套的环保设施已同时建成，具备了工程竣工环境保护验收条件。</w:t>
      </w:r>
    </w:p>
    <w:p>
      <w:pPr>
        <w:ind w:firstLine="470"/>
        <w:rPr>
          <w:bCs/>
        </w:rPr>
      </w:pPr>
      <w:r>
        <w:t>3、本项目实际</w:t>
      </w:r>
      <w:r>
        <w:rPr>
          <w:bCs/>
        </w:rPr>
        <w:t>总投资</w:t>
      </w:r>
      <w:r>
        <w:rPr>
          <w:rFonts w:hint="eastAsia"/>
          <w:bCs/>
        </w:rPr>
        <w:t>176</w:t>
      </w:r>
      <w:r>
        <w:rPr>
          <w:bCs/>
        </w:rPr>
        <w:t>万元，其中环保投资</w:t>
      </w:r>
      <w:r>
        <w:rPr>
          <w:rFonts w:hint="eastAsia"/>
          <w:bCs/>
        </w:rPr>
        <w:t>40.6</w:t>
      </w:r>
      <w:r>
        <w:rPr>
          <w:bCs/>
        </w:rPr>
        <w:t>万元，占总投资的</w:t>
      </w:r>
      <w:r>
        <w:rPr>
          <w:rFonts w:hint="eastAsia"/>
          <w:bCs/>
        </w:rPr>
        <w:t>23.1</w:t>
      </w:r>
      <w:r>
        <w:rPr>
          <w:bCs/>
        </w:rPr>
        <w:t>%。</w:t>
      </w:r>
    </w:p>
    <w:p>
      <w:pPr>
        <w:ind w:firstLine="470"/>
        <w:rPr>
          <w:bCs/>
        </w:rPr>
      </w:pPr>
      <w:r>
        <w:rPr>
          <w:bCs/>
        </w:rPr>
        <w:t>4、验收范围</w:t>
      </w:r>
    </w:p>
    <w:p>
      <w:pPr>
        <w:ind w:firstLine="470"/>
        <w:rPr>
          <w:bCs/>
        </w:rPr>
      </w:pPr>
      <w:r>
        <w:rPr>
          <w:bCs/>
        </w:rPr>
        <w:t>本次验收</w:t>
      </w:r>
      <w:r>
        <w:rPr>
          <w:rFonts w:hint="eastAsia"/>
          <w:bCs/>
        </w:rPr>
        <w:t>为整体验收</w:t>
      </w:r>
      <w:r>
        <w:rPr>
          <w:bCs/>
        </w:rPr>
        <w:t>。</w:t>
      </w:r>
    </w:p>
    <w:p>
      <w:pPr>
        <w:ind w:firstLine="470"/>
      </w:pPr>
      <w:r>
        <w:t>5、工程内容</w:t>
      </w:r>
    </w:p>
    <w:p>
      <w:pPr>
        <w:ind w:firstLine="470"/>
      </w:pPr>
      <w:r>
        <w:t>本项目主体工程、辅助工程和公用工程基本按照环评文件及批复文件要求建设。工程建设内容和实际建设情况见表1：</w:t>
      </w:r>
    </w:p>
    <w:p>
      <w:pPr>
        <w:ind w:firstLine="470"/>
        <w:sectPr>
          <w:headerReference r:id="rId5" w:type="default"/>
          <w:footerReference r:id="rId6" w:type="default"/>
          <w:footerReference r:id="rId7" w:type="even"/>
          <w:pgSz w:w="11906" w:h="16838"/>
          <w:pgMar w:top="1440" w:right="1080" w:bottom="1440" w:left="1080" w:header="851" w:footer="992" w:gutter="0"/>
          <w:pgNumType w:start="1"/>
          <w:cols w:space="720" w:num="1"/>
          <w:docGrid w:type="linesAndChars" w:linePitch="586" w:charSpace="-1032"/>
        </w:sectPr>
      </w:pPr>
    </w:p>
    <w:p>
      <w:pPr>
        <w:ind w:firstLine="472"/>
        <w:jc w:val="center"/>
        <w:rPr>
          <w:b/>
          <w:bCs/>
        </w:rPr>
      </w:pPr>
      <w:r>
        <w:rPr>
          <w:b/>
          <w:bCs/>
        </w:rPr>
        <w:t>表1  环评与实际建设内容对比一览表</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7"/>
        <w:gridCol w:w="1135"/>
        <w:gridCol w:w="852"/>
        <w:gridCol w:w="5388"/>
        <w:gridCol w:w="5245"/>
        <w:gridCol w:w="1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pct"/>
            <w:gridSpan w:val="3"/>
            <w:vAlign w:val="center"/>
          </w:tcPr>
          <w:p>
            <w:pPr>
              <w:ind w:firstLine="0" w:firstLineChars="0"/>
              <w:jc w:val="center"/>
              <w:rPr>
                <w:bCs/>
                <w:sz w:val="21"/>
                <w:szCs w:val="21"/>
              </w:rPr>
            </w:pPr>
            <w:r>
              <w:rPr>
                <w:bCs/>
                <w:sz w:val="21"/>
                <w:szCs w:val="21"/>
              </w:rPr>
              <w:t>项目名称</w:t>
            </w:r>
          </w:p>
        </w:tc>
        <w:tc>
          <w:tcPr>
            <w:tcW w:w="1808" w:type="pct"/>
            <w:vAlign w:val="center"/>
          </w:tcPr>
          <w:p>
            <w:pPr>
              <w:ind w:firstLine="0" w:firstLineChars="0"/>
              <w:jc w:val="center"/>
              <w:rPr>
                <w:bCs/>
                <w:sz w:val="21"/>
                <w:szCs w:val="21"/>
              </w:rPr>
            </w:pPr>
            <w:r>
              <w:rPr>
                <w:bCs/>
                <w:sz w:val="21"/>
                <w:szCs w:val="21"/>
              </w:rPr>
              <w:t>建设内容</w:t>
            </w:r>
          </w:p>
        </w:tc>
        <w:tc>
          <w:tcPr>
            <w:tcW w:w="1760" w:type="pct"/>
            <w:vAlign w:val="center"/>
          </w:tcPr>
          <w:p>
            <w:pPr>
              <w:ind w:firstLine="0" w:firstLineChars="0"/>
              <w:jc w:val="center"/>
              <w:rPr>
                <w:bCs/>
                <w:sz w:val="21"/>
                <w:szCs w:val="21"/>
              </w:rPr>
            </w:pPr>
            <w:r>
              <w:rPr>
                <w:bCs/>
                <w:sz w:val="21"/>
                <w:szCs w:val="21"/>
              </w:rPr>
              <w:t>实际建设内容</w:t>
            </w:r>
          </w:p>
        </w:tc>
        <w:tc>
          <w:tcPr>
            <w:tcW w:w="348" w:type="pct"/>
            <w:vAlign w:val="center"/>
          </w:tcPr>
          <w:p>
            <w:pPr>
              <w:ind w:firstLine="0" w:firstLineChars="0"/>
              <w:jc w:val="center"/>
              <w:rPr>
                <w:bCs/>
                <w:sz w:val="21"/>
                <w:szCs w:val="21"/>
              </w:rPr>
            </w:pPr>
            <w:r>
              <w:rPr>
                <w:bCs/>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restart"/>
            <w:vAlign w:val="center"/>
          </w:tcPr>
          <w:p>
            <w:pPr>
              <w:ind w:firstLine="0" w:firstLineChars="0"/>
              <w:jc w:val="center"/>
              <w:rPr>
                <w:bCs/>
                <w:sz w:val="21"/>
                <w:szCs w:val="21"/>
              </w:rPr>
            </w:pPr>
            <w:r>
              <w:rPr>
                <w:bCs/>
                <w:sz w:val="21"/>
                <w:szCs w:val="21"/>
              </w:rPr>
              <w:t>主体工程</w:t>
            </w:r>
          </w:p>
        </w:tc>
        <w:tc>
          <w:tcPr>
            <w:tcW w:w="667" w:type="pct"/>
            <w:gridSpan w:val="2"/>
            <w:vAlign w:val="center"/>
          </w:tcPr>
          <w:p>
            <w:pPr>
              <w:ind w:firstLine="0" w:firstLineChars="0"/>
              <w:jc w:val="center"/>
              <w:rPr>
                <w:bCs/>
                <w:sz w:val="21"/>
                <w:szCs w:val="21"/>
              </w:rPr>
            </w:pPr>
            <w:r>
              <w:rPr>
                <w:bCs/>
                <w:sz w:val="21"/>
                <w:szCs w:val="21"/>
              </w:rPr>
              <w:t>开采区</w:t>
            </w:r>
          </w:p>
        </w:tc>
        <w:tc>
          <w:tcPr>
            <w:tcW w:w="1808" w:type="pct"/>
            <w:vAlign w:val="center"/>
          </w:tcPr>
          <w:p>
            <w:pPr>
              <w:ind w:firstLine="0" w:firstLineChars="0"/>
              <w:jc w:val="center"/>
              <w:rPr>
                <w:bCs/>
                <w:sz w:val="21"/>
                <w:szCs w:val="21"/>
              </w:rPr>
            </w:pPr>
            <w:r>
              <w:rPr>
                <w:bCs/>
                <w:sz w:val="21"/>
                <w:szCs w:val="21"/>
              </w:rPr>
              <w:t>矿区面积0.62km</w:t>
            </w:r>
            <w:r>
              <w:rPr>
                <w:bCs/>
                <w:sz w:val="21"/>
                <w:szCs w:val="21"/>
                <w:vertAlign w:val="superscript"/>
              </w:rPr>
              <w:t>2</w:t>
            </w:r>
          </w:p>
        </w:tc>
        <w:tc>
          <w:tcPr>
            <w:tcW w:w="1760" w:type="pct"/>
            <w:vAlign w:val="center"/>
          </w:tcPr>
          <w:p>
            <w:pPr>
              <w:ind w:firstLine="0" w:firstLineChars="0"/>
              <w:jc w:val="center"/>
              <w:rPr>
                <w:bCs/>
                <w:sz w:val="21"/>
                <w:szCs w:val="21"/>
              </w:rPr>
            </w:pPr>
            <w:r>
              <w:rPr>
                <w:bCs/>
                <w:sz w:val="21"/>
                <w:szCs w:val="21"/>
              </w:rPr>
              <w:t>矿区面积0.62km</w:t>
            </w:r>
            <w:r>
              <w:rPr>
                <w:bCs/>
                <w:sz w:val="21"/>
                <w:szCs w:val="21"/>
                <w:vertAlign w:val="superscript"/>
              </w:rPr>
              <w:t>2</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原料堆场</w:t>
            </w:r>
          </w:p>
        </w:tc>
        <w:tc>
          <w:tcPr>
            <w:tcW w:w="1808" w:type="pct"/>
            <w:vAlign w:val="center"/>
          </w:tcPr>
          <w:p>
            <w:pPr>
              <w:ind w:firstLine="0" w:firstLineChars="0"/>
              <w:jc w:val="center"/>
              <w:rPr>
                <w:bCs/>
                <w:sz w:val="21"/>
                <w:szCs w:val="21"/>
              </w:rPr>
            </w:pPr>
            <w:r>
              <w:rPr>
                <w:bCs/>
                <w:sz w:val="21"/>
                <w:szCs w:val="21"/>
              </w:rPr>
              <w:t>1000m</w:t>
            </w:r>
            <w:r>
              <w:rPr>
                <w:bCs/>
                <w:sz w:val="21"/>
                <w:szCs w:val="21"/>
                <w:vertAlign w:val="superscript"/>
              </w:rPr>
              <w:t>2</w:t>
            </w:r>
          </w:p>
        </w:tc>
        <w:tc>
          <w:tcPr>
            <w:tcW w:w="1760" w:type="pct"/>
            <w:vAlign w:val="center"/>
          </w:tcPr>
          <w:p>
            <w:pPr>
              <w:ind w:firstLine="0" w:firstLineChars="0"/>
              <w:jc w:val="center"/>
              <w:rPr>
                <w:bCs/>
                <w:sz w:val="21"/>
                <w:szCs w:val="21"/>
              </w:rPr>
            </w:pPr>
            <w:r>
              <w:rPr>
                <w:bCs/>
                <w:sz w:val="21"/>
                <w:szCs w:val="21"/>
              </w:rPr>
              <w:t>1000m</w:t>
            </w:r>
            <w:r>
              <w:rPr>
                <w:bCs/>
                <w:sz w:val="21"/>
                <w:szCs w:val="21"/>
                <w:vertAlign w:val="superscript"/>
              </w:rPr>
              <w:t>2</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石料加工厂</w:t>
            </w:r>
          </w:p>
        </w:tc>
        <w:tc>
          <w:tcPr>
            <w:tcW w:w="1808" w:type="pct"/>
            <w:vAlign w:val="center"/>
          </w:tcPr>
          <w:p>
            <w:pPr>
              <w:ind w:firstLine="0" w:firstLineChars="0"/>
              <w:jc w:val="center"/>
              <w:rPr>
                <w:bCs/>
                <w:sz w:val="21"/>
                <w:szCs w:val="21"/>
              </w:rPr>
            </w:pPr>
            <w:r>
              <w:rPr>
                <w:bCs/>
                <w:sz w:val="21"/>
                <w:szCs w:val="21"/>
              </w:rPr>
              <w:t>1500m</w:t>
            </w:r>
            <w:r>
              <w:rPr>
                <w:bCs/>
                <w:sz w:val="21"/>
                <w:szCs w:val="21"/>
                <w:vertAlign w:val="superscript"/>
              </w:rPr>
              <w:t>2</w:t>
            </w:r>
            <w:r>
              <w:rPr>
                <w:bCs/>
                <w:sz w:val="21"/>
                <w:szCs w:val="21"/>
              </w:rPr>
              <w:t>，一采区和二采区共同建设石料加工生产装置，新建一条年产5万吨石灰岩矿破碎生产线</w:t>
            </w:r>
          </w:p>
        </w:tc>
        <w:tc>
          <w:tcPr>
            <w:tcW w:w="1760" w:type="pct"/>
            <w:vAlign w:val="center"/>
          </w:tcPr>
          <w:p>
            <w:pPr>
              <w:ind w:firstLine="0" w:firstLineChars="0"/>
              <w:jc w:val="center"/>
              <w:rPr>
                <w:bCs/>
                <w:sz w:val="21"/>
                <w:szCs w:val="21"/>
              </w:rPr>
            </w:pPr>
            <w:r>
              <w:rPr>
                <w:bCs/>
                <w:sz w:val="21"/>
                <w:szCs w:val="21"/>
              </w:rPr>
              <w:t>1500m</w:t>
            </w:r>
            <w:r>
              <w:rPr>
                <w:bCs/>
                <w:sz w:val="21"/>
                <w:szCs w:val="21"/>
                <w:vertAlign w:val="superscript"/>
              </w:rPr>
              <w:t>2</w:t>
            </w:r>
            <w:r>
              <w:rPr>
                <w:bCs/>
                <w:sz w:val="21"/>
                <w:szCs w:val="21"/>
              </w:rPr>
              <w:t>，一采区和二采区共同建设石料加工生产装置，新建一条年产5万吨石灰岩矿破碎生产线</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成品堆场</w:t>
            </w:r>
          </w:p>
        </w:tc>
        <w:tc>
          <w:tcPr>
            <w:tcW w:w="1808" w:type="pct"/>
            <w:vAlign w:val="center"/>
          </w:tcPr>
          <w:p>
            <w:pPr>
              <w:ind w:firstLine="0" w:firstLineChars="0"/>
              <w:jc w:val="center"/>
              <w:rPr>
                <w:bCs/>
                <w:sz w:val="21"/>
                <w:szCs w:val="21"/>
              </w:rPr>
            </w:pPr>
            <w:r>
              <w:rPr>
                <w:bCs/>
                <w:sz w:val="21"/>
                <w:szCs w:val="21"/>
              </w:rPr>
              <w:t>1000m</w:t>
            </w:r>
            <w:r>
              <w:rPr>
                <w:bCs/>
                <w:sz w:val="21"/>
                <w:szCs w:val="21"/>
                <w:vertAlign w:val="superscript"/>
              </w:rPr>
              <w:t>2</w:t>
            </w:r>
          </w:p>
        </w:tc>
        <w:tc>
          <w:tcPr>
            <w:tcW w:w="1760" w:type="pct"/>
            <w:vAlign w:val="center"/>
          </w:tcPr>
          <w:p>
            <w:pPr>
              <w:ind w:firstLine="0" w:firstLineChars="0"/>
              <w:jc w:val="center"/>
              <w:rPr>
                <w:bCs/>
                <w:sz w:val="21"/>
                <w:szCs w:val="21"/>
              </w:rPr>
            </w:pPr>
            <w:r>
              <w:rPr>
                <w:bCs/>
                <w:sz w:val="21"/>
                <w:szCs w:val="21"/>
              </w:rPr>
              <w:t>1000m</w:t>
            </w:r>
            <w:r>
              <w:rPr>
                <w:bCs/>
                <w:sz w:val="21"/>
                <w:szCs w:val="21"/>
                <w:vertAlign w:val="superscript"/>
              </w:rPr>
              <w:t>2</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restart"/>
            <w:vAlign w:val="center"/>
          </w:tcPr>
          <w:p>
            <w:pPr>
              <w:ind w:firstLine="0" w:firstLineChars="0"/>
              <w:jc w:val="center"/>
              <w:rPr>
                <w:bCs/>
                <w:sz w:val="21"/>
                <w:szCs w:val="21"/>
              </w:rPr>
            </w:pPr>
            <w:r>
              <w:rPr>
                <w:bCs/>
                <w:sz w:val="21"/>
                <w:szCs w:val="21"/>
              </w:rPr>
              <w:t>辅助工程</w:t>
            </w:r>
          </w:p>
        </w:tc>
        <w:tc>
          <w:tcPr>
            <w:tcW w:w="667" w:type="pct"/>
            <w:gridSpan w:val="2"/>
            <w:vAlign w:val="center"/>
          </w:tcPr>
          <w:p>
            <w:pPr>
              <w:ind w:firstLine="0" w:firstLineChars="0"/>
              <w:jc w:val="center"/>
              <w:rPr>
                <w:bCs/>
                <w:sz w:val="21"/>
                <w:szCs w:val="21"/>
              </w:rPr>
            </w:pPr>
            <w:r>
              <w:rPr>
                <w:bCs/>
                <w:sz w:val="21"/>
                <w:szCs w:val="21"/>
              </w:rPr>
              <w:t>办公区</w:t>
            </w:r>
          </w:p>
        </w:tc>
        <w:tc>
          <w:tcPr>
            <w:tcW w:w="1808" w:type="pct"/>
            <w:vAlign w:val="center"/>
          </w:tcPr>
          <w:p>
            <w:pPr>
              <w:ind w:firstLine="0" w:firstLineChars="0"/>
              <w:jc w:val="center"/>
              <w:rPr>
                <w:bCs/>
                <w:sz w:val="21"/>
                <w:szCs w:val="21"/>
              </w:rPr>
            </w:pPr>
            <w:r>
              <w:rPr>
                <w:bCs/>
                <w:sz w:val="21"/>
                <w:szCs w:val="21"/>
              </w:rPr>
              <w:t>180m</w:t>
            </w:r>
            <w:r>
              <w:rPr>
                <w:bCs/>
                <w:sz w:val="21"/>
                <w:szCs w:val="21"/>
                <w:vertAlign w:val="superscript"/>
              </w:rPr>
              <w:t>2</w:t>
            </w:r>
            <w:r>
              <w:rPr>
                <w:bCs/>
                <w:sz w:val="21"/>
                <w:szCs w:val="21"/>
              </w:rPr>
              <w:t>，1层彩钢结构</w:t>
            </w:r>
          </w:p>
        </w:tc>
        <w:tc>
          <w:tcPr>
            <w:tcW w:w="1760" w:type="pct"/>
            <w:vAlign w:val="center"/>
          </w:tcPr>
          <w:p>
            <w:pPr>
              <w:ind w:firstLine="0" w:firstLineChars="0"/>
              <w:jc w:val="center"/>
              <w:rPr>
                <w:bCs/>
                <w:sz w:val="21"/>
                <w:szCs w:val="21"/>
              </w:rPr>
            </w:pPr>
            <w:r>
              <w:rPr>
                <w:bCs/>
                <w:sz w:val="21"/>
                <w:szCs w:val="21"/>
              </w:rPr>
              <w:t>180m</w:t>
            </w:r>
            <w:r>
              <w:rPr>
                <w:bCs/>
                <w:sz w:val="21"/>
                <w:szCs w:val="21"/>
                <w:vertAlign w:val="superscript"/>
              </w:rPr>
              <w:t>2</w:t>
            </w:r>
            <w:r>
              <w:rPr>
                <w:bCs/>
                <w:sz w:val="21"/>
                <w:szCs w:val="21"/>
              </w:rPr>
              <w:t>，1层彩钢结构</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职工宿舍（休息）</w:t>
            </w:r>
          </w:p>
        </w:tc>
        <w:tc>
          <w:tcPr>
            <w:tcW w:w="1808" w:type="pct"/>
            <w:vAlign w:val="center"/>
          </w:tcPr>
          <w:p>
            <w:pPr>
              <w:ind w:firstLine="0" w:firstLineChars="0"/>
              <w:jc w:val="center"/>
              <w:rPr>
                <w:bCs/>
                <w:sz w:val="21"/>
                <w:szCs w:val="21"/>
              </w:rPr>
            </w:pPr>
            <w:r>
              <w:rPr>
                <w:bCs/>
                <w:sz w:val="21"/>
                <w:szCs w:val="21"/>
              </w:rPr>
              <w:t>100m</w:t>
            </w:r>
            <w:r>
              <w:rPr>
                <w:bCs/>
                <w:sz w:val="21"/>
                <w:szCs w:val="21"/>
                <w:vertAlign w:val="superscript"/>
              </w:rPr>
              <w:t>2</w:t>
            </w:r>
            <w:r>
              <w:rPr>
                <w:bCs/>
                <w:sz w:val="21"/>
                <w:szCs w:val="21"/>
              </w:rPr>
              <w:t>，1层彩钢结构</w:t>
            </w:r>
          </w:p>
        </w:tc>
        <w:tc>
          <w:tcPr>
            <w:tcW w:w="1760" w:type="pct"/>
            <w:vAlign w:val="center"/>
          </w:tcPr>
          <w:p>
            <w:pPr>
              <w:ind w:firstLine="0" w:firstLineChars="0"/>
              <w:jc w:val="center"/>
              <w:rPr>
                <w:bCs/>
                <w:sz w:val="21"/>
                <w:szCs w:val="21"/>
              </w:rPr>
            </w:pPr>
            <w:r>
              <w:rPr>
                <w:bCs/>
                <w:sz w:val="21"/>
                <w:szCs w:val="21"/>
              </w:rPr>
              <w:t>100m</w:t>
            </w:r>
            <w:r>
              <w:rPr>
                <w:bCs/>
                <w:sz w:val="21"/>
                <w:szCs w:val="21"/>
                <w:vertAlign w:val="superscript"/>
              </w:rPr>
              <w:t>2</w:t>
            </w:r>
            <w:r>
              <w:rPr>
                <w:bCs/>
                <w:sz w:val="21"/>
                <w:szCs w:val="21"/>
              </w:rPr>
              <w:t>，1层彩钢结构</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食堂</w:t>
            </w:r>
          </w:p>
        </w:tc>
        <w:tc>
          <w:tcPr>
            <w:tcW w:w="1808" w:type="pct"/>
            <w:vAlign w:val="center"/>
          </w:tcPr>
          <w:p>
            <w:pPr>
              <w:ind w:firstLine="0" w:firstLineChars="0"/>
              <w:jc w:val="center"/>
              <w:rPr>
                <w:bCs/>
                <w:sz w:val="21"/>
                <w:szCs w:val="21"/>
              </w:rPr>
            </w:pPr>
            <w:r>
              <w:rPr>
                <w:bCs/>
                <w:sz w:val="21"/>
                <w:szCs w:val="21"/>
              </w:rPr>
              <w:t>30m</w:t>
            </w:r>
            <w:r>
              <w:rPr>
                <w:bCs/>
                <w:sz w:val="21"/>
                <w:szCs w:val="21"/>
                <w:vertAlign w:val="superscript"/>
              </w:rPr>
              <w:t>2</w:t>
            </w:r>
            <w:r>
              <w:rPr>
                <w:bCs/>
                <w:sz w:val="21"/>
                <w:szCs w:val="21"/>
              </w:rPr>
              <w:t>,1层彩钢结构</w:t>
            </w:r>
          </w:p>
        </w:tc>
        <w:tc>
          <w:tcPr>
            <w:tcW w:w="1760" w:type="pct"/>
            <w:vAlign w:val="center"/>
          </w:tcPr>
          <w:p>
            <w:pPr>
              <w:ind w:firstLine="0" w:firstLineChars="0"/>
              <w:jc w:val="center"/>
              <w:rPr>
                <w:bCs/>
                <w:sz w:val="21"/>
                <w:szCs w:val="21"/>
              </w:rPr>
            </w:pPr>
            <w:r>
              <w:rPr>
                <w:bCs/>
                <w:sz w:val="21"/>
                <w:szCs w:val="21"/>
              </w:rPr>
              <w:t>30m</w:t>
            </w:r>
            <w:r>
              <w:rPr>
                <w:bCs/>
                <w:sz w:val="21"/>
                <w:szCs w:val="21"/>
                <w:vertAlign w:val="superscript"/>
              </w:rPr>
              <w:t>2</w:t>
            </w:r>
            <w:r>
              <w:rPr>
                <w:bCs/>
                <w:sz w:val="21"/>
                <w:szCs w:val="21"/>
              </w:rPr>
              <w:t>,1层彩钢结构</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配电室</w:t>
            </w:r>
          </w:p>
        </w:tc>
        <w:tc>
          <w:tcPr>
            <w:tcW w:w="1808" w:type="pct"/>
            <w:vAlign w:val="center"/>
          </w:tcPr>
          <w:p>
            <w:pPr>
              <w:ind w:firstLine="0" w:firstLineChars="0"/>
              <w:jc w:val="center"/>
              <w:rPr>
                <w:bCs/>
                <w:sz w:val="21"/>
                <w:szCs w:val="21"/>
              </w:rPr>
            </w:pPr>
            <w:r>
              <w:rPr>
                <w:bCs/>
                <w:sz w:val="21"/>
                <w:szCs w:val="21"/>
              </w:rPr>
              <w:t>20m</w:t>
            </w:r>
            <w:r>
              <w:rPr>
                <w:bCs/>
                <w:sz w:val="21"/>
                <w:szCs w:val="21"/>
                <w:vertAlign w:val="superscript"/>
              </w:rPr>
              <w:t>2</w:t>
            </w:r>
            <w:r>
              <w:rPr>
                <w:bCs/>
                <w:sz w:val="21"/>
                <w:szCs w:val="21"/>
              </w:rPr>
              <w:t>,1层彩钢结构</w:t>
            </w:r>
          </w:p>
        </w:tc>
        <w:tc>
          <w:tcPr>
            <w:tcW w:w="1760" w:type="pct"/>
            <w:vAlign w:val="center"/>
          </w:tcPr>
          <w:p>
            <w:pPr>
              <w:ind w:firstLine="0" w:firstLineChars="0"/>
              <w:jc w:val="center"/>
              <w:rPr>
                <w:bCs/>
                <w:sz w:val="21"/>
                <w:szCs w:val="21"/>
              </w:rPr>
            </w:pPr>
            <w:r>
              <w:rPr>
                <w:bCs/>
                <w:sz w:val="21"/>
                <w:szCs w:val="21"/>
              </w:rPr>
              <w:t>20m</w:t>
            </w:r>
            <w:r>
              <w:rPr>
                <w:bCs/>
                <w:sz w:val="21"/>
                <w:szCs w:val="21"/>
                <w:vertAlign w:val="superscript"/>
              </w:rPr>
              <w:t>2</w:t>
            </w:r>
            <w:r>
              <w:rPr>
                <w:bCs/>
                <w:sz w:val="21"/>
                <w:szCs w:val="21"/>
              </w:rPr>
              <w:t>,1层彩钢结构</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restart"/>
            <w:vAlign w:val="center"/>
          </w:tcPr>
          <w:p>
            <w:pPr>
              <w:ind w:firstLine="0" w:firstLineChars="0"/>
              <w:jc w:val="center"/>
              <w:rPr>
                <w:bCs/>
                <w:sz w:val="21"/>
                <w:szCs w:val="21"/>
              </w:rPr>
            </w:pPr>
            <w:r>
              <w:rPr>
                <w:bCs/>
                <w:sz w:val="21"/>
                <w:szCs w:val="21"/>
              </w:rPr>
              <w:t>公用工程</w:t>
            </w:r>
          </w:p>
        </w:tc>
        <w:tc>
          <w:tcPr>
            <w:tcW w:w="667" w:type="pct"/>
            <w:gridSpan w:val="2"/>
            <w:vAlign w:val="center"/>
          </w:tcPr>
          <w:p>
            <w:pPr>
              <w:ind w:firstLine="0" w:firstLineChars="0"/>
              <w:jc w:val="center"/>
              <w:rPr>
                <w:bCs/>
                <w:sz w:val="21"/>
                <w:szCs w:val="21"/>
              </w:rPr>
            </w:pPr>
            <w:r>
              <w:rPr>
                <w:bCs/>
                <w:sz w:val="21"/>
                <w:szCs w:val="21"/>
              </w:rPr>
              <w:t>给水</w:t>
            </w:r>
          </w:p>
        </w:tc>
        <w:tc>
          <w:tcPr>
            <w:tcW w:w="1808" w:type="pct"/>
            <w:vAlign w:val="center"/>
          </w:tcPr>
          <w:p>
            <w:pPr>
              <w:ind w:firstLine="0" w:firstLineChars="0"/>
              <w:jc w:val="center"/>
              <w:rPr>
                <w:bCs/>
                <w:sz w:val="21"/>
                <w:szCs w:val="21"/>
              </w:rPr>
            </w:pPr>
            <w:r>
              <w:rPr>
                <w:bCs/>
                <w:sz w:val="21"/>
                <w:szCs w:val="21"/>
              </w:rPr>
              <w:t>生产生活用水由郑家场村蓄水池（2000m</w:t>
            </w:r>
            <w:r>
              <w:rPr>
                <w:bCs/>
                <w:sz w:val="21"/>
                <w:szCs w:val="21"/>
                <w:vertAlign w:val="superscript"/>
              </w:rPr>
              <w:t>3</w:t>
            </w:r>
            <w:r>
              <w:rPr>
                <w:bCs/>
                <w:sz w:val="21"/>
                <w:szCs w:val="21"/>
              </w:rPr>
              <w:t>2座，3000m</w:t>
            </w:r>
            <w:r>
              <w:rPr>
                <w:bCs/>
                <w:sz w:val="21"/>
                <w:szCs w:val="21"/>
                <w:vertAlign w:val="superscript"/>
              </w:rPr>
              <w:t>3</w:t>
            </w:r>
            <w:r>
              <w:rPr>
                <w:bCs/>
                <w:sz w:val="21"/>
                <w:szCs w:val="21"/>
              </w:rPr>
              <w:t>1座）供给，通过罐车运至矿区1座50m</w:t>
            </w:r>
            <w:r>
              <w:rPr>
                <w:bCs/>
                <w:sz w:val="21"/>
                <w:szCs w:val="21"/>
                <w:vertAlign w:val="superscript"/>
              </w:rPr>
              <w:t>3</w:t>
            </w:r>
            <w:r>
              <w:rPr>
                <w:bCs/>
                <w:sz w:val="21"/>
                <w:szCs w:val="21"/>
              </w:rPr>
              <w:t>的蓄水池</w:t>
            </w:r>
          </w:p>
        </w:tc>
        <w:tc>
          <w:tcPr>
            <w:tcW w:w="1760" w:type="pct"/>
            <w:vAlign w:val="center"/>
          </w:tcPr>
          <w:p>
            <w:pPr>
              <w:ind w:firstLine="0" w:firstLineChars="0"/>
              <w:jc w:val="center"/>
              <w:rPr>
                <w:bCs/>
                <w:sz w:val="21"/>
                <w:szCs w:val="21"/>
              </w:rPr>
            </w:pPr>
            <w:r>
              <w:rPr>
                <w:bCs/>
                <w:sz w:val="21"/>
                <w:szCs w:val="21"/>
              </w:rPr>
              <w:t>生产生活用水由郑家场村蓄水池（2000m</w:t>
            </w:r>
            <w:r>
              <w:rPr>
                <w:bCs/>
                <w:sz w:val="21"/>
                <w:szCs w:val="21"/>
                <w:vertAlign w:val="superscript"/>
              </w:rPr>
              <w:t>3</w:t>
            </w:r>
            <w:r>
              <w:rPr>
                <w:bCs/>
                <w:sz w:val="21"/>
                <w:szCs w:val="21"/>
              </w:rPr>
              <w:t>2座，3000m</w:t>
            </w:r>
            <w:r>
              <w:rPr>
                <w:bCs/>
                <w:sz w:val="21"/>
                <w:szCs w:val="21"/>
                <w:vertAlign w:val="superscript"/>
              </w:rPr>
              <w:t>3</w:t>
            </w:r>
            <w:r>
              <w:rPr>
                <w:bCs/>
                <w:sz w:val="21"/>
                <w:szCs w:val="21"/>
              </w:rPr>
              <w:t>1座）供给，通过罐车运至矿区1座50m</w:t>
            </w:r>
            <w:r>
              <w:rPr>
                <w:bCs/>
                <w:sz w:val="21"/>
                <w:szCs w:val="21"/>
                <w:vertAlign w:val="superscript"/>
              </w:rPr>
              <w:t>3</w:t>
            </w:r>
            <w:r>
              <w:rPr>
                <w:bCs/>
                <w:sz w:val="21"/>
                <w:szCs w:val="21"/>
              </w:rPr>
              <w:t>的蓄水池</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排水</w:t>
            </w:r>
          </w:p>
        </w:tc>
        <w:tc>
          <w:tcPr>
            <w:tcW w:w="1808" w:type="pct"/>
            <w:vAlign w:val="center"/>
          </w:tcPr>
          <w:p>
            <w:pPr>
              <w:ind w:firstLine="0" w:firstLineChars="0"/>
              <w:jc w:val="center"/>
              <w:rPr>
                <w:bCs/>
                <w:sz w:val="21"/>
                <w:szCs w:val="21"/>
              </w:rPr>
            </w:pPr>
            <w:r>
              <w:rPr>
                <w:bCs/>
                <w:sz w:val="21"/>
                <w:szCs w:val="21"/>
              </w:rPr>
              <w:t>项目无生产废水产生，生活污水收集后用于洒水抑尘</w:t>
            </w:r>
          </w:p>
        </w:tc>
        <w:tc>
          <w:tcPr>
            <w:tcW w:w="1760" w:type="pct"/>
            <w:vAlign w:val="center"/>
          </w:tcPr>
          <w:p>
            <w:pPr>
              <w:ind w:firstLine="0" w:firstLineChars="0"/>
              <w:jc w:val="center"/>
              <w:rPr>
                <w:bCs/>
                <w:sz w:val="21"/>
                <w:szCs w:val="21"/>
              </w:rPr>
            </w:pPr>
            <w:r>
              <w:rPr>
                <w:bCs/>
                <w:sz w:val="21"/>
                <w:szCs w:val="21"/>
              </w:rPr>
              <w:t>项目无生产废水产生，生活污水收集后用于洒水抑尘</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供电</w:t>
            </w:r>
          </w:p>
        </w:tc>
        <w:tc>
          <w:tcPr>
            <w:tcW w:w="1808" w:type="pct"/>
            <w:vAlign w:val="center"/>
          </w:tcPr>
          <w:p>
            <w:pPr>
              <w:ind w:firstLine="0" w:firstLineChars="0"/>
              <w:jc w:val="center"/>
              <w:rPr>
                <w:bCs/>
                <w:sz w:val="21"/>
                <w:szCs w:val="21"/>
              </w:rPr>
            </w:pPr>
            <w:r>
              <w:rPr>
                <w:bCs/>
                <w:sz w:val="21"/>
                <w:szCs w:val="21"/>
              </w:rPr>
              <w:t>项目用电由矿区东北面郑家场村接10KV线路到矿区变压器，企业自备1台250KVA变压器</w:t>
            </w:r>
          </w:p>
        </w:tc>
        <w:tc>
          <w:tcPr>
            <w:tcW w:w="1760" w:type="pct"/>
            <w:vAlign w:val="center"/>
          </w:tcPr>
          <w:p>
            <w:pPr>
              <w:ind w:firstLine="0" w:firstLineChars="0"/>
              <w:jc w:val="center"/>
              <w:rPr>
                <w:bCs/>
                <w:sz w:val="21"/>
                <w:szCs w:val="21"/>
              </w:rPr>
            </w:pPr>
            <w:r>
              <w:rPr>
                <w:bCs/>
                <w:sz w:val="21"/>
                <w:szCs w:val="21"/>
              </w:rPr>
              <w:t>项目用电由矿区东北面郑家场村接10KV线路到矿区变压器，企业自备1台250KVA变压器</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供暖、制冷</w:t>
            </w:r>
          </w:p>
        </w:tc>
        <w:tc>
          <w:tcPr>
            <w:tcW w:w="1808" w:type="pct"/>
            <w:vAlign w:val="center"/>
          </w:tcPr>
          <w:p>
            <w:pPr>
              <w:ind w:firstLine="0" w:firstLineChars="0"/>
              <w:jc w:val="center"/>
              <w:rPr>
                <w:bCs/>
                <w:sz w:val="21"/>
                <w:szCs w:val="21"/>
              </w:rPr>
            </w:pPr>
            <w:r>
              <w:rPr>
                <w:bCs/>
                <w:sz w:val="21"/>
                <w:szCs w:val="21"/>
              </w:rPr>
              <w:t>项目生产无需供暖，办公采用立（挂）式空调采暖、制冷</w:t>
            </w:r>
          </w:p>
        </w:tc>
        <w:tc>
          <w:tcPr>
            <w:tcW w:w="1760" w:type="pct"/>
            <w:vAlign w:val="center"/>
          </w:tcPr>
          <w:p>
            <w:pPr>
              <w:ind w:firstLine="0" w:firstLineChars="0"/>
              <w:jc w:val="center"/>
              <w:rPr>
                <w:bCs/>
                <w:sz w:val="21"/>
                <w:szCs w:val="21"/>
              </w:rPr>
            </w:pPr>
            <w:r>
              <w:rPr>
                <w:bCs/>
                <w:sz w:val="21"/>
                <w:szCs w:val="21"/>
              </w:rPr>
              <w:t>项目生产无需供暖，办公采用立（挂）式空调采暖、制冷</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restart"/>
            <w:vAlign w:val="center"/>
          </w:tcPr>
          <w:p>
            <w:pPr>
              <w:ind w:firstLine="0" w:firstLineChars="0"/>
              <w:jc w:val="center"/>
              <w:rPr>
                <w:bCs/>
                <w:sz w:val="21"/>
                <w:szCs w:val="21"/>
              </w:rPr>
            </w:pPr>
            <w:r>
              <w:rPr>
                <w:bCs/>
                <w:sz w:val="21"/>
                <w:szCs w:val="21"/>
              </w:rPr>
              <w:t>环保工程</w:t>
            </w:r>
          </w:p>
        </w:tc>
        <w:tc>
          <w:tcPr>
            <w:tcW w:w="667" w:type="pct"/>
            <w:gridSpan w:val="2"/>
            <w:vAlign w:val="center"/>
          </w:tcPr>
          <w:p>
            <w:pPr>
              <w:ind w:firstLine="0" w:firstLineChars="0"/>
              <w:jc w:val="center"/>
              <w:rPr>
                <w:bCs/>
                <w:sz w:val="21"/>
                <w:szCs w:val="21"/>
              </w:rPr>
            </w:pPr>
            <w:r>
              <w:rPr>
                <w:bCs/>
                <w:sz w:val="21"/>
                <w:szCs w:val="21"/>
              </w:rPr>
              <w:t>生活污水</w:t>
            </w:r>
          </w:p>
        </w:tc>
        <w:tc>
          <w:tcPr>
            <w:tcW w:w="1808" w:type="pct"/>
            <w:vAlign w:val="center"/>
          </w:tcPr>
          <w:p>
            <w:pPr>
              <w:ind w:firstLine="0" w:firstLineChars="0"/>
              <w:jc w:val="center"/>
              <w:rPr>
                <w:bCs/>
                <w:sz w:val="21"/>
                <w:szCs w:val="21"/>
              </w:rPr>
            </w:pPr>
            <w:r>
              <w:rPr>
                <w:bCs/>
                <w:sz w:val="21"/>
                <w:szCs w:val="21"/>
              </w:rPr>
              <w:t>生活污水收集后用于堆场洒水</w:t>
            </w:r>
          </w:p>
        </w:tc>
        <w:tc>
          <w:tcPr>
            <w:tcW w:w="1760" w:type="pct"/>
            <w:vAlign w:val="center"/>
          </w:tcPr>
          <w:p>
            <w:pPr>
              <w:ind w:firstLine="0" w:firstLineChars="0"/>
              <w:jc w:val="center"/>
              <w:rPr>
                <w:bCs/>
                <w:sz w:val="21"/>
                <w:szCs w:val="21"/>
              </w:rPr>
            </w:pPr>
            <w:r>
              <w:rPr>
                <w:bCs/>
                <w:sz w:val="21"/>
                <w:szCs w:val="21"/>
              </w:rPr>
              <w:t>生活污水收集后用于堆场洒水</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原料破碎、筛分粉尘</w:t>
            </w:r>
          </w:p>
        </w:tc>
        <w:tc>
          <w:tcPr>
            <w:tcW w:w="1808" w:type="pct"/>
            <w:vAlign w:val="center"/>
          </w:tcPr>
          <w:p>
            <w:pPr>
              <w:ind w:firstLine="0" w:firstLineChars="0"/>
              <w:jc w:val="center"/>
              <w:rPr>
                <w:bCs/>
                <w:sz w:val="21"/>
                <w:szCs w:val="21"/>
              </w:rPr>
            </w:pPr>
            <w:r>
              <w:rPr>
                <w:rFonts w:hint="eastAsia"/>
                <w:bCs/>
                <w:sz w:val="21"/>
                <w:szCs w:val="21"/>
              </w:rPr>
              <w:t>3</w:t>
            </w:r>
            <w:r>
              <w:rPr>
                <w:bCs/>
                <w:sz w:val="21"/>
                <w:szCs w:val="21"/>
              </w:rPr>
              <w:t>个集气罩+1台布袋除尘器</w:t>
            </w:r>
          </w:p>
        </w:tc>
        <w:tc>
          <w:tcPr>
            <w:tcW w:w="1760" w:type="pct"/>
            <w:vAlign w:val="center"/>
          </w:tcPr>
          <w:p>
            <w:pPr>
              <w:ind w:firstLine="0" w:firstLineChars="0"/>
              <w:jc w:val="center"/>
              <w:rPr>
                <w:bCs/>
                <w:sz w:val="21"/>
                <w:szCs w:val="21"/>
              </w:rPr>
            </w:pPr>
            <w:r>
              <w:rPr>
                <w:rFonts w:hint="eastAsia"/>
                <w:bCs/>
                <w:sz w:val="21"/>
                <w:szCs w:val="21"/>
              </w:rPr>
              <w:t>3</w:t>
            </w:r>
            <w:r>
              <w:rPr>
                <w:bCs/>
                <w:sz w:val="21"/>
                <w:szCs w:val="21"/>
              </w:rPr>
              <w:t>个集气罩+1台布袋除尘器</w:t>
            </w:r>
          </w:p>
        </w:tc>
        <w:tc>
          <w:tcPr>
            <w:tcW w:w="348" w:type="pct"/>
            <w:vAlign w:val="center"/>
          </w:tcPr>
          <w:p>
            <w:pPr>
              <w:ind w:firstLine="0" w:firstLineChars="0"/>
              <w:jc w:val="center"/>
              <w:rPr>
                <w:bCs/>
                <w:sz w:val="21"/>
                <w:szCs w:val="21"/>
              </w:rPr>
            </w:pPr>
            <w:r>
              <w:rPr>
                <w:rFonts w:hint="eastAsia"/>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石料输送粉尘</w:t>
            </w:r>
          </w:p>
        </w:tc>
        <w:tc>
          <w:tcPr>
            <w:tcW w:w="1808" w:type="pct"/>
            <w:vAlign w:val="center"/>
          </w:tcPr>
          <w:p>
            <w:pPr>
              <w:ind w:firstLine="0" w:firstLineChars="0"/>
              <w:jc w:val="center"/>
              <w:rPr>
                <w:bCs/>
                <w:sz w:val="21"/>
                <w:szCs w:val="21"/>
              </w:rPr>
            </w:pPr>
            <w:r>
              <w:rPr>
                <w:bCs/>
                <w:sz w:val="21"/>
                <w:szCs w:val="21"/>
              </w:rPr>
              <w:t>输送皮带进行封闭，降低落料点</w:t>
            </w:r>
          </w:p>
        </w:tc>
        <w:tc>
          <w:tcPr>
            <w:tcW w:w="1760" w:type="pct"/>
            <w:vAlign w:val="center"/>
          </w:tcPr>
          <w:p>
            <w:pPr>
              <w:ind w:firstLine="0" w:firstLineChars="0"/>
              <w:jc w:val="center"/>
              <w:rPr>
                <w:bCs/>
                <w:sz w:val="21"/>
                <w:szCs w:val="21"/>
              </w:rPr>
            </w:pPr>
            <w:r>
              <w:rPr>
                <w:bCs/>
                <w:sz w:val="21"/>
                <w:szCs w:val="21"/>
              </w:rPr>
              <w:t>输送皮带进行封闭，降低落料点</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石料堆场粉尘</w:t>
            </w:r>
          </w:p>
        </w:tc>
        <w:tc>
          <w:tcPr>
            <w:tcW w:w="1808" w:type="pct"/>
            <w:vAlign w:val="center"/>
          </w:tcPr>
          <w:p>
            <w:pPr>
              <w:ind w:firstLine="0" w:firstLineChars="0"/>
              <w:jc w:val="center"/>
              <w:rPr>
                <w:bCs/>
                <w:sz w:val="21"/>
                <w:szCs w:val="21"/>
              </w:rPr>
            </w:pPr>
            <w:r>
              <w:rPr>
                <w:bCs/>
                <w:sz w:val="21"/>
                <w:szCs w:val="21"/>
              </w:rPr>
              <w:t>四周设置1.5m砖墙+6m挡风抑尘网</w:t>
            </w:r>
          </w:p>
        </w:tc>
        <w:tc>
          <w:tcPr>
            <w:tcW w:w="1760" w:type="pct"/>
            <w:vAlign w:val="center"/>
          </w:tcPr>
          <w:p>
            <w:pPr>
              <w:ind w:firstLine="0" w:firstLineChars="0"/>
              <w:jc w:val="center"/>
              <w:rPr>
                <w:bCs/>
                <w:sz w:val="21"/>
                <w:szCs w:val="21"/>
              </w:rPr>
            </w:pPr>
            <w:r>
              <w:rPr>
                <w:rFonts w:hint="eastAsia" w:ascii="Times New Roman" w:hAnsi="Times New Roman" w:cs="Times New Roman"/>
                <w:kern w:val="2"/>
                <w:sz w:val="21"/>
                <w:szCs w:val="21"/>
                <w:vertAlign w:val="baseline"/>
                <w:lang w:val="en-US" w:eastAsia="zh-CN" w:bidi="ar-SA"/>
              </w:rPr>
              <w:t>封闭</w:t>
            </w:r>
            <w:r>
              <w:rPr>
                <w:rFonts w:hint="eastAsia" w:cs="Times New Roman"/>
                <w:kern w:val="2"/>
                <w:sz w:val="21"/>
                <w:szCs w:val="21"/>
                <w:vertAlign w:val="baseline"/>
                <w:lang w:val="en-US" w:eastAsia="zh-CN" w:bidi="ar-SA"/>
              </w:rPr>
              <w:t>石料</w:t>
            </w:r>
            <w:r>
              <w:rPr>
                <w:rFonts w:hint="eastAsia" w:ascii="Times New Roman" w:hAnsi="Times New Roman" w:cs="Times New Roman"/>
                <w:kern w:val="2"/>
                <w:sz w:val="21"/>
                <w:szCs w:val="21"/>
                <w:vertAlign w:val="baseline"/>
                <w:lang w:val="en-US" w:eastAsia="zh-CN" w:bidi="ar-SA"/>
              </w:rPr>
              <w:t>堆场</w:t>
            </w:r>
          </w:p>
        </w:tc>
        <w:tc>
          <w:tcPr>
            <w:tcW w:w="348" w:type="pct"/>
            <w:vAlign w:val="center"/>
          </w:tcPr>
          <w:p>
            <w:pPr>
              <w:ind w:firstLine="0" w:firstLineChars="0"/>
              <w:jc w:val="center"/>
              <w:rPr>
                <w:bCs/>
                <w:sz w:val="21"/>
                <w:szCs w:val="21"/>
              </w:rPr>
            </w:pPr>
            <w:r>
              <w:rPr>
                <w:rFonts w:hint="eastAsia"/>
                <w:bCs/>
                <w:sz w:val="21"/>
                <w:szCs w:val="21"/>
                <w:lang w:eastAsia="zh-CN"/>
              </w:rPr>
              <w:t>有</w:t>
            </w:r>
            <w:r>
              <w:rPr>
                <w:bCs/>
                <w:sz w:val="21"/>
                <w:szCs w:val="21"/>
              </w:rPr>
              <w:t>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381" w:type="pct"/>
            <w:vMerge w:val="restart"/>
            <w:vAlign w:val="center"/>
          </w:tcPr>
          <w:p>
            <w:pPr>
              <w:ind w:firstLine="0" w:firstLineChars="0"/>
              <w:jc w:val="center"/>
              <w:rPr>
                <w:bCs/>
                <w:sz w:val="21"/>
                <w:szCs w:val="21"/>
              </w:rPr>
            </w:pPr>
            <w:r>
              <w:rPr>
                <w:bCs/>
                <w:sz w:val="21"/>
                <w:szCs w:val="21"/>
              </w:rPr>
              <w:t>采场</w:t>
            </w:r>
          </w:p>
        </w:tc>
        <w:tc>
          <w:tcPr>
            <w:tcW w:w="286" w:type="pct"/>
            <w:vAlign w:val="center"/>
          </w:tcPr>
          <w:p>
            <w:pPr>
              <w:ind w:firstLine="0" w:firstLineChars="0"/>
              <w:jc w:val="center"/>
              <w:rPr>
                <w:bCs/>
                <w:sz w:val="21"/>
                <w:szCs w:val="21"/>
              </w:rPr>
            </w:pPr>
            <w:r>
              <w:rPr>
                <w:bCs/>
                <w:sz w:val="21"/>
                <w:szCs w:val="21"/>
              </w:rPr>
              <w:t>排土场</w:t>
            </w:r>
          </w:p>
        </w:tc>
        <w:tc>
          <w:tcPr>
            <w:tcW w:w="1808" w:type="pct"/>
            <w:vAlign w:val="center"/>
          </w:tcPr>
          <w:p>
            <w:pPr>
              <w:ind w:firstLine="0" w:firstLineChars="0"/>
              <w:jc w:val="center"/>
              <w:rPr>
                <w:bCs/>
                <w:sz w:val="21"/>
                <w:szCs w:val="21"/>
              </w:rPr>
            </w:pPr>
            <w:r>
              <w:rPr>
                <w:bCs/>
                <w:sz w:val="21"/>
                <w:szCs w:val="21"/>
              </w:rPr>
              <w:t>矿区南侧设置排土场，排土场中赋存黄土，用于闭坑后对采矿场覆土使用</w:t>
            </w:r>
          </w:p>
        </w:tc>
        <w:tc>
          <w:tcPr>
            <w:tcW w:w="1760" w:type="pct"/>
            <w:vAlign w:val="center"/>
          </w:tcPr>
          <w:p>
            <w:pPr>
              <w:ind w:firstLine="0" w:firstLineChars="0"/>
              <w:jc w:val="center"/>
              <w:rPr>
                <w:bCs/>
                <w:sz w:val="21"/>
                <w:szCs w:val="21"/>
              </w:rPr>
            </w:pPr>
            <w:r>
              <w:rPr>
                <w:bCs/>
                <w:sz w:val="21"/>
                <w:szCs w:val="21"/>
              </w:rPr>
              <w:t>矿区南侧设置排土场，排土场中赋存黄土，用于闭坑后对采矿场覆土使用</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381" w:type="pct"/>
            <w:vMerge w:val="continue"/>
            <w:vAlign w:val="center"/>
          </w:tcPr>
          <w:p>
            <w:pPr>
              <w:ind w:firstLine="410"/>
              <w:jc w:val="center"/>
              <w:rPr>
                <w:bCs/>
                <w:sz w:val="21"/>
                <w:szCs w:val="21"/>
              </w:rPr>
            </w:pPr>
          </w:p>
        </w:tc>
        <w:tc>
          <w:tcPr>
            <w:tcW w:w="286" w:type="pct"/>
            <w:vAlign w:val="center"/>
          </w:tcPr>
          <w:p>
            <w:pPr>
              <w:ind w:firstLine="0" w:firstLineChars="0"/>
              <w:jc w:val="center"/>
              <w:rPr>
                <w:bCs/>
                <w:sz w:val="21"/>
                <w:szCs w:val="21"/>
              </w:rPr>
            </w:pPr>
            <w:r>
              <w:rPr>
                <w:bCs/>
                <w:sz w:val="21"/>
                <w:szCs w:val="21"/>
              </w:rPr>
              <w:t>采矿</w:t>
            </w:r>
          </w:p>
        </w:tc>
        <w:tc>
          <w:tcPr>
            <w:tcW w:w="1808" w:type="pct"/>
            <w:vAlign w:val="center"/>
          </w:tcPr>
          <w:p>
            <w:pPr>
              <w:ind w:firstLine="0" w:firstLineChars="0"/>
              <w:jc w:val="center"/>
              <w:rPr>
                <w:bCs/>
                <w:sz w:val="21"/>
                <w:szCs w:val="21"/>
              </w:rPr>
            </w:pPr>
            <w:r>
              <w:rPr>
                <w:rFonts w:hint="eastAsia"/>
                <w:bCs/>
                <w:sz w:val="21"/>
                <w:szCs w:val="21"/>
              </w:rPr>
              <w:t>1</w:t>
            </w:r>
            <w:r>
              <w:rPr>
                <w:bCs/>
                <w:sz w:val="21"/>
                <w:szCs w:val="21"/>
              </w:rPr>
              <w:t>辆洒水车用于场区采矿区、原料堆场、排土场和运输道路定期洒水降尘；石料堆场四周设置1.5m砖墙+6m防风抑尘网、对成品石料进行遮盖</w:t>
            </w:r>
          </w:p>
        </w:tc>
        <w:tc>
          <w:tcPr>
            <w:tcW w:w="1760" w:type="pct"/>
            <w:vAlign w:val="center"/>
          </w:tcPr>
          <w:p>
            <w:pPr>
              <w:ind w:firstLine="0" w:firstLineChars="0"/>
              <w:jc w:val="center"/>
              <w:rPr>
                <w:bCs/>
                <w:sz w:val="21"/>
                <w:szCs w:val="21"/>
              </w:rPr>
            </w:pPr>
            <w:r>
              <w:rPr>
                <w:rFonts w:hint="eastAsia"/>
                <w:bCs/>
                <w:sz w:val="21"/>
                <w:szCs w:val="21"/>
              </w:rPr>
              <w:t>1</w:t>
            </w:r>
            <w:r>
              <w:rPr>
                <w:bCs/>
                <w:sz w:val="21"/>
                <w:szCs w:val="21"/>
              </w:rPr>
              <w:t>辆洒水车用于场区采矿区、原料堆场、排土场和运输道路定期洒水降尘；石料堆场</w:t>
            </w:r>
            <w:r>
              <w:rPr>
                <w:rFonts w:hint="eastAsia"/>
                <w:bCs/>
                <w:sz w:val="21"/>
                <w:szCs w:val="21"/>
                <w:lang w:eastAsia="zh-CN"/>
              </w:rPr>
              <w:t>采用封闭式堆场，</w:t>
            </w:r>
            <w:r>
              <w:rPr>
                <w:bCs/>
                <w:sz w:val="21"/>
                <w:szCs w:val="21"/>
              </w:rPr>
              <w:t>对成品石料进行遮盖</w:t>
            </w:r>
          </w:p>
        </w:tc>
        <w:tc>
          <w:tcPr>
            <w:tcW w:w="348" w:type="pct"/>
            <w:vAlign w:val="center"/>
          </w:tcPr>
          <w:p>
            <w:pPr>
              <w:ind w:firstLine="0" w:firstLineChars="0"/>
              <w:jc w:val="center"/>
              <w:rPr>
                <w:bCs/>
                <w:sz w:val="21"/>
                <w:szCs w:val="21"/>
              </w:rPr>
            </w:pPr>
            <w:r>
              <w:rPr>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Align w:val="center"/>
          </w:tcPr>
          <w:p>
            <w:pPr>
              <w:ind w:firstLine="0" w:firstLineChars="0"/>
              <w:jc w:val="center"/>
              <w:rPr>
                <w:bCs/>
                <w:sz w:val="21"/>
                <w:szCs w:val="21"/>
              </w:rPr>
            </w:pPr>
            <w:r>
              <w:rPr>
                <w:bCs/>
                <w:sz w:val="21"/>
                <w:szCs w:val="21"/>
              </w:rPr>
              <w:t>场区绿化、硬化</w:t>
            </w:r>
          </w:p>
        </w:tc>
        <w:tc>
          <w:tcPr>
            <w:tcW w:w="1808" w:type="pct"/>
            <w:vAlign w:val="center"/>
          </w:tcPr>
          <w:p>
            <w:pPr>
              <w:ind w:firstLine="0" w:firstLineChars="0"/>
              <w:jc w:val="center"/>
              <w:rPr>
                <w:bCs/>
                <w:sz w:val="21"/>
                <w:szCs w:val="21"/>
              </w:rPr>
            </w:pPr>
            <w:r>
              <w:rPr>
                <w:bCs/>
                <w:sz w:val="21"/>
                <w:szCs w:val="21"/>
              </w:rPr>
              <w:t>绿化面积3000m</w:t>
            </w:r>
            <w:r>
              <w:rPr>
                <w:bCs/>
                <w:sz w:val="21"/>
                <w:szCs w:val="21"/>
                <w:vertAlign w:val="superscript"/>
              </w:rPr>
              <w:t>2</w:t>
            </w:r>
            <w:r>
              <w:rPr>
                <w:bCs/>
                <w:sz w:val="21"/>
                <w:szCs w:val="21"/>
              </w:rPr>
              <w:t>、工业场地硬化率100%</w:t>
            </w:r>
          </w:p>
        </w:tc>
        <w:tc>
          <w:tcPr>
            <w:tcW w:w="1760" w:type="pct"/>
            <w:vAlign w:val="center"/>
          </w:tcPr>
          <w:p>
            <w:pPr>
              <w:ind w:firstLine="410"/>
              <w:jc w:val="center"/>
              <w:rPr>
                <w:bCs/>
                <w:sz w:val="21"/>
                <w:szCs w:val="21"/>
              </w:rPr>
            </w:pPr>
            <w:r>
              <w:rPr>
                <w:rFonts w:hint="eastAsia"/>
                <w:bCs/>
                <w:sz w:val="21"/>
                <w:szCs w:val="21"/>
              </w:rPr>
              <w:t>绿化面积已达3000</w:t>
            </w:r>
            <w:r>
              <w:rPr>
                <w:bCs/>
                <w:sz w:val="21"/>
                <w:szCs w:val="21"/>
              </w:rPr>
              <w:t>m</w:t>
            </w:r>
            <w:r>
              <w:rPr>
                <w:bCs/>
                <w:sz w:val="21"/>
                <w:szCs w:val="21"/>
                <w:vertAlign w:val="superscript"/>
              </w:rPr>
              <w:t>2</w:t>
            </w:r>
            <w:r>
              <w:rPr>
                <w:bCs/>
                <w:sz w:val="21"/>
                <w:szCs w:val="21"/>
              </w:rPr>
              <w:t>、工业场地硬化率100%</w:t>
            </w:r>
          </w:p>
        </w:tc>
        <w:tc>
          <w:tcPr>
            <w:tcW w:w="348" w:type="pct"/>
            <w:vAlign w:val="center"/>
          </w:tcPr>
          <w:p>
            <w:pPr>
              <w:ind w:firstLine="0" w:firstLineChars="0"/>
              <w:jc w:val="center"/>
              <w:rPr>
                <w:bCs/>
                <w:sz w:val="21"/>
                <w:szCs w:val="21"/>
              </w:rPr>
            </w:pPr>
            <w:r>
              <w:rPr>
                <w:rFonts w:hint="eastAsia"/>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Merge w:val="restart"/>
            <w:vAlign w:val="center"/>
          </w:tcPr>
          <w:p>
            <w:pPr>
              <w:ind w:firstLine="0" w:firstLineChars="0"/>
              <w:jc w:val="center"/>
              <w:rPr>
                <w:bCs/>
                <w:sz w:val="21"/>
                <w:szCs w:val="21"/>
              </w:rPr>
            </w:pPr>
            <w:r>
              <w:rPr>
                <w:bCs/>
                <w:sz w:val="21"/>
                <w:szCs w:val="21"/>
              </w:rPr>
              <w:t>生态</w:t>
            </w:r>
          </w:p>
        </w:tc>
        <w:tc>
          <w:tcPr>
            <w:tcW w:w="1808" w:type="pct"/>
            <w:vAlign w:val="center"/>
          </w:tcPr>
          <w:p>
            <w:pPr>
              <w:ind w:firstLine="0" w:firstLineChars="0"/>
              <w:jc w:val="center"/>
              <w:rPr>
                <w:bCs/>
                <w:sz w:val="21"/>
                <w:szCs w:val="21"/>
              </w:rPr>
            </w:pPr>
            <w:r>
              <w:rPr>
                <w:bCs/>
                <w:sz w:val="21"/>
                <w:szCs w:val="21"/>
              </w:rPr>
              <w:t>排土场设截水沟、栏渣坝</w:t>
            </w:r>
          </w:p>
        </w:tc>
        <w:tc>
          <w:tcPr>
            <w:tcW w:w="1760" w:type="pct"/>
            <w:vAlign w:val="center"/>
          </w:tcPr>
          <w:p>
            <w:pPr>
              <w:ind w:firstLine="410"/>
              <w:jc w:val="center"/>
              <w:rPr>
                <w:bCs/>
                <w:sz w:val="21"/>
                <w:szCs w:val="21"/>
              </w:rPr>
            </w:pPr>
            <w:r>
              <w:rPr>
                <w:rFonts w:hint="eastAsia"/>
                <w:bCs/>
                <w:sz w:val="21"/>
                <w:szCs w:val="21"/>
              </w:rPr>
              <w:t>排土场设截水沟、拦渣坝</w:t>
            </w:r>
          </w:p>
        </w:tc>
        <w:tc>
          <w:tcPr>
            <w:tcW w:w="348" w:type="pct"/>
            <w:vAlign w:val="center"/>
          </w:tcPr>
          <w:p>
            <w:pPr>
              <w:ind w:firstLine="0" w:firstLineChars="0"/>
              <w:jc w:val="center"/>
              <w:rPr>
                <w:bCs/>
                <w:sz w:val="21"/>
                <w:szCs w:val="21"/>
              </w:rPr>
            </w:pPr>
            <w:r>
              <w:rPr>
                <w:rFonts w:hint="eastAsia"/>
                <w:bCs/>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Merge w:val="continue"/>
            <w:vAlign w:val="center"/>
          </w:tcPr>
          <w:p>
            <w:pPr>
              <w:ind w:firstLine="410"/>
              <w:jc w:val="center"/>
              <w:rPr>
                <w:bCs/>
                <w:sz w:val="21"/>
                <w:szCs w:val="21"/>
              </w:rPr>
            </w:pPr>
          </w:p>
        </w:tc>
        <w:tc>
          <w:tcPr>
            <w:tcW w:w="667" w:type="pct"/>
            <w:gridSpan w:val="2"/>
            <w:vMerge w:val="continue"/>
            <w:vAlign w:val="center"/>
          </w:tcPr>
          <w:p>
            <w:pPr>
              <w:ind w:firstLine="410"/>
              <w:jc w:val="center"/>
              <w:rPr>
                <w:bCs/>
                <w:sz w:val="21"/>
                <w:szCs w:val="21"/>
              </w:rPr>
            </w:pPr>
          </w:p>
        </w:tc>
        <w:tc>
          <w:tcPr>
            <w:tcW w:w="1808" w:type="pct"/>
            <w:vAlign w:val="center"/>
          </w:tcPr>
          <w:p>
            <w:pPr>
              <w:ind w:firstLine="0" w:firstLineChars="0"/>
              <w:jc w:val="center"/>
              <w:rPr>
                <w:bCs/>
                <w:sz w:val="21"/>
                <w:szCs w:val="21"/>
              </w:rPr>
            </w:pPr>
            <w:r>
              <w:rPr>
                <w:bCs/>
                <w:sz w:val="21"/>
                <w:szCs w:val="21"/>
              </w:rPr>
              <w:t>封场后，采石场、工业场地及排土场生态恢复</w:t>
            </w:r>
          </w:p>
        </w:tc>
        <w:tc>
          <w:tcPr>
            <w:tcW w:w="1760" w:type="pct"/>
            <w:vAlign w:val="center"/>
          </w:tcPr>
          <w:p>
            <w:pPr>
              <w:ind w:firstLine="410"/>
              <w:jc w:val="center"/>
              <w:rPr>
                <w:bCs/>
                <w:sz w:val="21"/>
                <w:szCs w:val="21"/>
              </w:rPr>
            </w:pPr>
            <w:r>
              <w:rPr>
                <w:rFonts w:hint="eastAsia"/>
                <w:bCs/>
                <w:sz w:val="21"/>
                <w:szCs w:val="21"/>
              </w:rPr>
              <w:t>/</w:t>
            </w:r>
          </w:p>
        </w:tc>
        <w:tc>
          <w:tcPr>
            <w:tcW w:w="348" w:type="pct"/>
            <w:vAlign w:val="center"/>
          </w:tcPr>
          <w:p>
            <w:pPr>
              <w:ind w:firstLine="0" w:firstLineChars="0"/>
              <w:jc w:val="center"/>
              <w:rPr>
                <w:bCs/>
                <w:sz w:val="21"/>
                <w:szCs w:val="21"/>
              </w:rPr>
            </w:pPr>
            <w:r>
              <w:rPr>
                <w:rFonts w:hint="eastAsia"/>
                <w:bCs/>
                <w:sz w:val="21"/>
                <w:szCs w:val="21"/>
              </w:rPr>
              <w:t>未建设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pct"/>
            <w:gridSpan w:val="3"/>
            <w:vMerge w:val="restart"/>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生态保护建议</w:t>
            </w:r>
          </w:p>
        </w:tc>
        <w:tc>
          <w:tcPr>
            <w:tcW w:w="1808" w:type="pct"/>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要求建设单位建立企业环境监督员制度，认真负责整个工厂的环境管理、环境统计、污染源的治理工作，确保废气、废水、噪声等均能达标</w:t>
            </w:r>
          </w:p>
        </w:tc>
        <w:tc>
          <w:tcPr>
            <w:tcW w:w="1760" w:type="pct"/>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建设单位已建立健全企业环境监督员制度，有专门的环境监督员负责整个工厂的环境管理、环境统计、污染源的治理工作，确保废气、废水、噪声达标排放</w:t>
            </w:r>
          </w:p>
        </w:tc>
        <w:tc>
          <w:tcPr>
            <w:tcW w:w="348" w:type="pct"/>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pct"/>
            <w:gridSpan w:val="3"/>
            <w:vMerge w:val="continue"/>
            <w:vAlign w:val="center"/>
          </w:tcPr>
          <w:p>
            <w:pPr>
              <w:ind w:firstLine="410"/>
              <w:jc w:val="center"/>
              <w:rPr>
                <w:bCs/>
                <w:sz w:val="21"/>
                <w:szCs w:val="21"/>
              </w:rPr>
            </w:pP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要求建设单位根据本环评报告提出的污染治理措施，落实好环保资金，搞好环保设施的建设，按照“三同时”制度，及时申请竣工环保验收，并做好运营期间的污染治理及达标排放管理工作。</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项目单位根据本环评报告提出的污染治理措施，严格落实了环保资金，搞好环保设施的建设。项目单位按照“三同时”制度，及时申请竣工环保验收，做好了运营期间的污染治理及达标排放管理工作。</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pct"/>
            <w:gridSpan w:val="3"/>
            <w:vMerge w:val="continue"/>
            <w:vAlign w:val="center"/>
          </w:tcPr>
          <w:p>
            <w:pPr>
              <w:ind w:firstLine="410"/>
              <w:jc w:val="center"/>
              <w:rPr>
                <w:bCs/>
                <w:sz w:val="21"/>
                <w:szCs w:val="21"/>
              </w:rPr>
            </w:pP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要加强对设备的维护管理，确保其处于良好的运行状态。</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项目单位安排专门人员负责对设备进行维护管理，确保其处于良好的运行状态。</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pct"/>
            <w:gridSpan w:val="3"/>
            <w:vMerge w:val="continue"/>
            <w:vAlign w:val="center"/>
          </w:tcPr>
          <w:p>
            <w:pPr>
              <w:ind w:firstLine="410"/>
              <w:jc w:val="center"/>
              <w:rPr>
                <w:bCs/>
                <w:sz w:val="21"/>
                <w:szCs w:val="21"/>
              </w:rPr>
            </w:pP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要求做好噪声的防治，最大限度减轻对附近村庄的影响</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项目单位采用合理布局、安装减震垫、绿化降噪；爆破时避开居民休息时间，禁止夜间爆破等一系列噪声防治措施，最大限度减轻了对附近村庄的影响</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pct"/>
            <w:gridSpan w:val="3"/>
            <w:vMerge w:val="continue"/>
            <w:vAlign w:val="center"/>
          </w:tcPr>
          <w:p>
            <w:pPr>
              <w:ind w:firstLine="410"/>
              <w:jc w:val="center"/>
              <w:rPr>
                <w:bCs/>
                <w:sz w:val="21"/>
                <w:szCs w:val="21"/>
              </w:rPr>
            </w:pP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要求落实好固体废物的分类收集和处置工作</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项目单位严格执行固体废物的分类收集工作，并将每种固体废物都进行了妥善处置</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pct"/>
            <w:gridSpan w:val="3"/>
            <w:vMerge w:val="continue"/>
            <w:vAlign w:val="center"/>
          </w:tcPr>
          <w:p>
            <w:pPr>
              <w:ind w:firstLine="410"/>
              <w:jc w:val="center"/>
              <w:rPr>
                <w:bCs/>
                <w:sz w:val="21"/>
                <w:szCs w:val="21"/>
              </w:rPr>
            </w:pP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必须按本次环评向环境保护管理部门申报的内容、规模以及生产工艺进行生产，如有变更，应向当地环境保护管理部门申报并重新进行环境影响评价和审批手续，同时本环评无效</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本项目严格按照本次环评向环境保护管理部申报的内容、规模以及生产工艺进行生产，没有重大变更</w:t>
            </w:r>
          </w:p>
        </w:tc>
        <w:tc>
          <w:tcPr>
            <w:tcW w:w="0" w:type="auto"/>
            <w:vAlign w:val="center"/>
          </w:tcPr>
          <w:p>
            <w:pPr>
              <w:keepNext w:val="0"/>
              <w:keepLines w:val="0"/>
              <w:widowControl w:val="0"/>
              <w:suppressLineNumbers w:val="0"/>
              <w:spacing w:before="0" w:beforeAutospacing="0" w:after="0" w:afterAutospacing="0" w:line="480" w:lineRule="exact"/>
              <w:ind w:left="0" w:leftChars="0" w:right="0" w:rightChars="0" w:firstLine="0" w:firstLineChars="0"/>
              <w:jc w:val="center"/>
              <w:rPr>
                <w:rFonts w:hint="eastAsia" w:ascii="Times New Roman" w:hAnsi="Times New Roman" w:eastAsia="宋体" w:cs="Times New Roman"/>
                <w:kern w:val="2"/>
                <w:sz w:val="21"/>
                <w:szCs w:val="21"/>
                <w:vertAlign w:val="baseline"/>
                <w:lang w:val="en-US" w:eastAsia="zh-CN" w:bidi="ar-SA"/>
              </w:rPr>
            </w:pPr>
            <w:r>
              <w:rPr>
                <w:rFonts w:hint="eastAsia" w:ascii="Times New Roman" w:hAnsi="Times New Roman" w:cs="Times New Roman"/>
                <w:sz w:val="21"/>
                <w:szCs w:val="21"/>
                <w:vertAlign w:val="baseline"/>
                <w:lang w:val="en-US" w:eastAsia="zh-CN"/>
              </w:rPr>
              <w:t>无变化</w:t>
            </w:r>
          </w:p>
        </w:tc>
      </w:tr>
    </w:tbl>
    <w:p>
      <w:pPr>
        <w:ind w:firstLine="470"/>
        <w:rPr>
          <w:bCs/>
        </w:rPr>
      </w:pPr>
      <w:r>
        <w:rPr>
          <w:rFonts w:hint="eastAsia"/>
          <w:bCs/>
        </w:rPr>
        <w:t>6</w:t>
      </w:r>
      <w:r>
        <w:rPr>
          <w:bCs/>
        </w:rPr>
        <w:t>、产品、生产规模</w:t>
      </w:r>
    </w:p>
    <w:p>
      <w:pPr>
        <w:pStyle w:val="19"/>
        <w:ind w:firstLine="472"/>
        <w:rPr>
          <w:rFonts w:ascii="Times New Roman" w:hAnsi="Times New Roman"/>
          <w:szCs w:val="24"/>
        </w:rPr>
      </w:pPr>
      <w:r>
        <w:rPr>
          <w:szCs w:val="24"/>
        </w:rPr>
        <w:t>表</w:t>
      </w:r>
      <w:r>
        <w:rPr>
          <w:rFonts w:ascii="Times New Roman" w:hAnsi="Times New Roman"/>
          <w:szCs w:val="24"/>
        </w:rPr>
        <w:t xml:space="preserve">2  </w:t>
      </w:r>
      <w:r>
        <w:rPr>
          <w:szCs w:val="24"/>
        </w:rPr>
        <w:t>本项目建设规模及产品方案表</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0"/>
        <w:gridCol w:w="3730"/>
        <w:gridCol w:w="4305"/>
        <w:gridCol w:w="3778"/>
        <w:gridCol w:w="1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产品</w:t>
            </w:r>
          </w:p>
        </w:tc>
        <w:tc>
          <w:tcPr>
            <w:tcW w:w="1252"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规格</w:t>
            </w:r>
          </w:p>
        </w:tc>
        <w:tc>
          <w:tcPr>
            <w:tcW w:w="144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年产量（万t/a）</w:t>
            </w:r>
          </w:p>
        </w:tc>
        <w:tc>
          <w:tcPr>
            <w:tcW w:w="1268"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合计（万t/a）</w:t>
            </w:r>
          </w:p>
        </w:tc>
        <w:tc>
          <w:tcPr>
            <w:tcW w:w="517"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7" w:type="pct"/>
            <w:vMerge w:val="restart"/>
            <w:tcBorders>
              <w:top w:val="nil"/>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石料</w:t>
            </w:r>
          </w:p>
        </w:tc>
        <w:tc>
          <w:tcPr>
            <w:tcW w:w="1252"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粒径30-50mm</w:t>
            </w:r>
          </w:p>
        </w:tc>
        <w:tc>
          <w:tcPr>
            <w:tcW w:w="144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2.5</w:t>
            </w:r>
          </w:p>
        </w:tc>
        <w:tc>
          <w:tcPr>
            <w:tcW w:w="1268" w:type="pct"/>
            <w:vMerge w:val="restart"/>
            <w:tcBorders>
              <w:top w:val="nil"/>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5</w:t>
            </w:r>
          </w:p>
        </w:tc>
        <w:tc>
          <w:tcPr>
            <w:tcW w:w="517"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Merge w:val="continue"/>
            <w:tcBorders>
              <w:top w:val="nil"/>
              <w:left w:val="single" w:color="auto" w:sz="4" w:space="0"/>
              <w:bottom w:val="single" w:color="auto" w:sz="4" w:space="0"/>
              <w:right w:val="single" w:color="auto" w:sz="4" w:space="0"/>
            </w:tcBorders>
            <w:vAlign w:val="center"/>
          </w:tcPr>
          <w:p>
            <w:pPr>
              <w:ind w:firstLine="410"/>
              <w:jc w:val="center"/>
              <w:rPr>
                <w:bCs/>
                <w:sz w:val="21"/>
                <w:szCs w:val="21"/>
              </w:rPr>
            </w:pPr>
          </w:p>
        </w:tc>
        <w:tc>
          <w:tcPr>
            <w:tcW w:w="1252"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粒径20-40mm</w:t>
            </w:r>
          </w:p>
        </w:tc>
        <w:tc>
          <w:tcPr>
            <w:tcW w:w="144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1.5</w:t>
            </w:r>
          </w:p>
        </w:tc>
        <w:tc>
          <w:tcPr>
            <w:tcW w:w="1268" w:type="pct"/>
            <w:vMerge w:val="continue"/>
            <w:tcBorders>
              <w:top w:val="nil"/>
              <w:left w:val="single" w:color="auto" w:sz="4" w:space="0"/>
              <w:bottom w:val="single" w:color="auto" w:sz="4" w:space="0"/>
              <w:right w:val="single" w:color="auto" w:sz="4" w:space="0"/>
            </w:tcBorders>
            <w:vAlign w:val="center"/>
          </w:tcPr>
          <w:p>
            <w:pPr>
              <w:ind w:firstLine="410"/>
              <w:jc w:val="center"/>
              <w:rPr>
                <w:bCs/>
                <w:sz w:val="21"/>
                <w:szCs w:val="21"/>
              </w:rPr>
            </w:pPr>
          </w:p>
        </w:tc>
        <w:tc>
          <w:tcPr>
            <w:tcW w:w="517"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Merge w:val="continue"/>
            <w:tcBorders>
              <w:top w:val="nil"/>
              <w:left w:val="single" w:color="auto" w:sz="4" w:space="0"/>
              <w:bottom w:val="single" w:color="auto" w:sz="4" w:space="0"/>
              <w:right w:val="single" w:color="auto" w:sz="4" w:space="0"/>
            </w:tcBorders>
            <w:vAlign w:val="center"/>
          </w:tcPr>
          <w:p>
            <w:pPr>
              <w:ind w:firstLine="410"/>
              <w:jc w:val="center"/>
              <w:rPr>
                <w:bCs/>
                <w:sz w:val="21"/>
                <w:szCs w:val="21"/>
              </w:rPr>
            </w:pPr>
          </w:p>
        </w:tc>
        <w:tc>
          <w:tcPr>
            <w:tcW w:w="1252"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粒径1-10mm</w:t>
            </w:r>
          </w:p>
        </w:tc>
        <w:tc>
          <w:tcPr>
            <w:tcW w:w="144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0.5</w:t>
            </w:r>
          </w:p>
        </w:tc>
        <w:tc>
          <w:tcPr>
            <w:tcW w:w="1268" w:type="pct"/>
            <w:vMerge w:val="continue"/>
            <w:tcBorders>
              <w:top w:val="nil"/>
              <w:left w:val="single" w:color="auto" w:sz="4" w:space="0"/>
              <w:bottom w:val="single" w:color="auto" w:sz="4" w:space="0"/>
              <w:right w:val="single" w:color="auto" w:sz="4" w:space="0"/>
            </w:tcBorders>
            <w:vAlign w:val="center"/>
          </w:tcPr>
          <w:p>
            <w:pPr>
              <w:ind w:firstLine="410"/>
              <w:jc w:val="center"/>
              <w:rPr>
                <w:bCs/>
                <w:sz w:val="21"/>
                <w:szCs w:val="21"/>
              </w:rPr>
            </w:pPr>
          </w:p>
        </w:tc>
        <w:tc>
          <w:tcPr>
            <w:tcW w:w="517"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米料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Merge w:val="continue"/>
            <w:tcBorders>
              <w:top w:val="nil"/>
              <w:left w:val="single" w:color="auto" w:sz="4" w:space="0"/>
              <w:bottom w:val="single" w:color="auto" w:sz="4" w:space="0"/>
              <w:right w:val="single" w:color="auto" w:sz="4" w:space="0"/>
            </w:tcBorders>
            <w:vAlign w:val="center"/>
          </w:tcPr>
          <w:p>
            <w:pPr>
              <w:ind w:firstLine="410"/>
              <w:jc w:val="center"/>
              <w:rPr>
                <w:bCs/>
                <w:sz w:val="21"/>
                <w:szCs w:val="21"/>
              </w:rPr>
            </w:pPr>
          </w:p>
        </w:tc>
        <w:tc>
          <w:tcPr>
            <w:tcW w:w="1252"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粒径＜1mm</w:t>
            </w:r>
          </w:p>
        </w:tc>
        <w:tc>
          <w:tcPr>
            <w:tcW w:w="144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0.5</w:t>
            </w:r>
          </w:p>
        </w:tc>
        <w:tc>
          <w:tcPr>
            <w:tcW w:w="1268" w:type="pct"/>
            <w:vMerge w:val="continue"/>
            <w:tcBorders>
              <w:top w:val="nil"/>
              <w:left w:val="single" w:color="auto" w:sz="4" w:space="0"/>
              <w:bottom w:val="single" w:color="auto" w:sz="4" w:space="0"/>
              <w:right w:val="single" w:color="auto" w:sz="4" w:space="0"/>
            </w:tcBorders>
            <w:vAlign w:val="center"/>
          </w:tcPr>
          <w:p>
            <w:pPr>
              <w:ind w:firstLine="410"/>
              <w:jc w:val="center"/>
              <w:rPr>
                <w:bCs/>
                <w:sz w:val="21"/>
                <w:szCs w:val="21"/>
              </w:rPr>
            </w:pPr>
          </w:p>
        </w:tc>
        <w:tc>
          <w:tcPr>
            <w:tcW w:w="517"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bCs/>
                <w:sz w:val="21"/>
                <w:szCs w:val="21"/>
              </w:rPr>
            </w:pPr>
            <w:r>
              <w:rPr>
                <w:bCs/>
                <w:sz w:val="21"/>
                <w:szCs w:val="21"/>
              </w:rPr>
              <w:t>石粉</w:t>
            </w:r>
          </w:p>
        </w:tc>
      </w:tr>
    </w:tbl>
    <w:p>
      <w:pPr>
        <w:ind w:firstLine="470"/>
        <w:rPr>
          <w:bCs/>
        </w:rPr>
        <w:sectPr>
          <w:pgSz w:w="16838" w:h="11906" w:orient="landscape"/>
          <w:pgMar w:top="1440" w:right="1080" w:bottom="1440" w:left="1080" w:header="851" w:footer="992" w:gutter="0"/>
          <w:cols w:space="720" w:num="1"/>
          <w:docGrid w:type="linesAndChars" w:linePitch="586" w:charSpace="-1032"/>
        </w:sectPr>
      </w:pPr>
    </w:p>
    <w:p>
      <w:pPr>
        <w:ind w:firstLine="470"/>
        <w:rPr>
          <w:szCs w:val="22"/>
        </w:rPr>
      </w:pPr>
      <w:r>
        <w:rPr>
          <w:rFonts w:hint="eastAsia"/>
          <w:szCs w:val="22"/>
        </w:rPr>
        <w:t>二、工程变动情况</w:t>
      </w:r>
    </w:p>
    <w:p>
      <w:pPr>
        <w:keepNext w:val="0"/>
        <w:keepLines w:val="0"/>
        <w:widowControl/>
        <w:suppressLineNumbers w:val="0"/>
        <w:adjustRightInd w:val="0"/>
        <w:snapToGrid w:val="0"/>
        <w:spacing w:before="0" w:beforeAutospacing="0" w:after="0" w:afterAutospacing="0" w:line="480" w:lineRule="exact"/>
        <w:ind w:left="0" w:right="0" w:firstLine="470" w:firstLineChars="200"/>
        <w:jc w:val="both"/>
        <w:rPr>
          <w:rFonts w:hint="eastAsia" w:ascii="Times New Roman" w:hAnsi="Times New Roman" w:eastAsia="宋体" w:cs="宋体"/>
          <w:kern w:val="2"/>
          <w:sz w:val="24"/>
          <w:szCs w:val="24"/>
          <w:lang w:val="en-US" w:eastAsia="zh-CN" w:bidi="ar"/>
        </w:rPr>
      </w:pPr>
      <w:r>
        <w:rPr>
          <w:rFonts w:hint="eastAsia" w:ascii="Times New Roman" w:hAnsi="Times New Roman" w:cs="宋体"/>
          <w:kern w:val="2"/>
          <w:sz w:val="24"/>
          <w:szCs w:val="24"/>
          <w:lang w:val="en-US" w:eastAsia="zh-CN" w:bidi="ar"/>
        </w:rPr>
        <w:t>（1）</w:t>
      </w:r>
      <w:r>
        <w:rPr>
          <w:rFonts w:hint="eastAsia" w:ascii="Times New Roman" w:hAnsi="Times New Roman" w:eastAsia="宋体" w:cs="宋体"/>
          <w:kern w:val="2"/>
          <w:sz w:val="24"/>
          <w:szCs w:val="24"/>
          <w:lang w:val="en-US" w:eastAsia="zh-CN" w:bidi="ar"/>
        </w:rPr>
        <w:t>石料堆场的环保设施由四周</w:t>
      </w:r>
      <w:r>
        <w:rPr>
          <w:rFonts w:hint="default" w:ascii="Times New Roman" w:hAnsi="Times New Roman" w:eastAsia="宋体" w:cs="宋体"/>
          <w:kern w:val="2"/>
          <w:sz w:val="24"/>
          <w:szCs w:val="24"/>
          <w:lang w:val="en-US" w:eastAsia="zh-CN" w:bidi="ar"/>
        </w:rPr>
        <w:t>1.5m砖墙+6m挡风抑尘网</w:t>
      </w:r>
      <w:r>
        <w:rPr>
          <w:rFonts w:hint="eastAsia" w:ascii="Times New Roman" w:hAnsi="Times New Roman" w:eastAsia="宋体" w:cs="宋体"/>
          <w:kern w:val="2"/>
          <w:sz w:val="24"/>
          <w:szCs w:val="24"/>
          <w:lang w:val="en-US" w:eastAsia="zh-CN" w:bidi="ar"/>
        </w:rPr>
        <w:t>变为封闭</w:t>
      </w:r>
      <w:r>
        <w:rPr>
          <w:rFonts w:hint="eastAsia" w:cs="宋体"/>
          <w:kern w:val="2"/>
          <w:sz w:val="24"/>
          <w:szCs w:val="24"/>
          <w:lang w:val="en-US" w:eastAsia="zh-CN" w:bidi="ar"/>
        </w:rPr>
        <w:t>石料</w:t>
      </w:r>
      <w:r>
        <w:rPr>
          <w:rFonts w:hint="eastAsia" w:ascii="Times New Roman" w:hAnsi="Times New Roman" w:eastAsia="宋体" w:cs="宋体"/>
          <w:kern w:val="2"/>
          <w:sz w:val="24"/>
          <w:szCs w:val="24"/>
          <w:lang w:val="en-US" w:eastAsia="zh-CN" w:bidi="ar"/>
        </w:rPr>
        <w:t>堆场。</w:t>
      </w:r>
    </w:p>
    <w:p>
      <w:pPr>
        <w:keepNext w:val="0"/>
        <w:keepLines w:val="0"/>
        <w:widowControl/>
        <w:suppressLineNumbers w:val="0"/>
        <w:adjustRightInd w:val="0"/>
        <w:snapToGrid w:val="0"/>
        <w:spacing w:before="0" w:beforeAutospacing="0" w:after="0" w:afterAutospacing="0" w:line="480" w:lineRule="exact"/>
        <w:ind w:left="0" w:right="0" w:firstLine="470" w:firstLineChars="200"/>
        <w:jc w:val="both"/>
        <w:rPr>
          <w:rFonts w:hint="default" w:ascii="Times New Roman" w:hAnsi="Times New Roman" w:cs="宋体"/>
          <w:kern w:val="2"/>
          <w:sz w:val="24"/>
          <w:szCs w:val="24"/>
          <w:lang w:val="en-US" w:eastAsia="zh-CN" w:bidi="ar"/>
        </w:rPr>
      </w:pPr>
      <w:r>
        <w:rPr>
          <w:rFonts w:hint="eastAsia" w:ascii="Times New Roman" w:hAnsi="Times New Roman" w:eastAsia="宋体" w:cs="宋体"/>
          <w:kern w:val="2"/>
          <w:sz w:val="24"/>
          <w:szCs w:val="24"/>
          <w:lang w:val="en-US" w:eastAsia="zh-CN" w:bidi="ar"/>
        </w:rPr>
        <w:t>（2）</w:t>
      </w:r>
      <w:r>
        <w:rPr>
          <w:rFonts w:hint="default" w:ascii="Times New Roman" w:hAnsi="Times New Roman" w:eastAsia="宋体" w:cs="宋体"/>
          <w:kern w:val="2"/>
          <w:sz w:val="24"/>
          <w:szCs w:val="24"/>
          <w:lang w:val="en-US" w:eastAsia="zh-CN" w:bidi="ar"/>
        </w:rPr>
        <w:t>采矿场目前尚未闭矿，仅对部分采矿场地进行了生态恢复，其余采矿地区待闭矿后统</w:t>
      </w:r>
      <w:r>
        <w:rPr>
          <w:rFonts w:hint="eastAsia" w:ascii="Times New Roman" w:hAnsi="Times New Roman" w:eastAsia="宋体" w:cs="宋体"/>
          <w:kern w:val="2"/>
          <w:sz w:val="24"/>
          <w:szCs w:val="24"/>
          <w:lang w:val="en-US" w:eastAsia="zh-CN" w:bidi="ar"/>
        </w:rPr>
        <w:t>一</w:t>
      </w:r>
      <w:r>
        <w:rPr>
          <w:rFonts w:hint="default" w:ascii="Times New Roman" w:hAnsi="Times New Roman" w:eastAsia="宋体" w:cs="宋体"/>
          <w:kern w:val="2"/>
          <w:sz w:val="24"/>
          <w:szCs w:val="24"/>
          <w:lang w:val="en-US" w:eastAsia="zh-CN" w:bidi="ar"/>
        </w:rPr>
        <w:t>进行生态恢复。</w:t>
      </w:r>
    </w:p>
    <w:p>
      <w:pPr>
        <w:ind w:firstLine="470"/>
        <w:rPr>
          <w:szCs w:val="22"/>
        </w:rPr>
      </w:pPr>
      <w:r>
        <w:rPr>
          <w:rFonts w:hint="eastAsia"/>
          <w:szCs w:val="22"/>
        </w:rPr>
        <w:t>对照《污染影响类建设项目重大变动清单（试行）》的要求，本项目在建设过程中未发生变动。</w:t>
      </w:r>
    </w:p>
    <w:p>
      <w:pPr>
        <w:ind w:firstLine="470"/>
        <w:rPr>
          <w:szCs w:val="22"/>
        </w:rPr>
      </w:pPr>
      <w:r>
        <w:rPr>
          <w:rFonts w:hint="eastAsia"/>
          <w:szCs w:val="22"/>
        </w:rPr>
        <w:t>三、环境保护措施及环境风险防范措施落实情况</w:t>
      </w:r>
    </w:p>
    <w:p>
      <w:pPr>
        <w:ind w:firstLine="470"/>
        <w:rPr>
          <w:szCs w:val="22"/>
        </w:rPr>
      </w:pPr>
      <w:r>
        <w:rPr>
          <w:rFonts w:hint="eastAsia"/>
          <w:szCs w:val="22"/>
        </w:rPr>
        <w:t>1、环评文件要求及落实情况</w:t>
      </w:r>
    </w:p>
    <w:p>
      <w:pPr>
        <w:ind w:firstLine="470"/>
        <w:rPr>
          <w:bCs/>
        </w:rPr>
        <w:sectPr>
          <w:pgSz w:w="11906" w:h="16838"/>
          <w:pgMar w:top="1440" w:right="1080" w:bottom="1440" w:left="1080" w:header="851" w:footer="992" w:gutter="0"/>
          <w:cols w:space="720" w:num="1"/>
          <w:docGrid w:type="linesAndChars" w:linePitch="586" w:charSpace="-1032"/>
        </w:sectPr>
      </w:pPr>
      <w:r>
        <w:rPr>
          <w:rFonts w:hint="eastAsia"/>
          <w:szCs w:val="22"/>
        </w:rPr>
        <w:t>环评文件要求及落实情况见表3。</w:t>
      </w:r>
    </w:p>
    <w:p>
      <w:pPr>
        <w:pStyle w:val="19"/>
        <w:ind w:firstLine="472"/>
        <w:rPr>
          <w:rFonts w:hAnsi="Times New Roman"/>
          <w:szCs w:val="21"/>
        </w:rPr>
      </w:pPr>
      <w:r>
        <w:rPr>
          <w:rFonts w:ascii="Times New Roman" w:hAnsi="Times New Roman" w:eastAsia="宋体"/>
          <w:szCs w:val="21"/>
        </w:rPr>
        <w:t>表</w:t>
      </w:r>
      <w:r>
        <w:rPr>
          <w:rFonts w:ascii="Times New Roman" w:hAnsi="Times New Roman"/>
          <w:szCs w:val="21"/>
        </w:rPr>
        <w:t xml:space="preserve">3  </w:t>
      </w:r>
      <w:r>
        <w:rPr>
          <w:rFonts w:hAnsi="Times New Roman"/>
          <w:szCs w:val="21"/>
        </w:rPr>
        <w:t>环评要求及落实情况</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
        <w:gridCol w:w="2114"/>
        <w:gridCol w:w="4081"/>
        <w:gridCol w:w="1165"/>
        <w:gridCol w:w="4161"/>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Align w:val="center"/>
          </w:tcPr>
          <w:p>
            <w:pPr>
              <w:spacing w:line="420" w:lineRule="exact"/>
              <w:ind w:firstLine="0" w:firstLineChars="0"/>
              <w:jc w:val="center"/>
              <w:rPr>
                <w:sz w:val="21"/>
                <w:szCs w:val="21"/>
              </w:rPr>
            </w:pPr>
            <w:r>
              <w:rPr>
                <w:sz w:val="21"/>
                <w:szCs w:val="21"/>
              </w:rPr>
              <w:t>类型</w:t>
            </w:r>
          </w:p>
        </w:tc>
        <w:tc>
          <w:tcPr>
            <w:tcW w:w="746" w:type="pct"/>
            <w:vAlign w:val="center"/>
          </w:tcPr>
          <w:p>
            <w:pPr>
              <w:spacing w:line="420" w:lineRule="exact"/>
              <w:ind w:firstLine="0" w:firstLineChars="0"/>
              <w:jc w:val="center"/>
              <w:rPr>
                <w:sz w:val="21"/>
                <w:szCs w:val="21"/>
              </w:rPr>
            </w:pPr>
            <w:r>
              <w:rPr>
                <w:sz w:val="21"/>
                <w:szCs w:val="21"/>
              </w:rPr>
              <w:t>污染源</w:t>
            </w:r>
          </w:p>
        </w:tc>
        <w:tc>
          <w:tcPr>
            <w:tcW w:w="1440" w:type="pct"/>
            <w:vAlign w:val="center"/>
          </w:tcPr>
          <w:p>
            <w:pPr>
              <w:spacing w:line="420" w:lineRule="exact"/>
              <w:ind w:firstLine="0" w:firstLineChars="0"/>
              <w:jc w:val="center"/>
              <w:rPr>
                <w:sz w:val="21"/>
                <w:szCs w:val="21"/>
              </w:rPr>
            </w:pPr>
            <w:r>
              <w:rPr>
                <w:sz w:val="21"/>
                <w:szCs w:val="21"/>
              </w:rPr>
              <w:t>评价要求措施</w:t>
            </w:r>
          </w:p>
        </w:tc>
        <w:tc>
          <w:tcPr>
            <w:tcW w:w="411" w:type="pct"/>
            <w:vAlign w:val="center"/>
          </w:tcPr>
          <w:p>
            <w:pPr>
              <w:spacing w:line="420" w:lineRule="exact"/>
              <w:ind w:firstLine="0" w:firstLineChars="0"/>
              <w:jc w:val="center"/>
              <w:rPr>
                <w:sz w:val="21"/>
                <w:szCs w:val="21"/>
              </w:rPr>
            </w:pPr>
            <w:r>
              <w:rPr>
                <w:sz w:val="21"/>
                <w:szCs w:val="21"/>
              </w:rPr>
              <w:t>环评投资</w:t>
            </w:r>
          </w:p>
          <w:p>
            <w:pPr>
              <w:spacing w:line="420" w:lineRule="exact"/>
              <w:ind w:firstLine="0" w:firstLineChars="0"/>
              <w:jc w:val="center"/>
              <w:rPr>
                <w:sz w:val="21"/>
                <w:szCs w:val="21"/>
              </w:rPr>
            </w:pPr>
            <w:r>
              <w:rPr>
                <w:sz w:val="21"/>
                <w:szCs w:val="21"/>
              </w:rPr>
              <w:t>（万元）</w:t>
            </w:r>
          </w:p>
        </w:tc>
        <w:tc>
          <w:tcPr>
            <w:tcW w:w="1468" w:type="pct"/>
            <w:vAlign w:val="center"/>
          </w:tcPr>
          <w:p>
            <w:pPr>
              <w:spacing w:line="420" w:lineRule="exact"/>
              <w:ind w:firstLine="0" w:firstLineChars="0"/>
              <w:jc w:val="center"/>
              <w:rPr>
                <w:sz w:val="21"/>
                <w:szCs w:val="21"/>
              </w:rPr>
            </w:pPr>
            <w:r>
              <w:rPr>
                <w:sz w:val="21"/>
                <w:szCs w:val="21"/>
              </w:rPr>
              <w:t>实际环保设施</w:t>
            </w:r>
          </w:p>
        </w:tc>
        <w:tc>
          <w:tcPr>
            <w:tcW w:w="441" w:type="pct"/>
            <w:vAlign w:val="center"/>
          </w:tcPr>
          <w:p>
            <w:pPr>
              <w:spacing w:line="420" w:lineRule="exact"/>
              <w:ind w:firstLine="0" w:firstLineChars="0"/>
              <w:jc w:val="center"/>
              <w:rPr>
                <w:sz w:val="21"/>
                <w:szCs w:val="21"/>
              </w:rPr>
            </w:pPr>
            <w:r>
              <w:rPr>
                <w:sz w:val="21"/>
                <w:szCs w:val="21"/>
              </w:rPr>
              <w:t>实际投资</w:t>
            </w:r>
          </w:p>
          <w:p>
            <w:pPr>
              <w:spacing w:line="420" w:lineRule="exact"/>
              <w:ind w:firstLine="0" w:firstLineChars="0"/>
              <w:jc w:val="center"/>
              <w:rPr>
                <w:sz w:val="21"/>
                <w:szCs w:val="21"/>
              </w:rPr>
            </w:pPr>
            <w:r>
              <w:rPr>
                <w:sz w:val="21"/>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restart"/>
            <w:vAlign w:val="center"/>
          </w:tcPr>
          <w:p>
            <w:pPr>
              <w:spacing w:line="420" w:lineRule="exact"/>
              <w:ind w:firstLine="0" w:firstLineChars="0"/>
              <w:jc w:val="center"/>
              <w:rPr>
                <w:sz w:val="21"/>
                <w:szCs w:val="21"/>
              </w:rPr>
            </w:pPr>
            <w:r>
              <w:rPr>
                <w:sz w:val="21"/>
                <w:szCs w:val="21"/>
              </w:rPr>
              <w:t>大气污染物</w:t>
            </w:r>
          </w:p>
        </w:tc>
        <w:tc>
          <w:tcPr>
            <w:tcW w:w="746" w:type="pct"/>
            <w:vAlign w:val="center"/>
          </w:tcPr>
          <w:p>
            <w:pPr>
              <w:spacing w:line="420" w:lineRule="exact"/>
              <w:ind w:firstLine="0" w:firstLineChars="0"/>
              <w:jc w:val="center"/>
              <w:rPr>
                <w:sz w:val="21"/>
                <w:szCs w:val="21"/>
              </w:rPr>
            </w:pPr>
            <w:r>
              <w:rPr>
                <w:sz w:val="21"/>
                <w:szCs w:val="21"/>
              </w:rPr>
              <w:t>破碎、筛分</w:t>
            </w:r>
          </w:p>
        </w:tc>
        <w:tc>
          <w:tcPr>
            <w:tcW w:w="1440" w:type="pct"/>
            <w:vAlign w:val="center"/>
          </w:tcPr>
          <w:p>
            <w:pPr>
              <w:spacing w:line="420" w:lineRule="exact"/>
              <w:ind w:firstLine="0" w:firstLineChars="0"/>
              <w:rPr>
                <w:sz w:val="21"/>
                <w:szCs w:val="21"/>
              </w:rPr>
            </w:pPr>
            <w:r>
              <w:rPr>
                <w:sz w:val="21"/>
                <w:szCs w:val="21"/>
              </w:rPr>
              <w:t>安装3个集气罩+1台布袋除尘器，集气效率90%，除尘效率99.9%</w:t>
            </w:r>
          </w:p>
        </w:tc>
        <w:tc>
          <w:tcPr>
            <w:tcW w:w="411" w:type="pct"/>
            <w:vAlign w:val="center"/>
          </w:tcPr>
          <w:p>
            <w:pPr>
              <w:spacing w:line="420" w:lineRule="exact"/>
              <w:ind w:firstLine="0" w:firstLineChars="0"/>
              <w:jc w:val="center"/>
              <w:rPr>
                <w:sz w:val="21"/>
                <w:szCs w:val="21"/>
              </w:rPr>
            </w:pPr>
            <w:r>
              <w:rPr>
                <w:sz w:val="21"/>
                <w:szCs w:val="21"/>
              </w:rPr>
              <w:t>13</w:t>
            </w:r>
          </w:p>
        </w:tc>
        <w:tc>
          <w:tcPr>
            <w:tcW w:w="1468" w:type="pct"/>
            <w:vAlign w:val="center"/>
          </w:tcPr>
          <w:p>
            <w:pPr>
              <w:spacing w:line="420" w:lineRule="exact"/>
              <w:ind w:firstLine="0" w:firstLineChars="0"/>
              <w:rPr>
                <w:sz w:val="21"/>
                <w:szCs w:val="21"/>
              </w:rPr>
            </w:pPr>
            <w:r>
              <w:rPr>
                <w:sz w:val="21"/>
                <w:szCs w:val="21"/>
              </w:rPr>
              <w:t>安装</w:t>
            </w:r>
            <w:r>
              <w:rPr>
                <w:rFonts w:hint="eastAsia"/>
                <w:sz w:val="21"/>
                <w:szCs w:val="21"/>
              </w:rPr>
              <w:t>3</w:t>
            </w:r>
            <w:r>
              <w:rPr>
                <w:sz w:val="21"/>
                <w:szCs w:val="21"/>
              </w:rPr>
              <w:t>个集气罩+1台布袋除尘器，集气效率90%，除尘效率99.9%</w:t>
            </w:r>
          </w:p>
        </w:tc>
        <w:tc>
          <w:tcPr>
            <w:tcW w:w="441" w:type="pct"/>
            <w:vAlign w:val="center"/>
          </w:tcPr>
          <w:p>
            <w:pPr>
              <w:spacing w:line="420" w:lineRule="exact"/>
              <w:ind w:firstLine="0" w:firstLineChars="0"/>
              <w:jc w:val="center"/>
              <w:rPr>
                <w:sz w:val="21"/>
                <w:szCs w:val="21"/>
              </w:rPr>
            </w:pPr>
            <w:r>
              <w:rPr>
                <w:rFonts w:hint="eastAsia"/>
                <w:sz w:val="21"/>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continue"/>
            <w:vAlign w:val="center"/>
          </w:tcPr>
          <w:p>
            <w:pPr>
              <w:spacing w:line="420" w:lineRule="exact"/>
              <w:ind w:firstLine="410"/>
              <w:jc w:val="center"/>
              <w:rPr>
                <w:sz w:val="21"/>
                <w:szCs w:val="21"/>
              </w:rPr>
            </w:pPr>
          </w:p>
        </w:tc>
        <w:tc>
          <w:tcPr>
            <w:tcW w:w="746" w:type="pct"/>
            <w:vAlign w:val="center"/>
          </w:tcPr>
          <w:p>
            <w:pPr>
              <w:spacing w:line="420" w:lineRule="exact"/>
              <w:ind w:firstLine="0" w:firstLineChars="0"/>
              <w:jc w:val="center"/>
              <w:rPr>
                <w:sz w:val="21"/>
                <w:szCs w:val="21"/>
              </w:rPr>
            </w:pPr>
            <w:r>
              <w:rPr>
                <w:sz w:val="21"/>
                <w:szCs w:val="21"/>
              </w:rPr>
              <w:t>石料输送</w:t>
            </w:r>
          </w:p>
        </w:tc>
        <w:tc>
          <w:tcPr>
            <w:tcW w:w="1440" w:type="pct"/>
            <w:vAlign w:val="center"/>
          </w:tcPr>
          <w:p>
            <w:pPr>
              <w:spacing w:line="420" w:lineRule="exact"/>
              <w:ind w:firstLine="0" w:firstLineChars="0"/>
              <w:rPr>
                <w:sz w:val="21"/>
                <w:szCs w:val="21"/>
              </w:rPr>
            </w:pPr>
            <w:r>
              <w:rPr>
                <w:sz w:val="21"/>
                <w:szCs w:val="21"/>
              </w:rPr>
              <w:t>输送皮带要进行封闭，降低落料点，抑尘效率70%</w:t>
            </w:r>
          </w:p>
        </w:tc>
        <w:tc>
          <w:tcPr>
            <w:tcW w:w="411" w:type="pct"/>
            <w:vAlign w:val="center"/>
          </w:tcPr>
          <w:p>
            <w:pPr>
              <w:spacing w:line="420" w:lineRule="exact"/>
              <w:ind w:firstLine="0" w:firstLineChars="0"/>
              <w:jc w:val="center"/>
              <w:rPr>
                <w:sz w:val="21"/>
                <w:szCs w:val="21"/>
              </w:rPr>
            </w:pPr>
            <w:r>
              <w:rPr>
                <w:sz w:val="21"/>
                <w:szCs w:val="21"/>
              </w:rPr>
              <w:t>1</w:t>
            </w:r>
          </w:p>
        </w:tc>
        <w:tc>
          <w:tcPr>
            <w:tcW w:w="1468" w:type="pct"/>
            <w:vAlign w:val="center"/>
          </w:tcPr>
          <w:p>
            <w:pPr>
              <w:spacing w:line="420" w:lineRule="exact"/>
              <w:ind w:firstLine="0" w:firstLineChars="0"/>
              <w:rPr>
                <w:sz w:val="21"/>
                <w:szCs w:val="21"/>
              </w:rPr>
            </w:pPr>
            <w:r>
              <w:rPr>
                <w:rFonts w:hint="eastAsia"/>
                <w:sz w:val="21"/>
                <w:szCs w:val="21"/>
              </w:rPr>
              <w:t>运输皮带封闭处理</w:t>
            </w:r>
          </w:p>
        </w:tc>
        <w:tc>
          <w:tcPr>
            <w:tcW w:w="441" w:type="pct"/>
            <w:vAlign w:val="center"/>
          </w:tcPr>
          <w:p>
            <w:pPr>
              <w:spacing w:line="420" w:lineRule="exact"/>
              <w:ind w:firstLine="0" w:firstLineChars="0"/>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continue"/>
            <w:vAlign w:val="center"/>
          </w:tcPr>
          <w:p>
            <w:pPr>
              <w:spacing w:line="420" w:lineRule="exact"/>
              <w:ind w:firstLine="410"/>
              <w:jc w:val="center"/>
              <w:rPr>
                <w:sz w:val="21"/>
                <w:szCs w:val="21"/>
              </w:rPr>
            </w:pPr>
          </w:p>
        </w:tc>
        <w:tc>
          <w:tcPr>
            <w:tcW w:w="746" w:type="pct"/>
            <w:vAlign w:val="center"/>
          </w:tcPr>
          <w:p>
            <w:pPr>
              <w:spacing w:line="420" w:lineRule="exact"/>
              <w:ind w:firstLine="0" w:firstLineChars="0"/>
              <w:jc w:val="center"/>
              <w:rPr>
                <w:sz w:val="21"/>
                <w:szCs w:val="21"/>
              </w:rPr>
            </w:pPr>
            <w:r>
              <w:rPr>
                <w:sz w:val="21"/>
                <w:szCs w:val="21"/>
              </w:rPr>
              <w:t>石料堆场、装卸</w:t>
            </w:r>
          </w:p>
        </w:tc>
        <w:tc>
          <w:tcPr>
            <w:tcW w:w="1440" w:type="pct"/>
            <w:vAlign w:val="center"/>
          </w:tcPr>
          <w:p>
            <w:pPr>
              <w:spacing w:line="420" w:lineRule="exact"/>
              <w:ind w:firstLine="0" w:firstLineChars="0"/>
              <w:rPr>
                <w:sz w:val="21"/>
                <w:szCs w:val="21"/>
              </w:rPr>
            </w:pPr>
            <w:r>
              <w:rPr>
                <w:sz w:val="21"/>
                <w:szCs w:val="21"/>
              </w:rPr>
              <w:t>石料堆场四周设置1.5m砖墙+6m防风抑尘网，加强堆场洒水作业，装卸时应设置洒水装置，采取以上措施后其抑尘效率为90%左右</w:t>
            </w:r>
          </w:p>
        </w:tc>
        <w:tc>
          <w:tcPr>
            <w:tcW w:w="411" w:type="pct"/>
            <w:vMerge w:val="restart"/>
            <w:vAlign w:val="center"/>
          </w:tcPr>
          <w:p>
            <w:pPr>
              <w:spacing w:line="420" w:lineRule="exact"/>
              <w:ind w:firstLine="0" w:firstLineChars="0"/>
              <w:jc w:val="center"/>
              <w:rPr>
                <w:sz w:val="21"/>
                <w:szCs w:val="21"/>
              </w:rPr>
            </w:pPr>
            <w:r>
              <w:rPr>
                <w:sz w:val="21"/>
                <w:szCs w:val="21"/>
              </w:rPr>
              <w:t>6</w:t>
            </w:r>
          </w:p>
        </w:tc>
        <w:tc>
          <w:tcPr>
            <w:tcW w:w="1468" w:type="pct"/>
            <w:vAlign w:val="center"/>
          </w:tcPr>
          <w:p>
            <w:pPr>
              <w:spacing w:line="420" w:lineRule="exact"/>
              <w:ind w:firstLine="0" w:firstLineChars="0"/>
              <w:rPr>
                <w:sz w:val="21"/>
                <w:szCs w:val="21"/>
              </w:rPr>
            </w:pPr>
            <w:r>
              <w:rPr>
                <w:rFonts w:hint="eastAsia"/>
                <w:sz w:val="21"/>
                <w:szCs w:val="21"/>
              </w:rPr>
              <w:t>石料堆场</w:t>
            </w:r>
            <w:r>
              <w:rPr>
                <w:rFonts w:hint="eastAsia"/>
                <w:sz w:val="21"/>
                <w:szCs w:val="21"/>
                <w:lang w:eastAsia="zh-CN"/>
              </w:rPr>
              <w:t>采封闭式堆场</w:t>
            </w:r>
            <w:r>
              <w:rPr>
                <w:sz w:val="21"/>
                <w:szCs w:val="21"/>
              </w:rPr>
              <w:t>，加强堆场洒水作业，装卸时设置洒水装置</w:t>
            </w:r>
            <w:r>
              <w:rPr>
                <w:rFonts w:hint="eastAsia"/>
                <w:sz w:val="21"/>
                <w:szCs w:val="21"/>
              </w:rPr>
              <w:t>，</w:t>
            </w:r>
            <w:r>
              <w:rPr>
                <w:sz w:val="21"/>
                <w:szCs w:val="21"/>
              </w:rPr>
              <w:t>采取以上措施后其抑尘效率为90%左右</w:t>
            </w:r>
          </w:p>
        </w:tc>
        <w:tc>
          <w:tcPr>
            <w:tcW w:w="441" w:type="pct"/>
            <w:vMerge w:val="restart"/>
            <w:vAlign w:val="center"/>
          </w:tcPr>
          <w:p>
            <w:pPr>
              <w:spacing w:line="420" w:lineRule="exact"/>
              <w:ind w:firstLine="0" w:firstLineChars="0"/>
              <w:jc w:val="center"/>
              <w:rPr>
                <w:sz w:val="21"/>
                <w:szCs w:val="21"/>
              </w:rPr>
            </w:pPr>
            <w:r>
              <w:rPr>
                <w:rFonts w:hint="eastAsia"/>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continue"/>
            <w:vAlign w:val="center"/>
          </w:tcPr>
          <w:p>
            <w:pPr>
              <w:spacing w:line="420" w:lineRule="exact"/>
              <w:ind w:firstLine="410"/>
              <w:jc w:val="center"/>
              <w:rPr>
                <w:sz w:val="21"/>
                <w:szCs w:val="21"/>
              </w:rPr>
            </w:pPr>
          </w:p>
        </w:tc>
        <w:tc>
          <w:tcPr>
            <w:tcW w:w="746" w:type="pct"/>
            <w:vAlign w:val="center"/>
          </w:tcPr>
          <w:p>
            <w:pPr>
              <w:spacing w:line="420" w:lineRule="exact"/>
              <w:ind w:firstLine="0" w:firstLineChars="0"/>
              <w:jc w:val="center"/>
              <w:rPr>
                <w:sz w:val="21"/>
                <w:szCs w:val="21"/>
              </w:rPr>
            </w:pPr>
            <w:r>
              <w:rPr>
                <w:sz w:val="21"/>
                <w:szCs w:val="21"/>
              </w:rPr>
              <w:t>排土场</w:t>
            </w:r>
          </w:p>
        </w:tc>
        <w:tc>
          <w:tcPr>
            <w:tcW w:w="1440" w:type="pct"/>
            <w:vAlign w:val="center"/>
          </w:tcPr>
          <w:p>
            <w:pPr>
              <w:spacing w:line="420" w:lineRule="exact"/>
              <w:ind w:firstLine="0" w:firstLineChars="0"/>
              <w:rPr>
                <w:sz w:val="21"/>
                <w:szCs w:val="21"/>
              </w:rPr>
            </w:pPr>
            <w:r>
              <w:rPr>
                <w:sz w:val="21"/>
                <w:szCs w:val="21"/>
              </w:rPr>
              <w:t>及时用推土机推平压实，并配专门移动洒水装置在排土场地面和运输道路定期洒水降尘；同时表层土要立即实施挡护与迎风坡面绿网覆盖措施，其抑尘效率为70%</w:t>
            </w:r>
          </w:p>
        </w:tc>
        <w:tc>
          <w:tcPr>
            <w:tcW w:w="411" w:type="pct"/>
            <w:vMerge w:val="continue"/>
            <w:vAlign w:val="center"/>
          </w:tcPr>
          <w:p>
            <w:pPr>
              <w:spacing w:line="420" w:lineRule="exact"/>
              <w:ind w:firstLine="410"/>
              <w:jc w:val="center"/>
              <w:rPr>
                <w:sz w:val="21"/>
                <w:szCs w:val="21"/>
              </w:rPr>
            </w:pPr>
          </w:p>
        </w:tc>
        <w:tc>
          <w:tcPr>
            <w:tcW w:w="1468" w:type="pct"/>
            <w:vAlign w:val="center"/>
          </w:tcPr>
          <w:p>
            <w:pPr>
              <w:spacing w:line="420" w:lineRule="exact"/>
              <w:ind w:firstLine="0" w:firstLineChars="0"/>
              <w:rPr>
                <w:sz w:val="21"/>
                <w:szCs w:val="21"/>
              </w:rPr>
            </w:pPr>
            <w:r>
              <w:rPr>
                <w:sz w:val="21"/>
                <w:szCs w:val="21"/>
              </w:rPr>
              <w:t>推土机推平压实，并配专门移动洒水装置在排土场地面和运输道路定期洒水降尘；同时表层土要立即实施挡护与迎风坡面绿网覆盖措施，其抑尘效率为70%</w:t>
            </w:r>
          </w:p>
        </w:tc>
        <w:tc>
          <w:tcPr>
            <w:tcW w:w="441" w:type="pct"/>
            <w:vMerge w:val="continue"/>
            <w:vAlign w:val="center"/>
          </w:tcPr>
          <w:p>
            <w:pPr>
              <w:spacing w:line="420" w:lineRule="exact"/>
              <w:ind w:firstLine="41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continue"/>
            <w:vAlign w:val="center"/>
          </w:tcPr>
          <w:p>
            <w:pPr>
              <w:spacing w:line="420" w:lineRule="exact"/>
              <w:ind w:firstLine="410"/>
              <w:jc w:val="center"/>
              <w:rPr>
                <w:sz w:val="21"/>
                <w:szCs w:val="21"/>
              </w:rPr>
            </w:pPr>
          </w:p>
        </w:tc>
        <w:tc>
          <w:tcPr>
            <w:tcW w:w="746" w:type="pct"/>
            <w:vAlign w:val="center"/>
          </w:tcPr>
          <w:p>
            <w:pPr>
              <w:spacing w:line="420" w:lineRule="exact"/>
              <w:ind w:firstLine="0" w:firstLineChars="0"/>
              <w:jc w:val="center"/>
              <w:rPr>
                <w:sz w:val="21"/>
                <w:szCs w:val="21"/>
              </w:rPr>
            </w:pPr>
            <w:r>
              <w:rPr>
                <w:sz w:val="21"/>
                <w:szCs w:val="21"/>
              </w:rPr>
              <w:t>边帮剥离</w:t>
            </w:r>
          </w:p>
        </w:tc>
        <w:tc>
          <w:tcPr>
            <w:tcW w:w="1440" w:type="pct"/>
            <w:vAlign w:val="center"/>
          </w:tcPr>
          <w:p>
            <w:pPr>
              <w:spacing w:line="420" w:lineRule="exact"/>
              <w:ind w:firstLine="0" w:firstLineChars="0"/>
              <w:rPr>
                <w:sz w:val="21"/>
                <w:szCs w:val="21"/>
              </w:rPr>
            </w:pPr>
            <w:r>
              <w:rPr>
                <w:sz w:val="21"/>
                <w:szCs w:val="21"/>
              </w:rPr>
              <w:t>定期洒水抑尘，抑尘70%</w:t>
            </w:r>
          </w:p>
        </w:tc>
        <w:tc>
          <w:tcPr>
            <w:tcW w:w="411" w:type="pct"/>
            <w:vMerge w:val="continue"/>
            <w:vAlign w:val="center"/>
          </w:tcPr>
          <w:p>
            <w:pPr>
              <w:spacing w:line="420" w:lineRule="exact"/>
              <w:ind w:firstLine="410"/>
              <w:jc w:val="center"/>
              <w:rPr>
                <w:sz w:val="21"/>
                <w:szCs w:val="21"/>
              </w:rPr>
            </w:pPr>
          </w:p>
        </w:tc>
        <w:tc>
          <w:tcPr>
            <w:tcW w:w="1468" w:type="pct"/>
            <w:vAlign w:val="center"/>
          </w:tcPr>
          <w:p>
            <w:pPr>
              <w:spacing w:line="420" w:lineRule="exact"/>
              <w:ind w:firstLine="0" w:firstLineChars="0"/>
              <w:rPr>
                <w:sz w:val="21"/>
                <w:szCs w:val="21"/>
              </w:rPr>
            </w:pPr>
            <w:r>
              <w:rPr>
                <w:sz w:val="21"/>
                <w:szCs w:val="21"/>
              </w:rPr>
              <w:t>定期洒水抑尘，抑尘70%</w:t>
            </w:r>
          </w:p>
        </w:tc>
        <w:tc>
          <w:tcPr>
            <w:tcW w:w="441" w:type="pct"/>
            <w:vMerge w:val="continue"/>
            <w:vAlign w:val="center"/>
          </w:tcPr>
          <w:p>
            <w:pPr>
              <w:spacing w:line="420" w:lineRule="exact"/>
              <w:ind w:firstLine="41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continue"/>
            <w:vAlign w:val="center"/>
          </w:tcPr>
          <w:p>
            <w:pPr>
              <w:spacing w:line="420" w:lineRule="exact"/>
              <w:ind w:firstLine="410"/>
              <w:jc w:val="center"/>
              <w:rPr>
                <w:sz w:val="21"/>
                <w:szCs w:val="21"/>
              </w:rPr>
            </w:pPr>
          </w:p>
        </w:tc>
        <w:tc>
          <w:tcPr>
            <w:tcW w:w="746" w:type="pct"/>
            <w:vAlign w:val="center"/>
          </w:tcPr>
          <w:p>
            <w:pPr>
              <w:spacing w:line="420" w:lineRule="exact"/>
              <w:ind w:firstLine="0" w:firstLineChars="0"/>
              <w:jc w:val="center"/>
              <w:rPr>
                <w:sz w:val="21"/>
                <w:szCs w:val="21"/>
              </w:rPr>
            </w:pPr>
            <w:r>
              <w:rPr>
                <w:sz w:val="21"/>
                <w:szCs w:val="21"/>
              </w:rPr>
              <w:t>爆破</w:t>
            </w:r>
          </w:p>
        </w:tc>
        <w:tc>
          <w:tcPr>
            <w:tcW w:w="1440" w:type="pct"/>
            <w:vAlign w:val="center"/>
          </w:tcPr>
          <w:p>
            <w:pPr>
              <w:spacing w:line="420" w:lineRule="exact"/>
              <w:ind w:firstLine="0" w:firstLineChars="0"/>
              <w:rPr>
                <w:sz w:val="21"/>
                <w:szCs w:val="21"/>
              </w:rPr>
            </w:pPr>
            <w:r>
              <w:rPr>
                <w:sz w:val="21"/>
                <w:szCs w:val="21"/>
              </w:rPr>
              <w:t>装卸过程中进行洒水，增加开采面及地面湿度，爆破时采用毫秒延时爆破，定期洒水抑尘，抑尘60%</w:t>
            </w:r>
          </w:p>
        </w:tc>
        <w:tc>
          <w:tcPr>
            <w:tcW w:w="411" w:type="pct"/>
            <w:vMerge w:val="continue"/>
            <w:vAlign w:val="center"/>
          </w:tcPr>
          <w:p>
            <w:pPr>
              <w:spacing w:line="420" w:lineRule="exact"/>
              <w:ind w:firstLine="410"/>
              <w:jc w:val="center"/>
              <w:rPr>
                <w:sz w:val="21"/>
                <w:szCs w:val="21"/>
              </w:rPr>
            </w:pPr>
          </w:p>
        </w:tc>
        <w:tc>
          <w:tcPr>
            <w:tcW w:w="1468" w:type="pct"/>
            <w:vAlign w:val="center"/>
          </w:tcPr>
          <w:p>
            <w:pPr>
              <w:spacing w:line="420" w:lineRule="exact"/>
              <w:ind w:firstLine="0" w:firstLineChars="0"/>
              <w:rPr>
                <w:sz w:val="21"/>
                <w:szCs w:val="21"/>
              </w:rPr>
            </w:pPr>
            <w:r>
              <w:rPr>
                <w:sz w:val="21"/>
                <w:szCs w:val="21"/>
              </w:rPr>
              <w:t>装卸过程中进行洒水，增加开采面及地面湿度，爆破时采用毫秒延时爆破，定期洒水抑尘，抑尘60%</w:t>
            </w:r>
          </w:p>
        </w:tc>
        <w:tc>
          <w:tcPr>
            <w:tcW w:w="441" w:type="pct"/>
            <w:vMerge w:val="continue"/>
            <w:vAlign w:val="center"/>
          </w:tcPr>
          <w:p>
            <w:pPr>
              <w:spacing w:line="420" w:lineRule="exact"/>
              <w:ind w:firstLine="41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continue"/>
            <w:vAlign w:val="center"/>
          </w:tcPr>
          <w:p>
            <w:pPr>
              <w:spacing w:line="420" w:lineRule="exact"/>
              <w:ind w:firstLine="410"/>
              <w:jc w:val="center"/>
              <w:rPr>
                <w:sz w:val="21"/>
                <w:szCs w:val="21"/>
              </w:rPr>
            </w:pPr>
          </w:p>
        </w:tc>
        <w:tc>
          <w:tcPr>
            <w:tcW w:w="746" w:type="pct"/>
            <w:vAlign w:val="center"/>
          </w:tcPr>
          <w:p>
            <w:pPr>
              <w:spacing w:line="420" w:lineRule="exact"/>
              <w:ind w:firstLine="0" w:firstLineChars="0"/>
              <w:jc w:val="center"/>
              <w:rPr>
                <w:sz w:val="21"/>
                <w:szCs w:val="21"/>
              </w:rPr>
            </w:pPr>
            <w:r>
              <w:rPr>
                <w:sz w:val="21"/>
                <w:szCs w:val="21"/>
              </w:rPr>
              <w:t>道路运输</w:t>
            </w:r>
          </w:p>
        </w:tc>
        <w:tc>
          <w:tcPr>
            <w:tcW w:w="1440" w:type="pct"/>
            <w:vAlign w:val="center"/>
          </w:tcPr>
          <w:p>
            <w:pPr>
              <w:spacing w:line="420" w:lineRule="exact"/>
              <w:ind w:firstLine="0" w:firstLineChars="0"/>
              <w:rPr>
                <w:sz w:val="21"/>
                <w:szCs w:val="21"/>
              </w:rPr>
            </w:pPr>
            <w:r>
              <w:rPr>
                <w:sz w:val="21"/>
                <w:szCs w:val="21"/>
              </w:rPr>
              <w:t>道路要硬化，洒水抑尘；车辆运输必须加盖篷布，抑尘效率60%</w:t>
            </w:r>
          </w:p>
        </w:tc>
        <w:tc>
          <w:tcPr>
            <w:tcW w:w="411" w:type="pct"/>
            <w:vAlign w:val="center"/>
          </w:tcPr>
          <w:p>
            <w:pPr>
              <w:spacing w:line="420" w:lineRule="exact"/>
              <w:ind w:firstLine="0" w:firstLineChars="0"/>
              <w:jc w:val="center"/>
              <w:rPr>
                <w:sz w:val="21"/>
                <w:szCs w:val="21"/>
              </w:rPr>
            </w:pPr>
            <w:r>
              <w:rPr>
                <w:sz w:val="21"/>
                <w:szCs w:val="21"/>
              </w:rPr>
              <w:t>0.3</w:t>
            </w:r>
          </w:p>
        </w:tc>
        <w:tc>
          <w:tcPr>
            <w:tcW w:w="1468" w:type="pct"/>
            <w:vAlign w:val="center"/>
          </w:tcPr>
          <w:p>
            <w:pPr>
              <w:spacing w:line="420" w:lineRule="exact"/>
              <w:ind w:firstLine="0" w:firstLineChars="0"/>
              <w:rPr>
                <w:sz w:val="21"/>
                <w:szCs w:val="21"/>
              </w:rPr>
            </w:pPr>
            <w:r>
              <w:rPr>
                <w:rFonts w:hint="eastAsia"/>
                <w:sz w:val="21"/>
                <w:szCs w:val="21"/>
              </w:rPr>
              <w:t>对</w:t>
            </w:r>
            <w:r>
              <w:rPr>
                <w:sz w:val="21"/>
                <w:szCs w:val="21"/>
              </w:rPr>
              <w:t>道路</w:t>
            </w:r>
            <w:r>
              <w:rPr>
                <w:rFonts w:hint="eastAsia"/>
                <w:sz w:val="21"/>
                <w:szCs w:val="21"/>
              </w:rPr>
              <w:t>进行</w:t>
            </w:r>
            <w:r>
              <w:rPr>
                <w:sz w:val="21"/>
                <w:szCs w:val="21"/>
              </w:rPr>
              <w:t>硬化</w:t>
            </w:r>
            <w:r>
              <w:rPr>
                <w:rFonts w:hint="eastAsia"/>
                <w:sz w:val="21"/>
                <w:szCs w:val="21"/>
              </w:rPr>
              <w:t>并</w:t>
            </w:r>
            <w:r>
              <w:rPr>
                <w:sz w:val="21"/>
                <w:szCs w:val="21"/>
              </w:rPr>
              <w:t>洒水抑尘；车辆运输加盖篷布，抑尘效率60%</w:t>
            </w:r>
          </w:p>
        </w:tc>
        <w:tc>
          <w:tcPr>
            <w:tcW w:w="441" w:type="pct"/>
            <w:vAlign w:val="center"/>
          </w:tcPr>
          <w:p>
            <w:pPr>
              <w:spacing w:line="420" w:lineRule="exact"/>
              <w:ind w:firstLine="0" w:firstLineChars="0"/>
              <w:jc w:val="center"/>
              <w:rPr>
                <w:sz w:val="21"/>
                <w:szCs w:val="21"/>
              </w:rPr>
            </w:pPr>
            <w:r>
              <w:rPr>
                <w:rFonts w:hint="eastAsia"/>
                <w:sz w:val="21"/>
                <w:szCs w:val="21"/>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Align w:val="center"/>
          </w:tcPr>
          <w:p>
            <w:pPr>
              <w:spacing w:line="420" w:lineRule="exact"/>
              <w:ind w:firstLine="0" w:firstLineChars="0"/>
              <w:jc w:val="center"/>
              <w:rPr>
                <w:sz w:val="21"/>
                <w:szCs w:val="21"/>
              </w:rPr>
            </w:pPr>
            <w:r>
              <w:rPr>
                <w:sz w:val="21"/>
                <w:szCs w:val="21"/>
              </w:rPr>
              <w:t>固体废物</w:t>
            </w:r>
          </w:p>
        </w:tc>
        <w:tc>
          <w:tcPr>
            <w:tcW w:w="746" w:type="pct"/>
            <w:vAlign w:val="center"/>
          </w:tcPr>
          <w:p>
            <w:pPr>
              <w:spacing w:line="420" w:lineRule="exact"/>
              <w:ind w:firstLine="0" w:firstLineChars="0"/>
              <w:jc w:val="center"/>
              <w:rPr>
                <w:sz w:val="21"/>
                <w:szCs w:val="21"/>
              </w:rPr>
            </w:pPr>
            <w:r>
              <w:rPr>
                <w:sz w:val="21"/>
                <w:szCs w:val="21"/>
              </w:rPr>
              <w:t>生活垃圾</w:t>
            </w:r>
          </w:p>
        </w:tc>
        <w:tc>
          <w:tcPr>
            <w:tcW w:w="1440" w:type="pct"/>
            <w:vAlign w:val="center"/>
          </w:tcPr>
          <w:p>
            <w:pPr>
              <w:spacing w:line="420" w:lineRule="exact"/>
              <w:ind w:firstLine="0" w:firstLineChars="0"/>
              <w:rPr>
                <w:sz w:val="21"/>
                <w:szCs w:val="21"/>
              </w:rPr>
            </w:pPr>
            <w:r>
              <w:rPr>
                <w:sz w:val="21"/>
                <w:szCs w:val="21"/>
              </w:rPr>
              <w:t>当地环卫部门统一处理</w:t>
            </w:r>
          </w:p>
        </w:tc>
        <w:tc>
          <w:tcPr>
            <w:tcW w:w="411" w:type="pct"/>
            <w:vAlign w:val="center"/>
          </w:tcPr>
          <w:p>
            <w:pPr>
              <w:spacing w:line="420" w:lineRule="exact"/>
              <w:ind w:firstLine="0" w:firstLineChars="0"/>
              <w:jc w:val="center"/>
              <w:rPr>
                <w:sz w:val="21"/>
                <w:szCs w:val="21"/>
              </w:rPr>
            </w:pPr>
            <w:r>
              <w:rPr>
                <w:sz w:val="21"/>
                <w:szCs w:val="21"/>
              </w:rPr>
              <w:t>0.3</w:t>
            </w:r>
          </w:p>
        </w:tc>
        <w:tc>
          <w:tcPr>
            <w:tcW w:w="1468" w:type="pct"/>
            <w:vAlign w:val="center"/>
          </w:tcPr>
          <w:p>
            <w:pPr>
              <w:spacing w:line="420" w:lineRule="exact"/>
              <w:ind w:firstLine="0" w:firstLineChars="0"/>
              <w:rPr>
                <w:sz w:val="21"/>
                <w:szCs w:val="21"/>
              </w:rPr>
            </w:pPr>
            <w:r>
              <w:rPr>
                <w:sz w:val="21"/>
                <w:szCs w:val="21"/>
              </w:rPr>
              <w:t>当地环卫部门统一处理</w:t>
            </w:r>
          </w:p>
        </w:tc>
        <w:tc>
          <w:tcPr>
            <w:tcW w:w="441" w:type="pct"/>
            <w:vAlign w:val="center"/>
          </w:tcPr>
          <w:p>
            <w:pPr>
              <w:spacing w:line="420" w:lineRule="exact"/>
              <w:ind w:firstLine="0" w:firstLineChars="0"/>
              <w:jc w:val="center"/>
              <w:rPr>
                <w:sz w:val="21"/>
                <w:szCs w:val="21"/>
              </w:rPr>
            </w:pPr>
            <w:r>
              <w:rPr>
                <w:rFonts w:hint="eastAsia"/>
                <w:sz w:val="21"/>
                <w:szCs w:val="21"/>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Align w:val="center"/>
          </w:tcPr>
          <w:p>
            <w:pPr>
              <w:spacing w:line="420" w:lineRule="exact"/>
              <w:ind w:firstLine="0" w:firstLineChars="0"/>
              <w:jc w:val="center"/>
              <w:rPr>
                <w:sz w:val="21"/>
                <w:szCs w:val="21"/>
              </w:rPr>
            </w:pPr>
            <w:r>
              <w:rPr>
                <w:sz w:val="21"/>
                <w:szCs w:val="21"/>
              </w:rPr>
              <w:t>噪声</w:t>
            </w:r>
          </w:p>
        </w:tc>
        <w:tc>
          <w:tcPr>
            <w:tcW w:w="746" w:type="pct"/>
            <w:vAlign w:val="center"/>
          </w:tcPr>
          <w:p>
            <w:pPr>
              <w:spacing w:line="420" w:lineRule="exact"/>
              <w:ind w:firstLine="0" w:firstLineChars="0"/>
              <w:jc w:val="center"/>
              <w:rPr>
                <w:sz w:val="21"/>
                <w:szCs w:val="21"/>
              </w:rPr>
            </w:pPr>
            <w:r>
              <w:rPr>
                <w:sz w:val="21"/>
                <w:szCs w:val="21"/>
              </w:rPr>
              <w:t>产噪设备</w:t>
            </w:r>
          </w:p>
        </w:tc>
        <w:tc>
          <w:tcPr>
            <w:tcW w:w="1440" w:type="pct"/>
            <w:vAlign w:val="center"/>
          </w:tcPr>
          <w:p>
            <w:pPr>
              <w:spacing w:line="420" w:lineRule="exact"/>
              <w:ind w:firstLine="0" w:firstLineChars="0"/>
              <w:rPr>
                <w:sz w:val="21"/>
                <w:szCs w:val="21"/>
              </w:rPr>
            </w:pPr>
            <w:r>
              <w:rPr>
                <w:sz w:val="21"/>
                <w:szCs w:val="21"/>
              </w:rPr>
              <w:t>合理布局、安装减震垫、绿化降噪；爆破时避开居民休息时间，禁止夜间爆破</w:t>
            </w:r>
          </w:p>
        </w:tc>
        <w:tc>
          <w:tcPr>
            <w:tcW w:w="411" w:type="pct"/>
            <w:vAlign w:val="center"/>
          </w:tcPr>
          <w:p>
            <w:pPr>
              <w:spacing w:line="420" w:lineRule="exact"/>
              <w:ind w:firstLine="0" w:firstLineChars="0"/>
              <w:jc w:val="center"/>
              <w:rPr>
                <w:sz w:val="21"/>
                <w:szCs w:val="21"/>
              </w:rPr>
            </w:pPr>
            <w:r>
              <w:rPr>
                <w:sz w:val="21"/>
                <w:szCs w:val="21"/>
              </w:rPr>
              <w:t>2</w:t>
            </w:r>
          </w:p>
        </w:tc>
        <w:tc>
          <w:tcPr>
            <w:tcW w:w="1468" w:type="pct"/>
            <w:vAlign w:val="center"/>
          </w:tcPr>
          <w:p>
            <w:pPr>
              <w:spacing w:line="420" w:lineRule="exact"/>
              <w:ind w:firstLine="0" w:firstLineChars="0"/>
              <w:rPr>
                <w:sz w:val="21"/>
                <w:szCs w:val="21"/>
              </w:rPr>
            </w:pPr>
            <w:r>
              <w:rPr>
                <w:rFonts w:hint="eastAsia"/>
                <w:sz w:val="21"/>
                <w:szCs w:val="21"/>
              </w:rPr>
              <w:t>按照功能要求分区布置，利用不敏感区将高噪声区与敏感区分开，高噪声设备集中布置；对高噪声设备</w:t>
            </w:r>
            <w:r>
              <w:rPr>
                <w:sz w:val="21"/>
                <w:szCs w:val="21"/>
              </w:rPr>
              <w:t>安装减震垫</w:t>
            </w:r>
            <w:r>
              <w:rPr>
                <w:rFonts w:hint="eastAsia"/>
                <w:sz w:val="21"/>
                <w:szCs w:val="21"/>
              </w:rPr>
              <w:t>；设置隔离绿化带，增加绿化面积</w:t>
            </w:r>
            <w:r>
              <w:rPr>
                <w:sz w:val="21"/>
                <w:szCs w:val="21"/>
              </w:rPr>
              <w:t>；</w:t>
            </w:r>
            <w:r>
              <w:rPr>
                <w:rFonts w:hint="eastAsia"/>
                <w:sz w:val="21"/>
                <w:szCs w:val="21"/>
              </w:rPr>
              <w:t>合理安排爆破时间</w:t>
            </w:r>
            <w:r>
              <w:rPr>
                <w:sz w:val="21"/>
                <w:szCs w:val="21"/>
              </w:rPr>
              <w:t>，禁止夜间</w:t>
            </w:r>
            <w:r>
              <w:rPr>
                <w:rFonts w:hint="eastAsia"/>
                <w:sz w:val="21"/>
                <w:szCs w:val="21"/>
              </w:rPr>
              <w:t>等休息时间</w:t>
            </w:r>
            <w:r>
              <w:rPr>
                <w:sz w:val="21"/>
                <w:szCs w:val="21"/>
              </w:rPr>
              <w:t>爆破</w:t>
            </w:r>
          </w:p>
        </w:tc>
        <w:tc>
          <w:tcPr>
            <w:tcW w:w="441" w:type="pct"/>
            <w:vAlign w:val="center"/>
          </w:tcPr>
          <w:p>
            <w:pPr>
              <w:spacing w:line="420" w:lineRule="exact"/>
              <w:ind w:firstLine="0" w:firstLineChars="0"/>
              <w:jc w:val="center"/>
              <w:rPr>
                <w:sz w:val="21"/>
                <w:szCs w:val="21"/>
              </w:rPr>
            </w:pPr>
            <w:r>
              <w:rPr>
                <w:rFonts w:hint="eastAsia"/>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restart"/>
            <w:vAlign w:val="center"/>
          </w:tcPr>
          <w:p>
            <w:pPr>
              <w:spacing w:line="420" w:lineRule="exact"/>
              <w:ind w:firstLine="0" w:firstLineChars="0"/>
              <w:jc w:val="center"/>
              <w:rPr>
                <w:sz w:val="21"/>
                <w:szCs w:val="21"/>
              </w:rPr>
            </w:pPr>
            <w:r>
              <w:rPr>
                <w:rFonts w:hint="eastAsia"/>
                <w:sz w:val="21"/>
                <w:szCs w:val="21"/>
              </w:rPr>
              <w:t>生态</w:t>
            </w:r>
          </w:p>
        </w:tc>
        <w:tc>
          <w:tcPr>
            <w:tcW w:w="746" w:type="pct"/>
            <w:vAlign w:val="center"/>
          </w:tcPr>
          <w:p>
            <w:pPr>
              <w:spacing w:line="420" w:lineRule="exact"/>
              <w:ind w:firstLine="0" w:firstLineChars="0"/>
              <w:jc w:val="center"/>
              <w:rPr>
                <w:sz w:val="21"/>
                <w:szCs w:val="21"/>
              </w:rPr>
            </w:pPr>
            <w:r>
              <w:rPr>
                <w:sz w:val="21"/>
                <w:szCs w:val="21"/>
              </w:rPr>
              <w:t>加工场</w:t>
            </w:r>
          </w:p>
        </w:tc>
        <w:tc>
          <w:tcPr>
            <w:tcW w:w="1440" w:type="pct"/>
            <w:vAlign w:val="center"/>
          </w:tcPr>
          <w:p>
            <w:pPr>
              <w:spacing w:line="420" w:lineRule="exact"/>
              <w:ind w:firstLine="0" w:firstLineChars="0"/>
              <w:rPr>
                <w:sz w:val="21"/>
                <w:szCs w:val="21"/>
              </w:rPr>
            </w:pPr>
            <w:r>
              <w:rPr>
                <w:sz w:val="21"/>
                <w:szCs w:val="21"/>
              </w:rPr>
              <w:t>加工场地绿化及硬化，封场后对其进行土地平整、覆土及植被恢复措施</w:t>
            </w:r>
          </w:p>
        </w:tc>
        <w:tc>
          <w:tcPr>
            <w:tcW w:w="411" w:type="pct"/>
            <w:vAlign w:val="center"/>
          </w:tcPr>
          <w:p>
            <w:pPr>
              <w:spacing w:line="420" w:lineRule="exact"/>
              <w:ind w:firstLine="0" w:firstLineChars="0"/>
              <w:jc w:val="center"/>
              <w:rPr>
                <w:sz w:val="21"/>
                <w:szCs w:val="21"/>
              </w:rPr>
            </w:pPr>
            <w:r>
              <w:rPr>
                <w:sz w:val="21"/>
                <w:szCs w:val="21"/>
              </w:rPr>
              <w:t>6</w:t>
            </w:r>
          </w:p>
        </w:tc>
        <w:tc>
          <w:tcPr>
            <w:tcW w:w="1468" w:type="pct"/>
            <w:vAlign w:val="center"/>
          </w:tcPr>
          <w:p>
            <w:pPr>
              <w:spacing w:line="420" w:lineRule="exact"/>
              <w:ind w:firstLine="0" w:firstLineChars="0"/>
              <w:rPr>
                <w:sz w:val="21"/>
                <w:szCs w:val="21"/>
              </w:rPr>
            </w:pPr>
            <w:r>
              <w:rPr>
                <w:rFonts w:hint="eastAsia"/>
                <w:sz w:val="21"/>
                <w:szCs w:val="21"/>
              </w:rPr>
              <w:t>加工场地已进行绿化及硬化</w:t>
            </w:r>
          </w:p>
        </w:tc>
        <w:tc>
          <w:tcPr>
            <w:tcW w:w="441" w:type="pct"/>
            <w:vAlign w:val="center"/>
          </w:tcPr>
          <w:p>
            <w:pPr>
              <w:spacing w:line="420" w:lineRule="exact"/>
              <w:ind w:firstLine="0" w:firstLineChars="0"/>
              <w:jc w:val="center"/>
              <w:rPr>
                <w:sz w:val="21"/>
                <w:szCs w:val="21"/>
              </w:rPr>
            </w:pPr>
            <w:r>
              <w:rPr>
                <w:rFonts w:hint="eastAsia"/>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continue"/>
            <w:vAlign w:val="center"/>
          </w:tcPr>
          <w:p>
            <w:pPr>
              <w:spacing w:line="420" w:lineRule="exact"/>
              <w:ind w:firstLine="410"/>
              <w:jc w:val="center"/>
              <w:rPr>
                <w:sz w:val="21"/>
                <w:szCs w:val="21"/>
              </w:rPr>
            </w:pPr>
          </w:p>
        </w:tc>
        <w:tc>
          <w:tcPr>
            <w:tcW w:w="746" w:type="pct"/>
            <w:vAlign w:val="center"/>
          </w:tcPr>
          <w:p>
            <w:pPr>
              <w:spacing w:line="420" w:lineRule="exact"/>
              <w:ind w:firstLine="0" w:firstLineChars="0"/>
              <w:jc w:val="center"/>
              <w:rPr>
                <w:sz w:val="21"/>
                <w:szCs w:val="21"/>
              </w:rPr>
            </w:pPr>
            <w:r>
              <w:rPr>
                <w:sz w:val="21"/>
                <w:szCs w:val="21"/>
              </w:rPr>
              <w:t>采场</w:t>
            </w:r>
          </w:p>
        </w:tc>
        <w:tc>
          <w:tcPr>
            <w:tcW w:w="1440" w:type="pct"/>
            <w:vAlign w:val="center"/>
          </w:tcPr>
          <w:p>
            <w:pPr>
              <w:spacing w:line="420" w:lineRule="exact"/>
              <w:ind w:firstLine="0" w:firstLineChars="0"/>
              <w:rPr>
                <w:sz w:val="21"/>
                <w:szCs w:val="21"/>
              </w:rPr>
            </w:pPr>
            <w:r>
              <w:rPr>
                <w:rFonts w:hint="eastAsia"/>
                <w:sz w:val="21"/>
                <w:szCs w:val="21"/>
              </w:rPr>
              <w:t>（1）工程措施</w:t>
            </w:r>
          </w:p>
          <w:p>
            <w:pPr>
              <w:spacing w:line="420" w:lineRule="exact"/>
              <w:ind w:firstLine="0" w:firstLineChars="0"/>
              <w:rPr>
                <w:sz w:val="21"/>
                <w:szCs w:val="21"/>
              </w:rPr>
            </w:pPr>
            <w:r>
              <w:rPr>
                <w:rFonts w:hint="eastAsia"/>
                <w:sz w:val="21"/>
                <w:szCs w:val="21"/>
              </w:rPr>
              <w:t>①表土剥离；②护坦；③排水沟；④土地平整；在采掘场形成的平台上进行整治。</w:t>
            </w:r>
          </w:p>
          <w:p>
            <w:pPr>
              <w:spacing w:line="420" w:lineRule="exact"/>
              <w:ind w:firstLine="0" w:firstLineChars="0"/>
              <w:rPr>
                <w:sz w:val="21"/>
                <w:szCs w:val="21"/>
              </w:rPr>
            </w:pPr>
            <w:r>
              <w:rPr>
                <w:rFonts w:hint="eastAsia"/>
                <w:sz w:val="21"/>
                <w:szCs w:val="21"/>
              </w:rPr>
              <w:t>（2）植物措施</w:t>
            </w:r>
          </w:p>
          <w:p>
            <w:pPr>
              <w:spacing w:line="420" w:lineRule="exact"/>
              <w:ind w:firstLine="0" w:firstLineChars="0"/>
              <w:rPr>
                <w:sz w:val="21"/>
                <w:szCs w:val="21"/>
              </w:rPr>
            </w:pPr>
            <w:r>
              <w:rPr>
                <w:rFonts w:hint="eastAsia"/>
                <w:sz w:val="21"/>
                <w:szCs w:val="21"/>
              </w:rPr>
              <w:t>植被恢复：绿化树种选用侧柏、紫穗槐，行间播撒紫花苜蓿。在采掘场形成的平台上撒播紫花苜蓿，撒播草籽。</w:t>
            </w:r>
          </w:p>
        </w:tc>
        <w:tc>
          <w:tcPr>
            <w:tcW w:w="411" w:type="pct"/>
            <w:vMerge w:val="restart"/>
            <w:vAlign w:val="center"/>
          </w:tcPr>
          <w:p>
            <w:pPr>
              <w:spacing w:line="420" w:lineRule="exact"/>
              <w:ind w:firstLine="0" w:firstLineChars="0"/>
              <w:jc w:val="center"/>
              <w:rPr>
                <w:sz w:val="21"/>
                <w:szCs w:val="21"/>
              </w:rPr>
            </w:pPr>
            <w:r>
              <w:rPr>
                <w:rFonts w:hint="eastAsia"/>
                <w:sz w:val="21"/>
                <w:szCs w:val="21"/>
              </w:rPr>
              <w:t>15</w:t>
            </w:r>
          </w:p>
        </w:tc>
        <w:tc>
          <w:tcPr>
            <w:tcW w:w="1468" w:type="pct"/>
            <w:vAlign w:val="center"/>
          </w:tcPr>
          <w:p>
            <w:pPr>
              <w:spacing w:line="420" w:lineRule="exact"/>
              <w:ind w:firstLine="0" w:firstLineChars="0"/>
              <w:jc w:val="left"/>
              <w:rPr>
                <w:sz w:val="21"/>
                <w:szCs w:val="21"/>
              </w:rPr>
            </w:pPr>
            <w:r>
              <w:rPr>
                <w:rFonts w:hint="eastAsia"/>
                <w:sz w:val="21"/>
                <w:szCs w:val="21"/>
              </w:rPr>
              <w:t>表土剥离、护坦、排水沟、土地平整已在采掘场形成的平台上进行整治；绿化树种选用侧柏、紫穗槐，行间播撒紫花苜蓿。在采掘场形成的平台上撒播紫花苜蓿，撒播草籽。</w:t>
            </w:r>
          </w:p>
        </w:tc>
        <w:tc>
          <w:tcPr>
            <w:tcW w:w="441" w:type="pct"/>
            <w:vMerge w:val="restart"/>
            <w:vAlign w:val="center"/>
          </w:tcPr>
          <w:p>
            <w:pPr>
              <w:spacing w:line="420" w:lineRule="exact"/>
              <w:ind w:firstLine="0" w:firstLineChars="0"/>
              <w:jc w:val="center"/>
              <w:rPr>
                <w:sz w:val="21"/>
                <w:szCs w:val="21"/>
              </w:rPr>
            </w:pPr>
            <w:r>
              <w:rPr>
                <w:rFonts w:hint="eastAsia"/>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pct"/>
            <w:vMerge w:val="continue"/>
            <w:vAlign w:val="center"/>
          </w:tcPr>
          <w:p>
            <w:pPr>
              <w:spacing w:line="420" w:lineRule="exact"/>
              <w:ind w:firstLine="410"/>
              <w:jc w:val="center"/>
              <w:rPr>
                <w:sz w:val="21"/>
                <w:szCs w:val="21"/>
              </w:rPr>
            </w:pPr>
          </w:p>
        </w:tc>
        <w:tc>
          <w:tcPr>
            <w:tcW w:w="746" w:type="pct"/>
            <w:vAlign w:val="center"/>
          </w:tcPr>
          <w:p>
            <w:pPr>
              <w:spacing w:line="420" w:lineRule="exact"/>
              <w:ind w:firstLine="0" w:firstLineChars="0"/>
              <w:jc w:val="center"/>
              <w:rPr>
                <w:sz w:val="21"/>
                <w:szCs w:val="21"/>
              </w:rPr>
            </w:pPr>
            <w:r>
              <w:rPr>
                <w:rFonts w:hint="eastAsia"/>
                <w:sz w:val="21"/>
                <w:szCs w:val="21"/>
              </w:rPr>
              <w:t>排土场</w:t>
            </w:r>
          </w:p>
        </w:tc>
        <w:tc>
          <w:tcPr>
            <w:tcW w:w="1440" w:type="pct"/>
            <w:vAlign w:val="center"/>
          </w:tcPr>
          <w:p>
            <w:pPr>
              <w:spacing w:line="420" w:lineRule="exact"/>
              <w:ind w:firstLine="0" w:firstLineChars="0"/>
              <w:rPr>
                <w:sz w:val="21"/>
                <w:szCs w:val="21"/>
              </w:rPr>
            </w:pPr>
            <w:r>
              <w:rPr>
                <w:rFonts w:hint="eastAsia"/>
                <w:sz w:val="21"/>
                <w:szCs w:val="21"/>
              </w:rPr>
              <w:t>对排土场建设水土保持措施，包括拦渣坝、截排水工程等。拟采取如下措施：植物护坡：排土场边坡及顶部撒播紫花苜蓿，以防因水蚀而造成水土流失；工程措施：沿堆存区域道路靠山侧开挖一条截水沟，将场外汇水及排土场平台汇集的雨水有组织排出，截水沟采用倒梯形断面，底宽0.6m，深0.6m，边坡比1:0.5，截水沟设不小于0.3%的坡度。</w:t>
            </w:r>
          </w:p>
        </w:tc>
        <w:tc>
          <w:tcPr>
            <w:tcW w:w="411" w:type="pct"/>
            <w:vMerge w:val="continue"/>
            <w:vAlign w:val="center"/>
          </w:tcPr>
          <w:p>
            <w:pPr>
              <w:spacing w:line="420" w:lineRule="exact"/>
              <w:ind w:firstLine="410"/>
              <w:jc w:val="center"/>
              <w:rPr>
                <w:sz w:val="21"/>
                <w:szCs w:val="21"/>
              </w:rPr>
            </w:pPr>
          </w:p>
        </w:tc>
        <w:tc>
          <w:tcPr>
            <w:tcW w:w="1468" w:type="pct"/>
            <w:vAlign w:val="center"/>
          </w:tcPr>
          <w:p>
            <w:pPr>
              <w:spacing w:line="420" w:lineRule="exact"/>
              <w:ind w:firstLine="0" w:firstLineChars="0"/>
              <w:rPr>
                <w:sz w:val="21"/>
                <w:szCs w:val="21"/>
              </w:rPr>
            </w:pPr>
            <w:r>
              <w:rPr>
                <w:rFonts w:hint="default" w:ascii="Times New Roman" w:hAnsi="Times New Roman" w:eastAsia="宋体" w:cs="Times New Roman"/>
                <w:b w:val="0"/>
                <w:bCs w:val="0"/>
                <w:sz w:val="21"/>
                <w:szCs w:val="21"/>
                <w:vertAlign w:val="baseline"/>
                <w:lang w:val="en-US" w:eastAsia="zh-CN"/>
              </w:rPr>
              <w:t>排土场已建设水土保持措施，包括拦渣坝、</w:t>
            </w:r>
            <w:r>
              <w:rPr>
                <w:rFonts w:hint="eastAsia" w:ascii="Times New Roman" w:hAnsi="Times New Roman" w:cs="Times New Roman"/>
                <w:b w:val="0"/>
                <w:bCs w:val="0"/>
                <w:sz w:val="21"/>
                <w:szCs w:val="21"/>
                <w:vertAlign w:val="baseline"/>
                <w:lang w:val="en-US" w:eastAsia="zh-CN"/>
              </w:rPr>
              <w:t>截水沟，截水沟沿堆存区域道路靠山侧开挖，将场外汇水及排土场平台汇集的雨水有组织排出，截水沟采用倒梯形断面，底宽0.6m，深0.6m，边坡比1:0.5，截水沟坡度0.3%</w:t>
            </w:r>
            <w:r>
              <w:rPr>
                <w:rFonts w:hint="default" w:ascii="Times New Roman" w:hAnsi="Times New Roman" w:eastAsia="宋体" w:cs="Times New Roman"/>
                <w:b w:val="0"/>
                <w:bCs w:val="0"/>
                <w:sz w:val="21"/>
                <w:szCs w:val="21"/>
                <w:vertAlign w:val="baseline"/>
                <w:lang w:val="en-US" w:eastAsia="zh-CN"/>
              </w:rPr>
              <w:t>；排土场边坡及顶部撒播紫花苜蓿，形成植物护坡，防止水土流失</w:t>
            </w:r>
            <w:r>
              <w:rPr>
                <w:rFonts w:hint="eastAsia" w:ascii="Times New Roman" w:hAnsi="Times New Roman" w:cs="Times New Roman"/>
                <w:b w:val="0"/>
                <w:bCs w:val="0"/>
                <w:sz w:val="21"/>
                <w:szCs w:val="21"/>
                <w:vertAlign w:val="baseline"/>
                <w:lang w:val="en-US" w:eastAsia="zh-CN"/>
              </w:rPr>
              <w:t>。</w:t>
            </w:r>
          </w:p>
        </w:tc>
        <w:tc>
          <w:tcPr>
            <w:tcW w:w="441" w:type="pct"/>
            <w:vMerge w:val="continue"/>
            <w:vAlign w:val="center"/>
          </w:tcPr>
          <w:p>
            <w:pPr>
              <w:spacing w:line="420" w:lineRule="exact"/>
              <w:ind w:firstLine="41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pct"/>
            <w:gridSpan w:val="2"/>
            <w:vAlign w:val="center"/>
          </w:tcPr>
          <w:p>
            <w:pPr>
              <w:spacing w:line="420" w:lineRule="exact"/>
              <w:ind w:firstLine="0" w:firstLineChars="0"/>
              <w:jc w:val="center"/>
              <w:rPr>
                <w:sz w:val="21"/>
                <w:szCs w:val="21"/>
              </w:rPr>
            </w:pPr>
            <w:r>
              <w:rPr>
                <w:rFonts w:hint="eastAsia"/>
                <w:sz w:val="21"/>
                <w:szCs w:val="21"/>
              </w:rPr>
              <w:t>合计</w:t>
            </w:r>
          </w:p>
        </w:tc>
        <w:tc>
          <w:tcPr>
            <w:tcW w:w="1440" w:type="pct"/>
            <w:vAlign w:val="center"/>
          </w:tcPr>
          <w:p>
            <w:pPr>
              <w:spacing w:line="420" w:lineRule="exact"/>
              <w:ind w:firstLine="0" w:firstLineChars="0"/>
              <w:jc w:val="center"/>
              <w:rPr>
                <w:sz w:val="21"/>
                <w:szCs w:val="21"/>
              </w:rPr>
            </w:pPr>
            <w:r>
              <w:rPr>
                <w:rFonts w:hint="eastAsia"/>
                <w:sz w:val="21"/>
                <w:szCs w:val="21"/>
              </w:rPr>
              <w:t>/</w:t>
            </w:r>
          </w:p>
        </w:tc>
        <w:tc>
          <w:tcPr>
            <w:tcW w:w="411" w:type="pct"/>
            <w:vAlign w:val="center"/>
          </w:tcPr>
          <w:p>
            <w:pPr>
              <w:spacing w:line="420" w:lineRule="exact"/>
              <w:ind w:firstLine="0" w:firstLineChars="0"/>
              <w:jc w:val="center"/>
              <w:rPr>
                <w:sz w:val="21"/>
                <w:szCs w:val="21"/>
              </w:rPr>
            </w:pPr>
            <w:r>
              <w:rPr>
                <w:rFonts w:hint="eastAsia"/>
                <w:sz w:val="21"/>
                <w:szCs w:val="21"/>
              </w:rPr>
              <w:t>43.6</w:t>
            </w:r>
          </w:p>
        </w:tc>
        <w:tc>
          <w:tcPr>
            <w:tcW w:w="1468" w:type="pct"/>
            <w:vAlign w:val="center"/>
          </w:tcPr>
          <w:p>
            <w:pPr>
              <w:spacing w:line="420" w:lineRule="exact"/>
              <w:ind w:firstLine="0" w:firstLineChars="0"/>
              <w:jc w:val="center"/>
              <w:rPr>
                <w:sz w:val="21"/>
                <w:szCs w:val="21"/>
              </w:rPr>
            </w:pPr>
            <w:r>
              <w:rPr>
                <w:rFonts w:hint="eastAsia"/>
                <w:sz w:val="21"/>
                <w:szCs w:val="21"/>
              </w:rPr>
              <w:t>/</w:t>
            </w:r>
          </w:p>
        </w:tc>
        <w:tc>
          <w:tcPr>
            <w:tcW w:w="441" w:type="pct"/>
            <w:vAlign w:val="center"/>
          </w:tcPr>
          <w:p>
            <w:pPr>
              <w:spacing w:line="420" w:lineRule="exact"/>
              <w:ind w:firstLine="0" w:firstLineChars="0"/>
              <w:jc w:val="center"/>
              <w:rPr>
                <w:sz w:val="21"/>
                <w:szCs w:val="21"/>
              </w:rPr>
            </w:pPr>
            <w:r>
              <w:rPr>
                <w:rFonts w:hint="eastAsia"/>
                <w:sz w:val="21"/>
                <w:szCs w:val="21"/>
              </w:rPr>
              <w:t>40.6</w:t>
            </w:r>
          </w:p>
        </w:tc>
      </w:tr>
    </w:tbl>
    <w:p>
      <w:pPr>
        <w:spacing w:line="420" w:lineRule="exact"/>
        <w:ind w:firstLine="470"/>
      </w:pPr>
      <w:r>
        <w:t>2、环评批复文件要求落实情况</w:t>
      </w:r>
    </w:p>
    <w:p>
      <w:pPr>
        <w:spacing w:line="420" w:lineRule="exact"/>
        <w:ind w:firstLine="470"/>
      </w:pPr>
      <w:r>
        <w:t>环评批复文件要求及落实情况见表4。</w:t>
      </w:r>
    </w:p>
    <w:p>
      <w:pPr>
        <w:pStyle w:val="19"/>
        <w:ind w:firstLine="472"/>
        <w:rPr>
          <w:rFonts w:ascii="Times New Roman" w:hAnsi="Times New Roman" w:eastAsia="宋体"/>
        </w:rPr>
      </w:pPr>
      <w:r>
        <w:rPr>
          <w:rFonts w:ascii="Times New Roman" w:hAnsi="Times New Roman" w:eastAsia="宋体"/>
        </w:rPr>
        <w:t>表</w:t>
      </w:r>
      <w:r>
        <w:rPr>
          <w:rFonts w:ascii="Times New Roman" w:hAnsi="Times New Roman"/>
        </w:rPr>
        <w:t xml:space="preserve">4  </w:t>
      </w:r>
      <w:r>
        <w:rPr>
          <w:rFonts w:ascii="Times New Roman" w:hAnsi="Times New Roman" w:eastAsia="宋体"/>
        </w:rPr>
        <w:t>环评批复及实际落实情况</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6049"/>
        <w:gridCol w:w="5928"/>
        <w:gridCol w:w="1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Align w:val="center"/>
          </w:tcPr>
          <w:p>
            <w:pPr>
              <w:ind w:firstLine="0" w:firstLineChars="0"/>
              <w:jc w:val="left"/>
              <w:rPr>
                <w:sz w:val="21"/>
                <w:szCs w:val="21"/>
              </w:rPr>
            </w:pPr>
            <w:r>
              <w:rPr>
                <w:rFonts w:hint="eastAsia"/>
                <w:sz w:val="21"/>
                <w:szCs w:val="21"/>
              </w:rPr>
              <w:t>项目</w:t>
            </w:r>
          </w:p>
        </w:tc>
        <w:tc>
          <w:tcPr>
            <w:tcW w:w="2134" w:type="pct"/>
            <w:vAlign w:val="center"/>
          </w:tcPr>
          <w:p>
            <w:pPr>
              <w:ind w:firstLine="0" w:firstLineChars="0"/>
              <w:jc w:val="left"/>
              <w:rPr>
                <w:sz w:val="21"/>
                <w:szCs w:val="21"/>
              </w:rPr>
            </w:pPr>
            <w:r>
              <w:rPr>
                <w:rFonts w:hint="eastAsia"/>
                <w:sz w:val="21"/>
                <w:szCs w:val="21"/>
              </w:rPr>
              <w:t>主要批复内容</w:t>
            </w:r>
          </w:p>
        </w:tc>
        <w:tc>
          <w:tcPr>
            <w:tcW w:w="2091" w:type="pct"/>
            <w:vAlign w:val="center"/>
          </w:tcPr>
          <w:p>
            <w:pPr>
              <w:ind w:firstLine="0" w:firstLineChars="0"/>
              <w:jc w:val="left"/>
              <w:rPr>
                <w:sz w:val="21"/>
                <w:szCs w:val="21"/>
              </w:rPr>
            </w:pPr>
            <w:r>
              <w:rPr>
                <w:rFonts w:hint="eastAsia"/>
                <w:sz w:val="21"/>
                <w:szCs w:val="21"/>
              </w:rPr>
              <w:t>实际完成情况</w:t>
            </w:r>
          </w:p>
        </w:tc>
        <w:tc>
          <w:tcPr>
            <w:tcW w:w="503" w:type="pct"/>
            <w:vAlign w:val="center"/>
          </w:tcPr>
          <w:p>
            <w:pPr>
              <w:ind w:firstLine="0" w:firstLineChars="0"/>
              <w:jc w:val="left"/>
              <w:rPr>
                <w:sz w:val="21"/>
                <w:szCs w:val="21"/>
              </w:rPr>
            </w:pPr>
            <w:r>
              <w:rPr>
                <w:rFonts w:hint="eastAsia"/>
                <w:sz w:val="21"/>
                <w:szCs w:val="21"/>
              </w:rPr>
              <w:t>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restart"/>
            <w:vAlign w:val="center"/>
          </w:tcPr>
          <w:p>
            <w:pPr>
              <w:ind w:firstLine="0" w:firstLineChars="0"/>
              <w:jc w:val="left"/>
              <w:rPr>
                <w:sz w:val="21"/>
                <w:szCs w:val="21"/>
              </w:rPr>
            </w:pPr>
            <w:r>
              <w:rPr>
                <w:rFonts w:hint="eastAsia"/>
                <w:sz w:val="21"/>
                <w:szCs w:val="21"/>
              </w:rPr>
              <w:t>环评批复意见</w:t>
            </w:r>
          </w:p>
        </w:tc>
        <w:tc>
          <w:tcPr>
            <w:tcW w:w="2134" w:type="pct"/>
            <w:vAlign w:val="center"/>
          </w:tcPr>
          <w:p>
            <w:pPr>
              <w:ind w:firstLine="0" w:firstLineChars="0"/>
              <w:jc w:val="left"/>
              <w:rPr>
                <w:sz w:val="21"/>
                <w:szCs w:val="21"/>
              </w:rPr>
            </w:pPr>
            <w:r>
              <w:rPr>
                <w:rFonts w:hint="eastAsia"/>
                <w:sz w:val="21"/>
                <w:szCs w:val="21"/>
              </w:rPr>
              <w:t>一、你公司拟在平陆县坡底乡郑家场村西南方向857m处建设年产5万吨石灰岩矿项目。项目主要建设内容：开采区、原料堆场、成品堆场、石料加工区等主体工程；办公区等辅助工程；集气罩+布袋除尘器、防风抑尘网、排土场等环保工程及供水供电公用工程等。项目经平陆县发展和改革局2011年7月6日《平陆县发展和改革》（平发改备案【2011】012号）同意办理环保手续。项目总投资179万元，其中环保投资43.6万元。</w:t>
            </w:r>
          </w:p>
        </w:tc>
        <w:tc>
          <w:tcPr>
            <w:tcW w:w="2091" w:type="pct"/>
            <w:vAlign w:val="center"/>
          </w:tcPr>
          <w:p>
            <w:pPr>
              <w:ind w:firstLine="0" w:firstLineChars="0"/>
              <w:jc w:val="left"/>
              <w:rPr>
                <w:sz w:val="21"/>
                <w:szCs w:val="21"/>
              </w:rPr>
            </w:pPr>
            <w:r>
              <w:rPr>
                <w:rFonts w:hint="eastAsia"/>
                <w:sz w:val="21"/>
                <w:szCs w:val="21"/>
              </w:rPr>
              <w:t>我公司在平陆县坡底乡郑家场村西南方向857m处建设年产5万吨石灰岩矿项目。项目主要建设内容：开采区、原料堆场、成品堆场、石料加工区等主体工程；办公区等辅助工程；集气罩+布袋除尘器、防风抑尘网、排土场等环保工程及供水供电公用工程等。项目总投资176万元，其中环保投资40.6万元。</w:t>
            </w:r>
          </w:p>
        </w:tc>
        <w:tc>
          <w:tcPr>
            <w:tcW w:w="503" w:type="pct"/>
            <w:vAlign w:val="center"/>
          </w:tcPr>
          <w:p>
            <w:pPr>
              <w:ind w:firstLine="0" w:firstLineChars="0"/>
              <w:jc w:val="center"/>
              <w:rPr>
                <w:sz w:val="21"/>
                <w:szCs w:val="21"/>
              </w:rPr>
            </w:pPr>
            <w:r>
              <w:rPr>
                <w:rFonts w:hint="eastAsia"/>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二、在项目实施过程中，你公司要全面落实《报告表》及本批复中提出的各项环保措施。重点做好以下工作：</w:t>
            </w:r>
          </w:p>
        </w:tc>
        <w:tc>
          <w:tcPr>
            <w:tcW w:w="2091" w:type="pct"/>
            <w:vAlign w:val="center"/>
          </w:tcPr>
          <w:p>
            <w:pPr>
              <w:ind w:firstLine="0" w:firstLineChars="0"/>
              <w:jc w:val="left"/>
              <w:rPr>
                <w:sz w:val="21"/>
                <w:szCs w:val="21"/>
              </w:rPr>
            </w:pPr>
            <w:r>
              <w:rPr>
                <w:rFonts w:hint="eastAsia"/>
                <w:sz w:val="21"/>
                <w:szCs w:val="21"/>
              </w:rPr>
              <w:t>/</w:t>
            </w:r>
          </w:p>
        </w:tc>
        <w:tc>
          <w:tcPr>
            <w:tcW w:w="503" w:type="pct"/>
            <w:vAlign w:val="center"/>
          </w:tcPr>
          <w:p>
            <w:pPr>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1、加强施工期的环境管理，施工过程中采取边界设置围挡、洒水抑尘、物料篷布遮盖、道路定期洒水等措施杜绝扬尘污染；运输车辆加盖篷布，防止物料抛洒；混凝土拌在定点拌合场拌合；生活污水经沉淀池处理后用于场地洒水抑尘；建筑垃圾回收利用或及时清运至建筑垃圾填埋场，生活垃圾与附近村民生活垃圾一起处置；施工噪声应合理规划，避免高噪声设备同时同地点运行。</w:t>
            </w:r>
          </w:p>
        </w:tc>
        <w:tc>
          <w:tcPr>
            <w:tcW w:w="2091" w:type="pct"/>
            <w:vAlign w:val="center"/>
          </w:tcPr>
          <w:p>
            <w:pPr>
              <w:ind w:firstLine="0" w:firstLineChars="0"/>
              <w:jc w:val="left"/>
              <w:rPr>
                <w:sz w:val="21"/>
                <w:szCs w:val="21"/>
              </w:rPr>
            </w:pPr>
            <w:r>
              <w:rPr>
                <w:rFonts w:hint="eastAsia"/>
                <w:sz w:val="21"/>
                <w:szCs w:val="21"/>
              </w:rPr>
              <w:t>本项目施工期加强环境管理，施工过程中采取边界设置围挡、洒水抑尘、物料篷布遮盖、道路定期洒水等措施杜绝扬尘污染；运输车辆加盖篷布，防止物料抛洒；混凝土拌在定点拌合场拌合；生活污水经沉淀池处理后用于场地洒水抑尘；建筑垃圾回收利用或及时清运至建筑垃圾填埋场，生活垃圾与附近村民生活垃圾一起处置；施工噪声合理规划，避免高噪声设备同时同地点运行。</w:t>
            </w:r>
          </w:p>
        </w:tc>
        <w:tc>
          <w:tcPr>
            <w:tcW w:w="503" w:type="pct"/>
            <w:vAlign w:val="center"/>
          </w:tcPr>
          <w:p>
            <w:pPr>
              <w:ind w:firstLine="0" w:firstLineChars="0"/>
              <w:jc w:val="center"/>
              <w:rPr>
                <w:sz w:val="21"/>
                <w:szCs w:val="21"/>
              </w:rPr>
            </w:pPr>
            <w:r>
              <w:rPr>
                <w:rFonts w:hint="eastAsia"/>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2、在剥离、爆破过程中通过洒水抑尘等措施杜绝扬尘污染；将两台破碎机、一台振动筛分别安装一套集尘罩，统一经一套布袋除尘器处理后经15m高排气筒排放；石料输送采取密闭走廊；在石料堆场四周安装1.5m+6m防风抑尘网并设洒水装置；石粉设置石粉库。</w:t>
            </w:r>
          </w:p>
        </w:tc>
        <w:tc>
          <w:tcPr>
            <w:tcW w:w="2091" w:type="pct"/>
            <w:vAlign w:val="center"/>
          </w:tcPr>
          <w:p>
            <w:pPr>
              <w:ind w:firstLine="0" w:firstLineChars="0"/>
              <w:jc w:val="left"/>
              <w:rPr>
                <w:sz w:val="21"/>
                <w:szCs w:val="21"/>
              </w:rPr>
            </w:pPr>
            <w:r>
              <w:rPr>
                <w:rFonts w:hint="eastAsia"/>
                <w:sz w:val="21"/>
                <w:szCs w:val="21"/>
              </w:rPr>
              <w:t>本项目在剥离、爆破过程中通过洒水抑尘等措施杜绝扬尘污染；将两台破碎机、一台振动筛分别安装一套集尘罩，统一经一套布袋除尘器处理后经15m高排气筒排放；石料输送采取密闭走廊；在石料堆场</w:t>
            </w:r>
            <w:r>
              <w:rPr>
                <w:rFonts w:hint="eastAsia"/>
                <w:sz w:val="21"/>
                <w:szCs w:val="21"/>
                <w:lang w:eastAsia="zh-CN"/>
              </w:rPr>
              <w:t>采用封闭式堆场</w:t>
            </w:r>
            <w:r>
              <w:rPr>
                <w:rFonts w:hint="eastAsia"/>
                <w:sz w:val="21"/>
                <w:szCs w:val="21"/>
              </w:rPr>
              <w:t>并设洒水装置；</w:t>
            </w:r>
            <w:r>
              <w:rPr>
                <w:rFonts w:hint="default" w:ascii="Times New Roman" w:hAnsi="Times New Roman" w:eastAsia="宋体" w:cs="Times New Roman"/>
                <w:kern w:val="0"/>
                <w:sz w:val="21"/>
                <w:szCs w:val="21"/>
                <w:lang w:val="en-US" w:eastAsia="zh-CN" w:bidi="ar"/>
              </w:rPr>
              <w:t>石粉</w:t>
            </w:r>
            <w:r>
              <w:rPr>
                <w:rFonts w:hint="eastAsia" w:ascii="Times New Roman" w:hAnsi="Times New Roman" w:cs="Times New Roman"/>
                <w:kern w:val="0"/>
                <w:sz w:val="21"/>
                <w:szCs w:val="21"/>
                <w:lang w:val="en-US" w:eastAsia="zh-CN" w:bidi="ar"/>
              </w:rPr>
              <w:t>统一进入</w:t>
            </w:r>
            <w:r>
              <w:rPr>
                <w:rFonts w:hint="eastAsia" w:cs="Times New Roman"/>
                <w:kern w:val="0"/>
                <w:sz w:val="21"/>
                <w:szCs w:val="21"/>
                <w:lang w:val="en-US" w:eastAsia="zh-CN" w:bidi="ar"/>
              </w:rPr>
              <w:t>石料堆场</w:t>
            </w:r>
            <w:r>
              <w:rPr>
                <w:rFonts w:hint="eastAsia" w:ascii="Times New Roman" w:hAnsi="Times New Roman" w:cs="Times New Roman"/>
                <w:kern w:val="0"/>
                <w:sz w:val="21"/>
                <w:szCs w:val="21"/>
                <w:lang w:val="en-US" w:eastAsia="zh-CN" w:bidi="ar"/>
              </w:rPr>
              <w:t>堆存</w:t>
            </w:r>
            <w:r>
              <w:rPr>
                <w:rFonts w:hint="default" w:ascii="Times New Roman" w:hAnsi="Times New Roman" w:eastAsia="宋体" w:cs="Times New Roman"/>
                <w:kern w:val="0"/>
                <w:sz w:val="21"/>
                <w:szCs w:val="21"/>
                <w:lang w:val="en-US" w:eastAsia="zh-CN" w:bidi="ar"/>
              </w:rPr>
              <w:t>。</w:t>
            </w:r>
          </w:p>
        </w:tc>
        <w:tc>
          <w:tcPr>
            <w:tcW w:w="503" w:type="pct"/>
            <w:vAlign w:val="center"/>
          </w:tcPr>
          <w:p>
            <w:pPr>
              <w:ind w:firstLine="0" w:firstLineChars="0"/>
              <w:jc w:val="center"/>
              <w:rPr>
                <w:sz w:val="21"/>
                <w:szCs w:val="21"/>
              </w:rPr>
            </w:pPr>
            <w:r>
              <w:rPr>
                <w:rFonts w:hint="eastAsia"/>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3、排土场沟口设拦渣坝、截水沟；剥离表土层、废石设排土场，分类堆场且排土场需及时推平压实、设置洒水装置，挡护及绿网覆盖；布袋除尘灰收集后出售；生活垃圾与附近村民生活垃圾一起处置。</w:t>
            </w:r>
          </w:p>
        </w:tc>
        <w:tc>
          <w:tcPr>
            <w:tcW w:w="2091" w:type="pct"/>
            <w:vAlign w:val="center"/>
          </w:tcPr>
          <w:p>
            <w:pPr>
              <w:ind w:firstLine="0" w:firstLineChars="0"/>
              <w:jc w:val="left"/>
              <w:rPr>
                <w:sz w:val="21"/>
                <w:szCs w:val="21"/>
              </w:rPr>
            </w:pPr>
            <w:r>
              <w:rPr>
                <w:rFonts w:hint="eastAsia"/>
                <w:sz w:val="21"/>
                <w:szCs w:val="21"/>
              </w:rPr>
              <w:t>本项目在排土场沟口设拦渣坝、截水沟；剥离表土层、废石设排土场，分类堆场且排土场推平压实、设置洒水装置，挡护及绿网覆盖；布袋除尘灰收集后出售；生活垃圾与附近村民生活垃圾一起处置。</w:t>
            </w:r>
          </w:p>
        </w:tc>
        <w:tc>
          <w:tcPr>
            <w:tcW w:w="503" w:type="pct"/>
            <w:vAlign w:val="center"/>
          </w:tcPr>
          <w:p>
            <w:pPr>
              <w:ind w:firstLine="0" w:firstLineChars="0"/>
              <w:jc w:val="center"/>
              <w:rPr>
                <w:sz w:val="21"/>
                <w:szCs w:val="21"/>
              </w:rPr>
            </w:pPr>
            <w:r>
              <w:rPr>
                <w:rFonts w:hint="eastAsia"/>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4、合理布局，加强噪声设备的维护和管理，采取中孔爆破法、绿化等措施，使厂界噪声满足《工业企业厂界环境噪声排放标准》（GB12348-2008）中的一类标准。</w:t>
            </w:r>
          </w:p>
          <w:p>
            <w:pPr>
              <w:ind w:firstLine="410"/>
              <w:jc w:val="left"/>
              <w:rPr>
                <w:sz w:val="21"/>
                <w:szCs w:val="21"/>
              </w:rPr>
            </w:pPr>
          </w:p>
        </w:tc>
        <w:tc>
          <w:tcPr>
            <w:tcW w:w="2091" w:type="pct"/>
            <w:vAlign w:val="center"/>
          </w:tcPr>
          <w:p>
            <w:pPr>
              <w:ind w:firstLine="0" w:firstLineChars="0"/>
              <w:jc w:val="left"/>
              <w:rPr>
                <w:sz w:val="21"/>
                <w:szCs w:val="21"/>
              </w:rPr>
            </w:pPr>
            <w:r>
              <w:rPr>
                <w:rFonts w:hint="eastAsia"/>
                <w:sz w:val="21"/>
                <w:szCs w:val="21"/>
              </w:rPr>
              <w:t>本项目在便于生产的前提下，露天矿地面场地尽量远离采掘、排土区及矿山排弃道路沿线布置；按照功能要求分区布置，利用不敏感区将高噪声区与敏感区分开，高噪声设备集中布置；加强调度管理，限制车速，夜间禁止鸣笛；在技术经济可行的基础上，尽量选择噪声小、先进的生产工艺和设备；严格按照工程中设计的中孔爆破发；设置隔离绿化带，增加绿化面积，加强绿化带的维护。</w:t>
            </w:r>
          </w:p>
        </w:tc>
        <w:tc>
          <w:tcPr>
            <w:tcW w:w="503" w:type="pct"/>
            <w:vAlign w:val="center"/>
          </w:tcPr>
          <w:p>
            <w:pPr>
              <w:ind w:firstLine="0" w:firstLineChars="0"/>
              <w:jc w:val="center"/>
              <w:rPr>
                <w:sz w:val="21"/>
                <w:szCs w:val="21"/>
              </w:rPr>
            </w:pPr>
            <w:r>
              <w:rPr>
                <w:rFonts w:hint="eastAsia"/>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5、矿区服务期满后应对采场、废渣场及工业场地进行植被恢复。</w:t>
            </w:r>
          </w:p>
        </w:tc>
        <w:tc>
          <w:tcPr>
            <w:tcW w:w="2091" w:type="pct"/>
            <w:vAlign w:val="center"/>
          </w:tcPr>
          <w:p>
            <w:pPr>
              <w:ind w:firstLine="0" w:firstLineChars="0"/>
              <w:jc w:val="center"/>
              <w:rPr>
                <w:sz w:val="21"/>
                <w:szCs w:val="21"/>
              </w:rPr>
            </w:pPr>
            <w:r>
              <w:rPr>
                <w:rFonts w:hint="eastAsia"/>
                <w:sz w:val="21"/>
                <w:szCs w:val="21"/>
              </w:rPr>
              <w:t>/</w:t>
            </w:r>
          </w:p>
        </w:tc>
        <w:tc>
          <w:tcPr>
            <w:tcW w:w="503" w:type="pct"/>
            <w:vAlign w:val="center"/>
          </w:tcPr>
          <w:p>
            <w:pPr>
              <w:ind w:firstLine="0" w:firstLineChars="0"/>
              <w:jc w:val="center"/>
              <w:rPr>
                <w:sz w:val="21"/>
                <w:szCs w:val="21"/>
              </w:rPr>
            </w:pPr>
            <w:r>
              <w:rPr>
                <w:rFonts w:hint="eastAsia"/>
                <w:sz w:val="21"/>
                <w:szCs w:val="21"/>
              </w:rPr>
              <w:t>未落实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6、严格落实《报告表》提出的各项环保措施。确保各项污染物达标排放，并符合平陆县环境保护局下达的总量控制指标粉尘0.5吨/年。</w:t>
            </w:r>
          </w:p>
        </w:tc>
        <w:tc>
          <w:tcPr>
            <w:tcW w:w="2091" w:type="pct"/>
            <w:vAlign w:val="center"/>
          </w:tcPr>
          <w:p>
            <w:pPr>
              <w:ind w:firstLine="0" w:firstLineChars="0"/>
              <w:jc w:val="left"/>
              <w:rPr>
                <w:sz w:val="21"/>
                <w:szCs w:val="21"/>
              </w:rPr>
            </w:pPr>
            <w:r>
              <w:rPr>
                <w:rFonts w:hint="eastAsia"/>
                <w:sz w:val="21"/>
                <w:szCs w:val="21"/>
              </w:rPr>
              <w:t>本项目严格落实《报告表》提出的各项环保措施。确保各项污染物达标排放，并符合平陆县环境保护局下达的总量控制指标粉尘0.5吨/年。</w:t>
            </w:r>
          </w:p>
        </w:tc>
        <w:tc>
          <w:tcPr>
            <w:tcW w:w="503" w:type="pct"/>
            <w:vAlign w:val="center"/>
          </w:tcPr>
          <w:p>
            <w:pPr>
              <w:ind w:firstLine="0" w:firstLineChars="0"/>
              <w:jc w:val="center"/>
              <w:rPr>
                <w:sz w:val="21"/>
                <w:szCs w:val="21"/>
              </w:rPr>
            </w:pPr>
            <w:r>
              <w:rPr>
                <w:rFonts w:hint="eastAsia"/>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三、项目建设必须严格执行配套建设的环境保护设施与主体工程同时设计、同时施工、同时投产使用的环境保护“三同时”制度。主体工程及环保措施按环评要求建设到位，按规定要求履行环境保护设施竣工验收程序和手续。</w:t>
            </w:r>
          </w:p>
          <w:p>
            <w:pPr>
              <w:ind w:firstLine="410"/>
              <w:jc w:val="left"/>
              <w:rPr>
                <w:sz w:val="21"/>
                <w:szCs w:val="21"/>
              </w:rPr>
            </w:pPr>
            <w:r>
              <w:rPr>
                <w:rFonts w:hint="eastAsia"/>
                <w:sz w:val="21"/>
                <w:szCs w:val="21"/>
              </w:rPr>
              <w:t>项目批复后若性质、规模、地点、生产工艺及环境保护措施等建设内容发生重点变化，或自批复之日起超过五年才决定开工建设，须按《环评法》规定重新报批，审核项目环境影响评价文件。</w:t>
            </w:r>
          </w:p>
        </w:tc>
        <w:tc>
          <w:tcPr>
            <w:tcW w:w="2091" w:type="pct"/>
            <w:vAlign w:val="center"/>
          </w:tcPr>
          <w:p>
            <w:pPr>
              <w:ind w:firstLine="0" w:firstLineChars="0"/>
              <w:jc w:val="left"/>
              <w:rPr>
                <w:sz w:val="21"/>
                <w:szCs w:val="21"/>
              </w:rPr>
            </w:pPr>
            <w:r>
              <w:rPr>
                <w:rFonts w:hint="eastAsia"/>
                <w:sz w:val="21"/>
                <w:szCs w:val="21"/>
              </w:rPr>
              <w:t>本项目建设严格执行配套建设的环境保护设施与主体工程同时设计、同时施工、同时投产使用的环境保护“三同时”制度。</w:t>
            </w:r>
          </w:p>
        </w:tc>
        <w:tc>
          <w:tcPr>
            <w:tcW w:w="503" w:type="pct"/>
            <w:vAlign w:val="center"/>
          </w:tcPr>
          <w:p>
            <w:pPr>
              <w:ind w:firstLine="0" w:firstLineChars="0"/>
              <w:jc w:val="center"/>
              <w:rPr>
                <w:sz w:val="21"/>
                <w:szCs w:val="21"/>
              </w:rPr>
            </w:pPr>
            <w:r>
              <w:rPr>
                <w:rFonts w:hint="eastAsia"/>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 w:type="pct"/>
            <w:vMerge w:val="continue"/>
            <w:vAlign w:val="center"/>
          </w:tcPr>
          <w:p>
            <w:pPr>
              <w:ind w:firstLine="410"/>
              <w:jc w:val="left"/>
              <w:rPr>
                <w:sz w:val="21"/>
                <w:szCs w:val="21"/>
              </w:rPr>
            </w:pPr>
          </w:p>
        </w:tc>
        <w:tc>
          <w:tcPr>
            <w:tcW w:w="2134" w:type="pct"/>
            <w:vAlign w:val="center"/>
          </w:tcPr>
          <w:p>
            <w:pPr>
              <w:ind w:firstLine="0" w:firstLineChars="0"/>
              <w:jc w:val="left"/>
              <w:rPr>
                <w:sz w:val="21"/>
                <w:szCs w:val="21"/>
              </w:rPr>
            </w:pPr>
            <w:r>
              <w:rPr>
                <w:rFonts w:hint="eastAsia"/>
                <w:sz w:val="21"/>
                <w:szCs w:val="21"/>
              </w:rPr>
              <w:t>四、我局委托平陆县环境监察大队对本项目进行日常环境保护监督管理。</w:t>
            </w:r>
          </w:p>
        </w:tc>
        <w:tc>
          <w:tcPr>
            <w:tcW w:w="2091" w:type="pct"/>
            <w:vAlign w:val="center"/>
          </w:tcPr>
          <w:p>
            <w:pPr>
              <w:ind w:firstLine="410"/>
              <w:jc w:val="left"/>
              <w:rPr>
                <w:sz w:val="21"/>
                <w:szCs w:val="21"/>
              </w:rPr>
            </w:pPr>
          </w:p>
        </w:tc>
        <w:tc>
          <w:tcPr>
            <w:tcW w:w="503" w:type="pct"/>
            <w:vAlign w:val="center"/>
          </w:tcPr>
          <w:p>
            <w:pPr>
              <w:ind w:firstLine="0" w:firstLineChars="0"/>
              <w:jc w:val="center"/>
              <w:rPr>
                <w:sz w:val="21"/>
                <w:szCs w:val="21"/>
              </w:rPr>
            </w:pPr>
            <w:r>
              <w:rPr>
                <w:rFonts w:hint="eastAsia"/>
                <w:sz w:val="21"/>
                <w:szCs w:val="21"/>
              </w:rPr>
              <w:t>落实</w:t>
            </w:r>
          </w:p>
        </w:tc>
      </w:tr>
    </w:tbl>
    <w:p>
      <w:pPr>
        <w:ind w:firstLine="470"/>
        <w:jc w:val="left"/>
        <w:sectPr>
          <w:pgSz w:w="16838" w:h="11906" w:orient="landscape"/>
          <w:pgMar w:top="1080" w:right="1440" w:bottom="1080" w:left="1440" w:header="851" w:footer="992" w:gutter="0"/>
          <w:cols w:space="720" w:num="1"/>
          <w:docGrid w:type="linesAndChars" w:linePitch="586" w:charSpace="-1032"/>
        </w:sectPr>
      </w:pPr>
    </w:p>
    <w:p>
      <w:pPr>
        <w:ind w:firstLine="470"/>
        <w:jc w:val="left"/>
      </w:pPr>
      <w:r>
        <w:t>3、环境管理落实情况</w:t>
      </w:r>
    </w:p>
    <w:p>
      <w:pPr>
        <w:ind w:firstLine="470"/>
      </w:pPr>
      <w:r>
        <w:t>该公司结合企业实际状况成立了以总经理为组长的环保机构负责环境管理工作。</w:t>
      </w:r>
    </w:p>
    <w:p>
      <w:pPr>
        <w:ind w:firstLine="470"/>
        <w:jc w:val="left"/>
        <w:rPr>
          <w:rFonts w:hint="eastAsia"/>
          <w:lang w:val="en-US" w:eastAsia="zh-CN"/>
        </w:rPr>
      </w:pPr>
      <w:r>
        <w:rPr>
          <w:rFonts w:hint="eastAsia"/>
          <w:lang w:val="en-US" w:eastAsia="zh-CN"/>
        </w:rPr>
        <w:t>4、总量控制</w:t>
      </w:r>
    </w:p>
    <w:p>
      <w:pPr>
        <w:ind w:firstLine="470"/>
        <w:jc w:val="left"/>
        <w:rPr>
          <w:rFonts w:hint="default"/>
          <w:lang w:val="en-US" w:eastAsia="zh-CN"/>
        </w:rPr>
      </w:pPr>
      <w:r>
        <w:rPr>
          <w:rFonts w:hint="default"/>
          <w:lang w:val="en-US" w:eastAsia="zh-CN"/>
        </w:rPr>
        <w:t>根据山西省环境保护厅晋环发[2015]25号关于印发《山西省环境保护厅建设项目主要污染物排放总量核定办法》的通知，本项目属于环境统计重点工业源调查行业范围内《国民经济行业分类》（GB/T4754）中采矿业、制造业，电力、燃气及水的生产和供应，3个门类39个行业）新增主要污染物排放总量的建设项目，在环境影响评价文件审批前，建设单位需按本办法规定取得主要污染物排放总量指标。</w:t>
      </w:r>
    </w:p>
    <w:p>
      <w:pPr>
        <w:ind w:firstLine="470"/>
        <w:jc w:val="left"/>
        <w:rPr>
          <w:rFonts w:hint="default"/>
          <w:lang w:val="en-US" w:eastAsia="zh-CN"/>
        </w:rPr>
      </w:pPr>
      <w:r>
        <w:rPr>
          <w:rFonts w:hint="default"/>
          <w:lang w:val="en-US" w:eastAsia="zh-CN"/>
        </w:rPr>
        <w:t>本项目申请污染物排放总量指标为粉尘0.45t/a。平陆县环境保护局对本项目污染物排放量进行了核定，核定量为粉尘0.5t/a。</w:t>
      </w:r>
    </w:p>
    <w:p>
      <w:pPr>
        <w:ind w:firstLine="470"/>
        <w:jc w:val="left"/>
        <w:rPr>
          <w:rFonts w:hint="default"/>
          <w:lang w:val="en-US" w:eastAsia="zh-CN"/>
        </w:rPr>
      </w:pPr>
      <w:r>
        <w:rPr>
          <w:rFonts w:hint="default"/>
          <w:lang w:val="en-US" w:eastAsia="zh-CN"/>
        </w:rPr>
        <w:t>区域环境质量</w:t>
      </w:r>
    </w:p>
    <w:p>
      <w:pPr>
        <w:ind w:firstLine="470"/>
        <w:jc w:val="left"/>
        <w:rPr>
          <w:rFonts w:hint="default"/>
          <w:lang w:val="en-US" w:eastAsia="zh-CN"/>
        </w:rPr>
      </w:pPr>
      <w:r>
        <w:rPr>
          <w:rFonts w:hint="default"/>
          <w:lang w:val="en-US" w:eastAsia="zh-CN"/>
        </w:rPr>
        <w:t>本工程采取了严格的生态恢复、污染防治措施，可将工程排污以及对矿区周围的生态环境影响控制在国家规定的范围以内。本项目应以“建设本地区生态建设模范矿区”为目标，将环境保护与生态建设放在与经营利益同等重要的位置，进行绿化、美化及协调性的景观设计，为区域生态建设作出典范。</w:t>
      </w:r>
    </w:p>
    <w:p>
      <w:pPr>
        <w:ind w:firstLine="470"/>
        <w:jc w:val="left"/>
        <w:rPr>
          <w:rFonts w:hint="eastAsia"/>
          <w:lang w:val="en-US" w:eastAsia="zh-CN"/>
        </w:rPr>
      </w:pPr>
      <w:r>
        <w:rPr>
          <w:rFonts w:hint="default"/>
          <w:lang w:val="en-US" w:eastAsia="zh-CN"/>
        </w:rPr>
        <w:t>综上所述，平陆县前岭石灰岩矿年产5万吨石灰岩矿项目符合建设项目环保审批原则的要求，项目建设符合国家及地方产业政策的要求，符合当地相关规划和建设的要求，贯彻“清洁生产、总量控制和达标排放”的原则，且采取“三废”及噪声的治理措施经济技术可行。只要企业落实本环境影响报告提出的各项污染治理措施，认真做好“三同时”及日常管理工作，该项目在环保角度上是可行的。</w:t>
      </w:r>
    </w:p>
    <w:p>
      <w:pPr>
        <w:ind w:firstLine="470"/>
        <w:outlineLvl w:val="0"/>
        <w:rPr>
          <w:bCs/>
        </w:rPr>
      </w:pPr>
      <w:r>
        <w:rPr>
          <w:bCs/>
        </w:rPr>
        <w:t>三、验收监测结果</w:t>
      </w:r>
    </w:p>
    <w:p>
      <w:pPr>
        <w:ind w:firstLine="470"/>
        <w:rPr>
          <w:bCs/>
        </w:rPr>
      </w:pPr>
      <w:r>
        <w:rPr>
          <w:bCs/>
        </w:rPr>
        <w:t>公司委托</w:t>
      </w:r>
      <w:r>
        <w:rPr>
          <w:rFonts w:hint="eastAsia"/>
        </w:rPr>
        <w:t>河南鑫成环境保护监测有限公司</w:t>
      </w:r>
      <w:r>
        <w:rPr>
          <w:bCs/>
        </w:rPr>
        <w:t>对污染源进行了监测，根据监测报告得出以下监测结果：</w:t>
      </w:r>
    </w:p>
    <w:p>
      <w:pPr>
        <w:ind w:firstLine="470"/>
        <w:rPr>
          <w:rFonts w:eastAsiaTheme="minorEastAsia"/>
        </w:rPr>
      </w:pPr>
      <w:r>
        <w:rPr>
          <w:rFonts w:eastAsiaTheme="minorEastAsia"/>
        </w:rPr>
        <w:t>（1）废气</w:t>
      </w:r>
    </w:p>
    <w:p>
      <w:pPr>
        <w:tabs>
          <w:tab w:val="left" w:pos="2581"/>
        </w:tabs>
        <w:adjustRightInd w:val="0"/>
        <w:snapToGrid w:val="0"/>
        <w:ind w:firstLine="470"/>
      </w:pPr>
      <w:r>
        <w:rPr>
          <w:rFonts w:hint="eastAsia" w:ascii="宋体" w:hAnsi="宋体" w:cs="宋体"/>
        </w:rPr>
        <w:t>①</w:t>
      </w:r>
      <w:r>
        <w:t>有组织废气</w:t>
      </w:r>
    </w:p>
    <w:p>
      <w:pPr>
        <w:ind w:firstLine="470"/>
      </w:pPr>
      <w:r>
        <w:rPr>
          <w:rFonts w:hint="eastAsia"/>
        </w:rPr>
        <w:t>根据对破碎筛分工序布袋除尘器出口废气的监测结果可知，颗粒物的浓度在</w:t>
      </w:r>
      <w:r>
        <w:rPr>
          <w:rFonts w:hint="eastAsia" w:cs="宋体"/>
        </w:rPr>
        <w:t>颗粒物的排放浓度在7.7</w:t>
      </w:r>
      <w:r>
        <w:t>~</w:t>
      </w:r>
      <w:r>
        <w:rPr>
          <w:rFonts w:hint="eastAsia"/>
        </w:rPr>
        <w:t>8.3</w:t>
      </w:r>
      <w:r>
        <w:t>mg/m</w:t>
      </w:r>
      <w:r>
        <w:rPr>
          <w:vertAlign w:val="superscript"/>
        </w:rPr>
        <w:t>3</w:t>
      </w:r>
      <w:r>
        <w:rPr>
          <w:rFonts w:hint="eastAsia" w:cs="宋体"/>
        </w:rPr>
        <w:t>之间，排放速率在</w:t>
      </w:r>
      <w:r>
        <w:t>0.0</w:t>
      </w:r>
      <w:r>
        <w:rPr>
          <w:rFonts w:hint="eastAsia"/>
        </w:rPr>
        <w:t>53</w:t>
      </w:r>
      <w:r>
        <w:t>~0.0</w:t>
      </w:r>
      <w:r>
        <w:rPr>
          <w:rFonts w:hint="eastAsia"/>
        </w:rPr>
        <w:t>57</w:t>
      </w:r>
      <w:r>
        <w:t>kg/h</w:t>
      </w:r>
      <w:r>
        <w:rPr>
          <w:rFonts w:hint="eastAsia" w:cs="宋体"/>
        </w:rPr>
        <w:t>之间，满足《</w:t>
      </w:r>
      <w:r>
        <w:rPr>
          <w:rFonts w:hint="eastAsia"/>
        </w:rPr>
        <w:t>大气污染物综合排放标准</w:t>
      </w:r>
      <w:r>
        <w:rPr>
          <w:rFonts w:hint="eastAsia" w:cs="宋体"/>
        </w:rPr>
        <w:t>》（</w:t>
      </w:r>
      <w:r>
        <w:t>GB16297-1996</w:t>
      </w:r>
      <w:r>
        <w:rPr>
          <w:rFonts w:hint="eastAsia" w:cs="宋体"/>
        </w:rPr>
        <w:t>）中</w:t>
      </w:r>
      <w:r>
        <w:rPr>
          <w:rFonts w:hint="eastAsia"/>
        </w:rPr>
        <w:t>新污染源大气污染物排放限值二级标准</w:t>
      </w:r>
      <w:r>
        <w:rPr>
          <w:rFonts w:hint="eastAsia" w:cs="宋体"/>
        </w:rPr>
        <w:t>。</w:t>
      </w:r>
    </w:p>
    <w:p>
      <w:pPr>
        <w:adjustRightInd w:val="0"/>
        <w:snapToGrid w:val="0"/>
        <w:ind w:firstLine="470"/>
      </w:pPr>
      <w:r>
        <w:rPr>
          <w:rFonts w:hint="eastAsia" w:ascii="宋体" w:hAnsi="宋体" w:cs="宋体"/>
        </w:rPr>
        <w:t>②</w:t>
      </w:r>
      <w:r>
        <w:t>无组织废气</w:t>
      </w:r>
    </w:p>
    <w:p>
      <w:pPr>
        <w:ind w:firstLine="470"/>
      </w:pPr>
      <w:r>
        <w:rPr>
          <w:rFonts w:hint="eastAsia"/>
        </w:rPr>
        <w:t>根据对厂房外及厂界无组织废气的监测结果可知，厂房外1.0m处颗粒物的排放浓度在0.254~0.417mg/m3之间，满足《大气污染物综合排放标准》（</w:t>
      </w:r>
      <w:r>
        <w:t>GB</w:t>
      </w:r>
      <w:r>
        <w:rPr>
          <w:rFonts w:hint="eastAsia"/>
        </w:rPr>
        <w:t>16297</w:t>
      </w:r>
      <w:r>
        <w:t>-</w:t>
      </w:r>
      <w:r>
        <w:rPr>
          <w:rFonts w:hint="eastAsia"/>
        </w:rPr>
        <w:t>1996）中新污染源大气污染物排放限值二级标准。</w:t>
      </w:r>
    </w:p>
    <w:p>
      <w:pPr>
        <w:ind w:firstLine="470"/>
      </w:pPr>
      <w:r>
        <w:t>（2）噪声</w:t>
      </w:r>
    </w:p>
    <w:p>
      <w:pPr>
        <w:ind w:firstLine="470"/>
      </w:pPr>
      <w:r>
        <w:rPr>
          <w:rFonts w:hint="eastAsia"/>
        </w:rPr>
        <w:t>根据对噪声的监测结果可知，厂界昼间噪声值在</w:t>
      </w:r>
      <w:r>
        <w:rPr>
          <w:rFonts w:hint="eastAsia"/>
          <w:szCs w:val="22"/>
        </w:rPr>
        <w:t>50.4~50.8</w:t>
      </w:r>
      <w:r>
        <w:rPr>
          <w:szCs w:val="22"/>
        </w:rPr>
        <w:t>dB</w:t>
      </w:r>
      <w:r>
        <w:rPr>
          <w:rFonts w:hint="eastAsia" w:cs="宋体"/>
          <w:szCs w:val="22"/>
        </w:rPr>
        <w:t>（</w:t>
      </w:r>
      <w:r>
        <w:rPr>
          <w:szCs w:val="22"/>
        </w:rPr>
        <w:t>A</w:t>
      </w:r>
      <w:r>
        <w:rPr>
          <w:rFonts w:hint="eastAsia" w:cs="宋体"/>
          <w:szCs w:val="22"/>
        </w:rPr>
        <w:t>）</w:t>
      </w:r>
      <w:r>
        <w:rPr>
          <w:rFonts w:hint="eastAsia"/>
        </w:rPr>
        <w:t>之间，夜间噪声值在</w:t>
      </w:r>
      <w:r>
        <w:rPr>
          <w:rFonts w:hint="eastAsia" w:cs="宋体"/>
          <w:szCs w:val="22"/>
        </w:rPr>
        <w:t>40.5~41.5</w:t>
      </w:r>
      <w:r>
        <w:rPr>
          <w:szCs w:val="22"/>
        </w:rPr>
        <w:t>dB</w:t>
      </w:r>
      <w:r>
        <w:rPr>
          <w:rFonts w:hint="eastAsia" w:cs="宋体"/>
          <w:szCs w:val="22"/>
        </w:rPr>
        <w:t>（</w:t>
      </w:r>
      <w:r>
        <w:rPr>
          <w:szCs w:val="22"/>
        </w:rPr>
        <w:t>A</w:t>
      </w:r>
      <w:r>
        <w:rPr>
          <w:rFonts w:hint="eastAsia" w:cs="宋体"/>
          <w:szCs w:val="22"/>
        </w:rPr>
        <w:t>）</w:t>
      </w:r>
      <w:r>
        <w:rPr>
          <w:rFonts w:hint="eastAsia"/>
        </w:rPr>
        <w:t>之间，满足《工业企业厂界环境噪声排放标准》（GB12348-2008）中1类标准限值。</w:t>
      </w:r>
    </w:p>
    <w:p>
      <w:pPr>
        <w:ind w:firstLine="470"/>
      </w:pPr>
      <w:r>
        <w:t>（3）固废</w:t>
      </w:r>
    </w:p>
    <w:p>
      <w:pPr>
        <w:ind w:firstLine="454"/>
        <w:rPr>
          <w:spacing w:val="-4"/>
        </w:rPr>
      </w:pPr>
      <w:r>
        <w:rPr>
          <w:rFonts w:hint="eastAsia" w:ascii="Times New Roman" w:hAnsi="Times New Roman" w:eastAsia="宋体" w:cs="宋体"/>
          <w:kern w:val="2"/>
          <w:sz w:val="24"/>
          <w:szCs w:val="24"/>
          <w:lang w:val="en-US" w:eastAsia="zh-CN" w:bidi="ar"/>
        </w:rPr>
        <w:t>根据环评本项目固体废物执行标准《一般工业固体废物贮存、处置场污染控制标准》（GB18599-2001）及2013年修改单有关规定已经被新的标准《一般工业固体废物贮存和填埋污染控制标准》（GB18599-2020）代替。经过校核本项目固体废物的处理方式符合新标准的要求。</w:t>
      </w:r>
      <w:r>
        <w:rPr>
          <w:spacing w:val="-4"/>
        </w:rPr>
        <w:t>本项目产生的固体废物主要为</w:t>
      </w:r>
    </w:p>
    <w:p>
      <w:pPr>
        <w:ind w:firstLine="470"/>
        <w:jc w:val="left"/>
      </w:pPr>
      <w:r>
        <w:rPr>
          <w:rFonts w:hint="eastAsia"/>
        </w:rPr>
        <w:t>①剥离时产生的表层剥离土</w:t>
      </w:r>
    </w:p>
    <w:p>
      <w:pPr>
        <w:ind w:firstLine="470"/>
        <w:jc w:val="left"/>
      </w:pPr>
      <w:r>
        <w:rPr>
          <w:rFonts w:hint="eastAsia"/>
        </w:rPr>
        <w:t>本项目在运营期前需进行盖层剥离，剥离产生的表层剥离土运往排土场分类堆放，定期出售。</w:t>
      </w:r>
    </w:p>
    <w:p>
      <w:pPr>
        <w:ind w:firstLine="470"/>
        <w:jc w:val="left"/>
      </w:pPr>
      <w:r>
        <w:rPr>
          <w:rFonts w:hint="eastAsia"/>
        </w:rPr>
        <w:t>②布袋除尘器收集的除尘灰</w:t>
      </w:r>
    </w:p>
    <w:p>
      <w:pPr>
        <w:ind w:firstLine="470"/>
        <w:jc w:val="left"/>
      </w:pPr>
      <w:r>
        <w:rPr>
          <w:rFonts w:hint="eastAsia"/>
        </w:rPr>
        <w:t>本项目布袋除尘器除尘灰经收集后和石粉一起出售。</w:t>
      </w:r>
    </w:p>
    <w:p>
      <w:pPr>
        <w:ind w:firstLine="470"/>
        <w:jc w:val="left"/>
      </w:pPr>
      <w:r>
        <w:rPr>
          <w:rFonts w:hint="eastAsia"/>
        </w:rPr>
        <w:t>③职工日常生活产生的生活垃圾</w:t>
      </w:r>
    </w:p>
    <w:p>
      <w:pPr>
        <w:ind w:firstLine="470"/>
        <w:jc w:val="left"/>
      </w:pPr>
      <w:r>
        <w:rPr>
          <w:rFonts w:hint="eastAsia"/>
        </w:rPr>
        <w:t>本项目产生的生活垃圾通过在工业场地生活区内设置的封闭式垃圾箱集中收集后，运至当地环卫部门指定地点，统一处置。</w:t>
      </w:r>
    </w:p>
    <w:p>
      <w:pPr>
        <w:ind w:firstLine="470"/>
      </w:pPr>
      <w:r>
        <w:t>（4）废水</w:t>
      </w:r>
    </w:p>
    <w:p>
      <w:pPr>
        <w:ind w:firstLine="470"/>
      </w:pPr>
      <w:r>
        <w:rPr>
          <w:rFonts w:hint="eastAsia"/>
        </w:rPr>
        <w:t>①职工生活产生的生活污水，经收集后用于道路洒水抑尘。</w:t>
      </w:r>
    </w:p>
    <w:p>
      <w:pPr>
        <w:ind w:firstLine="470"/>
        <w:outlineLvl w:val="0"/>
        <w:rPr>
          <w:bCs/>
        </w:rPr>
      </w:pPr>
      <w:r>
        <w:rPr>
          <w:rFonts w:hint="eastAsia"/>
          <w:bCs/>
        </w:rPr>
        <w:t>四、环保设施调试结果</w:t>
      </w:r>
    </w:p>
    <w:p>
      <w:pPr>
        <w:ind w:firstLine="470"/>
        <w:outlineLvl w:val="0"/>
        <w:rPr>
          <w:bCs/>
        </w:rPr>
      </w:pPr>
      <w:r>
        <w:rPr>
          <w:rFonts w:hint="eastAsia"/>
          <w:bCs/>
        </w:rPr>
        <w:t>1、废气</w:t>
      </w:r>
    </w:p>
    <w:p>
      <w:pPr>
        <w:ind w:firstLine="470"/>
        <w:outlineLvl w:val="0"/>
        <w:rPr>
          <w:bCs/>
        </w:rPr>
      </w:pPr>
      <w:r>
        <w:rPr>
          <w:rFonts w:hint="eastAsia"/>
          <w:bCs/>
        </w:rPr>
        <w:t>根据河鑫成环境保护监测有限公司对平陆县前岭石灰岩矿的验收监测报告，本项目布袋除尘器的处理效率可达到91%以上，满足相关处理效率及排放标准的要求。</w:t>
      </w:r>
    </w:p>
    <w:p>
      <w:pPr>
        <w:ind w:firstLine="470"/>
        <w:outlineLvl w:val="0"/>
        <w:rPr>
          <w:bCs/>
        </w:rPr>
      </w:pPr>
      <w:r>
        <w:rPr>
          <w:rFonts w:hint="eastAsia"/>
          <w:bCs/>
        </w:rPr>
        <w:t>2、废水</w:t>
      </w:r>
    </w:p>
    <w:p>
      <w:pPr>
        <w:ind w:firstLine="470"/>
        <w:outlineLvl w:val="0"/>
      </w:pPr>
      <w:r>
        <w:rPr>
          <w:rFonts w:hint="eastAsia"/>
        </w:rPr>
        <w:t>职工生活产生的生活污水，经收集后用于道路洒水抑尘。</w:t>
      </w:r>
    </w:p>
    <w:p>
      <w:pPr>
        <w:ind w:firstLine="470"/>
        <w:outlineLvl w:val="0"/>
        <w:rPr>
          <w:bCs/>
        </w:rPr>
      </w:pPr>
      <w:r>
        <w:rPr>
          <w:rFonts w:hint="eastAsia"/>
          <w:bCs/>
        </w:rPr>
        <w:t>3、噪声</w:t>
      </w:r>
    </w:p>
    <w:p>
      <w:pPr>
        <w:ind w:firstLine="470"/>
      </w:pPr>
      <w:r>
        <w:rPr>
          <w:rFonts w:hint="eastAsia"/>
        </w:rPr>
        <w:t>根据对噪声的监测结果可知，厂界昼间噪声值在</w:t>
      </w:r>
      <w:r>
        <w:rPr>
          <w:rFonts w:hint="eastAsia"/>
          <w:szCs w:val="22"/>
        </w:rPr>
        <w:t>50.4~50.8</w:t>
      </w:r>
      <w:r>
        <w:rPr>
          <w:szCs w:val="22"/>
        </w:rPr>
        <w:t>dB</w:t>
      </w:r>
      <w:r>
        <w:rPr>
          <w:rFonts w:hint="eastAsia" w:cs="宋体"/>
          <w:szCs w:val="22"/>
        </w:rPr>
        <w:t>（</w:t>
      </w:r>
      <w:r>
        <w:rPr>
          <w:szCs w:val="22"/>
        </w:rPr>
        <w:t>A</w:t>
      </w:r>
      <w:r>
        <w:rPr>
          <w:rFonts w:hint="eastAsia" w:cs="宋体"/>
          <w:szCs w:val="22"/>
        </w:rPr>
        <w:t>）</w:t>
      </w:r>
      <w:r>
        <w:rPr>
          <w:rFonts w:hint="eastAsia"/>
        </w:rPr>
        <w:t>之间，夜间噪声值在</w:t>
      </w:r>
      <w:r>
        <w:rPr>
          <w:rFonts w:hint="eastAsia" w:cs="宋体"/>
          <w:szCs w:val="22"/>
        </w:rPr>
        <w:t>40.5~41.5</w:t>
      </w:r>
      <w:r>
        <w:rPr>
          <w:szCs w:val="22"/>
        </w:rPr>
        <w:t>dB</w:t>
      </w:r>
      <w:r>
        <w:rPr>
          <w:rFonts w:hint="eastAsia" w:cs="宋体"/>
          <w:szCs w:val="22"/>
        </w:rPr>
        <w:t>（</w:t>
      </w:r>
      <w:r>
        <w:rPr>
          <w:szCs w:val="22"/>
        </w:rPr>
        <w:t>A</w:t>
      </w:r>
      <w:r>
        <w:rPr>
          <w:rFonts w:hint="eastAsia" w:cs="宋体"/>
          <w:szCs w:val="22"/>
        </w:rPr>
        <w:t>）</w:t>
      </w:r>
      <w:r>
        <w:rPr>
          <w:rFonts w:hint="eastAsia"/>
        </w:rPr>
        <w:t>之间，满足《工业企业厂界环境噪声排放标准》（GB12348-2008）中1类标准限值。</w:t>
      </w:r>
    </w:p>
    <w:p>
      <w:pPr>
        <w:ind w:firstLine="470"/>
        <w:outlineLvl w:val="0"/>
        <w:rPr>
          <w:bCs/>
        </w:rPr>
      </w:pPr>
      <w:r>
        <w:rPr>
          <w:rFonts w:hint="eastAsia"/>
          <w:bCs/>
        </w:rPr>
        <w:t>4、固废</w:t>
      </w:r>
    </w:p>
    <w:p>
      <w:pPr>
        <w:ind w:firstLine="470"/>
        <w:outlineLvl w:val="0"/>
        <w:rPr>
          <w:bCs/>
        </w:rPr>
      </w:pPr>
      <w:r>
        <w:rPr>
          <w:rFonts w:hint="eastAsia"/>
          <w:bCs/>
        </w:rPr>
        <w:t>本项目产生的固废在采取合理有效的措施，均可得到合理的处置。</w:t>
      </w:r>
    </w:p>
    <w:p>
      <w:pPr>
        <w:ind w:firstLine="470"/>
        <w:outlineLvl w:val="0"/>
        <w:rPr>
          <w:bCs/>
        </w:rPr>
      </w:pPr>
      <w:r>
        <w:rPr>
          <w:rFonts w:hint="eastAsia"/>
          <w:bCs/>
        </w:rPr>
        <w:t>五</w:t>
      </w:r>
      <w:r>
        <w:rPr>
          <w:bCs/>
        </w:rPr>
        <w:t>、验收结论</w:t>
      </w:r>
    </w:p>
    <w:p>
      <w:pPr>
        <w:ind w:firstLine="470"/>
        <w:rPr>
          <w:kern w:val="0"/>
        </w:rPr>
      </w:pPr>
      <w:r>
        <w:rPr>
          <w:rFonts w:hint="eastAsia"/>
          <w:bCs/>
        </w:rPr>
        <w:t>平陆县前岭石灰岩矿年产5万吨石灰岩矿项目</w:t>
      </w:r>
      <w:r>
        <w:rPr>
          <w:bCs/>
        </w:rPr>
        <w:t>在</w:t>
      </w:r>
      <w:r>
        <w:t>建设过程中基本按照环境影响评价文件及其批复文件要求建设了相应的环保</w:t>
      </w:r>
      <w:r>
        <w:rPr>
          <w:w w:val="105"/>
        </w:rPr>
        <w:t>设施。</w:t>
      </w:r>
      <w:r>
        <w:t>验收组对环保验收表和验收监测数据报告内容进行了核实，按照《建设项目竣工环境保护验收暂行办法》等要求对建设项目配套建设的环境保护设施进行了验收，认为工程大气污染物排放、噪声防治和固废综合利用在环境保护方面符合竣工环保验收条件，企业自行验收信息向公众公开后无反对意见</w:t>
      </w:r>
      <w:r>
        <w:rPr>
          <w:bCs/>
        </w:rPr>
        <w:t>，原则</w:t>
      </w:r>
      <w:r>
        <w:t>同意项目通过环境保护验收。</w:t>
      </w:r>
    </w:p>
    <w:p>
      <w:pPr>
        <w:ind w:firstLine="470"/>
        <w:rPr>
          <w:bCs/>
        </w:rPr>
      </w:pPr>
      <w:r>
        <w:rPr>
          <w:bCs/>
        </w:rPr>
        <w:t>五、进一步要求与建议</w:t>
      </w:r>
    </w:p>
    <w:p>
      <w:pPr>
        <w:ind w:firstLine="470"/>
      </w:pPr>
      <w:r>
        <w:t>1、进一步完善和落实环境管理制度，加强安全生产管理及安全教育。</w:t>
      </w:r>
    </w:p>
    <w:p>
      <w:pPr>
        <w:ind w:firstLine="470"/>
        <w:rPr>
          <w:b/>
        </w:rPr>
      </w:pPr>
      <w:r>
        <w:t>2、在正式投运后，要加强各污染治理设施的日常维修、保养和管理工作，确保污染物长期稳定达标排放。</w:t>
      </w:r>
    </w:p>
    <w:p>
      <w:pPr>
        <w:ind w:firstLine="470"/>
        <w:rPr>
          <w:b/>
        </w:rPr>
      </w:pPr>
      <w:r>
        <w:t>六、验收人员信息（见名单）</w:t>
      </w:r>
    </w:p>
    <w:p>
      <w:pPr>
        <w:spacing w:line="420" w:lineRule="exact"/>
        <w:ind w:firstLine="470"/>
        <w:jc w:val="right"/>
      </w:pPr>
    </w:p>
    <w:p>
      <w:pPr>
        <w:spacing w:line="420" w:lineRule="exact"/>
        <w:ind w:firstLine="470"/>
        <w:jc w:val="right"/>
      </w:pPr>
      <w:r>
        <w:rPr>
          <w:rFonts w:hint="eastAsia"/>
        </w:rPr>
        <w:t>平陆县前岭石灰岩矿</w:t>
      </w:r>
    </w:p>
    <w:p>
      <w:pPr>
        <w:spacing w:line="460" w:lineRule="exact"/>
        <w:ind w:firstLine="470"/>
        <w:jc w:val="right"/>
        <w:rPr>
          <w:kern w:val="0"/>
        </w:rPr>
        <w:sectPr>
          <w:pgSz w:w="11906" w:h="16838"/>
          <w:pgMar w:top="1440" w:right="1080" w:bottom="1440" w:left="1080" w:header="851" w:footer="992" w:gutter="0"/>
          <w:cols w:space="720" w:num="1"/>
          <w:docGrid w:type="linesAndChars" w:linePitch="586" w:charSpace="-1032"/>
        </w:sectPr>
      </w:pPr>
      <w:r>
        <w:rPr>
          <w:kern w:val="0"/>
        </w:rPr>
        <w:t>202</w:t>
      </w:r>
      <w:r>
        <w:rPr>
          <w:rFonts w:hint="eastAsia"/>
          <w:kern w:val="0"/>
        </w:rPr>
        <w:t>2</w:t>
      </w:r>
      <w:r>
        <w:rPr>
          <w:kern w:val="0"/>
        </w:rPr>
        <w:t>年</w:t>
      </w:r>
      <w:r>
        <w:rPr>
          <w:rFonts w:hint="eastAsia"/>
          <w:kern w:val="0"/>
        </w:rPr>
        <w:t>3</w:t>
      </w:r>
      <w:r>
        <w:rPr>
          <w:kern w:val="0"/>
        </w:rPr>
        <w:t>月7</w:t>
      </w:r>
      <w:r>
        <w:rPr>
          <w:rFonts w:hint="eastAsia"/>
          <w:kern w:val="0"/>
        </w:rPr>
        <w:t>日</w:t>
      </w:r>
    </w:p>
    <w:p>
      <w:pPr>
        <w:ind w:firstLine="0" w:firstLineChars="0"/>
        <w:rPr>
          <w:rFonts w:hint="eastAsia" w:eastAsia="宋体"/>
          <w:lang w:eastAsia="zh-CN"/>
        </w:rPr>
      </w:pPr>
      <w:r>
        <w:rPr>
          <w:rFonts w:hint="eastAsia" w:eastAsia="宋体"/>
          <w:lang w:eastAsia="zh-CN"/>
        </w:rPr>
        <w:pict>
          <v:shape id="_x0000_s2051" o:spid="_x0000_s2051" o:spt="75" alt="b1088fca64c476b364fb700c25c9682" type="#_x0000_t75" style="position:absolute;left:0pt;margin-left:-2.25pt;margin-top:12.9pt;height:663.3pt;width:487.15pt;z-index:251659264;mso-width-relative:page;mso-height-relative:page;" filled="f" o:preferrelative="t" stroked="f" coordsize="21600,21600">
            <v:path/>
            <v:fill on="f" focussize="0,0"/>
            <v:stroke on="f"/>
            <v:imagedata r:id="rId9" cropbottom="9341f" o:title="b1088fca64c476b364fb700c25c9682"/>
            <o:lock v:ext="edit" aspectratio="t"/>
          </v:shape>
        </w:pict>
      </w:r>
    </w:p>
    <w:sectPr>
      <w:pgSz w:w="11906" w:h="16838"/>
      <w:pgMar w:top="1440" w:right="1080" w:bottom="1440" w:left="1080" w:header="851" w:footer="992" w:gutter="0"/>
      <w:cols w:space="720" w:num="1"/>
      <w:docGrid w:type="linesAndChars" w:linePitch="586" w:charSpace="-103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70"/>
      </w:pPr>
      <w:r>
        <w:separator/>
      </w:r>
    </w:p>
  </w:endnote>
  <w:endnote w:type="continuationSeparator" w:id="1">
    <w:p>
      <w:pPr>
        <w:spacing w:line="240" w:lineRule="auto"/>
        <w:ind w:firstLine="47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11"/>
                  <w:ind w:firstLine="360"/>
                </w:pPr>
                <w:r>
                  <w:fldChar w:fldCharType="begin"/>
                </w:r>
                <w:r>
                  <w:instrText xml:space="preserve"> PAGE  \* MERGEFORMAT </w:instrText>
                </w:r>
                <w:r>
                  <w:fldChar w:fldCharType="separate"/>
                </w:r>
                <w:r>
                  <w:t>12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ind w:firstLine="360"/>
      <w:rPr>
        <w:rStyle w:val="63"/>
      </w:rPr>
    </w:pPr>
    <w:r>
      <w:fldChar w:fldCharType="begin"/>
    </w:r>
    <w:r>
      <w:rPr>
        <w:rStyle w:val="63"/>
      </w:rPr>
      <w:instrText xml:space="preserve">PAGE  </w:instrText>
    </w:r>
    <w:r>
      <w:fldChar w:fldCharType="end"/>
    </w:r>
  </w:p>
  <w:p>
    <w:pPr>
      <w:pStyle w:val="1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70"/>
      </w:pPr>
      <w:r>
        <w:separator/>
      </w:r>
    </w:p>
  </w:footnote>
  <w:footnote w:type="continuationSeparator" w:id="1">
    <w:p>
      <w:pPr>
        <w:spacing w:line="240" w:lineRule="auto"/>
        <w:ind w:firstLine="47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205"/>
  <w:drawingGridVerticalSpacing w:val="293"/>
  <w:displayHorizontalDrawingGridEvery w:val="0"/>
  <w:displayVerticalDrawingGridEvery w:val="2"/>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505A"/>
    <w:rsid w:val="0000679D"/>
    <w:rsid w:val="00020994"/>
    <w:rsid w:val="000264FF"/>
    <w:rsid w:val="0004461C"/>
    <w:rsid w:val="000A3009"/>
    <w:rsid w:val="000A7848"/>
    <w:rsid w:val="000D7F29"/>
    <w:rsid w:val="000E0ED9"/>
    <w:rsid w:val="000E1021"/>
    <w:rsid w:val="000E3AE8"/>
    <w:rsid w:val="000E5EA4"/>
    <w:rsid w:val="000F3D3E"/>
    <w:rsid w:val="0010565C"/>
    <w:rsid w:val="00115EEC"/>
    <w:rsid w:val="001357F7"/>
    <w:rsid w:val="00146AB1"/>
    <w:rsid w:val="001642AC"/>
    <w:rsid w:val="00171F64"/>
    <w:rsid w:val="001747EF"/>
    <w:rsid w:val="00180A01"/>
    <w:rsid w:val="001A0C39"/>
    <w:rsid w:val="001C2E96"/>
    <w:rsid w:val="001D66EB"/>
    <w:rsid w:val="001E50A1"/>
    <w:rsid w:val="001F543C"/>
    <w:rsid w:val="0020600D"/>
    <w:rsid w:val="002208C0"/>
    <w:rsid w:val="002250F1"/>
    <w:rsid w:val="0022638F"/>
    <w:rsid w:val="002372F9"/>
    <w:rsid w:val="00253697"/>
    <w:rsid w:val="00254529"/>
    <w:rsid w:val="00272489"/>
    <w:rsid w:val="00280F4D"/>
    <w:rsid w:val="0028393E"/>
    <w:rsid w:val="00287150"/>
    <w:rsid w:val="00293DCA"/>
    <w:rsid w:val="002A03BA"/>
    <w:rsid w:val="002B32AB"/>
    <w:rsid w:val="002B55E1"/>
    <w:rsid w:val="002C449D"/>
    <w:rsid w:val="002D68F1"/>
    <w:rsid w:val="002E3DCC"/>
    <w:rsid w:val="002F488C"/>
    <w:rsid w:val="0030211C"/>
    <w:rsid w:val="00302FED"/>
    <w:rsid w:val="00321D71"/>
    <w:rsid w:val="003303AB"/>
    <w:rsid w:val="00333C96"/>
    <w:rsid w:val="0035618A"/>
    <w:rsid w:val="0035674C"/>
    <w:rsid w:val="00362B25"/>
    <w:rsid w:val="00370B8D"/>
    <w:rsid w:val="00370DFF"/>
    <w:rsid w:val="0038777E"/>
    <w:rsid w:val="0039260F"/>
    <w:rsid w:val="003A026C"/>
    <w:rsid w:val="003C6A7B"/>
    <w:rsid w:val="003D6335"/>
    <w:rsid w:val="003E22E0"/>
    <w:rsid w:val="003E2B1A"/>
    <w:rsid w:val="003F1A4A"/>
    <w:rsid w:val="003F36FB"/>
    <w:rsid w:val="00405EF0"/>
    <w:rsid w:val="00407C95"/>
    <w:rsid w:val="00436198"/>
    <w:rsid w:val="00440EEF"/>
    <w:rsid w:val="00466CB6"/>
    <w:rsid w:val="004721F3"/>
    <w:rsid w:val="004745DC"/>
    <w:rsid w:val="004908CA"/>
    <w:rsid w:val="004A0F61"/>
    <w:rsid w:val="004A584A"/>
    <w:rsid w:val="004B1D2A"/>
    <w:rsid w:val="004C0B20"/>
    <w:rsid w:val="004C219A"/>
    <w:rsid w:val="004C67F2"/>
    <w:rsid w:val="004E1D4D"/>
    <w:rsid w:val="004F697C"/>
    <w:rsid w:val="0051049A"/>
    <w:rsid w:val="00517DD1"/>
    <w:rsid w:val="00537DC5"/>
    <w:rsid w:val="0054265F"/>
    <w:rsid w:val="00554598"/>
    <w:rsid w:val="00562649"/>
    <w:rsid w:val="0056615D"/>
    <w:rsid w:val="00571449"/>
    <w:rsid w:val="00576D1B"/>
    <w:rsid w:val="005874F3"/>
    <w:rsid w:val="005968A3"/>
    <w:rsid w:val="005B3790"/>
    <w:rsid w:val="005C620E"/>
    <w:rsid w:val="005D5E87"/>
    <w:rsid w:val="005F329A"/>
    <w:rsid w:val="005F6255"/>
    <w:rsid w:val="006164B8"/>
    <w:rsid w:val="006A198D"/>
    <w:rsid w:val="006B63C4"/>
    <w:rsid w:val="006E08B5"/>
    <w:rsid w:val="006E133A"/>
    <w:rsid w:val="00706999"/>
    <w:rsid w:val="00720B9E"/>
    <w:rsid w:val="007233BE"/>
    <w:rsid w:val="007560B9"/>
    <w:rsid w:val="00776E09"/>
    <w:rsid w:val="00777D95"/>
    <w:rsid w:val="007804A1"/>
    <w:rsid w:val="00780775"/>
    <w:rsid w:val="007817D1"/>
    <w:rsid w:val="00782BAE"/>
    <w:rsid w:val="00785A6F"/>
    <w:rsid w:val="007A3FB3"/>
    <w:rsid w:val="007C51F2"/>
    <w:rsid w:val="007E7B7C"/>
    <w:rsid w:val="00807EF1"/>
    <w:rsid w:val="00820294"/>
    <w:rsid w:val="00826FAF"/>
    <w:rsid w:val="00827DB3"/>
    <w:rsid w:val="0084085A"/>
    <w:rsid w:val="008478E3"/>
    <w:rsid w:val="00850539"/>
    <w:rsid w:val="008556BB"/>
    <w:rsid w:val="00873612"/>
    <w:rsid w:val="0088313C"/>
    <w:rsid w:val="00884107"/>
    <w:rsid w:val="00884BE6"/>
    <w:rsid w:val="008A03C5"/>
    <w:rsid w:val="008B3D70"/>
    <w:rsid w:val="008C14FB"/>
    <w:rsid w:val="008D4EF2"/>
    <w:rsid w:val="008D6A0C"/>
    <w:rsid w:val="008E24E2"/>
    <w:rsid w:val="00910340"/>
    <w:rsid w:val="00914FDD"/>
    <w:rsid w:val="009152CC"/>
    <w:rsid w:val="009162A1"/>
    <w:rsid w:val="00916524"/>
    <w:rsid w:val="00922BB8"/>
    <w:rsid w:val="00937D85"/>
    <w:rsid w:val="00953BC7"/>
    <w:rsid w:val="009575FE"/>
    <w:rsid w:val="0095788D"/>
    <w:rsid w:val="009667CC"/>
    <w:rsid w:val="00982158"/>
    <w:rsid w:val="00983BE1"/>
    <w:rsid w:val="009850F1"/>
    <w:rsid w:val="009A505A"/>
    <w:rsid w:val="009C05B4"/>
    <w:rsid w:val="009E10D5"/>
    <w:rsid w:val="009E7714"/>
    <w:rsid w:val="009F27D2"/>
    <w:rsid w:val="00A06E2F"/>
    <w:rsid w:val="00A32536"/>
    <w:rsid w:val="00A32A08"/>
    <w:rsid w:val="00A32CE3"/>
    <w:rsid w:val="00A55E1C"/>
    <w:rsid w:val="00A7091F"/>
    <w:rsid w:val="00A7533E"/>
    <w:rsid w:val="00A86740"/>
    <w:rsid w:val="00A86DBF"/>
    <w:rsid w:val="00A87188"/>
    <w:rsid w:val="00A96DDB"/>
    <w:rsid w:val="00AA3E40"/>
    <w:rsid w:val="00AC37E3"/>
    <w:rsid w:val="00AC687D"/>
    <w:rsid w:val="00AE384B"/>
    <w:rsid w:val="00AF1E41"/>
    <w:rsid w:val="00AF7C65"/>
    <w:rsid w:val="00B17A32"/>
    <w:rsid w:val="00B2012C"/>
    <w:rsid w:val="00B47C80"/>
    <w:rsid w:val="00B574F5"/>
    <w:rsid w:val="00B66786"/>
    <w:rsid w:val="00B80E6C"/>
    <w:rsid w:val="00B83781"/>
    <w:rsid w:val="00B87A8B"/>
    <w:rsid w:val="00BA3721"/>
    <w:rsid w:val="00BB7465"/>
    <w:rsid w:val="00BC6B2A"/>
    <w:rsid w:val="00BD4098"/>
    <w:rsid w:val="00C2451F"/>
    <w:rsid w:val="00C54F03"/>
    <w:rsid w:val="00C62F41"/>
    <w:rsid w:val="00C7119F"/>
    <w:rsid w:val="00C80C3E"/>
    <w:rsid w:val="00C847BB"/>
    <w:rsid w:val="00CB0EAB"/>
    <w:rsid w:val="00CB42FC"/>
    <w:rsid w:val="00CC71B6"/>
    <w:rsid w:val="00CD0193"/>
    <w:rsid w:val="00CE47DF"/>
    <w:rsid w:val="00CF4F0F"/>
    <w:rsid w:val="00D04E4A"/>
    <w:rsid w:val="00D05B47"/>
    <w:rsid w:val="00D15F0A"/>
    <w:rsid w:val="00D221AB"/>
    <w:rsid w:val="00D229E3"/>
    <w:rsid w:val="00D26391"/>
    <w:rsid w:val="00D53144"/>
    <w:rsid w:val="00D62D0C"/>
    <w:rsid w:val="00D71261"/>
    <w:rsid w:val="00D75042"/>
    <w:rsid w:val="00D9533E"/>
    <w:rsid w:val="00DB30D9"/>
    <w:rsid w:val="00E07A98"/>
    <w:rsid w:val="00E14FA4"/>
    <w:rsid w:val="00E167C0"/>
    <w:rsid w:val="00E355FB"/>
    <w:rsid w:val="00E36A95"/>
    <w:rsid w:val="00E43055"/>
    <w:rsid w:val="00E444FA"/>
    <w:rsid w:val="00E51152"/>
    <w:rsid w:val="00E51C5B"/>
    <w:rsid w:val="00E5512C"/>
    <w:rsid w:val="00E7282C"/>
    <w:rsid w:val="00E915BD"/>
    <w:rsid w:val="00E96E72"/>
    <w:rsid w:val="00EB3E69"/>
    <w:rsid w:val="00EB4931"/>
    <w:rsid w:val="00EC5081"/>
    <w:rsid w:val="00ED107F"/>
    <w:rsid w:val="00EE195E"/>
    <w:rsid w:val="00EF4975"/>
    <w:rsid w:val="00EF6B2D"/>
    <w:rsid w:val="00F02726"/>
    <w:rsid w:val="00F13A2F"/>
    <w:rsid w:val="00F242C6"/>
    <w:rsid w:val="00F24ABA"/>
    <w:rsid w:val="00F2700E"/>
    <w:rsid w:val="00F353D6"/>
    <w:rsid w:val="00F46134"/>
    <w:rsid w:val="00F554A1"/>
    <w:rsid w:val="00F927DA"/>
    <w:rsid w:val="00F9324D"/>
    <w:rsid w:val="00F93977"/>
    <w:rsid w:val="00F94E08"/>
    <w:rsid w:val="00FA471B"/>
    <w:rsid w:val="00FB4D9A"/>
    <w:rsid w:val="00FD0A94"/>
    <w:rsid w:val="00FD3E36"/>
    <w:rsid w:val="00FF77FE"/>
    <w:rsid w:val="02396E74"/>
    <w:rsid w:val="03C33DA3"/>
    <w:rsid w:val="03EE22E4"/>
    <w:rsid w:val="048E509B"/>
    <w:rsid w:val="084F33CB"/>
    <w:rsid w:val="15992044"/>
    <w:rsid w:val="1937087B"/>
    <w:rsid w:val="1B1D4EBB"/>
    <w:rsid w:val="1B6961C6"/>
    <w:rsid w:val="1D736BB6"/>
    <w:rsid w:val="1DCA2E80"/>
    <w:rsid w:val="1F0D4DFE"/>
    <w:rsid w:val="1FEB5DD4"/>
    <w:rsid w:val="211300C8"/>
    <w:rsid w:val="22770C24"/>
    <w:rsid w:val="22C255C8"/>
    <w:rsid w:val="277C5757"/>
    <w:rsid w:val="32FF4F9A"/>
    <w:rsid w:val="361268B0"/>
    <w:rsid w:val="3D38450A"/>
    <w:rsid w:val="3D485717"/>
    <w:rsid w:val="3EEA7421"/>
    <w:rsid w:val="44C71617"/>
    <w:rsid w:val="44E96F36"/>
    <w:rsid w:val="4A087E3D"/>
    <w:rsid w:val="4A174DEF"/>
    <w:rsid w:val="4BF22393"/>
    <w:rsid w:val="4C0D1AE5"/>
    <w:rsid w:val="4D37050C"/>
    <w:rsid w:val="4F2C0EED"/>
    <w:rsid w:val="536E78A8"/>
    <w:rsid w:val="53816C38"/>
    <w:rsid w:val="539A2E02"/>
    <w:rsid w:val="571903F8"/>
    <w:rsid w:val="58B67EDF"/>
    <w:rsid w:val="58FF1B59"/>
    <w:rsid w:val="5D335644"/>
    <w:rsid w:val="5D7C60A8"/>
    <w:rsid w:val="610372B8"/>
    <w:rsid w:val="614D1617"/>
    <w:rsid w:val="626E0146"/>
    <w:rsid w:val="65533DD8"/>
    <w:rsid w:val="655A5EC5"/>
    <w:rsid w:val="6A4E71D1"/>
    <w:rsid w:val="70E171CD"/>
    <w:rsid w:val="71DD13DF"/>
    <w:rsid w:val="73567362"/>
    <w:rsid w:val="79B37DE1"/>
    <w:rsid w:val="7ABA6B04"/>
    <w:rsid w:val="7B2B3191"/>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qFormat="1" w:uiPriority="0" w:semiHidden="0" w:name="Body Text 2"/>
    <w:lsdException w:uiPriority="99" w:name="Body Text 3"/>
    <w:lsdException w:uiPriority="99" w:name="Body Text Indent 2"/>
    <w:lsdException w:uiPriority="99" w:name="Body Text Indent 3"/>
    <w:lsdException w:qFormat="1" w:uiPriority="99" w:semiHidden="0"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55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2"/>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after="120" w:line="360" w:lineRule="auto"/>
      <w:outlineLvl w:val="2"/>
    </w:pPr>
    <w:rPr>
      <w:rFonts w:eastAsia="黑体"/>
      <w:bCs/>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lock Text"/>
    <w:basedOn w:val="1"/>
    <w:next w:val="1"/>
    <w:unhideWhenUsed/>
    <w:qFormat/>
    <w:uiPriority w:val="99"/>
    <w:pPr>
      <w:snapToGrid w:val="0"/>
      <w:spacing w:line="408" w:lineRule="auto"/>
      <w:ind w:left="-113" w:right="-510" w:firstLine="510"/>
    </w:pPr>
    <w:rPr>
      <w:szCs w:val="20"/>
    </w:rPr>
  </w:style>
  <w:style w:type="paragraph" w:styleId="6">
    <w:name w:val="Normal Indent"/>
    <w:basedOn w:val="1"/>
    <w:link w:val="76"/>
    <w:qFormat/>
    <w:uiPriority w:val="99"/>
    <w:pPr>
      <w:ind w:firstLine="420"/>
    </w:pPr>
    <w:rPr>
      <w:szCs w:val="20"/>
    </w:rPr>
  </w:style>
  <w:style w:type="paragraph" w:styleId="7">
    <w:name w:val="annotation text"/>
    <w:basedOn w:val="1"/>
    <w:link w:val="23"/>
    <w:qFormat/>
    <w:uiPriority w:val="0"/>
    <w:pPr>
      <w:jc w:val="left"/>
    </w:pPr>
  </w:style>
  <w:style w:type="paragraph" w:styleId="8">
    <w:name w:val="Body Text"/>
    <w:basedOn w:val="1"/>
    <w:link w:val="24"/>
    <w:qFormat/>
    <w:uiPriority w:val="0"/>
    <w:pPr>
      <w:spacing w:after="120"/>
    </w:pPr>
  </w:style>
  <w:style w:type="paragraph" w:styleId="9">
    <w:name w:val="Body Text Indent"/>
    <w:basedOn w:val="1"/>
    <w:link w:val="79"/>
    <w:semiHidden/>
    <w:unhideWhenUsed/>
    <w:qFormat/>
    <w:uiPriority w:val="99"/>
    <w:pPr>
      <w:spacing w:after="120"/>
      <w:ind w:left="420" w:leftChars="200"/>
    </w:pPr>
  </w:style>
  <w:style w:type="paragraph" w:styleId="10">
    <w:name w:val="Balloon Text"/>
    <w:basedOn w:val="1"/>
    <w:link w:val="29"/>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2"/>
    <w:basedOn w:val="1"/>
    <w:link w:val="77"/>
    <w:unhideWhenUsed/>
    <w:qFormat/>
    <w:uiPriority w:val="0"/>
    <w:pPr>
      <w:spacing w:after="120" w:line="480" w:lineRule="auto"/>
    </w:pPr>
    <w:rPr>
      <w:rFonts w:ascii="Calibri" w:hAnsi="Calibri"/>
      <w:szCs w:val="22"/>
      <w:lang w:val="zh-CN"/>
    </w:rPr>
  </w:style>
  <w:style w:type="paragraph" w:styleId="14">
    <w:name w:val="Body Text First Indent 2"/>
    <w:basedOn w:val="1"/>
    <w:next w:val="1"/>
    <w:link w:val="80"/>
    <w:semiHidden/>
    <w:unhideWhenUsed/>
    <w:qFormat/>
    <w:uiPriority w:val="99"/>
    <w:pPr>
      <w:ind w:firstLine="420"/>
    </w:pPr>
  </w:style>
  <w:style w:type="table" w:styleId="16">
    <w:name w:val="Table Grid"/>
    <w:basedOn w:val="15"/>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bCs/>
    </w:rPr>
  </w:style>
  <w:style w:type="paragraph" w:customStyle="1" w:styleId="19">
    <w:name w:val="表头"/>
    <w:basedOn w:val="1"/>
    <w:link w:val="21"/>
    <w:qFormat/>
    <w:uiPriority w:val="0"/>
    <w:pPr>
      <w:jc w:val="center"/>
    </w:pPr>
    <w:rPr>
      <w:rFonts w:ascii="宋体" w:hAnsi="宋体" w:eastAsia="Times New Roman"/>
      <w:b/>
      <w:color w:val="000000"/>
      <w:szCs w:val="20"/>
    </w:rPr>
  </w:style>
  <w:style w:type="paragraph" w:customStyle="1" w:styleId="20">
    <w:name w:val="表格"/>
    <w:qFormat/>
    <w:uiPriority w:val="0"/>
    <w:pPr>
      <w:spacing w:line="360" w:lineRule="exact"/>
      <w:jc w:val="center"/>
    </w:pPr>
    <w:rPr>
      <w:rFonts w:ascii="Times New Roman" w:hAnsi="Times New Roman" w:eastAsia="宋体" w:cs="Times New Roman"/>
      <w:sz w:val="21"/>
      <w:lang w:val="en-US" w:eastAsia="zh-CN" w:bidi="ar-SA"/>
    </w:rPr>
  </w:style>
  <w:style w:type="character" w:customStyle="1" w:styleId="21">
    <w:name w:val="表头 Char"/>
    <w:basedOn w:val="17"/>
    <w:link w:val="19"/>
    <w:qFormat/>
    <w:uiPriority w:val="0"/>
    <w:rPr>
      <w:rFonts w:ascii="宋体" w:hAnsi="宋体" w:eastAsia="Times New Roman"/>
      <w:b/>
      <w:color w:val="000000"/>
      <w:kern w:val="2"/>
      <w:sz w:val="21"/>
    </w:rPr>
  </w:style>
  <w:style w:type="character" w:customStyle="1" w:styleId="22">
    <w:name w:val="标题 2 Char"/>
    <w:basedOn w:val="17"/>
    <w:link w:val="4"/>
    <w:semiHidden/>
    <w:qFormat/>
    <w:uiPriority w:val="0"/>
    <w:rPr>
      <w:rFonts w:ascii="Arial" w:hAnsi="Arial" w:eastAsia="黑体"/>
      <w:b/>
      <w:bCs/>
      <w:kern w:val="2"/>
      <w:sz w:val="32"/>
      <w:szCs w:val="32"/>
      <w:lang w:val="en-US" w:eastAsia="zh-CN" w:bidi="ar-SA"/>
    </w:rPr>
  </w:style>
  <w:style w:type="character" w:customStyle="1" w:styleId="23">
    <w:name w:val="批注文字 Char"/>
    <w:basedOn w:val="17"/>
    <w:link w:val="7"/>
    <w:semiHidden/>
    <w:qFormat/>
    <w:uiPriority w:val="0"/>
    <w:rPr>
      <w:kern w:val="2"/>
      <w:sz w:val="21"/>
      <w:szCs w:val="24"/>
    </w:rPr>
  </w:style>
  <w:style w:type="character" w:customStyle="1" w:styleId="24">
    <w:name w:val="正文文本 Char"/>
    <w:basedOn w:val="17"/>
    <w:link w:val="8"/>
    <w:semiHidden/>
    <w:qFormat/>
    <w:uiPriority w:val="0"/>
    <w:rPr>
      <w:rFonts w:eastAsia="宋体"/>
      <w:kern w:val="2"/>
      <w:sz w:val="21"/>
      <w:szCs w:val="24"/>
      <w:lang w:val="en-US" w:eastAsia="zh-CN" w:bidi="ar-SA"/>
    </w:rPr>
  </w:style>
  <w:style w:type="character" w:customStyle="1" w:styleId="25">
    <w:name w:val="正文文本缩进 Char"/>
    <w:basedOn w:val="17"/>
    <w:link w:val="26"/>
    <w:semiHidden/>
    <w:qFormat/>
    <w:uiPriority w:val="0"/>
    <w:rPr>
      <w:rFonts w:eastAsia="宋体"/>
      <w:kern w:val="2"/>
      <w:sz w:val="28"/>
      <w:lang w:val="en-US" w:eastAsia="zh-CN" w:bidi="ar-SA"/>
    </w:rPr>
  </w:style>
  <w:style w:type="paragraph" w:customStyle="1" w:styleId="26">
    <w:name w:val="正文文本缩进1"/>
    <w:basedOn w:val="8"/>
    <w:link w:val="25"/>
    <w:qFormat/>
    <w:uiPriority w:val="0"/>
    <w:pPr>
      <w:spacing w:after="0" w:line="500" w:lineRule="exact"/>
      <w:ind w:firstLine="560"/>
    </w:pPr>
    <w:rPr>
      <w:sz w:val="28"/>
    </w:rPr>
  </w:style>
  <w:style w:type="character" w:customStyle="1" w:styleId="27">
    <w:name w:val="纯文本 Char"/>
    <w:basedOn w:val="17"/>
    <w:link w:val="28"/>
    <w:semiHidden/>
    <w:qFormat/>
    <w:uiPriority w:val="0"/>
    <w:rPr>
      <w:rFonts w:ascii="宋体" w:hAnsi="Courier New" w:eastAsia="宋体" w:cs="Courier New"/>
      <w:kern w:val="2"/>
      <w:sz w:val="21"/>
      <w:szCs w:val="21"/>
      <w:lang w:val="en-US" w:eastAsia="zh-CN" w:bidi="ar-SA"/>
    </w:rPr>
  </w:style>
  <w:style w:type="paragraph" w:customStyle="1" w:styleId="28">
    <w:name w:val="纯文本1"/>
    <w:basedOn w:val="1"/>
    <w:link w:val="27"/>
    <w:qFormat/>
    <w:uiPriority w:val="0"/>
    <w:pPr>
      <w:tabs>
        <w:tab w:val="left" w:pos="1080"/>
      </w:tabs>
    </w:pPr>
    <w:rPr>
      <w:rFonts w:ascii="宋体" w:hAnsi="Courier New" w:cs="Courier New"/>
      <w:szCs w:val="21"/>
    </w:rPr>
  </w:style>
  <w:style w:type="character" w:customStyle="1" w:styleId="29">
    <w:name w:val="批注框文本 Char"/>
    <w:basedOn w:val="17"/>
    <w:link w:val="10"/>
    <w:semiHidden/>
    <w:qFormat/>
    <w:uiPriority w:val="0"/>
    <w:rPr>
      <w:kern w:val="2"/>
      <w:sz w:val="18"/>
      <w:szCs w:val="18"/>
    </w:rPr>
  </w:style>
  <w:style w:type="paragraph" w:customStyle="1" w:styleId="30">
    <w:name w:val="正文文本缩进2"/>
    <w:basedOn w:val="1"/>
    <w:link w:val="71"/>
    <w:qFormat/>
    <w:uiPriority w:val="0"/>
    <w:pPr>
      <w:spacing w:after="120"/>
      <w:ind w:left="420" w:leftChars="200"/>
    </w:pPr>
  </w:style>
  <w:style w:type="paragraph" w:customStyle="1" w:styleId="31">
    <w:name w:val="批注主题1"/>
    <w:basedOn w:val="7"/>
    <w:next w:val="7"/>
    <w:link w:val="68"/>
    <w:qFormat/>
    <w:uiPriority w:val="0"/>
    <w:rPr>
      <w:b/>
      <w:bCs/>
    </w:rPr>
  </w:style>
  <w:style w:type="paragraph" w:customStyle="1" w:styleId="32">
    <w:name w:val="正文首行缩进1"/>
    <w:basedOn w:val="8"/>
    <w:qFormat/>
    <w:uiPriority w:val="0"/>
    <w:pPr>
      <w:ind w:firstLine="420" w:firstLineChars="100"/>
    </w:pPr>
  </w:style>
  <w:style w:type="paragraph" w:customStyle="1" w:styleId="33">
    <w:name w:val="正文缩进1"/>
    <w:basedOn w:val="1"/>
    <w:qFormat/>
    <w:uiPriority w:val="0"/>
    <w:pPr>
      <w:ind w:firstLine="420"/>
    </w:pPr>
  </w:style>
  <w:style w:type="paragraph" w:customStyle="1" w:styleId="34">
    <w:name w:val="文档结构图1"/>
    <w:basedOn w:val="1"/>
    <w:qFormat/>
    <w:uiPriority w:val="0"/>
    <w:pPr>
      <w:shd w:val="clear" w:color="auto" w:fill="000080"/>
    </w:pPr>
  </w:style>
  <w:style w:type="paragraph" w:customStyle="1" w:styleId="35">
    <w:name w:val="日期1"/>
    <w:basedOn w:val="1"/>
    <w:next w:val="1"/>
    <w:qFormat/>
    <w:uiPriority w:val="0"/>
    <w:rPr>
      <w:szCs w:val="20"/>
    </w:rPr>
  </w:style>
  <w:style w:type="paragraph" w:customStyle="1" w:styleId="36">
    <w:name w:val="正文文本缩进 21"/>
    <w:basedOn w:val="1"/>
    <w:qFormat/>
    <w:uiPriority w:val="0"/>
    <w:pPr>
      <w:spacing w:after="120" w:line="480" w:lineRule="auto"/>
      <w:ind w:left="420" w:leftChars="200"/>
    </w:pPr>
  </w:style>
  <w:style w:type="paragraph" w:customStyle="1" w:styleId="37">
    <w:name w:val="列表1"/>
    <w:basedOn w:val="1"/>
    <w:qFormat/>
    <w:uiPriority w:val="0"/>
    <w:pPr>
      <w:jc w:val="center"/>
    </w:pPr>
    <w:rPr>
      <w:rFonts w:ascii="宋体"/>
      <w:color w:val="000000"/>
      <w:szCs w:val="20"/>
    </w:rPr>
  </w:style>
  <w:style w:type="paragraph" w:customStyle="1" w:styleId="38">
    <w:name w:val="Char1"/>
    <w:basedOn w:val="1"/>
    <w:next w:val="1"/>
    <w:qFormat/>
    <w:uiPriority w:val="0"/>
    <w:pPr>
      <w:spacing w:line="360" w:lineRule="auto"/>
      <w:ind w:firstLine="200"/>
    </w:pPr>
    <w:rPr>
      <w:rFonts w:ascii="宋体" w:hAnsi="宋体" w:cs="宋体"/>
    </w:rPr>
  </w:style>
  <w:style w:type="paragraph" w:customStyle="1" w:styleId="39">
    <w:name w:val="表格文字/18"/>
    <w:basedOn w:val="1"/>
    <w:qFormat/>
    <w:uiPriority w:val="0"/>
    <w:pPr>
      <w:adjustRightInd w:val="0"/>
      <w:snapToGrid w:val="0"/>
      <w:spacing w:line="360" w:lineRule="exact"/>
      <w:jc w:val="center"/>
    </w:pPr>
    <w:rPr>
      <w:color w:val="000000"/>
      <w:kern w:val="32"/>
      <w:szCs w:val="20"/>
    </w:rPr>
  </w:style>
  <w:style w:type="paragraph" w:customStyle="1" w:styleId="40">
    <w:name w:val="Char3"/>
    <w:basedOn w:val="1"/>
    <w:next w:val="1"/>
    <w:qFormat/>
    <w:uiPriority w:val="0"/>
    <w:pPr>
      <w:spacing w:line="360" w:lineRule="auto"/>
      <w:ind w:firstLine="200"/>
    </w:pPr>
    <w:rPr>
      <w:rFonts w:ascii="宋体" w:hAnsi="宋体" w:cs="宋体"/>
    </w:rPr>
  </w:style>
  <w:style w:type="paragraph" w:customStyle="1" w:styleId="41">
    <w:name w:val="Char11"/>
    <w:basedOn w:val="1"/>
    <w:qFormat/>
    <w:uiPriority w:val="0"/>
    <w:pPr>
      <w:spacing w:line="360" w:lineRule="auto"/>
      <w:ind w:firstLine="200"/>
    </w:pPr>
    <w:rPr>
      <w:rFonts w:ascii="宋体" w:hAnsi="宋体" w:cs="宋体"/>
    </w:rPr>
  </w:style>
  <w:style w:type="paragraph" w:customStyle="1" w:styleId="42">
    <w:name w:val="宋小4+25"/>
    <w:basedOn w:val="1"/>
    <w:qFormat/>
    <w:uiPriority w:val="0"/>
    <w:pPr>
      <w:adjustRightInd w:val="0"/>
      <w:snapToGrid w:val="0"/>
      <w:spacing w:line="500" w:lineRule="exact"/>
      <w:ind w:firstLine="200"/>
      <w:jc w:val="left"/>
    </w:pPr>
  </w:style>
  <w:style w:type="paragraph" w:customStyle="1" w:styleId="43">
    <w:name w:val="zhengwen"/>
    <w:basedOn w:val="1"/>
    <w:qFormat/>
    <w:uiPriority w:val="0"/>
    <w:pPr>
      <w:spacing w:line="440" w:lineRule="exact"/>
      <w:ind w:firstLine="480"/>
    </w:pPr>
    <w:rPr>
      <w:rFonts w:hAnsi="宋体"/>
    </w:rPr>
  </w:style>
  <w:style w:type="paragraph" w:customStyle="1" w:styleId="44">
    <w:name w:val="表格内文字"/>
    <w:qFormat/>
    <w:uiPriority w:val="0"/>
    <w:pPr>
      <w:spacing w:line="360" w:lineRule="exact"/>
      <w:jc w:val="center"/>
    </w:pPr>
    <w:rPr>
      <w:rFonts w:ascii="Times New Roman" w:hAnsi="Times New Roman" w:eastAsia="Times New Roman" w:cs="Times New Roman"/>
      <w:b/>
      <w:kern w:val="2"/>
      <w:sz w:val="21"/>
      <w:szCs w:val="24"/>
      <w:lang w:val="en-US" w:eastAsia="zh-CN" w:bidi="ar-SA"/>
    </w:rPr>
  </w:style>
  <w:style w:type="paragraph" w:customStyle="1" w:styleId="45">
    <w:name w:val="Char Char Char Char Char Char Char Char Char Char"/>
    <w:basedOn w:val="1"/>
    <w:next w:val="1"/>
    <w:qFormat/>
    <w:uiPriority w:val="0"/>
    <w:pPr>
      <w:spacing w:line="360" w:lineRule="auto"/>
      <w:ind w:firstLine="200"/>
    </w:pPr>
    <w:rPr>
      <w:rFonts w:ascii="宋体" w:hAnsi="宋体" w:cs="宋体"/>
    </w:rPr>
  </w:style>
  <w:style w:type="paragraph" w:customStyle="1" w:styleId="46">
    <w:name w:val="标题HT"/>
    <w:qFormat/>
    <w:uiPriority w:val="0"/>
    <w:pPr>
      <w:snapToGrid w:val="0"/>
      <w:spacing w:line="480" w:lineRule="exact"/>
      <w:ind w:firstLine="482"/>
    </w:pPr>
    <w:rPr>
      <w:rFonts w:ascii="Arial" w:hAnsi="Arial" w:eastAsia="黑体" w:cs="Times New Roman"/>
      <w:kern w:val="2"/>
      <w:sz w:val="24"/>
      <w:szCs w:val="24"/>
      <w:lang w:val="en-US" w:eastAsia="zh-CN" w:bidi="ar-SA"/>
    </w:rPr>
  </w:style>
  <w:style w:type="paragraph" w:customStyle="1" w:styleId="47">
    <w:name w:val="表格内容5号"/>
    <w:link w:val="66"/>
    <w:qFormat/>
    <w:uiPriority w:val="0"/>
    <w:pPr>
      <w:widowControl w:val="0"/>
      <w:snapToGrid w:val="0"/>
      <w:spacing w:line="240" w:lineRule="atLeast"/>
      <w:jc w:val="center"/>
    </w:pPr>
    <w:rPr>
      <w:rFonts w:ascii="Times New Roman" w:hAnsi="Times New Roman" w:eastAsia="宋体" w:cs="Times New Roman"/>
      <w:kern w:val="2"/>
      <w:sz w:val="21"/>
      <w:szCs w:val="24"/>
      <w:lang w:val="en-US" w:eastAsia="zh-CN" w:bidi="ar-SA"/>
    </w:rPr>
  </w:style>
  <w:style w:type="paragraph" w:customStyle="1" w:styleId="48">
    <w:name w:val="列出段落1"/>
    <w:basedOn w:val="1"/>
    <w:qFormat/>
    <w:uiPriority w:val="0"/>
    <w:pPr>
      <w:ind w:firstLine="420"/>
    </w:pPr>
    <w:rPr>
      <w:rFonts w:ascii="Calibri" w:hAnsi="Calibri"/>
      <w:szCs w:val="22"/>
    </w:rPr>
  </w:style>
  <w:style w:type="paragraph" w:customStyle="1" w:styleId="49">
    <w:name w:val="正文内容"/>
    <w:link w:val="70"/>
    <w:qFormat/>
    <w:uiPriority w:val="0"/>
    <w:pPr>
      <w:widowControl w:val="0"/>
      <w:snapToGrid w:val="0"/>
      <w:spacing w:before="60" w:after="60" w:line="440" w:lineRule="exact"/>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50">
    <w:name w:val="Char Char Char Char"/>
    <w:basedOn w:val="1"/>
    <w:qFormat/>
    <w:uiPriority w:val="0"/>
  </w:style>
  <w:style w:type="paragraph" w:customStyle="1" w:styleId="51">
    <w:name w:val="Char Char Char1 Char Char Char Char Char Char Char Char Char Char"/>
    <w:basedOn w:val="1"/>
    <w:qFormat/>
    <w:uiPriority w:val="0"/>
    <w:pPr>
      <w:spacing w:line="360" w:lineRule="auto"/>
      <w:ind w:firstLine="200"/>
    </w:pPr>
    <w:rPr>
      <w:szCs w:val="20"/>
    </w:rPr>
  </w:style>
  <w:style w:type="paragraph" w:customStyle="1" w:styleId="52">
    <w:name w:val="Char Char Char Char Char Char Char"/>
    <w:basedOn w:val="1"/>
    <w:qFormat/>
    <w:uiPriority w:val="0"/>
  </w:style>
  <w:style w:type="paragraph" w:customStyle="1" w:styleId="53">
    <w:name w:val="表格文字0"/>
    <w:basedOn w:val="1"/>
    <w:next w:val="1"/>
    <w:qFormat/>
    <w:uiPriority w:val="0"/>
    <w:pPr>
      <w:spacing w:line="240" w:lineRule="atLeast"/>
      <w:jc w:val="center"/>
    </w:pPr>
    <w:rPr>
      <w:bCs/>
      <w:color w:val="000000"/>
      <w:kern w:val="0"/>
    </w:rPr>
  </w:style>
  <w:style w:type="paragraph" w:customStyle="1" w:styleId="54">
    <w:name w:val="表格文字1"/>
    <w:basedOn w:val="1"/>
    <w:qFormat/>
    <w:uiPriority w:val="0"/>
    <w:pPr>
      <w:tabs>
        <w:tab w:val="left" w:pos="1080"/>
      </w:tabs>
      <w:snapToGrid w:val="0"/>
      <w:spacing w:line="460" w:lineRule="exact"/>
      <w:ind w:firstLine="552"/>
    </w:pPr>
    <w:rPr>
      <w:rFonts w:ascii="仿宋_GB2312" w:eastAsia="仿宋_GB2312"/>
      <w:b/>
      <w:kern w:val="32"/>
      <w:sz w:val="28"/>
      <w:szCs w:val="28"/>
    </w:rPr>
  </w:style>
  <w:style w:type="paragraph" w:customStyle="1" w:styleId="55">
    <w:name w:val="表格文字"/>
    <w:basedOn w:val="1"/>
    <w:next w:val="1"/>
    <w:link w:val="65"/>
    <w:qFormat/>
    <w:uiPriority w:val="0"/>
    <w:pPr>
      <w:tabs>
        <w:tab w:val="left" w:pos="540"/>
        <w:tab w:val="left" w:pos="1080"/>
        <w:tab w:val="left" w:pos="1260"/>
        <w:tab w:val="left" w:pos="1440"/>
      </w:tabs>
      <w:snapToGrid w:val="0"/>
      <w:ind w:left="-298" w:leftChars="-142" w:firstLine="298" w:firstLineChars="142"/>
      <w:jc w:val="center"/>
    </w:pPr>
    <w:rPr>
      <w:rFonts w:ascii="宋体" w:hAnsi="宋体"/>
    </w:rPr>
  </w:style>
  <w:style w:type="paragraph" w:customStyle="1" w:styleId="56">
    <w:name w:val="1"/>
    <w:basedOn w:val="1"/>
    <w:qFormat/>
    <w:uiPriority w:val="0"/>
    <w:pPr>
      <w:adjustRightInd w:val="0"/>
      <w:snapToGrid w:val="0"/>
    </w:pPr>
  </w:style>
  <w:style w:type="paragraph" w:customStyle="1" w:styleId="57">
    <w:name w:val="表格文字L18"/>
    <w:basedOn w:val="1"/>
    <w:qFormat/>
    <w:uiPriority w:val="0"/>
    <w:pPr>
      <w:adjustRightInd w:val="0"/>
      <w:snapToGrid w:val="0"/>
      <w:spacing w:line="360" w:lineRule="exact"/>
      <w:jc w:val="center"/>
    </w:pPr>
    <w:rPr>
      <w:color w:val="000000"/>
      <w:kern w:val="32"/>
      <w:szCs w:val="20"/>
    </w:rPr>
  </w:style>
  <w:style w:type="paragraph" w:customStyle="1" w:styleId="58">
    <w:name w:val="li表格"/>
    <w:basedOn w:val="55"/>
    <w:next w:val="55"/>
    <w:qFormat/>
    <w:uiPriority w:val="0"/>
    <w:pPr>
      <w:tabs>
        <w:tab w:val="clear" w:pos="540"/>
        <w:tab w:val="clear" w:pos="1080"/>
        <w:tab w:val="clear" w:pos="1260"/>
        <w:tab w:val="clear" w:pos="1440"/>
      </w:tabs>
      <w:snapToGrid/>
      <w:ind w:left="0" w:leftChars="0" w:firstLine="0" w:firstLineChars="0"/>
    </w:pPr>
    <w:rPr>
      <w:rFonts w:ascii="Times New Roman" w:hAnsi="Times New Roman"/>
      <w:b/>
      <w:spacing w:val="4"/>
      <w:szCs w:val="21"/>
    </w:rPr>
  </w:style>
  <w:style w:type="paragraph" w:customStyle="1" w:styleId="59">
    <w:name w:val="Char Char Char1 Char"/>
    <w:basedOn w:val="1"/>
    <w:qFormat/>
    <w:uiPriority w:val="0"/>
    <w:pPr>
      <w:snapToGrid w:val="0"/>
      <w:spacing w:line="360" w:lineRule="auto"/>
      <w:ind w:firstLine="529"/>
    </w:pPr>
  </w:style>
  <w:style w:type="paragraph" w:customStyle="1" w:styleId="60">
    <w:name w:val="p0"/>
    <w:basedOn w:val="1"/>
    <w:qFormat/>
    <w:uiPriority w:val="0"/>
    <w:pPr>
      <w:widowControl/>
    </w:pPr>
    <w:rPr>
      <w:kern w:val="0"/>
      <w:szCs w:val="20"/>
    </w:rPr>
  </w:style>
  <w:style w:type="paragraph" w:customStyle="1" w:styleId="61">
    <w:name w:val="正文啊"/>
    <w:basedOn w:val="1"/>
    <w:link w:val="69"/>
    <w:qFormat/>
    <w:uiPriority w:val="0"/>
    <w:pPr>
      <w:spacing w:line="460" w:lineRule="exact"/>
      <w:ind w:firstLine="568"/>
    </w:pPr>
    <w:rPr>
      <w:rFonts w:ascii="仿宋_GB2312" w:eastAsia="仿宋_GB2312" w:cs="宋体"/>
      <w:b/>
      <w:bCs/>
      <w:spacing w:val="4"/>
      <w:sz w:val="28"/>
      <w:szCs w:val="28"/>
    </w:rPr>
  </w:style>
  <w:style w:type="paragraph" w:customStyle="1" w:styleId="62">
    <w:name w:val="段落"/>
    <w:basedOn w:val="1"/>
    <w:qFormat/>
    <w:uiPriority w:val="0"/>
    <w:pPr>
      <w:spacing w:line="500" w:lineRule="exact"/>
      <w:ind w:firstLine="200"/>
    </w:pPr>
    <w:rPr>
      <w:spacing w:val="10"/>
      <w:sz w:val="28"/>
      <w:szCs w:val="20"/>
    </w:rPr>
  </w:style>
  <w:style w:type="character" w:customStyle="1" w:styleId="63">
    <w:name w:val="页码1"/>
    <w:basedOn w:val="17"/>
    <w:qFormat/>
    <w:uiPriority w:val="0"/>
  </w:style>
  <w:style w:type="character" w:customStyle="1" w:styleId="64">
    <w:name w:val="批注引用1"/>
    <w:qFormat/>
    <w:uiPriority w:val="0"/>
    <w:rPr>
      <w:sz w:val="21"/>
      <w:szCs w:val="21"/>
    </w:rPr>
  </w:style>
  <w:style w:type="character" w:customStyle="1" w:styleId="65">
    <w:name w:val="表格文字 Char Char"/>
    <w:basedOn w:val="17"/>
    <w:link w:val="55"/>
    <w:semiHidden/>
    <w:qFormat/>
    <w:uiPriority w:val="0"/>
    <w:rPr>
      <w:rFonts w:ascii="宋体" w:hAnsi="宋体" w:eastAsia="宋体"/>
      <w:sz w:val="21"/>
      <w:lang w:val="en-US" w:eastAsia="zh-CN" w:bidi="ar-SA"/>
    </w:rPr>
  </w:style>
  <w:style w:type="character" w:customStyle="1" w:styleId="66">
    <w:name w:val="表格内容5号 Char Char"/>
    <w:basedOn w:val="17"/>
    <w:link w:val="47"/>
    <w:qFormat/>
    <w:uiPriority w:val="0"/>
    <w:rPr>
      <w:kern w:val="2"/>
      <w:sz w:val="21"/>
      <w:szCs w:val="24"/>
      <w:lang w:val="en-US" w:eastAsia="zh-CN" w:bidi="ar-SA"/>
    </w:rPr>
  </w:style>
  <w:style w:type="character" w:customStyle="1" w:styleId="67">
    <w:name w:val="font41"/>
    <w:basedOn w:val="17"/>
    <w:qFormat/>
    <w:uiPriority w:val="0"/>
    <w:rPr>
      <w:rFonts w:hint="eastAsia" w:ascii="宋体" w:hAnsi="宋体" w:eastAsia="宋体" w:cs="宋体"/>
      <w:color w:val="000000"/>
      <w:sz w:val="21"/>
      <w:szCs w:val="21"/>
      <w:u w:val="none"/>
      <w:vertAlign w:val="subscript"/>
    </w:rPr>
  </w:style>
  <w:style w:type="character" w:customStyle="1" w:styleId="68">
    <w:name w:val="批注主题 Char Char Char"/>
    <w:basedOn w:val="23"/>
    <w:link w:val="31"/>
    <w:semiHidden/>
    <w:qFormat/>
    <w:uiPriority w:val="0"/>
    <w:rPr>
      <w:b/>
      <w:bCs/>
    </w:rPr>
  </w:style>
  <w:style w:type="character" w:customStyle="1" w:styleId="69">
    <w:name w:val="正文啊 Char Char"/>
    <w:basedOn w:val="17"/>
    <w:link w:val="61"/>
    <w:semiHidden/>
    <w:qFormat/>
    <w:uiPriority w:val="0"/>
    <w:rPr>
      <w:rFonts w:ascii="仿宋_GB2312" w:eastAsia="仿宋_GB2312" w:cs="宋体"/>
      <w:b/>
      <w:bCs/>
      <w:spacing w:val="4"/>
      <w:sz w:val="28"/>
      <w:szCs w:val="28"/>
      <w:lang w:val="en-US" w:eastAsia="zh-CN" w:bidi="ar-SA"/>
    </w:rPr>
  </w:style>
  <w:style w:type="character" w:customStyle="1" w:styleId="70">
    <w:name w:val="正文内容 Char Char"/>
    <w:basedOn w:val="17"/>
    <w:link w:val="49"/>
    <w:qFormat/>
    <w:uiPriority w:val="0"/>
    <w:rPr>
      <w:kern w:val="2"/>
      <w:sz w:val="24"/>
      <w:szCs w:val="24"/>
      <w:lang w:val="en-US" w:eastAsia="zh-CN" w:bidi="ar-SA"/>
    </w:rPr>
  </w:style>
  <w:style w:type="character" w:customStyle="1" w:styleId="71">
    <w:name w:val="正文文本缩进 Char1"/>
    <w:basedOn w:val="17"/>
    <w:link w:val="30"/>
    <w:semiHidden/>
    <w:qFormat/>
    <w:uiPriority w:val="0"/>
    <w:rPr>
      <w:kern w:val="2"/>
      <w:sz w:val="21"/>
      <w:szCs w:val="24"/>
    </w:rPr>
  </w:style>
  <w:style w:type="character" w:customStyle="1" w:styleId="72">
    <w:name w:val="页码2"/>
    <w:basedOn w:val="17"/>
    <w:qFormat/>
    <w:uiPriority w:val="0"/>
  </w:style>
  <w:style w:type="paragraph" w:customStyle="1" w:styleId="73">
    <w:name w:val="6表内文字 居中"/>
    <w:basedOn w:val="1"/>
    <w:qFormat/>
    <w:uiPriority w:val="0"/>
    <w:pPr>
      <w:adjustRightInd w:val="0"/>
      <w:spacing w:line="240" w:lineRule="atLeast"/>
      <w:jc w:val="center"/>
      <w:textAlignment w:val="baseline"/>
    </w:pPr>
    <w:rPr>
      <w:rFonts w:ascii="宋体"/>
      <w:snapToGrid w:val="0"/>
      <w:kern w:val="0"/>
    </w:rPr>
  </w:style>
  <w:style w:type="paragraph" w:customStyle="1" w:styleId="74">
    <w:name w:val="Default"/>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customStyle="1" w:styleId="75">
    <w:name w:val="我的标题3"/>
    <w:basedOn w:val="5"/>
    <w:qFormat/>
    <w:uiPriority w:val="0"/>
    <w:pPr>
      <w:widowControl/>
      <w:adjustRightInd w:val="0"/>
      <w:snapToGrid w:val="0"/>
      <w:spacing w:before="60" w:after="60" w:line="460" w:lineRule="exact"/>
    </w:pPr>
    <w:rPr>
      <w:color w:val="000000"/>
      <w:kern w:val="0"/>
      <w:sz w:val="28"/>
      <w:szCs w:val="20"/>
    </w:rPr>
  </w:style>
  <w:style w:type="character" w:customStyle="1" w:styleId="76">
    <w:name w:val="正文缩进 Char"/>
    <w:link w:val="6"/>
    <w:qFormat/>
    <w:locked/>
    <w:uiPriority w:val="99"/>
    <w:rPr>
      <w:kern w:val="2"/>
      <w:sz w:val="24"/>
    </w:rPr>
  </w:style>
  <w:style w:type="character" w:customStyle="1" w:styleId="77">
    <w:name w:val="正文文本 2 Char"/>
    <w:basedOn w:val="17"/>
    <w:link w:val="13"/>
    <w:qFormat/>
    <w:uiPriority w:val="0"/>
    <w:rPr>
      <w:rFonts w:ascii="Calibri" w:hAnsi="Calibri"/>
      <w:kern w:val="2"/>
      <w:sz w:val="21"/>
      <w:szCs w:val="22"/>
      <w:lang w:val="zh-CN"/>
    </w:rPr>
  </w:style>
  <w:style w:type="paragraph" w:customStyle="1" w:styleId="78">
    <w:name w:val="Table Paragraph"/>
    <w:basedOn w:val="1"/>
    <w:qFormat/>
    <w:uiPriority w:val="1"/>
    <w:pPr>
      <w:jc w:val="left"/>
    </w:pPr>
    <w:rPr>
      <w:rFonts w:ascii="Calibri" w:hAnsi="Calibri"/>
      <w:b/>
      <w:kern w:val="0"/>
      <w:sz w:val="22"/>
      <w:szCs w:val="22"/>
      <w:lang w:eastAsia="en-US"/>
    </w:rPr>
  </w:style>
  <w:style w:type="character" w:customStyle="1" w:styleId="79">
    <w:name w:val="正文文本缩进 Char2"/>
    <w:basedOn w:val="17"/>
    <w:link w:val="9"/>
    <w:semiHidden/>
    <w:qFormat/>
    <w:uiPriority w:val="99"/>
    <w:rPr>
      <w:kern w:val="2"/>
      <w:sz w:val="21"/>
      <w:szCs w:val="24"/>
    </w:rPr>
  </w:style>
  <w:style w:type="character" w:customStyle="1" w:styleId="80">
    <w:name w:val="正文首行缩进 2 Char"/>
    <w:basedOn w:val="79"/>
    <w:link w:val="14"/>
    <w:semiHidden/>
    <w:qFormat/>
    <w:uiPriority w:val="99"/>
  </w:style>
  <w:style w:type="character" w:customStyle="1" w:styleId="81">
    <w:name w:val="表格文字 Char"/>
    <w:basedOn w:val="65"/>
    <w:qFormat/>
    <w:uiPriority w:val="0"/>
    <w:rPr>
      <w:rFonts w:eastAsia="Times New Roman"/>
      <w:kern w:val="2"/>
      <w:sz w:val="21"/>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1101</Words>
  <Characters>6278</Characters>
  <Lines>52</Lines>
  <Paragraphs>14</Paragraphs>
  <TotalTime>4</TotalTime>
  <ScaleCrop>false</ScaleCrop>
  <LinksUpToDate>false</LinksUpToDate>
  <CharactersWithSpaces>7365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2017-10-14T19:31:00Z</dcterms:created>
  <dc:creator>贾永森</dc:creator>
  <cp:lastModifiedBy>秊与</cp:lastModifiedBy>
  <cp:lastPrinted>2008-10-08T01:15:00Z</cp:lastPrinted>
  <dcterms:modified xsi:type="dcterms:W3CDTF">2022-03-15T01:28:46Z</dcterms:modified>
  <dc:title>Administrator</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A640981EB6FD4372A94FF59A4B977402</vt:lpwstr>
  </property>
</Properties>
</file>