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pPr>
        <w:rPr>
          <w:rFonts w:hint="eastAsia" w:cs="Times New Roman"/>
          <w:b/>
          <w:bCs/>
          <w:color w:val="auto"/>
          <w:kern w:val="0"/>
          <w:sz w:val="24"/>
          <w:szCs w:val="24"/>
          <w:u w:val="none"/>
          <w:lang w:val="en-US" w:eastAsia="zh-CN"/>
        </w:rPr>
      </w:pPr>
    </w:p>
    <w:p>
      <w:pPr>
        <w:bidi w:val="0"/>
        <w:jc w:val="center"/>
        <w:rPr>
          <w:rFonts w:hint="default"/>
          <w:b/>
          <w:bCs/>
          <w:sz w:val="36"/>
          <w:szCs w:val="36"/>
          <w:lang w:val="en-US" w:eastAsia="zh-CN"/>
        </w:rPr>
      </w:pPr>
      <w:r>
        <w:rPr>
          <w:rFonts w:hint="default"/>
          <w:b/>
          <w:bCs/>
          <w:sz w:val="36"/>
          <w:szCs w:val="36"/>
          <w:lang w:val="en-US" w:eastAsia="zh-CN"/>
        </w:rPr>
        <w:t>湖南中南制药有限责任公司环保设施升级改造项目</w:t>
      </w:r>
    </w:p>
    <w:p>
      <w:pPr>
        <w:bidi w:val="0"/>
        <w:jc w:val="center"/>
        <w:rPr>
          <w:rFonts w:hint="default"/>
          <w:b/>
          <w:bCs/>
          <w:sz w:val="36"/>
          <w:szCs w:val="36"/>
        </w:rPr>
      </w:pPr>
      <w:r>
        <w:rPr>
          <w:rFonts w:hint="default"/>
          <w:b/>
          <w:bCs/>
          <w:sz w:val="36"/>
          <w:szCs w:val="36"/>
        </w:rPr>
        <w:t>竣工环境保护验收意见</w:t>
      </w:r>
    </w:p>
    <w:p>
      <w:pPr>
        <w:bidi w:val="0"/>
        <w:rPr>
          <w:rFonts w:hint="default"/>
          <w:lang w:val="en-US" w:eastAsia="zh-CN"/>
        </w:rPr>
      </w:pPr>
    </w:p>
    <w:p>
      <w:pPr>
        <w:bidi w:val="0"/>
        <w:ind w:firstLine="480" w:firstLineChars="200"/>
        <w:rPr>
          <w:rFonts w:hint="default"/>
        </w:rPr>
      </w:pPr>
      <w:r>
        <w:rPr>
          <w:rFonts w:hint="default"/>
          <w:lang w:val="en-US" w:eastAsia="zh-CN"/>
        </w:rPr>
        <w:t>20</w:t>
      </w:r>
      <w:r>
        <w:rPr>
          <w:rFonts w:hint="eastAsia"/>
          <w:lang w:val="en-US" w:eastAsia="zh-CN"/>
        </w:rPr>
        <w:t>22</w:t>
      </w:r>
      <w:r>
        <w:rPr>
          <w:rFonts w:hint="default"/>
        </w:rPr>
        <w:t>年</w:t>
      </w:r>
      <w:r>
        <w:rPr>
          <w:rFonts w:hint="eastAsia"/>
          <w:lang w:val="en-US" w:eastAsia="zh-CN"/>
        </w:rPr>
        <w:t>3</w:t>
      </w:r>
      <w:r>
        <w:rPr>
          <w:rFonts w:hint="default"/>
        </w:rPr>
        <w:t>月</w:t>
      </w:r>
      <w:r>
        <w:rPr>
          <w:rFonts w:hint="eastAsia"/>
          <w:lang w:val="en-US" w:eastAsia="zh-CN"/>
        </w:rPr>
        <w:t>6</w:t>
      </w:r>
      <w:r>
        <w:rPr>
          <w:rFonts w:hint="default"/>
          <w:lang w:eastAsia="zh-CN"/>
        </w:rPr>
        <w:t>日</w:t>
      </w:r>
      <w:r>
        <w:rPr>
          <w:rFonts w:hint="default"/>
          <w:lang w:val="en-US" w:eastAsia="zh-CN"/>
        </w:rPr>
        <w:t>湖南中南制药有限责任公司</w:t>
      </w:r>
      <w:r>
        <w:rPr>
          <w:rFonts w:hint="default"/>
          <w:lang w:eastAsia="zh-CN"/>
        </w:rPr>
        <w:t>组织召开了</w:t>
      </w:r>
      <w:r>
        <w:rPr>
          <w:rFonts w:hint="default"/>
          <w:lang w:val="en-US" w:eastAsia="zh-CN"/>
        </w:rPr>
        <w:t>环保设施升级改造项目</w:t>
      </w:r>
      <w:r>
        <w:rPr>
          <w:rFonts w:hint="default"/>
          <w:lang w:eastAsia="zh-CN"/>
        </w:rPr>
        <w:t>竣工环境</w:t>
      </w:r>
      <w:r>
        <w:rPr>
          <w:rFonts w:hint="eastAsia"/>
          <w:lang w:val="en-US" w:eastAsia="zh-CN"/>
        </w:rPr>
        <w:t>保护</w:t>
      </w:r>
      <w:r>
        <w:rPr>
          <w:rFonts w:hint="default"/>
          <w:lang w:eastAsia="zh-CN"/>
        </w:rPr>
        <w:t>验收会议，参加会议的有三位专家、邵阳</w:t>
      </w:r>
      <w:r>
        <w:rPr>
          <w:rFonts w:hint="eastAsia"/>
          <w:lang w:val="en-US" w:eastAsia="zh-CN"/>
        </w:rPr>
        <w:t>市生态</w:t>
      </w:r>
      <w:r>
        <w:rPr>
          <w:rFonts w:hint="default"/>
          <w:lang w:eastAsia="zh-CN"/>
        </w:rPr>
        <w:t>环境局</w:t>
      </w:r>
      <w:r>
        <w:rPr>
          <w:rFonts w:hint="eastAsia"/>
          <w:lang w:eastAsia="zh-CN"/>
        </w:rPr>
        <w:t>、</w:t>
      </w:r>
      <w:r>
        <w:rPr>
          <w:rFonts w:hint="eastAsia"/>
          <w:lang w:val="en-US" w:eastAsia="zh-CN"/>
        </w:rPr>
        <w:t>邵阳市生态环境局双清分局</w:t>
      </w:r>
      <w:r>
        <w:rPr>
          <w:rFonts w:hint="default"/>
          <w:lang w:eastAsia="zh-CN"/>
        </w:rPr>
        <w:t>等单位的领导和代表（名单附后）。与会代表查看了项目的现场，听取了建设单位和验收监测单位关于该项目竣工环境保护验收有关情况的介绍，审阅了项目竣工</w:t>
      </w:r>
      <w:r>
        <w:rPr>
          <w:rFonts w:hint="eastAsia"/>
          <w:lang w:val="en-US" w:eastAsia="zh-CN"/>
        </w:rPr>
        <w:t>环境保护</w:t>
      </w:r>
      <w:r>
        <w:rPr>
          <w:rFonts w:hint="default"/>
          <w:lang w:eastAsia="zh-CN"/>
        </w:rPr>
        <w:t>验收资料，</w:t>
      </w:r>
      <w:r>
        <w:rPr>
          <w:rFonts w:hint="default"/>
        </w:rPr>
        <w:t>严格依照国家有关法律法规、建设项目竣工环境保护验收技术规范、项目环境影响评价报告表和审批部门审批决定等要求对本项目进行验收</w:t>
      </w:r>
      <w:r>
        <w:rPr>
          <w:rFonts w:hint="default"/>
          <w:lang w:eastAsia="zh-CN"/>
        </w:rPr>
        <w:t>。提出意见如下：</w:t>
      </w:r>
    </w:p>
    <w:p>
      <w:pPr>
        <w:bidi w:val="0"/>
        <w:ind w:firstLine="480" w:firstLineChars="200"/>
        <w:rPr>
          <w:rFonts w:hint="default"/>
          <w:lang w:val="en-US" w:eastAsia="zh-CN"/>
        </w:rPr>
      </w:pPr>
      <w:r>
        <w:rPr>
          <w:rFonts w:hint="default"/>
          <w:lang w:val="en-US" w:eastAsia="zh-CN"/>
        </w:rPr>
        <w:t>一、工程建设基本情况</w:t>
      </w:r>
    </w:p>
    <w:p>
      <w:pPr>
        <w:bidi w:val="0"/>
        <w:ind w:firstLine="480" w:firstLineChars="200"/>
        <w:rPr>
          <w:rFonts w:hint="default"/>
          <w:lang w:val="en-US" w:eastAsia="zh-CN"/>
        </w:rPr>
      </w:pPr>
      <w:r>
        <w:rPr>
          <w:rFonts w:hint="default"/>
          <w:lang w:val="en-US" w:eastAsia="zh-CN"/>
        </w:rPr>
        <w:t>（一）建设地点、规模、主要建设内容</w:t>
      </w:r>
    </w:p>
    <w:p>
      <w:pPr>
        <w:bidi w:val="0"/>
        <w:ind w:firstLine="480" w:firstLineChars="200"/>
        <w:rPr>
          <w:rFonts w:hint="default"/>
          <w:lang w:val="en-US" w:eastAsia="zh-CN"/>
        </w:rPr>
      </w:pPr>
      <w:r>
        <w:rPr>
          <w:rFonts w:hint="default"/>
        </w:rPr>
        <w:t>本项目位于邵阳市双清区战备路旁（龙须塘老工业区）</w:t>
      </w:r>
      <w:r>
        <w:rPr>
          <w:rFonts w:hint="default"/>
          <w:lang w:val="en-US" w:eastAsia="zh-CN"/>
        </w:rPr>
        <w:t>湖南中南制药有限责任公司</w:t>
      </w:r>
      <w:r>
        <w:rPr>
          <w:rFonts w:hint="eastAsia"/>
          <w:lang w:val="en-US" w:eastAsia="zh-CN"/>
        </w:rPr>
        <w:t>内</w:t>
      </w:r>
      <w:r>
        <w:rPr>
          <w:rFonts w:hint="default"/>
        </w:rPr>
        <w:t>，</w:t>
      </w:r>
      <w:r>
        <w:rPr>
          <w:rFonts w:hint="default"/>
          <w:lang w:val="en-US" w:eastAsia="zh-CN"/>
        </w:rPr>
        <w:t>利用湖南中南制药有限责任公司</w:t>
      </w:r>
      <w:r>
        <w:rPr>
          <w:rFonts w:hint="eastAsia"/>
          <w:lang w:val="en-US" w:eastAsia="zh-CN"/>
        </w:rPr>
        <w:t>现有场地，项目</w:t>
      </w:r>
      <w:r>
        <w:rPr>
          <w:rFonts w:hint="default"/>
        </w:rPr>
        <w:t>于20</w:t>
      </w:r>
      <w:r>
        <w:rPr>
          <w:rFonts w:hint="default"/>
          <w:lang w:val="en-US" w:eastAsia="zh-CN"/>
        </w:rPr>
        <w:t>2</w:t>
      </w:r>
      <w:r>
        <w:rPr>
          <w:rFonts w:hint="eastAsia"/>
          <w:lang w:val="en-US" w:eastAsia="zh-CN"/>
        </w:rPr>
        <w:t>0</w:t>
      </w:r>
      <w:r>
        <w:rPr>
          <w:rFonts w:hint="default"/>
        </w:rPr>
        <w:t>年</w:t>
      </w:r>
      <w:r>
        <w:rPr>
          <w:rFonts w:hint="eastAsia"/>
          <w:lang w:val="en-US" w:eastAsia="zh-CN"/>
        </w:rPr>
        <w:t>5</w:t>
      </w:r>
      <w:r>
        <w:rPr>
          <w:rFonts w:hint="default"/>
          <w:lang w:val="en-US" w:eastAsia="zh-CN"/>
        </w:rPr>
        <w:t>月开始建设，2021年</w:t>
      </w:r>
      <w:r>
        <w:rPr>
          <w:rFonts w:hint="eastAsia"/>
          <w:lang w:val="en-US" w:eastAsia="zh-CN"/>
        </w:rPr>
        <w:t>3</w:t>
      </w:r>
      <w:r>
        <w:rPr>
          <w:rFonts w:hint="default"/>
          <w:lang w:val="en-US" w:eastAsia="zh-CN"/>
        </w:rPr>
        <w:t>月</w:t>
      </w:r>
      <w:r>
        <w:rPr>
          <w:rFonts w:hint="eastAsia"/>
          <w:lang w:val="en-US" w:eastAsia="zh-CN"/>
        </w:rPr>
        <w:t>基本</w:t>
      </w:r>
      <w:r>
        <w:rPr>
          <w:rFonts w:hint="default"/>
        </w:rPr>
        <w:t>建成</w:t>
      </w:r>
      <w:r>
        <w:rPr>
          <w:rFonts w:hint="eastAsia"/>
          <w:lang w:val="en-US" w:eastAsia="zh-CN"/>
        </w:rPr>
        <w:t>投入运行，2022年1月公司备用RTO焚烧设备已安装并进行检测。</w:t>
      </w:r>
      <w:r>
        <w:rPr>
          <w:rFonts w:hint="default"/>
        </w:rPr>
        <w:t>项目</w:t>
      </w:r>
      <w:r>
        <w:rPr>
          <w:rFonts w:hint="eastAsia"/>
          <w:lang w:val="en-US" w:eastAsia="zh-CN"/>
        </w:rPr>
        <w:t>总</w:t>
      </w:r>
      <w:r>
        <w:rPr>
          <w:rFonts w:hint="default"/>
          <w:lang w:val="en-US" w:eastAsia="zh-CN"/>
        </w:rPr>
        <w:t>投资4</w:t>
      </w:r>
      <w:r>
        <w:rPr>
          <w:rFonts w:hint="eastAsia"/>
          <w:lang w:val="en-US" w:eastAsia="zh-CN"/>
        </w:rPr>
        <w:t>5</w:t>
      </w:r>
      <w:r>
        <w:rPr>
          <w:rFonts w:hint="default"/>
          <w:lang w:val="en-US" w:eastAsia="zh-CN"/>
        </w:rPr>
        <w:t>00万元（其中环保投资</w:t>
      </w:r>
      <w:r>
        <w:rPr>
          <w:rFonts w:hint="eastAsia"/>
          <w:lang w:val="en-US" w:eastAsia="zh-CN"/>
        </w:rPr>
        <w:t>400</w:t>
      </w:r>
      <w:r>
        <w:rPr>
          <w:rFonts w:hint="default"/>
          <w:lang w:val="en-US" w:eastAsia="zh-CN"/>
        </w:rPr>
        <w:t>0万元）</w:t>
      </w:r>
      <w:r>
        <w:rPr>
          <w:rFonts w:hint="default"/>
          <w:lang w:eastAsia="zh-CN"/>
        </w:rPr>
        <w:t>，</w:t>
      </w:r>
      <w:r>
        <w:rPr>
          <w:rFonts w:hint="default"/>
        </w:rPr>
        <w:t>由主体工程、</w:t>
      </w:r>
      <w:r>
        <w:rPr>
          <w:rFonts w:hint="default"/>
          <w:lang w:val="en-US" w:eastAsia="zh-CN"/>
        </w:rPr>
        <w:t>辅助工程、</w:t>
      </w:r>
      <w:r>
        <w:rPr>
          <w:rFonts w:hint="eastAsia"/>
          <w:lang w:val="en-US" w:eastAsia="zh-CN"/>
        </w:rPr>
        <w:t>仓储</w:t>
      </w:r>
      <w:r>
        <w:rPr>
          <w:rFonts w:hint="default"/>
          <w:lang w:val="en-US" w:eastAsia="zh-CN"/>
        </w:rPr>
        <w:t>工程、公用工程</w:t>
      </w:r>
      <w:r>
        <w:rPr>
          <w:rFonts w:hint="eastAsia"/>
          <w:lang w:val="en-US" w:eastAsia="zh-CN"/>
        </w:rPr>
        <w:t>组成</w:t>
      </w:r>
      <w:r>
        <w:rPr>
          <w:rFonts w:hint="default"/>
          <w:lang w:val="en-US" w:eastAsia="zh-CN"/>
        </w:rPr>
        <w:t>，其中</w:t>
      </w:r>
      <w:r>
        <w:rPr>
          <w:rFonts w:hint="eastAsia"/>
          <w:lang w:val="en-US" w:eastAsia="zh-CN"/>
        </w:rPr>
        <w:t>包括有机废气集中处理的蓄热式焚烧炉系统、生产废气收集管网、</w:t>
      </w:r>
      <w:r>
        <w:rPr>
          <w:rFonts w:hint="default"/>
          <w:lang w:val="en-US" w:eastAsia="zh-CN"/>
        </w:rPr>
        <w:t>污水处理系统</w:t>
      </w:r>
      <w:r>
        <w:rPr>
          <w:rFonts w:hint="eastAsia"/>
          <w:lang w:val="en-US" w:eastAsia="zh-CN"/>
        </w:rPr>
        <w:t>、</w:t>
      </w:r>
      <w:r>
        <w:rPr>
          <w:rFonts w:hint="default"/>
          <w:lang w:val="en-US" w:eastAsia="zh-CN"/>
        </w:rPr>
        <w:t>废溶剂</w:t>
      </w:r>
      <w:r>
        <w:rPr>
          <w:rFonts w:hint="eastAsia"/>
          <w:lang w:val="en-US" w:eastAsia="zh-CN"/>
        </w:rPr>
        <w:t>回收</w:t>
      </w:r>
      <w:r>
        <w:rPr>
          <w:rFonts w:hint="default"/>
          <w:lang w:val="en-US" w:eastAsia="zh-CN"/>
        </w:rPr>
        <w:t>处理系统</w:t>
      </w:r>
      <w:r>
        <w:rPr>
          <w:rFonts w:hint="eastAsia"/>
          <w:lang w:val="en-US" w:eastAsia="zh-CN"/>
        </w:rPr>
        <w:t>、天然气管道、天然气锅炉等</w:t>
      </w:r>
      <w:r>
        <w:rPr>
          <w:rFonts w:hint="default"/>
          <w:lang w:val="en-US" w:eastAsia="zh-CN"/>
        </w:rPr>
        <w:t>。</w:t>
      </w:r>
    </w:p>
    <w:p>
      <w:pPr>
        <w:bidi w:val="0"/>
        <w:ind w:firstLine="480" w:firstLineChars="200"/>
        <w:rPr>
          <w:rFonts w:hint="default"/>
          <w:lang w:val="en-US" w:eastAsia="zh-CN"/>
        </w:rPr>
      </w:pPr>
      <w:r>
        <w:rPr>
          <w:rFonts w:hint="default"/>
          <w:lang w:val="en-US" w:eastAsia="zh-CN"/>
        </w:rPr>
        <w:t>（二）建设过程及环保审批情况</w:t>
      </w:r>
    </w:p>
    <w:p>
      <w:pPr>
        <w:bidi w:val="0"/>
        <w:ind w:firstLine="480" w:firstLineChars="200"/>
        <w:rPr>
          <w:rFonts w:hint="default"/>
          <w:lang w:val="en-US" w:eastAsia="zh-CN"/>
        </w:rPr>
      </w:pPr>
      <w:r>
        <w:rPr>
          <w:rFonts w:hint="default"/>
          <w:lang w:val="en-US" w:eastAsia="zh-CN"/>
        </w:rPr>
        <w:t>2020年</w:t>
      </w:r>
      <w:r>
        <w:rPr>
          <w:rFonts w:hint="eastAsia"/>
          <w:lang w:val="en-US" w:eastAsia="zh-CN"/>
        </w:rPr>
        <w:t>3</w:t>
      </w:r>
      <w:r>
        <w:rPr>
          <w:rFonts w:hint="default"/>
          <w:lang w:val="en-US" w:eastAsia="zh-CN"/>
        </w:rPr>
        <w:t>月，公司委托湖南葆华环保有限公司编制了《湖南中南制药有限责任公司环保设施升级改造项目环境影响报告书》并于2020年4月24日取得邵阳市生态环境局环评批复（邵市环评〔2020〕15号）。</w:t>
      </w:r>
    </w:p>
    <w:p>
      <w:pPr>
        <w:bidi w:val="0"/>
        <w:ind w:firstLine="482" w:firstLineChars="200"/>
        <w:rPr>
          <w:rFonts w:hint="default"/>
          <w:lang w:val="en-US" w:eastAsia="zh-CN"/>
        </w:rPr>
      </w:pPr>
      <w:r>
        <w:rPr>
          <w:rFonts w:hint="default"/>
          <w:b/>
          <w:bCs/>
          <w:lang w:val="en-US" w:eastAsia="zh-CN"/>
        </w:rPr>
        <w:t>验收范围</w:t>
      </w:r>
    </w:p>
    <w:p>
      <w:pPr>
        <w:bidi w:val="0"/>
        <w:ind w:firstLine="480" w:firstLineChars="200"/>
        <w:rPr>
          <w:rFonts w:hint="eastAsia"/>
          <w:lang w:val="en-US" w:eastAsia="zh-CN"/>
        </w:rPr>
      </w:pPr>
      <w:r>
        <w:rPr>
          <w:rFonts w:hint="default"/>
          <w:lang w:eastAsia="zh-CN"/>
        </w:rPr>
        <w:t>本</w:t>
      </w:r>
      <w:r>
        <w:rPr>
          <w:rFonts w:hint="eastAsia"/>
          <w:lang w:val="en-US" w:eastAsia="zh-CN"/>
        </w:rPr>
        <w:t>技改</w:t>
      </w:r>
      <w:r>
        <w:rPr>
          <w:rFonts w:hint="default"/>
          <w:lang w:eastAsia="zh-CN"/>
        </w:rPr>
        <w:t>项目的主体工程及配套设施、污染防治设施、环保管理制度以及污染物排放情况</w:t>
      </w:r>
      <w:r>
        <w:rPr>
          <w:rFonts w:hint="default"/>
          <w:lang w:val="en-US" w:eastAsia="zh-CN"/>
        </w:rPr>
        <w:t>。公司排污许可证（编号：914305007367849958001P）已于2020年12月23日获得延续批准</w:t>
      </w:r>
      <w:r>
        <w:rPr>
          <w:rFonts w:hint="eastAsia"/>
          <w:lang w:val="en-US" w:eastAsia="zh-CN"/>
        </w:rPr>
        <w:t>，2022年3月3日，公司排污许可变更已由邵阳市生态环境局审批通过。</w:t>
      </w:r>
    </w:p>
    <w:p>
      <w:pPr>
        <w:bidi w:val="0"/>
        <w:ind w:firstLine="482" w:firstLineChars="200"/>
        <w:rPr>
          <w:rFonts w:hint="default"/>
          <w:lang w:val="en-US" w:eastAsia="zh-CN"/>
        </w:rPr>
      </w:pPr>
      <w:r>
        <w:rPr>
          <w:rFonts w:hint="default"/>
          <w:b/>
          <w:bCs/>
          <w:lang w:val="en-US" w:eastAsia="zh-CN"/>
        </w:rPr>
        <w:t>工程变动情况</w:t>
      </w:r>
    </w:p>
    <w:p>
      <w:pPr>
        <w:bidi w:val="0"/>
        <w:ind w:firstLine="480" w:firstLineChars="200"/>
        <w:rPr>
          <w:rFonts w:hint="default" w:ascii="Times New Roman" w:hAnsi="Times New Roman" w:cs="Times New Roman"/>
          <w:color w:val="auto"/>
          <w:u w:val="none"/>
          <w:lang w:val="en-US" w:eastAsia="zh-CN"/>
        </w:rPr>
      </w:pPr>
      <w:r>
        <w:rPr>
          <w:rFonts w:hint="default" w:ascii="Times New Roman" w:hAnsi="Times New Roman" w:cs="Times New Roman"/>
          <w:color w:val="auto"/>
          <w:u w:val="none"/>
          <w:lang w:eastAsia="zh-CN"/>
        </w:rPr>
        <w:t>对照</w:t>
      </w:r>
      <w:r>
        <w:rPr>
          <w:rFonts w:hint="default" w:ascii="Times New Roman" w:hAnsi="Times New Roman" w:cs="Times New Roman"/>
          <w:color w:val="auto"/>
          <w:u w:val="none"/>
          <w:lang w:val="en-US" w:eastAsia="zh-CN"/>
        </w:rPr>
        <w:t>项目</w:t>
      </w:r>
      <w:r>
        <w:rPr>
          <w:rFonts w:hint="default" w:ascii="Times New Roman" w:hAnsi="Times New Roman" w:cs="Times New Roman"/>
          <w:color w:val="auto"/>
          <w:u w:val="none"/>
          <w:lang w:eastAsia="zh-CN"/>
        </w:rPr>
        <w:t>环评</w:t>
      </w:r>
      <w:r>
        <w:rPr>
          <w:rFonts w:hint="default" w:ascii="Times New Roman" w:hAnsi="Times New Roman" w:cs="Times New Roman"/>
          <w:color w:val="auto"/>
          <w:u w:val="none"/>
          <w:lang w:val="en-US" w:eastAsia="zh-CN"/>
        </w:rPr>
        <w:t>报告书</w:t>
      </w:r>
      <w:r>
        <w:rPr>
          <w:rFonts w:hint="default" w:ascii="Times New Roman" w:hAnsi="Times New Roman" w:cs="Times New Roman"/>
          <w:color w:val="auto"/>
          <w:u w:val="none"/>
          <w:lang w:eastAsia="zh-CN"/>
        </w:rPr>
        <w:t>和环评批复</w:t>
      </w:r>
      <w:r>
        <w:rPr>
          <w:rFonts w:hint="default" w:ascii="Times New Roman" w:hAnsi="Times New Roman" w:cs="Times New Roman"/>
          <w:color w:val="auto"/>
          <w:u w:val="none"/>
        </w:rPr>
        <w:t>，本项目</w:t>
      </w:r>
      <w:r>
        <w:rPr>
          <w:rFonts w:hint="default" w:ascii="Times New Roman" w:hAnsi="Times New Roman" w:cs="Times New Roman"/>
          <w:color w:val="auto"/>
          <w:u w:val="none"/>
          <w:lang w:eastAsia="zh-CN"/>
        </w:rPr>
        <w:t>性质、</w:t>
      </w:r>
      <w:r>
        <w:rPr>
          <w:rFonts w:hint="default" w:ascii="Times New Roman" w:hAnsi="Times New Roman" w:cs="Times New Roman"/>
          <w:color w:val="auto"/>
          <w:u w:val="none"/>
        </w:rPr>
        <w:t>生产工艺、规模、地点均</w:t>
      </w:r>
      <w:r>
        <w:rPr>
          <w:rFonts w:hint="default" w:ascii="Times New Roman" w:hAnsi="Times New Roman" w:cs="Times New Roman"/>
          <w:color w:val="auto"/>
          <w:u w:val="none"/>
          <w:lang w:eastAsia="zh-CN"/>
        </w:rPr>
        <w:t>符合</w:t>
      </w:r>
      <w:r>
        <w:rPr>
          <w:rFonts w:hint="default" w:ascii="Times New Roman" w:hAnsi="Times New Roman" w:cs="Times New Roman"/>
          <w:color w:val="auto"/>
          <w:u w:val="none"/>
        </w:rPr>
        <w:t>环评及环评批复要求，不涉及建设项目的性质、规模、地点、生产工艺的变动，建设项目的性质、规模、地点、生产工艺</w:t>
      </w:r>
      <w:r>
        <w:rPr>
          <w:rFonts w:hint="eastAsia" w:ascii="Times New Roman" w:hAnsi="Times New Roman" w:cs="Times New Roman"/>
          <w:color w:val="auto"/>
          <w:u w:val="none"/>
          <w:lang w:val="en-US" w:eastAsia="zh-CN"/>
        </w:rPr>
        <w:t>均</w:t>
      </w:r>
      <w:r>
        <w:rPr>
          <w:rFonts w:hint="default" w:ascii="Times New Roman" w:hAnsi="Times New Roman" w:cs="Times New Roman"/>
          <w:color w:val="auto"/>
          <w:u w:val="none"/>
        </w:rPr>
        <w:t>与环评一致；项目主要变动内容</w:t>
      </w:r>
      <w:r>
        <w:rPr>
          <w:rFonts w:hint="default" w:ascii="Times New Roman" w:hAnsi="Times New Roman" w:cs="Times New Roman"/>
          <w:color w:val="auto"/>
          <w:u w:val="none"/>
          <w:lang w:eastAsia="zh-CN"/>
        </w:rPr>
        <w:t>见</w:t>
      </w:r>
      <w:r>
        <w:rPr>
          <w:rFonts w:hint="eastAsia" w:ascii="Times New Roman" w:hAnsi="Times New Roman" w:cs="Times New Roman"/>
          <w:color w:val="auto"/>
          <w:u w:val="none"/>
          <w:lang w:val="en-US" w:eastAsia="zh-CN"/>
        </w:rPr>
        <w:t>下</w:t>
      </w:r>
      <w:r>
        <w:rPr>
          <w:rFonts w:hint="default" w:ascii="Times New Roman" w:hAnsi="Times New Roman" w:cs="Times New Roman"/>
          <w:color w:val="auto"/>
          <w:u w:val="none"/>
          <w:lang w:eastAsia="zh-CN"/>
        </w:rPr>
        <w:t>表</w:t>
      </w:r>
      <w:r>
        <w:rPr>
          <w:rFonts w:hint="default" w:ascii="Times New Roman" w:hAnsi="Times New Roman" w:cs="Times New Roman"/>
          <w:color w:val="auto"/>
          <w:u w:val="none"/>
          <w:lang w:val="en-US" w:eastAsia="zh-CN"/>
        </w:rPr>
        <w:t>。</w:t>
      </w:r>
    </w:p>
    <w:p>
      <w:pPr>
        <w:pStyle w:val="21"/>
        <w:bidi w:val="0"/>
        <w:spacing w:line="360" w:lineRule="auto"/>
        <w:rPr>
          <w:rFonts w:hint="default" w:ascii="Times New Roman" w:hAnsi="Times New Roman" w:eastAsia="仿宋" w:cs="Times New Roman"/>
          <w:color w:val="auto"/>
          <w:u w:val="none"/>
          <w:lang w:eastAsia="zh-CN"/>
        </w:rPr>
      </w:pPr>
      <w:r>
        <w:rPr>
          <w:rFonts w:hint="default" w:ascii="Times New Roman" w:hAnsi="Times New Roman" w:eastAsia="宋体" w:cs="Times New Roman"/>
          <w:color w:val="auto"/>
          <w:u w:val="none"/>
        </w:rPr>
        <w:t>项目主要变动内容</w:t>
      </w:r>
      <w:r>
        <w:rPr>
          <w:rFonts w:hint="default" w:ascii="Times New Roman" w:hAnsi="Times New Roman" w:eastAsia="宋体" w:cs="Times New Roman"/>
          <w:color w:val="auto"/>
          <w:u w:val="none"/>
          <w:lang w:eastAsia="zh-CN"/>
        </w:rPr>
        <w:t>情况一览表</w:t>
      </w:r>
    </w:p>
    <w:tbl>
      <w:tblPr>
        <w:tblStyle w:val="12"/>
        <w:tblW w:w="898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8"/>
        <w:gridCol w:w="6501"/>
        <w:gridCol w:w="175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 w:type="dxa"/>
            <w:tcBorders>
              <w:tl2br w:val="nil"/>
              <w:tr2bl w:val="nil"/>
            </w:tcBorders>
            <w:noWrap w:val="0"/>
            <w:vAlign w:val="center"/>
          </w:tcPr>
          <w:p>
            <w:pPr>
              <w:bidi w:val="0"/>
              <w:jc w:val="center"/>
              <w:rPr>
                <w:rFonts w:hint="default" w:ascii="Times New Roman" w:hAnsi="Times New Roman" w:cs="Times New Roman"/>
                <w:b/>
                <w:bCs/>
                <w:color w:val="auto"/>
                <w:sz w:val="21"/>
                <w:szCs w:val="21"/>
                <w:u w:val="none"/>
                <w:lang w:val="en-US" w:eastAsia="zh-CN"/>
              </w:rPr>
            </w:pPr>
            <w:r>
              <w:rPr>
                <w:rFonts w:hint="default" w:ascii="Times New Roman" w:hAnsi="Times New Roman" w:cs="Times New Roman"/>
                <w:b/>
                <w:bCs/>
                <w:color w:val="auto"/>
                <w:sz w:val="21"/>
                <w:szCs w:val="21"/>
                <w:u w:val="none"/>
                <w:lang w:val="en-US" w:eastAsia="zh-CN"/>
              </w:rPr>
              <w:t>序号</w:t>
            </w:r>
          </w:p>
        </w:tc>
        <w:tc>
          <w:tcPr>
            <w:tcW w:w="6501" w:type="dxa"/>
            <w:tcBorders>
              <w:tl2br w:val="nil"/>
              <w:tr2bl w:val="nil"/>
            </w:tcBorders>
            <w:noWrap w:val="0"/>
            <w:vAlign w:val="center"/>
          </w:tcPr>
          <w:p>
            <w:pPr>
              <w:bidi w:val="0"/>
              <w:jc w:val="center"/>
              <w:rPr>
                <w:rFonts w:hint="default" w:ascii="Times New Roman" w:hAnsi="Times New Roman" w:cs="Times New Roman"/>
                <w:b/>
                <w:bCs/>
                <w:color w:val="auto"/>
                <w:sz w:val="21"/>
                <w:szCs w:val="21"/>
                <w:u w:val="none"/>
                <w:lang w:val="en-US" w:eastAsia="zh-CN"/>
              </w:rPr>
            </w:pPr>
            <w:r>
              <w:rPr>
                <w:rFonts w:hint="default" w:ascii="Times New Roman" w:hAnsi="Times New Roman" w:cs="Times New Roman"/>
                <w:b/>
                <w:bCs/>
                <w:color w:val="auto"/>
                <w:sz w:val="21"/>
                <w:szCs w:val="21"/>
                <w:u w:val="none"/>
                <w:lang w:val="en-US" w:eastAsia="zh-CN"/>
              </w:rPr>
              <w:t>变动内容</w:t>
            </w:r>
          </w:p>
        </w:tc>
        <w:tc>
          <w:tcPr>
            <w:tcW w:w="1758" w:type="dxa"/>
            <w:tcBorders>
              <w:tl2br w:val="nil"/>
              <w:tr2bl w:val="nil"/>
            </w:tcBorders>
            <w:noWrap w:val="0"/>
            <w:vAlign w:val="center"/>
          </w:tcPr>
          <w:p>
            <w:pPr>
              <w:bidi w:val="0"/>
              <w:jc w:val="center"/>
              <w:rPr>
                <w:rFonts w:hint="default" w:ascii="Times New Roman" w:hAnsi="Times New Roman" w:cs="Times New Roman"/>
                <w:b/>
                <w:bCs/>
                <w:color w:val="auto"/>
                <w:sz w:val="21"/>
                <w:szCs w:val="21"/>
                <w:u w:val="none"/>
                <w:lang w:val="en-US" w:eastAsia="zh-CN"/>
              </w:rPr>
            </w:pPr>
            <w:r>
              <w:rPr>
                <w:rFonts w:hint="default" w:ascii="Times New Roman" w:hAnsi="Times New Roman" w:cs="Times New Roman"/>
                <w:b/>
                <w:bCs/>
                <w:color w:val="auto"/>
                <w:sz w:val="21"/>
                <w:szCs w:val="21"/>
                <w:u w:val="none"/>
                <w:lang w:val="en-US" w:eastAsia="zh-CN"/>
              </w:rPr>
              <w:t>是否为重大变动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 w:type="dxa"/>
            <w:tcBorders>
              <w:tl2br w:val="nil"/>
              <w:tr2bl w:val="nil"/>
            </w:tcBorders>
            <w:noWrap w:val="0"/>
            <w:vAlign w:val="center"/>
          </w:tcPr>
          <w:p>
            <w:pPr>
              <w:bidi w:val="0"/>
              <w:jc w:val="center"/>
              <w:rPr>
                <w:rFonts w:hint="default" w:ascii="Times New Roman" w:hAnsi="Times New Roman" w:cs="Times New Roman"/>
                <w:color w:val="auto"/>
                <w:sz w:val="21"/>
                <w:szCs w:val="21"/>
                <w:u w:val="none"/>
                <w:lang w:val="en-US" w:eastAsia="zh-CN"/>
              </w:rPr>
            </w:pPr>
            <w:r>
              <w:rPr>
                <w:rFonts w:hint="default" w:ascii="Times New Roman" w:hAnsi="Times New Roman" w:cs="Times New Roman"/>
                <w:color w:val="auto"/>
                <w:sz w:val="21"/>
                <w:szCs w:val="21"/>
                <w:u w:val="none"/>
                <w:lang w:val="en-US" w:eastAsia="zh-CN"/>
              </w:rPr>
              <w:t>1</w:t>
            </w:r>
          </w:p>
        </w:tc>
        <w:tc>
          <w:tcPr>
            <w:tcW w:w="6501" w:type="dxa"/>
            <w:tcBorders>
              <w:tl2br w:val="nil"/>
              <w:tr2bl w:val="nil"/>
            </w:tcBorders>
            <w:noWrap w:val="0"/>
            <w:vAlign w:val="center"/>
          </w:tcPr>
          <w:p>
            <w:pPr>
              <w:bidi w:val="0"/>
              <w:jc w:val="center"/>
              <w:rPr>
                <w:rFonts w:hint="default" w:ascii="Times New Roman" w:hAnsi="Times New Roman" w:cs="Times New Roman"/>
                <w:color w:val="auto"/>
                <w:sz w:val="21"/>
                <w:szCs w:val="21"/>
                <w:u w:val="none"/>
                <w:lang w:val="en-US" w:eastAsia="zh-CN"/>
              </w:rPr>
            </w:pPr>
            <w:r>
              <w:rPr>
                <w:rFonts w:hint="eastAsia" w:cs="Times New Roman"/>
                <w:color w:val="auto"/>
                <w:sz w:val="21"/>
                <w:szCs w:val="21"/>
                <w:u w:val="none"/>
                <w:lang w:val="en-US" w:eastAsia="zh-CN"/>
              </w:rPr>
              <w:t>公司将现有在用生物质锅炉变更为燃气锅炉</w:t>
            </w:r>
          </w:p>
        </w:tc>
        <w:tc>
          <w:tcPr>
            <w:tcW w:w="1758" w:type="dxa"/>
            <w:tcBorders>
              <w:tl2br w:val="nil"/>
              <w:tr2bl w:val="nil"/>
            </w:tcBorders>
            <w:noWrap w:val="0"/>
            <w:vAlign w:val="center"/>
          </w:tcPr>
          <w:p>
            <w:pPr>
              <w:bidi w:val="0"/>
              <w:jc w:val="center"/>
              <w:rPr>
                <w:rFonts w:hint="default" w:ascii="Times New Roman" w:hAnsi="Times New Roman" w:cs="Times New Roman"/>
                <w:color w:val="auto"/>
                <w:sz w:val="21"/>
                <w:szCs w:val="21"/>
                <w:u w:val="none"/>
                <w:lang w:val="en-US" w:eastAsia="zh-CN"/>
              </w:rPr>
            </w:pPr>
            <w:r>
              <w:rPr>
                <w:rFonts w:hint="default" w:ascii="Times New Roman" w:hAnsi="Times New Roman" w:cs="Times New Roman"/>
                <w:color w:val="auto"/>
                <w:sz w:val="21"/>
                <w:szCs w:val="21"/>
                <w:u w:val="none"/>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8" w:type="dxa"/>
            <w:tcBorders>
              <w:tl2br w:val="nil"/>
              <w:tr2bl w:val="nil"/>
            </w:tcBorders>
            <w:noWrap w:val="0"/>
            <w:vAlign w:val="center"/>
          </w:tcPr>
          <w:p>
            <w:pPr>
              <w:bidi w:val="0"/>
              <w:jc w:val="center"/>
              <w:rPr>
                <w:rFonts w:hint="default" w:ascii="Times New Roman" w:hAnsi="Times New Roman" w:cs="Times New Roman"/>
                <w:color w:val="auto"/>
                <w:sz w:val="21"/>
                <w:szCs w:val="21"/>
                <w:u w:val="none"/>
                <w:lang w:val="en-US" w:eastAsia="zh-CN"/>
              </w:rPr>
            </w:pPr>
            <w:r>
              <w:rPr>
                <w:rFonts w:hint="eastAsia" w:ascii="Times New Roman" w:hAnsi="Times New Roman" w:cs="Times New Roman"/>
                <w:color w:val="auto"/>
                <w:sz w:val="21"/>
                <w:szCs w:val="21"/>
                <w:u w:val="none"/>
                <w:lang w:val="en-US" w:eastAsia="zh-CN"/>
              </w:rPr>
              <w:t>2</w:t>
            </w:r>
          </w:p>
        </w:tc>
        <w:tc>
          <w:tcPr>
            <w:tcW w:w="6501" w:type="dxa"/>
            <w:tcBorders>
              <w:tl2br w:val="nil"/>
              <w:tr2bl w:val="nil"/>
            </w:tcBorders>
            <w:noWrap w:val="0"/>
            <w:vAlign w:val="center"/>
          </w:tcPr>
          <w:p>
            <w:pPr>
              <w:bidi w:val="0"/>
              <w:jc w:val="both"/>
              <w:rPr>
                <w:rFonts w:hint="default" w:cs="Times New Roman"/>
                <w:color w:val="auto"/>
                <w:sz w:val="21"/>
                <w:szCs w:val="21"/>
                <w:u w:val="none"/>
                <w:lang w:val="en-US" w:eastAsia="zh-CN"/>
              </w:rPr>
            </w:pPr>
            <w:r>
              <w:rPr>
                <w:rFonts w:hint="eastAsia" w:cs="Times New Roman"/>
                <w:color w:val="auto"/>
                <w:sz w:val="21"/>
                <w:szCs w:val="21"/>
                <w:u w:val="none"/>
                <w:lang w:val="en-US" w:eastAsia="zh-CN"/>
              </w:rPr>
              <w:t>环评设计VOCs废气都先经原有废气处理措施处理后再进入RTO焚烧设施进行处理；项目实际为各VOCs废气产生设备/构筑物（除污水处理站厌氧池）收集到的VOCs废气直接引入RTO焚烧设施进行处理，各车间内散逸的无组织VOCs废气和污水处理站厌氧池废气经收集后再经原有的废气处理措施处理后外排。</w:t>
            </w:r>
          </w:p>
        </w:tc>
        <w:tc>
          <w:tcPr>
            <w:tcW w:w="1758" w:type="dxa"/>
            <w:tcBorders>
              <w:tl2br w:val="nil"/>
              <w:tr2bl w:val="nil"/>
            </w:tcBorders>
            <w:noWrap w:val="0"/>
            <w:vAlign w:val="center"/>
          </w:tcPr>
          <w:p>
            <w:pPr>
              <w:bidi w:val="0"/>
              <w:jc w:val="center"/>
              <w:rPr>
                <w:rFonts w:hint="default" w:ascii="Times New Roman" w:hAnsi="Times New Roman" w:cs="Times New Roman"/>
                <w:color w:val="auto"/>
                <w:sz w:val="21"/>
                <w:szCs w:val="21"/>
                <w:u w:val="none"/>
                <w:lang w:val="en-US" w:eastAsia="zh-CN"/>
              </w:rPr>
            </w:pPr>
            <w:r>
              <w:rPr>
                <w:rFonts w:hint="eastAsia" w:ascii="Times New Roman" w:hAnsi="Times New Roman" w:cs="Times New Roman"/>
                <w:color w:val="auto"/>
                <w:sz w:val="21"/>
                <w:szCs w:val="21"/>
                <w:u w:val="none"/>
                <w:lang w:val="en-US" w:eastAsia="zh-CN"/>
              </w:rPr>
              <w:t>否</w:t>
            </w:r>
          </w:p>
        </w:tc>
      </w:tr>
    </w:tbl>
    <w:p>
      <w:pPr>
        <w:bidi w:val="0"/>
        <w:ind w:firstLine="480"/>
        <w:jc w:val="both"/>
        <w:rPr>
          <w:rFonts w:hint="eastAsia" w:cs="Times New Roman"/>
          <w:color w:val="auto"/>
          <w:u w:val="none"/>
          <w:lang w:val="en-US" w:eastAsia="zh-CN"/>
        </w:rPr>
      </w:pPr>
      <w:r>
        <w:rPr>
          <w:rFonts w:hint="eastAsia" w:cs="Times New Roman"/>
          <w:color w:val="auto"/>
          <w:u w:val="none"/>
          <w:lang w:val="en-US" w:eastAsia="zh-CN"/>
        </w:rPr>
        <w:t>1、公司现有生物质锅炉2台（一用一备），额定出力均为10吨</w:t>
      </w:r>
      <w:r>
        <w:rPr>
          <w:rFonts w:hint="default" w:ascii="Times New Roman" w:hAnsi="Times New Roman" w:cs="Times New Roman"/>
          <w:color w:val="auto"/>
          <w:u w:val="none"/>
          <w:lang w:val="en-US" w:eastAsia="zh-CN"/>
        </w:rPr>
        <w:t>。</w:t>
      </w:r>
      <w:r>
        <w:rPr>
          <w:rFonts w:hint="eastAsia" w:cs="Times New Roman"/>
          <w:color w:val="auto"/>
          <w:u w:val="none"/>
          <w:lang w:val="en-US" w:eastAsia="zh-CN"/>
        </w:rPr>
        <w:t>为进一步降低污染物排放量，公司将在用生物质锅炉改为三台燃天然气锅炉（4t+4t+2t），保留1台10吨生物质锅炉备用。按照《中华人民共和国生态环境部办公厅关于印发污染影响类建设项目重大变动清单（试行）的通知》（环办环评函〔2020〕688号），对照变动清单内各条例内容，更改后天然气锅炉总额定出力为10吨</w:t>
      </w:r>
      <w:r>
        <w:rPr>
          <w:rFonts w:hint="eastAsia" w:ascii="Times New Roman" w:hAnsi="Times New Roman" w:eastAsia="宋体" w:cs="Times New Roman"/>
          <w:color w:val="auto"/>
          <w:u w:val="none"/>
          <w:lang w:val="en-US" w:eastAsia="zh-CN"/>
        </w:rPr>
        <w:t>，与原生物质锅炉一致，为等量替代情况，且其目的是为了降低废气排放量，因此公司燃生物</w:t>
      </w:r>
      <w:r>
        <w:rPr>
          <w:rFonts w:hint="eastAsia" w:cs="Times New Roman"/>
          <w:color w:val="auto"/>
          <w:u w:val="none"/>
          <w:lang w:val="en-US" w:eastAsia="zh-CN"/>
        </w:rPr>
        <w:t>质锅炉改燃天然气锅炉不属于重大变动。</w:t>
      </w:r>
    </w:p>
    <w:p>
      <w:pPr>
        <w:bidi w:val="0"/>
        <w:ind w:firstLine="480"/>
        <w:rPr>
          <w:rFonts w:hint="eastAsia" w:cs="Times New Roman"/>
          <w:color w:val="auto"/>
          <w:u w:val="none"/>
          <w:lang w:val="en-US" w:eastAsia="zh-CN"/>
        </w:rPr>
      </w:pPr>
      <w:r>
        <w:rPr>
          <w:rFonts w:hint="eastAsia"/>
          <w:u w:val="none"/>
          <w:lang w:val="en-US" w:eastAsia="zh-CN"/>
        </w:rPr>
        <w:t>2、此项变动实际为将各车间内散逸的原无组织排放的VOCs废气通过收集再经原废气处理措施处理后进行有组织排放。对照</w:t>
      </w:r>
      <w:r>
        <w:rPr>
          <w:rFonts w:hint="eastAsia" w:cs="Times New Roman"/>
          <w:color w:val="auto"/>
          <w:u w:val="none"/>
          <w:lang w:val="en-US" w:eastAsia="zh-CN"/>
        </w:rPr>
        <w:t>变动清单内“环境保护措施”条例内容，此变动未增加污染物种类和排放量，未增加废气主要排放口。</w:t>
      </w:r>
      <w:r>
        <w:rPr>
          <w:rFonts w:hint="eastAsia" w:ascii="Times New Roman" w:hAnsi="Times New Roman" w:eastAsia="宋体" w:cs="Times New Roman"/>
          <w:color w:val="auto"/>
          <w:u w:val="none"/>
          <w:lang w:val="en-US" w:eastAsia="zh-CN"/>
        </w:rPr>
        <w:t>因此公司</w:t>
      </w:r>
      <w:r>
        <w:rPr>
          <w:rFonts w:hint="eastAsia"/>
          <w:u w:val="none"/>
          <w:lang w:val="en-US" w:eastAsia="zh-CN"/>
        </w:rPr>
        <w:t>此项变动</w:t>
      </w:r>
      <w:r>
        <w:rPr>
          <w:rFonts w:hint="eastAsia" w:cs="Times New Roman"/>
          <w:color w:val="auto"/>
          <w:u w:val="none"/>
          <w:lang w:val="en-US" w:eastAsia="zh-CN"/>
        </w:rPr>
        <w:t>不属于重大变动。</w:t>
      </w:r>
    </w:p>
    <w:p>
      <w:pPr>
        <w:bidi w:val="0"/>
        <w:ind w:firstLine="480"/>
        <w:rPr>
          <w:rFonts w:hint="default"/>
          <w:lang w:val="en-US" w:eastAsia="zh-CN"/>
        </w:rPr>
      </w:pPr>
      <w:r>
        <w:rPr>
          <w:rFonts w:hint="default"/>
          <w:lang w:val="en-US" w:eastAsia="zh-CN"/>
        </w:rPr>
        <w:t>三、环境保护设施建设情况</w:t>
      </w:r>
    </w:p>
    <w:p>
      <w:pPr>
        <w:bidi w:val="0"/>
        <w:ind w:firstLine="480" w:firstLineChars="200"/>
        <w:rPr>
          <w:rFonts w:hint="default"/>
          <w:lang w:val="en-US" w:eastAsia="zh-CN"/>
        </w:rPr>
      </w:pPr>
      <w:r>
        <w:rPr>
          <w:rFonts w:hint="default"/>
          <w:lang w:val="en-US" w:eastAsia="zh-CN"/>
        </w:rPr>
        <w:t>（一）废水</w:t>
      </w:r>
    </w:p>
    <w:p>
      <w:pPr>
        <w:bidi w:val="0"/>
        <w:ind w:firstLine="480" w:firstLineChars="200"/>
        <w:rPr>
          <w:rFonts w:hint="default"/>
        </w:rPr>
      </w:pPr>
      <w:r>
        <w:rPr>
          <w:rFonts w:hint="default"/>
          <w:lang w:val="en-US" w:eastAsia="zh-CN"/>
        </w:rPr>
        <w:t>改扩建后的废水处理遵循“分质处理”的原则，高浓度复杂有机物类废水（A类废水）采取“调酸+微电解-芬顿氧化+中和混凝”预处理后进入生化处理系统；高盐高浓度有机物类废水（B类）采取“三效蒸发器”预处理后与A类废水混合进入A类废水预处理系统，出水进入生化处理系统；中低浓度生产废水和公辅设施废水等可生化性较好的废水（C类废水）直接进废水综合调节池，再进入生化处理系统。生化处理系统采用“A/O+MBR”处理工艺，废水处理工艺出水标准按照《污水综合排放标准》（GB8978-1996）中第二类污染物最高允许排放最高浓度中一级标准设计，外排废水满足《化学合成类制药工业水污染物排放标准》 （GB21904-2008）表2中标准限值。</w:t>
      </w:r>
    </w:p>
    <w:p>
      <w:pPr>
        <w:bidi w:val="0"/>
        <w:ind w:firstLine="480" w:firstLineChars="200"/>
        <w:rPr>
          <w:rFonts w:hint="default"/>
          <w:lang w:val="en-US" w:eastAsia="zh-CN"/>
        </w:rPr>
      </w:pPr>
      <w:r>
        <w:rPr>
          <w:rFonts w:hint="default"/>
          <w:lang w:val="en-US" w:eastAsia="zh-CN"/>
        </w:rPr>
        <w:t>（二）废气</w:t>
      </w:r>
    </w:p>
    <w:p>
      <w:pPr>
        <w:bidi w:val="0"/>
        <w:ind w:firstLine="480" w:firstLineChars="200"/>
        <w:rPr>
          <w:rFonts w:hint="default"/>
          <w:lang w:val="en-US" w:eastAsia="zh-CN"/>
        </w:rPr>
      </w:pPr>
      <w:r>
        <w:rPr>
          <w:rFonts w:hint="default"/>
          <w:lang w:val="en-US" w:eastAsia="zh-CN"/>
        </w:rPr>
        <w:t>本技改项目有机废气焚烧系统新增一套水洗除雾+RTO有机废气焚烧（一用一备）+烟气冷却+碱液喷淋系统。其余生产车间及污水处理站废气处理设施不变，各生产车间设备、溶剂回收车间设备、污水处理站废气（除厌氧池废气外）直接引入有机废气焚烧处理系统，各生产车间、溶剂回收车间内散逸的废气、污水处理站厌氧池废气直接经现有废气处理设施处理后外排。</w:t>
      </w:r>
    </w:p>
    <w:p>
      <w:pPr>
        <w:bidi w:val="0"/>
        <w:ind w:firstLine="480" w:firstLineChars="200"/>
        <w:rPr>
          <w:rFonts w:hint="default"/>
          <w:lang w:val="en-US" w:eastAsia="zh-CN"/>
        </w:rPr>
      </w:pPr>
      <w:r>
        <w:rPr>
          <w:rFonts w:hint="default"/>
          <w:lang w:val="en-US" w:eastAsia="zh-CN"/>
        </w:rPr>
        <w:t>本技改项目运营期废气主要有RTO焚烧废气、锅炉废气、生产车间废气等。其中RTO废气主要污染物为SO</w:t>
      </w:r>
      <w:r>
        <w:rPr>
          <w:rFonts w:hint="default"/>
          <w:vertAlign w:val="subscript"/>
          <w:lang w:val="en-US" w:eastAsia="zh-CN"/>
        </w:rPr>
        <w:t>2</w:t>
      </w:r>
      <w:r>
        <w:rPr>
          <w:rFonts w:hint="default"/>
          <w:lang w:val="en-US" w:eastAsia="zh-CN"/>
        </w:rPr>
        <w:t>、NO</w:t>
      </w:r>
      <w:r>
        <w:rPr>
          <w:rFonts w:hint="default"/>
          <w:vertAlign w:val="subscript"/>
          <w:lang w:val="en-US" w:eastAsia="zh-CN"/>
        </w:rPr>
        <w:t>x</w:t>
      </w:r>
      <w:r>
        <w:rPr>
          <w:rFonts w:hint="default"/>
          <w:lang w:val="en-US" w:eastAsia="zh-CN"/>
        </w:rPr>
        <w:t>、VOCs等，采取“水洗除雾+RTO焚烧+碱液喷淋+25m排气筒”处理后达标排放；天然气锅炉废气通过</w:t>
      </w:r>
      <w:r>
        <w:rPr>
          <w:rFonts w:hint="eastAsia"/>
          <w:lang w:val="en-US" w:eastAsia="zh-CN"/>
        </w:rPr>
        <w:t>2</w:t>
      </w:r>
      <w:r>
        <w:rPr>
          <w:rFonts w:hint="default"/>
          <w:lang w:val="en-US" w:eastAsia="zh-CN"/>
        </w:rPr>
        <w:t>0m排气筒外排，备用生物质锅炉废气主要污染物为SO</w:t>
      </w:r>
      <w:r>
        <w:rPr>
          <w:rFonts w:hint="default"/>
          <w:vertAlign w:val="subscript"/>
          <w:lang w:val="en-US" w:eastAsia="zh-CN"/>
        </w:rPr>
        <w:t>2</w:t>
      </w:r>
      <w:r>
        <w:rPr>
          <w:rFonts w:hint="default"/>
          <w:lang w:val="en-US" w:eastAsia="zh-CN"/>
        </w:rPr>
        <w:t>、NO</w:t>
      </w:r>
      <w:r>
        <w:rPr>
          <w:rFonts w:hint="default"/>
          <w:vertAlign w:val="subscript"/>
          <w:lang w:val="en-US" w:eastAsia="zh-CN"/>
        </w:rPr>
        <w:t>x</w:t>
      </w:r>
      <w:r>
        <w:rPr>
          <w:rFonts w:hint="default"/>
          <w:lang w:val="en-US" w:eastAsia="zh-CN"/>
        </w:rPr>
        <w:t>、烟尘，采取“布袋除尘器+40m排气筒”处理后达标排放；其余生产车间原废气处理设施继续使用。</w:t>
      </w:r>
    </w:p>
    <w:p>
      <w:pPr>
        <w:bidi w:val="0"/>
        <w:ind w:firstLine="480" w:firstLineChars="200"/>
        <w:rPr>
          <w:rFonts w:hint="default"/>
          <w:lang w:val="en-US" w:eastAsia="zh-CN"/>
        </w:rPr>
      </w:pPr>
      <w:r>
        <w:rPr>
          <w:rFonts w:hint="default"/>
          <w:lang w:val="en-US" w:eastAsia="zh-CN"/>
        </w:rPr>
        <w:t>（三）噪声</w:t>
      </w:r>
    </w:p>
    <w:p>
      <w:pPr>
        <w:bidi w:val="0"/>
        <w:rPr>
          <w:rFonts w:hint="eastAsia"/>
          <w:lang w:val="en-US" w:eastAsia="zh-CN"/>
        </w:rPr>
      </w:pPr>
      <w:r>
        <w:rPr>
          <w:rFonts w:hint="default"/>
          <w:lang w:val="en-US" w:eastAsia="zh-CN"/>
        </w:rPr>
        <w:t xml:space="preserve">   </w:t>
      </w:r>
      <w:r>
        <w:rPr>
          <w:rFonts w:hint="eastAsia"/>
          <w:lang w:val="en-US" w:eastAsia="zh-CN"/>
        </w:rPr>
        <w:t xml:space="preserve"> 本技改项目正常工况噪声主要为各类泵类、风机等排放噪声，噪声设备声源值一般在85~95dB之间，为了达到有效的降噪目的，公司采取选择低噪声设备、加装防振垫片、置于密闭厂房内及加装消声器等措施进行隔声降噪。</w:t>
      </w:r>
    </w:p>
    <w:p>
      <w:pPr>
        <w:bidi w:val="0"/>
        <w:ind w:firstLine="480" w:firstLineChars="200"/>
        <w:rPr>
          <w:rFonts w:hint="eastAsia"/>
          <w:lang w:val="en-US" w:eastAsia="zh-CN"/>
        </w:rPr>
      </w:pPr>
      <w:r>
        <w:rPr>
          <w:rFonts w:hint="eastAsia"/>
          <w:lang w:val="en-US" w:eastAsia="zh-CN"/>
        </w:rPr>
        <w:t>具体来说，工程采取以下的噪声防治措施：</w:t>
      </w:r>
    </w:p>
    <w:p>
      <w:pPr>
        <w:bidi w:val="0"/>
        <w:ind w:firstLine="480" w:firstLineChars="200"/>
        <w:rPr>
          <w:rFonts w:hint="default"/>
          <w:lang w:val="en-US" w:eastAsia="zh-CN"/>
        </w:rPr>
      </w:pPr>
      <w:r>
        <w:rPr>
          <w:rFonts w:hint="eastAsia"/>
          <w:lang w:val="en-US" w:eastAsia="zh-CN"/>
        </w:rPr>
        <w:t>（1）对高噪声设备的基础做减振处理；（2）将鼓风机、引风机等放置于厂房内，对其产生的噪声进行墙体隔声；（3）对各种水泵等机械噪声设备采取减振处理，做抗振基础；（4）厂房设计时充分考虑墙体吸声效果，内侧墙面采用吸声性能较好的材料，风机、空压机等高噪声设备安装消声器；（5）公司将噪声源设备集中布置在离厂界距离较远的位置，同时将声级高的设备安装在厂房内地面，以降低噪声的影响；（6）公司在厂区周围、进出厂道路、厂区运输干道两侧和厂区内办公楼周围种植树木，降低噪声对环境的影响。（7）加强动力机械设备的定期检修和维护，以减少动力机械设备故障等原因造成的振动及噪声。</w:t>
      </w:r>
    </w:p>
    <w:p>
      <w:pPr>
        <w:bidi w:val="0"/>
        <w:ind w:firstLine="480" w:firstLineChars="200"/>
        <w:rPr>
          <w:rFonts w:hint="default"/>
          <w:lang w:val="en-US" w:eastAsia="zh-CN"/>
        </w:rPr>
      </w:pPr>
      <w:r>
        <w:rPr>
          <w:rFonts w:hint="default"/>
          <w:lang w:val="en-US" w:eastAsia="zh-CN"/>
        </w:rPr>
        <w:t>（四）固体废物</w:t>
      </w:r>
    </w:p>
    <w:p>
      <w:pPr>
        <w:bidi w:val="0"/>
        <w:ind w:firstLine="480" w:firstLineChars="200"/>
        <w:rPr>
          <w:rFonts w:hint="default"/>
          <w:lang w:val="en-US"/>
        </w:rPr>
      </w:pPr>
      <w:r>
        <w:rPr>
          <w:rFonts w:hint="default"/>
          <w:lang w:val="en-US"/>
        </w:rPr>
        <w:t>本技改项目生产过程中产生的废机油、废手套，以及吸收VOCs的废活性炭属于危险废物，其收集和贮存依托厂区内现有的危险废物贮存设施，收集后全部委托</w:t>
      </w:r>
      <w:r>
        <w:rPr>
          <w:rFonts w:hint="default"/>
          <w:lang w:val="en-US" w:eastAsia="zh-CN"/>
        </w:rPr>
        <w:t>有资质危废处置</w:t>
      </w:r>
      <w:r>
        <w:rPr>
          <w:rFonts w:hint="default"/>
          <w:lang w:val="en-US"/>
        </w:rPr>
        <w:t>公司定期清运处置；生活垃圾依托厂区内现有生活垃圾收集和贮存设施收集后由环卫部门统一收集处理。厂区内现有固废的收集、贮存设施均在正常使用，本项目产生的固废量较少，可依托现有工程的固废收集、贮存设施进行妥善处置。</w:t>
      </w:r>
    </w:p>
    <w:p>
      <w:pPr>
        <w:bidi w:val="0"/>
        <w:rPr>
          <w:rFonts w:hint="default"/>
          <w:lang w:val="en-US" w:eastAsia="zh-CN"/>
        </w:rPr>
      </w:pPr>
      <w:r>
        <w:rPr>
          <w:rFonts w:hint="default"/>
          <w:lang w:val="en-US" w:eastAsia="zh-CN"/>
        </w:rPr>
        <w:t xml:space="preserve"> </w:t>
      </w:r>
      <w:r>
        <w:rPr>
          <w:rFonts w:hint="eastAsia"/>
          <w:lang w:val="en-US" w:eastAsia="zh-CN"/>
        </w:rPr>
        <w:t xml:space="preserve">  </w:t>
      </w:r>
      <w:r>
        <w:rPr>
          <w:rFonts w:hint="default"/>
          <w:lang w:val="en-US" w:eastAsia="zh-CN"/>
        </w:rPr>
        <w:t>四、环境保护设施调试效果</w:t>
      </w:r>
    </w:p>
    <w:p>
      <w:pPr>
        <w:bidi w:val="0"/>
        <w:ind w:firstLine="480" w:firstLineChars="200"/>
        <w:rPr>
          <w:rFonts w:hint="default"/>
          <w:lang w:val="en-US" w:eastAsia="zh-CN"/>
        </w:rPr>
      </w:pPr>
      <w:r>
        <w:rPr>
          <w:rFonts w:hint="default"/>
          <w:lang w:val="en-US" w:eastAsia="zh-CN"/>
        </w:rPr>
        <w:t>（一）污染物达标排放情况</w:t>
      </w:r>
    </w:p>
    <w:p>
      <w:pPr>
        <w:bidi w:val="0"/>
        <w:ind w:firstLine="480" w:firstLineChars="200"/>
        <w:rPr>
          <w:rFonts w:hint="default"/>
        </w:rPr>
      </w:pPr>
      <w:r>
        <w:rPr>
          <w:rFonts w:hint="default"/>
          <w:lang w:val="en-US" w:eastAsia="zh-CN"/>
        </w:rPr>
        <w:t>1.废水</w:t>
      </w:r>
      <w:r>
        <w:rPr>
          <w:rFonts w:hint="eastAsia"/>
          <w:lang w:val="en-US" w:eastAsia="zh-CN"/>
        </w:rPr>
        <w:t>：</w:t>
      </w:r>
      <w:r>
        <w:rPr>
          <w:rFonts w:hint="default"/>
          <w:lang w:val="en-US" w:eastAsia="zh-CN"/>
        </w:rPr>
        <w:t>验收监测期间公司废水排口中pH、COD、BOD</w:t>
      </w:r>
      <w:r>
        <w:rPr>
          <w:rFonts w:hint="default"/>
          <w:vertAlign w:val="subscript"/>
          <w:lang w:val="en-US" w:eastAsia="zh-CN"/>
        </w:rPr>
        <w:t>5</w:t>
      </w:r>
      <w:r>
        <w:rPr>
          <w:rFonts w:hint="default"/>
          <w:lang w:val="en-US" w:eastAsia="zh-CN"/>
        </w:rPr>
        <w:t>、SS、氨氮、色度、总磷、总氮、总氰化物、总锌、挥发酚、硫化物、硝基苯类、苯胺类、二氯甲烷、总有机碳的监测结果均满足《化学合成类制药工业水污染排放标准》（GB21904-2008）表2新建企业水污染物排放浓度限值。</w:t>
      </w:r>
    </w:p>
    <w:p>
      <w:pPr>
        <w:bidi w:val="0"/>
        <w:ind w:firstLine="480" w:firstLineChars="200"/>
        <w:rPr>
          <w:rFonts w:hint="default"/>
        </w:rPr>
      </w:pPr>
      <w:r>
        <w:rPr>
          <w:rFonts w:hint="default"/>
        </w:rPr>
        <w:t>2.废气</w:t>
      </w:r>
    </w:p>
    <w:p>
      <w:pPr>
        <w:bidi w:val="0"/>
        <w:ind w:firstLine="480" w:firstLineChars="200"/>
        <w:rPr>
          <w:rFonts w:hint="default"/>
          <w:lang w:val="en-US" w:eastAsia="zh-CN"/>
        </w:rPr>
      </w:pPr>
      <w:r>
        <w:rPr>
          <w:rFonts w:hint="default"/>
          <w:lang w:val="en-US" w:eastAsia="zh-CN"/>
        </w:rPr>
        <w:t>验收监测期间公司燃气锅炉燃烧废气排气筒中二氧化硫、氮氧化物、颗粒物、烟气黑度的监测结果均满足《锅炉大气污染物排放标准》（GB13271-2014）表2燃气标准限值。</w:t>
      </w:r>
    </w:p>
    <w:p>
      <w:pPr>
        <w:bidi w:val="0"/>
        <w:ind w:firstLine="480" w:firstLineChars="200"/>
        <w:rPr>
          <w:rFonts w:hint="default"/>
          <w:lang w:val="en-US" w:eastAsia="zh-CN"/>
        </w:rPr>
      </w:pPr>
      <w:r>
        <w:rPr>
          <w:rFonts w:hint="default"/>
          <w:lang w:val="en-US" w:eastAsia="zh-CN"/>
        </w:rPr>
        <w:t>验收监测期间公司RTO焚烧废气排气筒中二氧化硫、氮氧化物、颗粒物的监测结果均满足《锅炉大气污染物排放标准》（GB13271-2014）表3燃气标准限值；VOCs、氯化氢的监测结果均满足《制药工业大气污染物排放标准》（GB37823-2019）表1大气污染物排放限值。验收监测期间，公司备用RTO焚烧废气中二氧化硫、氮氧化物、颗粒物的监测结果均满足《锅炉大气污染物排放标准》（GB13271-2014）表3燃气标准限值；VOCs、氯化氢的监测结果均满足《制药工业大气污染物排放标准》（GB37823-2019）表1大气污染物排放限值。</w:t>
      </w:r>
    </w:p>
    <w:p>
      <w:pPr>
        <w:bidi w:val="0"/>
        <w:ind w:firstLine="480" w:firstLineChars="200"/>
        <w:rPr>
          <w:rFonts w:hint="default"/>
          <w:lang w:val="en-US" w:eastAsia="zh-CN"/>
        </w:rPr>
      </w:pPr>
      <w:r>
        <w:rPr>
          <w:rFonts w:hint="default"/>
          <w:lang w:val="en-US" w:eastAsia="zh-CN"/>
        </w:rPr>
        <w:t>验收监测期间公司各生产车间废气排气筒中VOCs、氯化氢的监测结果均满足《制药工业大气污染物排放标准》（GB37823-2019）表1大气污染物排放限值，废水处理站废气排气筒中硫化氢、氨、臭气浓度的监测结果均满足《恶臭污染物排放标准》（GB14554-93）表2标准限值。</w:t>
      </w:r>
    </w:p>
    <w:p>
      <w:pPr>
        <w:bidi w:val="0"/>
        <w:ind w:firstLine="480" w:firstLineChars="200"/>
        <w:rPr>
          <w:rFonts w:hint="default"/>
          <w:lang w:val="en-US" w:eastAsia="zh-CN"/>
        </w:rPr>
      </w:pPr>
      <w:r>
        <w:rPr>
          <w:rFonts w:hint="default"/>
          <w:lang w:val="en-US" w:eastAsia="zh-CN"/>
        </w:rPr>
        <w:t>验收监测期间</w:t>
      </w:r>
      <w:r>
        <w:rPr>
          <w:rFonts w:hint="eastAsia"/>
          <w:lang w:val="en-US" w:eastAsia="zh-CN"/>
        </w:rPr>
        <w:t>各生产车间外非甲烷总烃浓度符合《挥发性有机物无组织排放控制标准》（GB37822-2019）表A.1无组织排放限值；厂界无组织废气中</w:t>
      </w:r>
      <w:r>
        <w:rPr>
          <w:rFonts w:hint="default"/>
          <w:lang w:val="en-US" w:eastAsia="zh-CN"/>
        </w:rPr>
        <w:t>硫化氢、臭气浓度</w:t>
      </w:r>
      <w:r>
        <w:rPr>
          <w:rFonts w:hint="eastAsia"/>
          <w:lang w:val="en-US" w:eastAsia="zh-CN"/>
        </w:rPr>
        <w:t>、氨</w:t>
      </w:r>
      <w:r>
        <w:rPr>
          <w:rFonts w:hint="default"/>
          <w:lang w:val="en-US" w:eastAsia="zh-CN"/>
        </w:rPr>
        <w:t>监测</w:t>
      </w:r>
      <w:r>
        <w:rPr>
          <w:rFonts w:hint="eastAsia"/>
          <w:lang w:val="en-US" w:eastAsia="zh-CN"/>
        </w:rPr>
        <w:t>数值</w:t>
      </w:r>
      <w:r>
        <w:rPr>
          <w:rFonts w:hint="default"/>
          <w:lang w:val="en-US" w:eastAsia="zh-CN"/>
        </w:rPr>
        <w:t>均可满足《恶臭污染物排放标准》（GB14554-93）表1二级新扩改建限值；</w:t>
      </w:r>
      <w:r>
        <w:rPr>
          <w:rFonts w:hint="eastAsia"/>
          <w:lang w:val="en-US" w:eastAsia="zh-CN"/>
        </w:rPr>
        <w:t>厂界VOCs</w:t>
      </w:r>
      <w:r>
        <w:rPr>
          <w:rFonts w:hint="default"/>
          <w:lang w:val="en-US" w:eastAsia="zh-CN"/>
        </w:rPr>
        <w:t>监测数据可满足《大气污染物综合排放标准》（GB16297-1996）表2中无组织排放监控浓度限值。</w:t>
      </w:r>
    </w:p>
    <w:p>
      <w:pPr>
        <w:bidi w:val="0"/>
        <w:ind w:firstLine="480" w:firstLineChars="200"/>
        <w:rPr>
          <w:rFonts w:hint="default"/>
          <w:lang w:val="en-US" w:eastAsia="zh-CN"/>
        </w:rPr>
      </w:pPr>
      <w:r>
        <w:rPr>
          <w:rFonts w:hint="default"/>
          <w:lang w:val="en-US" w:eastAsia="zh-CN"/>
        </w:rPr>
        <w:t>验收监测期间污水处理站周边居民环境敏感点处的氨、硫化氢、氟化物、二氧化硫、氮氧化物、PM</w:t>
      </w:r>
      <w:r>
        <w:rPr>
          <w:rFonts w:hint="default"/>
          <w:vertAlign w:val="subscript"/>
          <w:lang w:val="en-US" w:eastAsia="zh-CN"/>
        </w:rPr>
        <w:t>10</w:t>
      </w:r>
      <w:r>
        <w:rPr>
          <w:rFonts w:hint="default"/>
          <w:lang w:val="en-US" w:eastAsia="zh-CN"/>
        </w:rPr>
        <w:t>均满足《环境空气质量标准》（GB3095-2012）及其修改单的要求。</w:t>
      </w:r>
    </w:p>
    <w:p>
      <w:pPr>
        <w:bidi w:val="0"/>
        <w:ind w:firstLine="480" w:firstLineChars="200"/>
        <w:rPr>
          <w:rFonts w:hint="default"/>
          <w:lang w:val="en-US" w:eastAsia="zh-CN"/>
        </w:rPr>
      </w:pPr>
      <w:r>
        <w:rPr>
          <w:rFonts w:hint="default"/>
        </w:rPr>
        <w:t>3.厂界噪声</w:t>
      </w:r>
      <w:r>
        <w:rPr>
          <w:rFonts w:hint="eastAsia"/>
          <w:lang w:eastAsia="zh-CN"/>
        </w:rPr>
        <w:t>：</w:t>
      </w:r>
      <w:r>
        <w:rPr>
          <w:rFonts w:hint="default"/>
          <w:lang w:val="en-US" w:eastAsia="zh-CN"/>
        </w:rPr>
        <w:t>验收监测期间，项目厂界外东、南、西、北四昼间噪声最大值为58.3dB（A），夜间噪声最大值为44.1dB（A），符合《工业企业厂界环境噪声排放标准》（GB 12348-2008）中2类标准；厂界北侧居民敏感点处昼间噪声最大值为53.6dB（A），夜间噪声最大值为42.1dB（A），符合《声环境质量标准》（GB3096-2008）中2类区标准。</w:t>
      </w:r>
    </w:p>
    <w:p>
      <w:pPr>
        <w:bidi w:val="0"/>
        <w:ind w:firstLine="480" w:firstLineChars="200"/>
        <w:rPr>
          <w:rFonts w:hint="default"/>
          <w:lang w:val="en-US" w:eastAsia="zh-CN"/>
        </w:rPr>
      </w:pPr>
      <w:r>
        <w:rPr>
          <w:rFonts w:hint="default"/>
        </w:rPr>
        <w:t>4.固体废物</w:t>
      </w:r>
      <w:r>
        <w:rPr>
          <w:rFonts w:hint="eastAsia"/>
          <w:lang w:eastAsia="zh-CN"/>
        </w:rPr>
        <w:t>：</w:t>
      </w:r>
      <w:r>
        <w:rPr>
          <w:rFonts w:hint="default"/>
          <w:lang w:val="en-US" w:eastAsia="zh-CN"/>
        </w:rPr>
        <w:t>本次技改项目生产过程中产生的废机油、废手套，以及吸收VOCs的废活性炭等危险废物的收集和贮存依托现有的危险废物贮存设施，收集后全部委托有危废处理资质公司定期清运处置；生活垃圾依托厂区内现有生活垃圾收集和贮存设施收集后由环卫部门统一收集处理。</w:t>
      </w:r>
    </w:p>
    <w:p>
      <w:pPr>
        <w:bidi w:val="0"/>
        <w:ind w:firstLine="480" w:firstLineChars="200"/>
        <w:rPr>
          <w:rFonts w:hint="default"/>
        </w:rPr>
      </w:pPr>
      <w:r>
        <w:rPr>
          <w:rFonts w:hint="eastAsia"/>
          <w:lang w:val="en-US" w:eastAsia="zh-CN"/>
        </w:rPr>
        <w:t>五、</w:t>
      </w:r>
      <w:r>
        <w:rPr>
          <w:rFonts w:hint="default"/>
        </w:rPr>
        <w:t>工程建设对环境的影响</w:t>
      </w:r>
    </w:p>
    <w:p>
      <w:pPr>
        <w:bidi w:val="0"/>
        <w:ind w:firstLine="480" w:firstLineChars="200"/>
        <w:rPr>
          <w:rFonts w:hint="default"/>
          <w:lang w:eastAsia="zh-CN"/>
        </w:rPr>
      </w:pPr>
      <w:r>
        <w:rPr>
          <w:rFonts w:hint="default"/>
          <w:lang w:eastAsia="zh-CN"/>
        </w:rPr>
        <w:t>本项目已按照环评及批复要求落实了各项污染防治措施，验收监测期间各类污染物均可以做到达标排放，对周围环境影响较小。</w:t>
      </w:r>
    </w:p>
    <w:p>
      <w:pPr>
        <w:bidi w:val="0"/>
        <w:ind w:firstLine="480" w:firstLineChars="200"/>
        <w:rPr>
          <w:rFonts w:hint="default"/>
          <w:lang w:eastAsia="zh-CN"/>
        </w:rPr>
      </w:pPr>
      <w:r>
        <w:rPr>
          <w:rFonts w:hint="default"/>
        </w:rPr>
        <w:t>六、验收结论</w:t>
      </w:r>
    </w:p>
    <w:p>
      <w:pPr>
        <w:bidi w:val="0"/>
        <w:ind w:firstLine="480" w:firstLineChars="200"/>
        <w:rPr>
          <w:rFonts w:hint="default"/>
          <w:lang w:eastAsia="zh-CN"/>
        </w:rPr>
      </w:pPr>
      <w:r>
        <w:rPr>
          <w:rFonts w:hint="default"/>
          <w:lang w:eastAsia="zh-CN"/>
        </w:rPr>
        <w:t>本项目已按照环评及批复要求落实了各项污染防治措施，项目</w:t>
      </w:r>
      <w:r>
        <w:rPr>
          <w:rFonts w:hint="default"/>
          <w:lang w:val="en-US" w:eastAsia="zh-CN"/>
        </w:rPr>
        <w:t>废水排口</w:t>
      </w:r>
      <w:r>
        <w:rPr>
          <w:rFonts w:hint="default"/>
          <w:lang w:eastAsia="zh-CN"/>
        </w:rPr>
        <w:t>监测结果、</w:t>
      </w:r>
      <w:r>
        <w:rPr>
          <w:rFonts w:hint="default"/>
          <w:lang w:val="en-US" w:eastAsia="zh-CN"/>
        </w:rPr>
        <w:t>有组织废气监测结果、厂界</w:t>
      </w:r>
      <w:r>
        <w:rPr>
          <w:rFonts w:hint="default"/>
          <w:lang w:eastAsia="zh-CN"/>
        </w:rPr>
        <w:t>无组织废气监测结果、</w:t>
      </w:r>
      <w:r>
        <w:rPr>
          <w:rFonts w:hint="default"/>
          <w:lang w:val="en-US" w:eastAsia="zh-CN"/>
        </w:rPr>
        <w:t>环境敏感点处监测结果</w:t>
      </w:r>
      <w:r>
        <w:rPr>
          <w:rFonts w:hint="default"/>
          <w:lang w:eastAsia="zh-CN"/>
        </w:rPr>
        <w:t>、</w:t>
      </w:r>
      <w:r>
        <w:rPr>
          <w:rFonts w:hint="default"/>
          <w:lang w:val="en-US" w:eastAsia="zh-CN"/>
        </w:rPr>
        <w:t>厂</w:t>
      </w:r>
      <w:r>
        <w:rPr>
          <w:rFonts w:hint="default"/>
          <w:lang w:eastAsia="zh-CN"/>
        </w:rPr>
        <w:t>界环境噪声监测结果、固废处理措施</w:t>
      </w:r>
      <w:r>
        <w:rPr>
          <w:rFonts w:hint="default"/>
          <w:lang w:val="en-US" w:eastAsia="zh-CN"/>
        </w:rPr>
        <w:t>等</w:t>
      </w:r>
      <w:r>
        <w:rPr>
          <w:rFonts w:hint="default"/>
          <w:lang w:eastAsia="zh-CN"/>
        </w:rPr>
        <w:t>均达到验收执行标准的要求，验收组同意本项目通过竣工环保验收。</w:t>
      </w:r>
    </w:p>
    <w:p>
      <w:pPr>
        <w:bidi w:val="0"/>
        <w:ind w:firstLine="480" w:firstLineChars="200"/>
        <w:rPr>
          <w:rFonts w:hint="default"/>
          <w:lang w:val="en-US" w:eastAsia="zh-CN"/>
        </w:rPr>
      </w:pPr>
      <w:r>
        <w:rPr>
          <w:rFonts w:hint="default"/>
        </w:rPr>
        <w:t>七、</w:t>
      </w:r>
      <w:r>
        <w:rPr>
          <w:rFonts w:hint="default"/>
          <w:lang w:eastAsia="zh-CN"/>
        </w:rPr>
        <w:t>验收建议</w:t>
      </w:r>
    </w:p>
    <w:p>
      <w:pPr>
        <w:bidi w:val="0"/>
        <w:ind w:firstLine="480" w:firstLineChars="200"/>
        <w:rPr>
          <w:rFonts w:hint="default"/>
        </w:rPr>
      </w:pPr>
      <w:r>
        <w:rPr>
          <w:rFonts w:hint="default"/>
          <w:lang w:val="en-US" w:eastAsia="zh-CN"/>
        </w:rPr>
        <w:t>（1）设专人负责环保设施的运行和管理，保证设施正常运转。</w:t>
      </w:r>
    </w:p>
    <w:p>
      <w:pPr>
        <w:bidi w:val="0"/>
        <w:ind w:firstLine="480" w:firstLineChars="200"/>
        <w:rPr>
          <w:rFonts w:hint="default"/>
          <w:lang w:val="en-US" w:eastAsia="zh-CN"/>
        </w:rPr>
      </w:pPr>
      <w:r>
        <w:rPr>
          <w:rFonts w:hint="default"/>
          <w:lang w:val="en-US" w:eastAsia="zh-CN"/>
        </w:rPr>
        <w:t>（2）加强环保设施的运行管理和维护，确保各项污染物长期、稳定达标排放。</w:t>
      </w:r>
    </w:p>
    <w:p>
      <w:pPr>
        <w:bidi w:val="0"/>
        <w:ind w:firstLine="480" w:firstLineChars="200"/>
        <w:rPr>
          <w:rFonts w:hint="default"/>
        </w:rPr>
      </w:pPr>
      <w:r>
        <w:rPr>
          <w:rFonts w:hint="default"/>
          <w:lang w:eastAsia="zh-CN"/>
        </w:rPr>
        <w:t>八</w:t>
      </w:r>
      <w:r>
        <w:rPr>
          <w:rFonts w:hint="default"/>
        </w:rPr>
        <w:t>、验收人员信息</w:t>
      </w:r>
    </w:p>
    <w:p>
      <w:pPr>
        <w:bidi w:val="0"/>
        <w:ind w:firstLine="480" w:firstLineChars="200"/>
        <w:rPr>
          <w:rFonts w:hint="default"/>
          <w:lang w:eastAsia="zh-CN"/>
        </w:rPr>
      </w:pPr>
      <w:r>
        <w:rPr>
          <w:rFonts w:hint="default"/>
          <w:lang w:eastAsia="zh-CN"/>
        </w:rPr>
        <w:t>验收负责人和参加验收人员信息见附表。</w:t>
      </w:r>
    </w:p>
    <w:p>
      <w:pPr>
        <w:bidi w:val="0"/>
        <w:rPr>
          <w:rFonts w:hint="default"/>
          <w:lang w:val="en-US" w:eastAsia="zh-CN"/>
        </w:rPr>
      </w:pPr>
      <w:r>
        <w:rPr>
          <w:rFonts w:hint="default"/>
          <w:lang w:val="en-US" w:eastAsia="zh-CN"/>
        </w:rPr>
        <w:t xml:space="preserve"> </w:t>
      </w:r>
    </w:p>
    <w:p>
      <w:pPr>
        <w:bidi w:val="0"/>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bidi w:val="0"/>
        <w:jc w:val="right"/>
        <w:rPr>
          <w:rFonts w:hint="default"/>
          <w:lang w:val="en-US" w:eastAsia="zh-CN"/>
        </w:rPr>
      </w:pPr>
      <w:r>
        <w:rPr>
          <w:rFonts w:hint="default"/>
          <w:lang w:val="en-US" w:eastAsia="zh-CN"/>
        </w:rPr>
        <w:t xml:space="preserve">湖南中南制药有限责任公司                                            </w:t>
      </w:r>
    </w:p>
    <w:p>
      <w:pPr>
        <w:jc w:val="right"/>
        <w:rPr>
          <w:rFonts w:hint="default"/>
          <w:lang w:val="en-US" w:eastAsia="zh-CN"/>
        </w:rPr>
      </w:pPr>
      <w:r>
        <w:rPr>
          <w:rFonts w:hint="default"/>
          <w:lang w:val="en-US" w:eastAsia="zh-CN"/>
        </w:rPr>
        <w:t>20</w:t>
      </w:r>
      <w:r>
        <w:rPr>
          <w:rFonts w:hint="eastAsia"/>
          <w:lang w:val="en-US" w:eastAsia="zh-CN"/>
        </w:rPr>
        <w:t>22</w:t>
      </w:r>
      <w:r>
        <w:rPr>
          <w:rFonts w:hint="default"/>
        </w:rPr>
        <w:t>年</w:t>
      </w:r>
      <w:r>
        <w:rPr>
          <w:rFonts w:hint="eastAsia"/>
          <w:lang w:val="en-US" w:eastAsia="zh-CN"/>
        </w:rPr>
        <w:t>3</w:t>
      </w:r>
      <w:r>
        <w:rPr>
          <w:rFonts w:hint="default"/>
        </w:rPr>
        <w:t>月</w:t>
      </w:r>
      <w:r>
        <w:rPr>
          <w:rFonts w:hint="eastAsia"/>
          <w:lang w:val="en-US" w:eastAsia="zh-CN"/>
        </w:rPr>
        <w:t>6</w:t>
      </w:r>
      <w:r>
        <w:rPr>
          <w:rFonts w:hint="default"/>
          <w:lang w:val="en-US" w:eastAsia="zh-CN"/>
        </w:rPr>
        <w:t>日</w:t>
      </w:r>
      <w:bookmarkStart w:id="0" w:name="_GoBack"/>
      <w:bookmarkEnd w:id="0"/>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10280E92"/>
    <w:rsid w:val="11773ECA"/>
    <w:rsid w:val="18166B3E"/>
    <w:rsid w:val="190169B2"/>
    <w:rsid w:val="191C1122"/>
    <w:rsid w:val="1C8211DF"/>
    <w:rsid w:val="1EFB6FCE"/>
    <w:rsid w:val="1FBB2916"/>
    <w:rsid w:val="252A5133"/>
    <w:rsid w:val="25877079"/>
    <w:rsid w:val="270A1F04"/>
    <w:rsid w:val="270A52FB"/>
    <w:rsid w:val="2F2A68ED"/>
    <w:rsid w:val="30736BF9"/>
    <w:rsid w:val="312C4B6E"/>
    <w:rsid w:val="3355009F"/>
    <w:rsid w:val="377177E5"/>
    <w:rsid w:val="38F436E0"/>
    <w:rsid w:val="3AE42007"/>
    <w:rsid w:val="3E1B58FF"/>
    <w:rsid w:val="3FC73216"/>
    <w:rsid w:val="408D617B"/>
    <w:rsid w:val="409A5BCA"/>
    <w:rsid w:val="4C71503E"/>
    <w:rsid w:val="4D736991"/>
    <w:rsid w:val="4F2770BE"/>
    <w:rsid w:val="50265CBC"/>
    <w:rsid w:val="50E6102E"/>
    <w:rsid w:val="528046A7"/>
    <w:rsid w:val="54136C77"/>
    <w:rsid w:val="55102CD0"/>
    <w:rsid w:val="56CE28FE"/>
    <w:rsid w:val="57163C34"/>
    <w:rsid w:val="5F12580D"/>
    <w:rsid w:val="5F6E4222"/>
    <w:rsid w:val="63271AB0"/>
    <w:rsid w:val="63F60FCB"/>
    <w:rsid w:val="65CA0593"/>
    <w:rsid w:val="68536BF4"/>
    <w:rsid w:val="68BD42CF"/>
    <w:rsid w:val="68EB6D6E"/>
    <w:rsid w:val="69105C2F"/>
    <w:rsid w:val="696041CF"/>
    <w:rsid w:val="6D535020"/>
    <w:rsid w:val="6E152C53"/>
    <w:rsid w:val="6E6F0007"/>
    <w:rsid w:val="6FC952B1"/>
    <w:rsid w:val="705E2DCB"/>
    <w:rsid w:val="72F65104"/>
    <w:rsid w:val="7404071B"/>
    <w:rsid w:val="764A2A98"/>
    <w:rsid w:val="77252A6B"/>
    <w:rsid w:val="79975C89"/>
    <w:rsid w:val="7B3A2A2E"/>
    <w:rsid w:val="7CA26F5B"/>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4">
    <w:name w:val="caption"/>
    <w:basedOn w:val="1"/>
    <w:next w:val="1"/>
    <w:qFormat/>
    <w:uiPriority w:val="0"/>
    <w:rPr>
      <w:rFonts w:ascii="Cambria" w:hAnsi="Cambria" w:eastAsia="黑体" w:cs="Times New Roman"/>
      <w:sz w:val="20"/>
      <w:szCs w:val="20"/>
    </w:r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0"/>
    <w:rPr>
      <w:rFonts w:ascii="宋体" w:hAnsi="Courier New" w:cs="Courier New"/>
      <w:kern w:val="2"/>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2"/>
    <w:next w:val="1"/>
    <w:qFormat/>
    <w:uiPriority w:val="0"/>
    <w:rPr>
      <w:rFonts w:ascii="Calibri" w:hAnsi="Calibri" w:eastAsia="宋体" w:cs="Times New Roman"/>
      <w:szCs w:val="20"/>
    </w:rPr>
  </w:style>
  <w:style w:type="paragraph" w:styleId="10">
    <w:name w:val="Body Text First Indent 2"/>
    <w:basedOn w:val="5"/>
    <w:qFormat/>
    <w:uiPriority w:val="0"/>
    <w:pPr>
      <w:ind w:firstLine="420" w:firstLineChars="200"/>
    </w:pPr>
    <w:rPr>
      <w:sz w:val="21"/>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character" w:customStyle="1" w:styleId="15">
    <w:name w:val="content1"/>
    <w:qFormat/>
    <w:uiPriority w:val="0"/>
    <w:rPr>
      <w:color w:val="000000"/>
      <w:sz w:val="20"/>
      <w:szCs w:val="20"/>
    </w:rPr>
  </w:style>
  <w:style w:type="paragraph" w:customStyle="1" w:styleId="16">
    <w:name w:val="列出段落1"/>
    <w:basedOn w:val="1"/>
    <w:qFormat/>
    <w:uiPriority w:val="34"/>
    <w:pPr>
      <w:ind w:firstLine="420"/>
    </w:pPr>
  </w:style>
  <w:style w:type="paragraph" w:customStyle="1" w:styleId="1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8">
    <w:name w:val="正文内容"/>
    <w:basedOn w:val="1"/>
    <w:qFormat/>
    <w:uiPriority w:val="0"/>
    <w:pPr>
      <w:spacing w:line="360" w:lineRule="auto"/>
      <w:ind w:firstLine="200" w:firstLineChars="200"/>
    </w:pPr>
    <w:rPr>
      <w:kern w:val="0"/>
      <w:sz w:val="24"/>
      <w:szCs w:val="21"/>
    </w:rPr>
  </w:style>
  <w:style w:type="paragraph" w:customStyle="1" w:styleId="19">
    <w:name w:val="Default"/>
    <w:basedOn w:val="20"/>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
    <w:name w:val="纯文本1"/>
    <w:basedOn w:val="1"/>
    <w:qFormat/>
    <w:uiPriority w:val="0"/>
    <w:rPr>
      <w:rFonts w:ascii="宋体" w:hAnsi="Courier New"/>
    </w:rPr>
  </w:style>
  <w:style w:type="paragraph" w:customStyle="1" w:styleId="21">
    <w:name w:val="表格标题"/>
    <w:basedOn w:val="4"/>
    <w:next w:val="1"/>
    <w:qFormat/>
    <w:uiPriority w:val="0"/>
    <w:pPr>
      <w:keepNext/>
      <w:widowControl w:val="0"/>
      <w:spacing w:line="240" w:lineRule="auto"/>
      <w:ind w:firstLine="0" w:firstLineChars="0"/>
      <w:jc w:val="center"/>
    </w:pPr>
    <w:rPr>
      <w:rFonts w:ascii="Times New Roman" w:hAnsi="Times New Roman" w:eastAsia="宋体"/>
      <w:b/>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3283</Words>
  <Characters>3615</Characters>
  <Lines>0</Lines>
  <Paragraphs>0</Paragraphs>
  <TotalTime>0</TotalTime>
  <ScaleCrop>false</ScaleCrop>
  <LinksUpToDate>false</LinksUpToDate>
  <CharactersWithSpaces>3667</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2022-05-14T14:45:41Z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6B39D33349A0433491A2EB27A8672797</vt:lpwstr>
  </property>
</Properties>
</file>