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
        <w:tabs>
          <w:tab w:val="left" w:pos="1319"/>
        </w:tabs>
        <w:spacing w:before="0" w:line="360" w:lineRule="auto"/>
        <w:ind w:left="0" w:firstLine="0"/>
        <w:jc w:val="center"/>
        <w:rPr>
          <w:rFonts w:ascii="Times New Roman" w:hAnsi="Times New Roman" w:eastAsia="仿宋" w:cs="Times New Roman"/>
          <w:b/>
          <w:sz w:val="28"/>
          <w:szCs w:val="28"/>
        </w:rPr>
      </w:pPr>
      <w:r>
        <w:rPr>
          <w:rFonts w:ascii="Times New Roman" w:hAnsi="Times New Roman" w:eastAsia="仿宋" w:cs="Times New Roman"/>
          <w:b/>
          <w:sz w:val="28"/>
          <w:szCs w:val="28"/>
        </w:rPr>
        <w:t>齐齐哈尔百佳居陶瓷有限公司新建年产2000万平方米中高档内墙砖生产线项目竣工环境保护验收意见</w:t>
      </w:r>
    </w:p>
    <w:p>
      <w:pPr>
        <w:snapToGrid w:val="0"/>
        <w:spacing w:line="360" w:lineRule="auto"/>
        <w:ind w:firstLine="560" w:firstLineChars="200"/>
        <w:rPr>
          <w:rFonts w:eastAsia="仿宋"/>
          <w:sz w:val="28"/>
          <w:szCs w:val="28"/>
        </w:rPr>
      </w:pPr>
      <w:r>
        <w:rPr>
          <w:rFonts w:eastAsia="仿宋"/>
          <w:sz w:val="28"/>
          <w:szCs w:val="28"/>
        </w:rPr>
        <w:t>2022年</w:t>
      </w:r>
      <w:r>
        <w:rPr>
          <w:rFonts w:hint="eastAsia" w:eastAsia="仿宋"/>
          <w:sz w:val="28"/>
          <w:szCs w:val="28"/>
          <w:lang w:val="en-US" w:eastAsia="zh-CN"/>
        </w:rPr>
        <w:t>6</w:t>
      </w:r>
      <w:r>
        <w:rPr>
          <w:rFonts w:eastAsia="仿宋"/>
          <w:sz w:val="28"/>
          <w:szCs w:val="28"/>
        </w:rPr>
        <w:t>月1</w:t>
      </w:r>
      <w:r>
        <w:rPr>
          <w:rFonts w:hint="eastAsia" w:eastAsia="仿宋"/>
          <w:sz w:val="28"/>
          <w:szCs w:val="28"/>
          <w:lang w:val="en-US" w:eastAsia="zh-CN"/>
        </w:rPr>
        <w:t>4</w:t>
      </w:r>
      <w:r>
        <w:rPr>
          <w:rFonts w:eastAsia="仿宋"/>
          <w:sz w:val="28"/>
          <w:szCs w:val="28"/>
        </w:rPr>
        <w:t>日，齐齐哈尔百佳居陶瓷有限公司根据《</w:t>
      </w:r>
      <w:r>
        <w:rPr>
          <w:rFonts w:eastAsia="仿宋"/>
          <w:bCs/>
          <w:sz w:val="28"/>
          <w:szCs w:val="28"/>
        </w:rPr>
        <w:t>齐齐哈尔百佳居陶瓷有限公司新建年产2000万平方米中高档内墙砖生产线项目</w:t>
      </w:r>
      <w:r>
        <w:rPr>
          <w:rFonts w:eastAsia="仿宋"/>
          <w:sz w:val="28"/>
          <w:szCs w:val="28"/>
        </w:rPr>
        <w:t>竣工环境保护验收监测报告》并对照《建设项目竣工环境保护验收暂行办法》，严格依照国家有关法律法规、建设项目竣工环境保护验收技术规范/指南、本项目环境影响评价报告书和审批部门审批决定等要求对本项目进行验收，提出意见如下：</w:t>
      </w:r>
    </w:p>
    <w:p>
      <w:pPr>
        <w:numPr>
          <w:ilvl w:val="0"/>
          <w:numId w:val="1"/>
        </w:numPr>
        <w:adjustRightInd w:val="0"/>
        <w:snapToGrid w:val="0"/>
        <w:spacing w:line="360" w:lineRule="auto"/>
        <w:ind w:firstLine="560" w:firstLineChars="200"/>
        <w:rPr>
          <w:rFonts w:eastAsia="仿宋"/>
          <w:b/>
          <w:bCs/>
          <w:sz w:val="28"/>
          <w:szCs w:val="28"/>
        </w:rPr>
      </w:pPr>
      <w:r>
        <w:rPr>
          <w:rFonts w:eastAsia="仿宋"/>
          <w:b/>
          <w:bCs/>
          <w:sz w:val="28"/>
          <w:szCs w:val="28"/>
        </w:rPr>
        <w:t>工程建设基本情况</w:t>
      </w:r>
    </w:p>
    <w:p>
      <w:pPr>
        <w:pStyle w:val="14"/>
        <w:spacing w:line="360" w:lineRule="auto"/>
        <w:ind w:firstLine="560" w:firstLineChars="200"/>
        <w:rPr>
          <w:rFonts w:eastAsia="仿宋"/>
          <w:sz w:val="28"/>
          <w:szCs w:val="28"/>
        </w:rPr>
      </w:pPr>
      <w:r>
        <w:rPr>
          <w:rFonts w:eastAsia="仿宋"/>
          <w:sz w:val="28"/>
          <w:szCs w:val="28"/>
        </w:rPr>
        <w:t>（一）建设地点、规模、主要建设内容</w:t>
      </w:r>
    </w:p>
    <w:p>
      <w:pPr>
        <w:pStyle w:val="4"/>
        <w:spacing w:line="360" w:lineRule="auto"/>
        <w:ind w:firstLine="560" w:firstLineChars="200"/>
        <w:rPr>
          <w:rFonts w:eastAsia="仿宋"/>
          <w:color w:val="000000"/>
          <w:sz w:val="28"/>
          <w:szCs w:val="28"/>
        </w:rPr>
      </w:pPr>
      <w:r>
        <w:rPr>
          <w:rFonts w:eastAsia="仿宋"/>
          <w:color w:val="000000"/>
          <w:sz w:val="28"/>
          <w:szCs w:val="28"/>
        </w:rPr>
        <w:t>本项目位于依安-明水公路西侧明水公里公路西侧的依安县陶瓷示范基地内，属于新建项目，占地面积220000m</w:t>
      </w:r>
      <w:r>
        <w:rPr>
          <w:rFonts w:eastAsia="仿宋"/>
          <w:color w:val="000000"/>
          <w:sz w:val="28"/>
          <w:szCs w:val="28"/>
          <w:vertAlign w:val="superscript"/>
        </w:rPr>
        <w:t>2</w:t>
      </w:r>
      <w:r>
        <w:rPr>
          <w:rFonts w:eastAsia="仿宋"/>
          <w:color w:val="000000"/>
          <w:sz w:val="28"/>
          <w:szCs w:val="28"/>
        </w:rPr>
        <w:t>，建筑面积70851m</w:t>
      </w:r>
      <w:r>
        <w:rPr>
          <w:rFonts w:eastAsia="仿宋"/>
          <w:color w:val="000000"/>
          <w:sz w:val="28"/>
          <w:szCs w:val="28"/>
          <w:vertAlign w:val="superscript"/>
        </w:rPr>
        <w:t>2</w:t>
      </w:r>
      <w:r>
        <w:rPr>
          <w:rFonts w:eastAsia="仿宋"/>
          <w:color w:val="000000"/>
          <w:sz w:val="28"/>
          <w:szCs w:val="28"/>
        </w:rPr>
        <w:t>，环评建设3条辊道窑内墙砖生产线，年产2000万平方米中高档内墙砖，实际建设</w:t>
      </w:r>
      <w:r>
        <w:rPr>
          <w:rFonts w:hint="eastAsia" w:eastAsia="仿宋"/>
          <w:color w:val="000000"/>
          <w:sz w:val="28"/>
          <w:szCs w:val="28"/>
          <w:lang w:val="en-US" w:eastAsia="zh-CN"/>
        </w:rPr>
        <w:t>1条</w:t>
      </w:r>
      <w:r>
        <w:rPr>
          <w:rFonts w:eastAsia="仿宋"/>
          <w:color w:val="000000"/>
          <w:sz w:val="28"/>
          <w:szCs w:val="28"/>
        </w:rPr>
        <w:t>辊道窑内墙砖生产线，年产800万平方米中高档内墙砖。</w:t>
      </w:r>
    </w:p>
    <w:p>
      <w:pPr>
        <w:numPr>
          <w:ilvl w:val="0"/>
          <w:numId w:val="2"/>
        </w:numPr>
        <w:shd w:val="clear" w:color="auto" w:fill="FFFFFF"/>
        <w:spacing w:line="360" w:lineRule="auto"/>
        <w:ind w:firstLine="560" w:firstLineChars="200"/>
        <w:rPr>
          <w:rFonts w:eastAsia="仿宋"/>
          <w:color w:val="000000"/>
          <w:sz w:val="28"/>
          <w:szCs w:val="28"/>
        </w:rPr>
      </w:pPr>
      <w:r>
        <w:rPr>
          <w:rFonts w:eastAsia="仿宋"/>
          <w:color w:val="000000"/>
          <w:sz w:val="28"/>
          <w:szCs w:val="28"/>
        </w:rPr>
        <w:t>建设过程及环保审批情况</w:t>
      </w:r>
    </w:p>
    <w:p>
      <w:pPr>
        <w:snapToGrid w:val="0"/>
        <w:spacing w:line="360" w:lineRule="auto"/>
        <w:ind w:firstLine="560" w:firstLineChars="200"/>
        <w:rPr>
          <w:rFonts w:eastAsia="仿宋"/>
          <w:color w:val="000000"/>
          <w:sz w:val="28"/>
          <w:szCs w:val="28"/>
        </w:rPr>
      </w:pPr>
      <w:r>
        <w:rPr>
          <w:rFonts w:eastAsia="仿宋"/>
          <w:color w:val="000000"/>
          <w:sz w:val="28"/>
          <w:szCs w:val="28"/>
        </w:rPr>
        <w:t>2013年5月，佳木斯市环境保护科学研究院完成了本项目环境影响评价报告书的编制工作，于2013年6月9日，齐齐哈尔市环境保护局以齐环评〔2013〕20号对本项目给予了批复。</w:t>
      </w:r>
    </w:p>
    <w:p>
      <w:pPr>
        <w:snapToGrid w:val="0"/>
        <w:spacing w:line="360" w:lineRule="auto"/>
        <w:ind w:firstLine="560" w:firstLineChars="200"/>
        <w:rPr>
          <w:rFonts w:eastAsia="仿宋"/>
          <w:color w:val="000000"/>
          <w:sz w:val="28"/>
          <w:szCs w:val="28"/>
        </w:rPr>
      </w:pPr>
      <w:bookmarkStart w:id="0" w:name="_Hlk101529174"/>
      <w:r>
        <w:rPr>
          <w:rFonts w:eastAsia="仿宋"/>
          <w:color w:val="000000"/>
          <w:sz w:val="28"/>
          <w:szCs w:val="28"/>
        </w:rPr>
        <w:t>项目于2014年3月开工建设，2015年8月完成主体工程建设，于2021年10月，相关配套的环境保护设施</w:t>
      </w:r>
      <w:r>
        <w:rPr>
          <w:rFonts w:hint="eastAsia" w:eastAsia="仿宋"/>
          <w:color w:val="000000"/>
          <w:sz w:val="28"/>
          <w:szCs w:val="28"/>
          <w:lang w:eastAsia="zh-CN"/>
        </w:rPr>
        <w:t>完成</w:t>
      </w:r>
      <w:r>
        <w:rPr>
          <w:rFonts w:eastAsia="仿宋"/>
          <w:color w:val="000000"/>
          <w:sz w:val="28"/>
          <w:szCs w:val="28"/>
        </w:rPr>
        <w:t>调</w:t>
      </w:r>
      <w:r>
        <w:rPr>
          <w:rFonts w:hint="eastAsia" w:eastAsia="仿宋"/>
          <w:color w:val="000000"/>
          <w:sz w:val="28"/>
          <w:szCs w:val="28"/>
          <w:lang w:eastAsia="zh-CN"/>
        </w:rPr>
        <w:t>试</w:t>
      </w:r>
      <w:r>
        <w:rPr>
          <w:rFonts w:hint="eastAsia" w:eastAsia="仿宋"/>
          <w:color w:val="000000"/>
          <w:sz w:val="28"/>
          <w:szCs w:val="28"/>
        </w:rPr>
        <w:t>并</w:t>
      </w:r>
      <w:r>
        <w:rPr>
          <w:rFonts w:eastAsia="仿宋"/>
          <w:color w:val="000000"/>
          <w:sz w:val="28"/>
          <w:szCs w:val="28"/>
        </w:rPr>
        <w:t>试运行。</w:t>
      </w:r>
    </w:p>
    <w:bookmarkEnd w:id="0"/>
    <w:p>
      <w:pPr>
        <w:adjustRightInd w:val="0"/>
        <w:snapToGrid w:val="0"/>
        <w:spacing w:line="360" w:lineRule="auto"/>
        <w:ind w:firstLine="560" w:firstLineChars="200"/>
        <w:rPr>
          <w:rFonts w:eastAsia="仿宋"/>
          <w:sz w:val="28"/>
          <w:szCs w:val="28"/>
        </w:rPr>
      </w:pPr>
      <w:r>
        <w:rPr>
          <w:rFonts w:eastAsia="仿宋"/>
          <w:sz w:val="28"/>
          <w:szCs w:val="28"/>
        </w:rPr>
        <w:t>（三）投资情况</w:t>
      </w:r>
    </w:p>
    <w:p>
      <w:pPr>
        <w:adjustRightInd w:val="0"/>
        <w:snapToGrid w:val="0"/>
        <w:spacing w:line="360" w:lineRule="auto"/>
        <w:ind w:firstLine="560" w:firstLineChars="200"/>
        <w:rPr>
          <w:rFonts w:eastAsia="仿宋"/>
          <w:sz w:val="28"/>
          <w:szCs w:val="28"/>
        </w:rPr>
      </w:pPr>
      <w:r>
        <w:rPr>
          <w:rFonts w:eastAsia="仿宋"/>
          <w:sz w:val="28"/>
          <w:szCs w:val="28"/>
        </w:rPr>
        <w:t>项目总投资为16000万元，环保投资350万元。</w:t>
      </w:r>
    </w:p>
    <w:p>
      <w:pPr>
        <w:pStyle w:val="19"/>
        <w:numPr>
          <w:ilvl w:val="0"/>
          <w:numId w:val="3"/>
        </w:numPr>
        <w:spacing w:before="0" w:beforeAutospacing="0" w:after="0" w:afterAutospacing="0" w:line="360" w:lineRule="auto"/>
        <w:ind w:firstLine="560" w:firstLineChars="200"/>
        <w:outlineLvl w:val="0"/>
        <w:rPr>
          <w:rFonts w:ascii="Times New Roman" w:hAnsi="Times New Roman" w:eastAsia="仿宋" w:cs="Times New Roman"/>
          <w:sz w:val="28"/>
          <w:szCs w:val="28"/>
        </w:rPr>
      </w:pPr>
      <w:r>
        <w:rPr>
          <w:rFonts w:ascii="Times New Roman" w:hAnsi="Times New Roman" w:eastAsia="仿宋" w:cs="Times New Roman"/>
          <w:sz w:val="28"/>
          <w:szCs w:val="28"/>
        </w:rPr>
        <w:t>验收范围</w:t>
      </w:r>
    </w:p>
    <w:p>
      <w:pPr>
        <w:spacing w:line="360" w:lineRule="auto"/>
        <w:ind w:firstLine="560" w:firstLineChars="200"/>
        <w:rPr>
          <w:rFonts w:eastAsia="仿宋"/>
          <w:sz w:val="28"/>
          <w:szCs w:val="28"/>
        </w:rPr>
      </w:pPr>
      <w:bookmarkStart w:id="1" w:name="_Hlk101529278"/>
      <w:r>
        <w:rPr>
          <w:rFonts w:eastAsia="仿宋"/>
          <w:sz w:val="28"/>
          <w:szCs w:val="28"/>
        </w:rPr>
        <w:t>本次验收范围为环评及批复涉及的废水、废气、噪声、固体废物污染防治措施及设施</w:t>
      </w:r>
      <w:r>
        <w:rPr>
          <w:rFonts w:hint="eastAsia" w:eastAsia="仿宋"/>
          <w:sz w:val="28"/>
          <w:szCs w:val="28"/>
        </w:rPr>
        <w:t>的</w:t>
      </w:r>
      <w:r>
        <w:rPr>
          <w:rFonts w:eastAsia="仿宋"/>
          <w:sz w:val="28"/>
          <w:szCs w:val="28"/>
        </w:rPr>
        <w:t>相关内容</w:t>
      </w:r>
      <w:bookmarkEnd w:id="1"/>
      <w:r>
        <w:rPr>
          <w:rFonts w:eastAsia="仿宋"/>
          <w:sz w:val="28"/>
          <w:szCs w:val="28"/>
        </w:rPr>
        <w:t>。</w:t>
      </w:r>
    </w:p>
    <w:p>
      <w:pPr>
        <w:pStyle w:val="19"/>
        <w:numPr>
          <w:ilvl w:val="0"/>
          <w:numId w:val="1"/>
        </w:numPr>
        <w:spacing w:before="0" w:beforeAutospacing="0" w:after="0" w:afterAutospacing="0" w:line="360" w:lineRule="auto"/>
        <w:ind w:firstLine="560" w:firstLineChars="200"/>
        <w:outlineLvl w:val="0"/>
        <w:rPr>
          <w:rFonts w:ascii="Times New Roman" w:hAnsi="Times New Roman" w:eastAsia="仿宋" w:cs="Times New Roman"/>
          <w:b/>
          <w:color w:val="000000"/>
          <w:sz w:val="28"/>
          <w:szCs w:val="28"/>
        </w:rPr>
      </w:pPr>
      <w:r>
        <w:rPr>
          <w:rFonts w:ascii="Times New Roman" w:hAnsi="Times New Roman" w:eastAsia="仿宋" w:cs="Times New Roman"/>
          <w:b/>
          <w:color w:val="000000"/>
          <w:sz w:val="28"/>
          <w:szCs w:val="28"/>
        </w:rPr>
        <w:t>工程变动情况</w:t>
      </w:r>
    </w:p>
    <w:p>
      <w:pPr>
        <w:pStyle w:val="3"/>
        <w:spacing w:line="360" w:lineRule="auto"/>
        <w:ind w:firstLine="560" w:firstLineChars="200"/>
        <w:rPr>
          <w:rFonts w:eastAsia="仿宋"/>
          <w:sz w:val="28"/>
          <w:szCs w:val="28"/>
        </w:rPr>
      </w:pPr>
      <w:r>
        <w:rPr>
          <w:rFonts w:eastAsia="仿宋"/>
          <w:sz w:val="28"/>
          <w:szCs w:val="28"/>
        </w:rPr>
        <w:t>本项目环评设计“建设3条辊道窑内墙砖生产线，年产2000万平方米中高档内墙砖”，实际“建设一条辊道窑内墙砖生产线，年产800万平方米中高档内墙砖，不设置抛光、贴花工序</w:t>
      </w:r>
      <w:r>
        <w:rPr>
          <w:rFonts w:hint="eastAsia" w:eastAsia="仿宋"/>
          <w:sz w:val="28"/>
          <w:szCs w:val="28"/>
        </w:rPr>
        <w:t>，煤气站不设置碎煤机、振动筛，从厂外购进的煤直接用于煤气的制造，无需振动筛分，无筛分废气产生</w:t>
      </w:r>
      <w:r>
        <w:rPr>
          <w:rFonts w:eastAsia="仿宋"/>
          <w:sz w:val="28"/>
          <w:szCs w:val="28"/>
        </w:rPr>
        <w:t>”，对应的生产设备及配套环保设施减少，污染物产生量变小，对环境影响变小。</w:t>
      </w:r>
    </w:p>
    <w:p>
      <w:pPr>
        <w:pStyle w:val="3"/>
        <w:spacing w:line="360" w:lineRule="auto"/>
        <w:ind w:firstLine="560" w:firstLineChars="200"/>
        <w:rPr>
          <w:rFonts w:eastAsia="仿宋"/>
          <w:sz w:val="28"/>
          <w:szCs w:val="28"/>
        </w:rPr>
      </w:pPr>
      <w:r>
        <w:rPr>
          <w:rFonts w:eastAsia="仿宋"/>
          <w:sz w:val="28"/>
          <w:szCs w:val="28"/>
        </w:rPr>
        <w:t>本项目环评设计“食堂应设油烟净化装置”，实际“未设置食堂”，故不产生饮食业油烟。</w:t>
      </w:r>
    </w:p>
    <w:p>
      <w:pPr>
        <w:pStyle w:val="3"/>
        <w:spacing w:line="360" w:lineRule="auto"/>
        <w:ind w:firstLine="560" w:firstLineChars="200"/>
        <w:rPr>
          <w:rFonts w:eastAsia="仿宋"/>
          <w:sz w:val="28"/>
          <w:szCs w:val="28"/>
        </w:rPr>
      </w:pPr>
      <w:r>
        <w:rPr>
          <w:rFonts w:eastAsia="仿宋"/>
          <w:sz w:val="28"/>
          <w:szCs w:val="28"/>
        </w:rPr>
        <w:t>本项目环评设计“冬季取暖和生产用汽由厂内自建锅炉房提供。该锅炉应配备高效除尘器”，实际“未建设锅炉，冬季供热由集中供热管网提供”，故不产生锅炉烟气。</w:t>
      </w:r>
    </w:p>
    <w:p>
      <w:pPr>
        <w:pStyle w:val="14"/>
        <w:spacing w:line="360" w:lineRule="auto"/>
        <w:ind w:firstLine="560" w:firstLineChars="200"/>
        <w:jc w:val="both"/>
        <w:rPr>
          <w:rFonts w:eastAsiaTheme="minorEastAsia"/>
          <w:b w:val="0"/>
          <w:bCs/>
          <w:color w:val="000000" w:themeColor="text1"/>
          <w:sz w:val="28"/>
          <w:szCs w:val="28"/>
          <w14:textFill>
            <w14:solidFill>
              <w14:schemeClr w14:val="tx1"/>
            </w14:solidFill>
          </w14:textFill>
        </w:rPr>
      </w:pPr>
      <w:r>
        <w:rPr>
          <w:rFonts w:eastAsia="仿宋"/>
          <w:b w:val="0"/>
          <w:sz w:val="28"/>
          <w:szCs w:val="28"/>
        </w:rPr>
        <w:t>根据《污染影响类建设项目重大变动清单（试行）》（环办环函[2020]688号）的有关规定，上述变动不属于重大变动。</w:t>
      </w:r>
    </w:p>
    <w:p>
      <w:pPr>
        <w:pStyle w:val="14"/>
        <w:spacing w:line="360" w:lineRule="auto"/>
        <w:ind w:firstLine="560" w:firstLineChars="200"/>
        <w:jc w:val="both"/>
        <w:rPr>
          <w:rFonts w:eastAsia="仿宋"/>
          <w:sz w:val="28"/>
          <w:szCs w:val="28"/>
        </w:rPr>
      </w:pPr>
      <w:r>
        <w:rPr>
          <w:rFonts w:eastAsia="仿宋"/>
          <w:sz w:val="28"/>
          <w:szCs w:val="28"/>
        </w:rPr>
        <w:t>三、环境保护设施建设情况</w:t>
      </w:r>
    </w:p>
    <w:p>
      <w:pPr>
        <w:spacing w:line="360" w:lineRule="auto"/>
        <w:ind w:firstLine="560" w:firstLineChars="200"/>
        <w:rPr>
          <w:rFonts w:eastAsia="仿宋"/>
          <w:bCs/>
          <w:sz w:val="28"/>
          <w:szCs w:val="28"/>
        </w:rPr>
      </w:pPr>
      <w:r>
        <w:rPr>
          <w:rFonts w:eastAsia="仿宋"/>
          <w:bCs/>
          <w:sz w:val="28"/>
          <w:szCs w:val="28"/>
        </w:rPr>
        <w:t>该工程基本按照环境影响评价文件及批复的要求进行建设，落实了污染防治措施。</w:t>
      </w:r>
    </w:p>
    <w:p>
      <w:pPr>
        <w:adjustRightInd w:val="0"/>
        <w:snapToGrid w:val="0"/>
        <w:spacing w:line="360" w:lineRule="auto"/>
        <w:ind w:firstLine="560" w:firstLineChars="200"/>
        <w:rPr>
          <w:rFonts w:eastAsia="仿宋"/>
          <w:sz w:val="28"/>
          <w:szCs w:val="28"/>
        </w:rPr>
      </w:pPr>
      <w:r>
        <w:rPr>
          <w:rFonts w:eastAsia="仿宋"/>
          <w:bCs/>
          <w:sz w:val="28"/>
          <w:szCs w:val="28"/>
        </w:rPr>
        <w:t>1、</w:t>
      </w:r>
      <w:r>
        <w:rPr>
          <w:rFonts w:eastAsia="仿宋"/>
          <w:sz w:val="28"/>
          <w:szCs w:val="28"/>
        </w:rPr>
        <w:t>施釉车间产生的废水排入沉淀池后，回用于生产，不外排；煤气洗涤废水排入储水池，循环使用，不外排；生活污水经厂区化粪池，通过污水管网排入依安县污水厂处理达标后，排入乌裕尔河。</w:t>
      </w:r>
    </w:p>
    <w:p>
      <w:pPr>
        <w:adjustRightInd w:val="0"/>
        <w:snapToGrid w:val="0"/>
        <w:spacing w:line="360" w:lineRule="auto"/>
        <w:ind w:firstLine="560" w:firstLineChars="200"/>
        <w:rPr>
          <w:rFonts w:eastAsia="仿宋"/>
          <w:sz w:val="28"/>
          <w:szCs w:val="28"/>
        </w:rPr>
      </w:pPr>
      <w:r>
        <w:rPr>
          <w:rFonts w:eastAsia="仿宋"/>
          <w:sz w:val="28"/>
          <w:szCs w:val="28"/>
        </w:rPr>
        <w:t>2、喷雾干燥塔产生的烟气经“布袋除尘器+旋风除尘器+水膜除尘系统”处理后，由15m高排气筒（P1）排放。</w:t>
      </w:r>
    </w:p>
    <w:p>
      <w:pPr>
        <w:adjustRightInd w:val="0"/>
        <w:snapToGrid w:val="0"/>
        <w:spacing w:line="360" w:lineRule="auto"/>
        <w:ind w:firstLine="560" w:firstLineChars="200"/>
        <w:rPr>
          <w:rFonts w:eastAsia="仿宋"/>
          <w:sz w:val="28"/>
          <w:szCs w:val="28"/>
        </w:rPr>
      </w:pPr>
      <w:r>
        <w:rPr>
          <w:rFonts w:eastAsia="仿宋"/>
          <w:sz w:val="28"/>
          <w:szCs w:val="28"/>
        </w:rPr>
        <w:t>压砖工序产生的粉尘经“”布袋除尘器+旋风除尘器”处理后，由15m高排气筒（P2）排放。</w:t>
      </w:r>
    </w:p>
    <w:p>
      <w:pPr>
        <w:adjustRightInd w:val="0"/>
        <w:snapToGrid w:val="0"/>
        <w:spacing w:line="360" w:lineRule="auto"/>
        <w:ind w:firstLine="560" w:firstLineChars="200"/>
        <w:rPr>
          <w:rFonts w:eastAsia="仿宋"/>
          <w:sz w:val="28"/>
          <w:szCs w:val="28"/>
        </w:rPr>
      </w:pPr>
      <w:r>
        <w:rPr>
          <w:rFonts w:eastAsia="仿宋"/>
          <w:sz w:val="28"/>
          <w:szCs w:val="28"/>
        </w:rPr>
        <w:t>球磨工序产生的粉尘经“布袋除尘器”处理后，由15m高排气筒排放。（5台球磨机分别设置5台布袋除尘器+5根15m高排气筒（P3-P7））。</w:t>
      </w:r>
    </w:p>
    <w:p>
      <w:pPr>
        <w:adjustRightInd w:val="0"/>
        <w:snapToGrid w:val="0"/>
        <w:spacing w:line="360" w:lineRule="auto"/>
        <w:ind w:firstLine="560" w:firstLineChars="200"/>
        <w:rPr>
          <w:rFonts w:eastAsia="仿宋"/>
          <w:sz w:val="28"/>
          <w:szCs w:val="28"/>
        </w:rPr>
      </w:pPr>
      <w:r>
        <w:rPr>
          <w:rFonts w:eastAsia="仿宋"/>
          <w:sz w:val="28"/>
          <w:szCs w:val="28"/>
        </w:rPr>
        <w:t>辊道窑（素烧窑）产生的烟气经25m高排气筒（P8）排放。</w:t>
      </w:r>
    </w:p>
    <w:p>
      <w:pPr>
        <w:adjustRightInd w:val="0"/>
        <w:snapToGrid w:val="0"/>
        <w:spacing w:line="360" w:lineRule="auto"/>
        <w:ind w:firstLine="560" w:firstLineChars="200"/>
        <w:rPr>
          <w:rFonts w:eastAsia="仿宋"/>
          <w:sz w:val="28"/>
          <w:szCs w:val="28"/>
        </w:rPr>
      </w:pPr>
      <w:r>
        <w:rPr>
          <w:rFonts w:eastAsia="仿宋"/>
          <w:sz w:val="28"/>
          <w:szCs w:val="28"/>
        </w:rPr>
        <w:t>辊道窑（釉烧窑）产生的烟气经25m高排气筒（P9）排放。</w:t>
      </w:r>
    </w:p>
    <w:p>
      <w:pPr>
        <w:adjustRightInd w:val="0"/>
        <w:snapToGrid w:val="0"/>
        <w:spacing w:line="360" w:lineRule="auto"/>
        <w:ind w:firstLine="560" w:firstLineChars="200"/>
        <w:rPr>
          <w:rFonts w:eastAsia="仿宋"/>
          <w:sz w:val="28"/>
          <w:szCs w:val="28"/>
        </w:rPr>
      </w:pPr>
      <w:r>
        <w:rPr>
          <w:rFonts w:eastAsia="仿宋"/>
          <w:sz w:val="28"/>
          <w:szCs w:val="28"/>
        </w:rPr>
        <w:t>1#干燥器产生的烟气经15m高排气筒（P10）排放。</w:t>
      </w:r>
    </w:p>
    <w:p>
      <w:pPr>
        <w:adjustRightInd w:val="0"/>
        <w:snapToGrid w:val="0"/>
        <w:spacing w:line="360" w:lineRule="auto"/>
        <w:ind w:firstLine="560" w:firstLineChars="200"/>
        <w:rPr>
          <w:rFonts w:eastAsia="仿宋"/>
          <w:sz w:val="28"/>
          <w:szCs w:val="28"/>
        </w:rPr>
      </w:pPr>
      <w:r>
        <w:rPr>
          <w:rFonts w:eastAsia="仿宋"/>
          <w:sz w:val="28"/>
          <w:szCs w:val="28"/>
        </w:rPr>
        <w:t>2#干燥器产生的烟气经15m高排气筒（P11）排放。</w:t>
      </w:r>
    </w:p>
    <w:p>
      <w:pPr>
        <w:adjustRightInd w:val="0"/>
        <w:snapToGrid w:val="0"/>
        <w:spacing w:line="360" w:lineRule="auto"/>
        <w:ind w:firstLine="560" w:firstLineChars="200"/>
        <w:rPr>
          <w:rFonts w:eastAsia="仿宋"/>
          <w:sz w:val="28"/>
          <w:szCs w:val="28"/>
        </w:rPr>
      </w:pPr>
      <w:r>
        <w:rPr>
          <w:rFonts w:eastAsia="仿宋"/>
          <w:sz w:val="28"/>
          <w:szCs w:val="28"/>
        </w:rPr>
        <w:t>煤库、原料库，4座产品库，固废临时储库均为封闭式结构。</w:t>
      </w:r>
    </w:p>
    <w:p>
      <w:pPr>
        <w:adjustRightInd w:val="0"/>
        <w:snapToGrid w:val="0"/>
        <w:spacing w:line="360" w:lineRule="auto"/>
        <w:ind w:firstLine="560" w:firstLineChars="200"/>
        <w:rPr>
          <w:rFonts w:eastAsia="仿宋"/>
          <w:sz w:val="28"/>
          <w:szCs w:val="28"/>
        </w:rPr>
      </w:pPr>
      <w:r>
        <w:rPr>
          <w:rFonts w:eastAsia="仿宋"/>
          <w:sz w:val="28"/>
          <w:szCs w:val="28"/>
        </w:rPr>
        <w:t>3、引风机、送风机、搅泥机及球磨机等。采取减振、厂房隔声措施。</w:t>
      </w:r>
    </w:p>
    <w:p>
      <w:pPr>
        <w:adjustRightInd w:val="0"/>
        <w:snapToGrid w:val="0"/>
        <w:spacing w:line="360" w:lineRule="auto"/>
        <w:ind w:firstLine="560" w:firstLineChars="200"/>
        <w:rPr>
          <w:rFonts w:eastAsia="仿宋"/>
          <w:bCs/>
          <w:sz w:val="28"/>
          <w:szCs w:val="28"/>
        </w:rPr>
      </w:pPr>
      <w:r>
        <w:rPr>
          <w:rFonts w:eastAsia="仿宋"/>
          <w:sz w:val="28"/>
          <w:szCs w:val="28"/>
        </w:rPr>
        <w:t>4、生活垃圾由环卫部门统一处理；除尘器收集的粉尘、沉淀池泥渣，煅烧前、后废胚回用于生产；煤气发生站产生的废焦油暂存</w:t>
      </w:r>
      <w:r>
        <w:rPr>
          <w:rFonts w:hint="eastAsia" w:eastAsia="仿宋"/>
          <w:sz w:val="28"/>
          <w:szCs w:val="28"/>
        </w:rPr>
        <w:t>危险废物暂存间，定期由营口润泰商贸有限公司拉运利用</w:t>
      </w:r>
      <w:r>
        <w:rPr>
          <w:rFonts w:eastAsia="仿宋"/>
          <w:sz w:val="28"/>
          <w:szCs w:val="28"/>
        </w:rPr>
        <w:t>；煤气发生站产生的废活性炭由厂家定期更换回收；废耐火材料、煤气炉炉渣外售综合利用。</w:t>
      </w:r>
    </w:p>
    <w:p>
      <w:pPr>
        <w:pStyle w:val="19"/>
        <w:spacing w:before="0" w:beforeAutospacing="0" w:after="0" w:afterAutospacing="0" w:line="360" w:lineRule="auto"/>
        <w:ind w:firstLine="560" w:firstLineChars="200"/>
        <w:outlineLvl w:val="0"/>
        <w:rPr>
          <w:rFonts w:ascii="Times New Roman" w:hAnsi="Times New Roman" w:eastAsia="仿宋" w:cs="Times New Roman"/>
          <w:b/>
          <w:color w:val="000000"/>
          <w:sz w:val="28"/>
          <w:szCs w:val="28"/>
        </w:rPr>
      </w:pPr>
      <w:r>
        <w:rPr>
          <w:rFonts w:ascii="Times New Roman" w:hAnsi="Times New Roman" w:eastAsia="仿宋" w:cs="Times New Roman"/>
          <w:b/>
          <w:color w:val="000000"/>
          <w:sz w:val="28"/>
          <w:szCs w:val="28"/>
        </w:rPr>
        <w:t>四、环境保护设施调试效果</w:t>
      </w:r>
    </w:p>
    <w:p>
      <w:pPr>
        <w:adjustRightInd w:val="0"/>
        <w:snapToGrid w:val="0"/>
        <w:spacing w:line="360" w:lineRule="auto"/>
        <w:ind w:firstLine="560" w:firstLineChars="200"/>
        <w:rPr>
          <w:rFonts w:eastAsia="仿宋"/>
          <w:sz w:val="28"/>
          <w:szCs w:val="28"/>
        </w:rPr>
      </w:pPr>
      <w:r>
        <w:rPr>
          <w:rFonts w:eastAsia="仿宋"/>
          <w:sz w:val="28"/>
          <w:szCs w:val="28"/>
        </w:rPr>
        <w:t>黑龙江泓泽检测评价有限公司出具的《监测报告》表明：</w:t>
      </w:r>
    </w:p>
    <w:p>
      <w:pPr>
        <w:numPr>
          <w:ilvl w:val="0"/>
          <w:numId w:val="4"/>
        </w:numPr>
        <w:spacing w:line="360" w:lineRule="auto"/>
        <w:ind w:firstLine="560" w:firstLineChars="200"/>
        <w:rPr>
          <w:rFonts w:eastAsia="仿宋"/>
          <w:bCs/>
          <w:sz w:val="28"/>
          <w:szCs w:val="28"/>
        </w:rPr>
      </w:pPr>
      <w:r>
        <w:rPr>
          <w:rFonts w:eastAsia="仿宋"/>
          <w:bCs/>
          <w:sz w:val="28"/>
          <w:szCs w:val="28"/>
        </w:rPr>
        <w:t>废水验收监测结果</w:t>
      </w:r>
    </w:p>
    <w:p>
      <w:pPr>
        <w:pStyle w:val="2"/>
        <w:spacing w:line="360" w:lineRule="auto"/>
        <w:ind w:left="0" w:firstLine="560" w:firstLineChars="200"/>
        <w:rPr>
          <w:rFonts w:eastAsia="仿宋"/>
          <w:smallCaps w:val="0"/>
          <w:sz w:val="28"/>
          <w:szCs w:val="28"/>
        </w:rPr>
      </w:pPr>
      <w:r>
        <w:rPr>
          <w:rFonts w:eastAsia="仿宋"/>
          <w:smallCaps w:val="0"/>
          <w:sz w:val="28"/>
          <w:szCs w:val="28"/>
        </w:rPr>
        <w:t>验收监测期间，化粪池排水口pH在7.4~7.5之间，化学需氧量日均最大排放浓度为204mg/L，生化需氧量日均最大排放浓度为85.0mg/L，悬浮物日均最大排放浓度为88mg/L，氨氮日均最大排放浓度为10.3mg/L，监测结果均满足《依安县污水处理厂入厂水质控制指标》要求。</w:t>
      </w:r>
    </w:p>
    <w:p>
      <w:pPr>
        <w:pStyle w:val="2"/>
        <w:spacing w:line="360" w:lineRule="auto"/>
        <w:ind w:left="0" w:firstLine="560" w:firstLineChars="200"/>
        <w:rPr>
          <w:rFonts w:eastAsia="仿宋"/>
          <w:bCs/>
          <w:smallCaps w:val="0"/>
          <w:sz w:val="28"/>
          <w:szCs w:val="28"/>
        </w:rPr>
      </w:pPr>
      <w:r>
        <w:rPr>
          <w:rFonts w:eastAsia="仿宋"/>
          <w:bCs/>
          <w:smallCaps w:val="0"/>
          <w:sz w:val="28"/>
          <w:szCs w:val="28"/>
        </w:rPr>
        <w:t>2、废气验收监测结果</w:t>
      </w:r>
    </w:p>
    <w:p>
      <w:pPr>
        <w:spacing w:line="360" w:lineRule="auto"/>
        <w:ind w:firstLine="560" w:firstLineChars="200"/>
        <w:rPr>
          <w:rFonts w:eastAsia="仿宋"/>
          <w:bCs/>
          <w:sz w:val="28"/>
          <w:szCs w:val="28"/>
        </w:rPr>
      </w:pPr>
      <w:r>
        <w:rPr>
          <w:rFonts w:eastAsia="仿宋"/>
          <w:b/>
          <w:sz w:val="28"/>
          <w:szCs w:val="28"/>
        </w:rPr>
        <w:t>有组织废气</w:t>
      </w:r>
      <w:r>
        <w:rPr>
          <w:rFonts w:eastAsia="仿宋"/>
          <w:bCs/>
          <w:sz w:val="28"/>
          <w:szCs w:val="28"/>
        </w:rPr>
        <w:t>：</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验收监测期间，喷雾干燥塔烟气排放口（P1）颗粒物最大排放浓度为7.0mg/m</w:t>
      </w:r>
      <w:r>
        <w:rPr>
          <w:rFonts w:eastAsia="仿宋"/>
          <w:b w:val="0"/>
          <w:bCs/>
          <w:color w:val="auto"/>
          <w:sz w:val="28"/>
          <w:szCs w:val="28"/>
          <w:vertAlign w:val="superscript"/>
        </w:rPr>
        <w:t>3</w:t>
      </w:r>
      <w:r>
        <w:rPr>
          <w:rFonts w:eastAsia="仿宋"/>
          <w:b w:val="0"/>
          <w:bCs/>
          <w:color w:val="auto"/>
          <w:sz w:val="28"/>
          <w:szCs w:val="28"/>
        </w:rPr>
        <w:t>，二氧化硫最大排放浓度为23mg/m</w:t>
      </w:r>
      <w:r>
        <w:rPr>
          <w:rFonts w:eastAsia="仿宋"/>
          <w:b w:val="0"/>
          <w:bCs/>
          <w:color w:val="auto"/>
          <w:sz w:val="28"/>
          <w:szCs w:val="28"/>
          <w:vertAlign w:val="superscript"/>
        </w:rPr>
        <w:t>3</w:t>
      </w:r>
      <w:r>
        <w:rPr>
          <w:rFonts w:eastAsia="仿宋"/>
          <w:b w:val="0"/>
          <w:bCs/>
          <w:color w:val="auto"/>
          <w:sz w:val="28"/>
          <w:szCs w:val="28"/>
        </w:rPr>
        <w:t>，氮氧化物最大排放浓度为48mg/m</w:t>
      </w:r>
      <w:r>
        <w:rPr>
          <w:rFonts w:eastAsia="仿宋"/>
          <w:b w:val="0"/>
          <w:bCs/>
          <w:color w:val="auto"/>
          <w:sz w:val="28"/>
          <w:szCs w:val="28"/>
          <w:vertAlign w:val="superscript"/>
        </w:rPr>
        <w:t>3</w:t>
      </w:r>
      <w:r>
        <w:rPr>
          <w:rFonts w:eastAsia="仿宋"/>
          <w:b w:val="0"/>
          <w:bCs/>
          <w:color w:val="auto"/>
          <w:sz w:val="28"/>
          <w:szCs w:val="28"/>
        </w:rPr>
        <w:t>；</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压砖工序废气排放口（P2）颗粒物最大排放浓度为6.64mg/m</w:t>
      </w:r>
      <w:r>
        <w:rPr>
          <w:rFonts w:eastAsia="仿宋"/>
          <w:b w:val="0"/>
          <w:bCs/>
          <w:color w:val="auto"/>
          <w:sz w:val="28"/>
          <w:szCs w:val="28"/>
          <w:vertAlign w:val="superscript"/>
        </w:rPr>
        <w:t>3</w:t>
      </w:r>
      <w:r>
        <w:rPr>
          <w:rFonts w:eastAsia="仿宋"/>
          <w:b w:val="0"/>
          <w:bCs/>
          <w:color w:val="auto"/>
          <w:sz w:val="28"/>
          <w:szCs w:val="28"/>
        </w:rPr>
        <w:t>；</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球磨工序废气排放口（P3）颗粒物最大排放浓度为7.26mg/m</w:t>
      </w:r>
      <w:r>
        <w:rPr>
          <w:rFonts w:eastAsia="仿宋"/>
          <w:b w:val="0"/>
          <w:bCs/>
          <w:color w:val="auto"/>
          <w:sz w:val="28"/>
          <w:szCs w:val="28"/>
          <w:vertAlign w:val="superscript"/>
        </w:rPr>
        <w:t>3</w:t>
      </w:r>
      <w:r>
        <w:rPr>
          <w:rFonts w:eastAsia="仿宋"/>
          <w:b w:val="0"/>
          <w:bCs/>
          <w:color w:val="auto"/>
          <w:sz w:val="28"/>
          <w:szCs w:val="28"/>
        </w:rPr>
        <w:t>，球磨工序废气排放口（P4）颗粒物最大排放浓度为6.87mg/m</w:t>
      </w:r>
      <w:r>
        <w:rPr>
          <w:rFonts w:eastAsia="仿宋"/>
          <w:b w:val="0"/>
          <w:bCs/>
          <w:color w:val="auto"/>
          <w:sz w:val="28"/>
          <w:szCs w:val="28"/>
          <w:vertAlign w:val="superscript"/>
        </w:rPr>
        <w:t>3</w:t>
      </w:r>
      <w:r>
        <w:rPr>
          <w:rFonts w:eastAsia="仿宋"/>
          <w:b w:val="0"/>
          <w:bCs/>
          <w:color w:val="auto"/>
          <w:sz w:val="28"/>
          <w:szCs w:val="28"/>
        </w:rPr>
        <w:t>，球磨工序废气排放口（P5）颗粒物最大排放浓度为4.74mg/m</w:t>
      </w:r>
      <w:r>
        <w:rPr>
          <w:rFonts w:eastAsia="仿宋"/>
          <w:b w:val="0"/>
          <w:bCs/>
          <w:color w:val="auto"/>
          <w:sz w:val="28"/>
          <w:szCs w:val="28"/>
          <w:vertAlign w:val="superscript"/>
        </w:rPr>
        <w:t>3</w:t>
      </w:r>
      <w:r>
        <w:rPr>
          <w:rFonts w:eastAsia="仿宋"/>
          <w:b w:val="0"/>
          <w:bCs/>
          <w:color w:val="auto"/>
          <w:sz w:val="28"/>
          <w:szCs w:val="28"/>
        </w:rPr>
        <w:t>，球磨工序废气排放口（P6）颗粒物最大排放浓度为6.83mg/m</w:t>
      </w:r>
      <w:r>
        <w:rPr>
          <w:rFonts w:eastAsia="仿宋"/>
          <w:b w:val="0"/>
          <w:bCs/>
          <w:color w:val="auto"/>
          <w:sz w:val="28"/>
          <w:szCs w:val="28"/>
          <w:vertAlign w:val="superscript"/>
        </w:rPr>
        <w:t>3</w:t>
      </w:r>
      <w:r>
        <w:rPr>
          <w:rFonts w:eastAsia="仿宋"/>
          <w:b w:val="0"/>
          <w:bCs/>
          <w:color w:val="auto"/>
          <w:sz w:val="28"/>
          <w:szCs w:val="28"/>
        </w:rPr>
        <w:t>，球磨工序废气排放口（P7）颗粒物最大排放浓度为4.43mg/m</w:t>
      </w:r>
      <w:r>
        <w:rPr>
          <w:rFonts w:eastAsia="仿宋"/>
          <w:b w:val="0"/>
          <w:bCs/>
          <w:color w:val="auto"/>
          <w:sz w:val="28"/>
          <w:szCs w:val="28"/>
          <w:vertAlign w:val="superscript"/>
        </w:rPr>
        <w:t>3</w:t>
      </w:r>
      <w:r>
        <w:rPr>
          <w:rFonts w:eastAsia="仿宋"/>
          <w:b w:val="0"/>
          <w:bCs/>
          <w:color w:val="auto"/>
          <w:sz w:val="28"/>
          <w:szCs w:val="28"/>
        </w:rPr>
        <w:t>；</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烧成系统辊道窑（素烧窑）烟气排放口（P8）颗粒物最大排放浓度为6.8mg/m</w:t>
      </w:r>
      <w:r>
        <w:rPr>
          <w:rFonts w:eastAsia="仿宋"/>
          <w:b w:val="0"/>
          <w:bCs/>
          <w:color w:val="auto"/>
          <w:sz w:val="28"/>
          <w:szCs w:val="28"/>
          <w:vertAlign w:val="superscript"/>
        </w:rPr>
        <w:t>3</w:t>
      </w:r>
      <w:r>
        <w:rPr>
          <w:rFonts w:eastAsia="仿宋"/>
          <w:b w:val="0"/>
          <w:bCs/>
          <w:color w:val="auto"/>
          <w:sz w:val="28"/>
          <w:szCs w:val="28"/>
        </w:rPr>
        <w:t>，二氧化硫最大排放浓度为23mg/m</w:t>
      </w:r>
      <w:r>
        <w:rPr>
          <w:rFonts w:eastAsia="仿宋"/>
          <w:b w:val="0"/>
          <w:bCs/>
          <w:color w:val="auto"/>
          <w:sz w:val="28"/>
          <w:szCs w:val="28"/>
          <w:vertAlign w:val="superscript"/>
        </w:rPr>
        <w:t>3</w:t>
      </w:r>
      <w:r>
        <w:rPr>
          <w:rFonts w:eastAsia="仿宋"/>
          <w:b w:val="0"/>
          <w:bCs/>
          <w:color w:val="auto"/>
          <w:sz w:val="28"/>
          <w:szCs w:val="28"/>
        </w:rPr>
        <w:t>，氮氧化物最大排放浓度为39mg/m</w:t>
      </w:r>
      <w:r>
        <w:rPr>
          <w:rFonts w:eastAsia="仿宋"/>
          <w:b w:val="0"/>
          <w:bCs/>
          <w:color w:val="auto"/>
          <w:sz w:val="28"/>
          <w:szCs w:val="28"/>
          <w:vertAlign w:val="superscript"/>
        </w:rPr>
        <w:t>3</w:t>
      </w:r>
      <w:r>
        <w:rPr>
          <w:rFonts w:eastAsia="仿宋"/>
          <w:b w:val="0"/>
          <w:bCs/>
          <w:color w:val="auto"/>
          <w:sz w:val="28"/>
          <w:szCs w:val="28"/>
        </w:rPr>
        <w:t>，铅及化合物、镍及化合物、镉及化合物未检出，氟化物最大排放浓度为1.71mg/m</w:t>
      </w:r>
      <w:r>
        <w:rPr>
          <w:rFonts w:eastAsia="仿宋"/>
          <w:b w:val="0"/>
          <w:bCs/>
          <w:color w:val="auto"/>
          <w:sz w:val="28"/>
          <w:szCs w:val="28"/>
          <w:vertAlign w:val="superscript"/>
        </w:rPr>
        <w:t>3</w:t>
      </w:r>
      <w:r>
        <w:rPr>
          <w:rFonts w:eastAsia="仿宋"/>
          <w:b w:val="0"/>
          <w:bCs/>
          <w:color w:val="auto"/>
          <w:sz w:val="28"/>
          <w:szCs w:val="28"/>
        </w:rPr>
        <w:t>，氯化物最大排放浓度为10.5mg/m</w:t>
      </w:r>
      <w:r>
        <w:rPr>
          <w:rFonts w:eastAsia="仿宋"/>
          <w:b w:val="0"/>
          <w:bCs/>
          <w:color w:val="auto"/>
          <w:sz w:val="28"/>
          <w:szCs w:val="28"/>
          <w:vertAlign w:val="superscript"/>
        </w:rPr>
        <w:t>3</w:t>
      </w:r>
      <w:r>
        <w:rPr>
          <w:rFonts w:eastAsia="仿宋"/>
          <w:b w:val="0"/>
          <w:bCs/>
          <w:color w:val="auto"/>
          <w:sz w:val="28"/>
          <w:szCs w:val="28"/>
        </w:rPr>
        <w:t>，烟气黑度&lt;1林格曼，级；</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烧成系统辊道窑（釉烧窑）烟气排放口（P9）颗粒物最大排放浓度为7.1mg/m</w:t>
      </w:r>
      <w:r>
        <w:rPr>
          <w:rFonts w:eastAsia="仿宋"/>
          <w:b w:val="0"/>
          <w:bCs/>
          <w:color w:val="auto"/>
          <w:sz w:val="28"/>
          <w:szCs w:val="28"/>
          <w:vertAlign w:val="superscript"/>
        </w:rPr>
        <w:t>3</w:t>
      </w:r>
      <w:r>
        <w:rPr>
          <w:rFonts w:eastAsia="仿宋"/>
          <w:b w:val="0"/>
          <w:bCs/>
          <w:color w:val="auto"/>
          <w:sz w:val="28"/>
          <w:szCs w:val="28"/>
        </w:rPr>
        <w:t>，二氧化硫最大排放浓度为24mg/m</w:t>
      </w:r>
      <w:r>
        <w:rPr>
          <w:rFonts w:eastAsia="仿宋"/>
          <w:b w:val="0"/>
          <w:bCs/>
          <w:color w:val="auto"/>
          <w:sz w:val="28"/>
          <w:szCs w:val="28"/>
          <w:vertAlign w:val="superscript"/>
        </w:rPr>
        <w:t>3</w:t>
      </w:r>
      <w:r>
        <w:rPr>
          <w:rFonts w:eastAsia="仿宋"/>
          <w:b w:val="0"/>
          <w:bCs/>
          <w:color w:val="auto"/>
          <w:sz w:val="28"/>
          <w:szCs w:val="28"/>
        </w:rPr>
        <w:t>，氮氧化物最大排放浓度为37mg/m</w:t>
      </w:r>
      <w:r>
        <w:rPr>
          <w:rFonts w:eastAsia="仿宋"/>
          <w:b w:val="0"/>
          <w:bCs/>
          <w:color w:val="auto"/>
          <w:sz w:val="28"/>
          <w:szCs w:val="28"/>
          <w:vertAlign w:val="superscript"/>
        </w:rPr>
        <w:t>3</w:t>
      </w:r>
      <w:r>
        <w:rPr>
          <w:rFonts w:eastAsia="仿宋"/>
          <w:b w:val="0"/>
          <w:bCs/>
          <w:color w:val="auto"/>
          <w:sz w:val="28"/>
          <w:szCs w:val="28"/>
        </w:rPr>
        <w:t>，铅及化合物、镍及化合物、镉及化合物未检出，氟化物最大排放浓度为1.77mg/m</w:t>
      </w:r>
      <w:r>
        <w:rPr>
          <w:rFonts w:eastAsia="仿宋"/>
          <w:b w:val="0"/>
          <w:bCs/>
          <w:color w:val="auto"/>
          <w:sz w:val="28"/>
          <w:szCs w:val="28"/>
          <w:vertAlign w:val="superscript"/>
        </w:rPr>
        <w:t>3</w:t>
      </w:r>
      <w:r>
        <w:rPr>
          <w:rFonts w:eastAsia="仿宋"/>
          <w:b w:val="0"/>
          <w:bCs/>
          <w:color w:val="auto"/>
          <w:sz w:val="28"/>
          <w:szCs w:val="28"/>
        </w:rPr>
        <w:t>，氯化物最大排放浓度为10.5mg/m</w:t>
      </w:r>
      <w:r>
        <w:rPr>
          <w:rFonts w:eastAsia="仿宋"/>
          <w:b w:val="0"/>
          <w:bCs/>
          <w:color w:val="auto"/>
          <w:sz w:val="28"/>
          <w:szCs w:val="28"/>
          <w:vertAlign w:val="superscript"/>
        </w:rPr>
        <w:t>3</w:t>
      </w:r>
      <w:r>
        <w:rPr>
          <w:rFonts w:eastAsia="仿宋"/>
          <w:b w:val="0"/>
          <w:bCs/>
          <w:color w:val="auto"/>
          <w:sz w:val="28"/>
          <w:szCs w:val="28"/>
        </w:rPr>
        <w:t>，烟气黑度&lt;1林格曼，级；</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成型干燥系统1#干燥器排放口（P10）颗粒物最大排放浓度为6.7mg/m</w:t>
      </w:r>
      <w:r>
        <w:rPr>
          <w:rFonts w:eastAsia="仿宋"/>
          <w:b w:val="0"/>
          <w:bCs/>
          <w:color w:val="auto"/>
          <w:sz w:val="28"/>
          <w:szCs w:val="28"/>
          <w:vertAlign w:val="superscript"/>
        </w:rPr>
        <w:t>3</w:t>
      </w:r>
      <w:r>
        <w:rPr>
          <w:rFonts w:eastAsia="仿宋"/>
          <w:b w:val="0"/>
          <w:bCs/>
          <w:color w:val="auto"/>
          <w:sz w:val="28"/>
          <w:szCs w:val="28"/>
        </w:rPr>
        <w:t>，二氧化硫最大排放浓度为25mg/m</w:t>
      </w:r>
      <w:r>
        <w:rPr>
          <w:rFonts w:eastAsia="仿宋"/>
          <w:b w:val="0"/>
          <w:bCs/>
          <w:color w:val="auto"/>
          <w:sz w:val="28"/>
          <w:szCs w:val="28"/>
          <w:vertAlign w:val="superscript"/>
        </w:rPr>
        <w:t>3</w:t>
      </w:r>
      <w:r>
        <w:rPr>
          <w:rFonts w:eastAsia="仿宋"/>
          <w:b w:val="0"/>
          <w:bCs/>
          <w:color w:val="auto"/>
          <w:sz w:val="28"/>
          <w:szCs w:val="28"/>
        </w:rPr>
        <w:t>，氮氧化物最大排放浓度为37mg/m</w:t>
      </w:r>
      <w:r>
        <w:rPr>
          <w:rFonts w:eastAsia="仿宋"/>
          <w:b w:val="0"/>
          <w:bCs/>
          <w:color w:val="auto"/>
          <w:sz w:val="28"/>
          <w:szCs w:val="28"/>
          <w:vertAlign w:val="superscript"/>
        </w:rPr>
        <w:t>3</w:t>
      </w:r>
      <w:r>
        <w:rPr>
          <w:rFonts w:eastAsia="仿宋"/>
          <w:b w:val="0"/>
          <w:bCs/>
          <w:color w:val="auto"/>
          <w:sz w:val="28"/>
          <w:szCs w:val="28"/>
        </w:rPr>
        <w:t>；</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成型干燥系统2#干燥器排放口（P11）颗粒物最大排放浓度为6.6mg/m</w:t>
      </w:r>
      <w:r>
        <w:rPr>
          <w:rFonts w:eastAsia="仿宋"/>
          <w:b w:val="0"/>
          <w:bCs/>
          <w:color w:val="auto"/>
          <w:sz w:val="28"/>
          <w:szCs w:val="28"/>
          <w:vertAlign w:val="superscript"/>
        </w:rPr>
        <w:t>3</w:t>
      </w:r>
      <w:r>
        <w:rPr>
          <w:rFonts w:eastAsia="仿宋"/>
          <w:b w:val="0"/>
          <w:bCs/>
          <w:color w:val="auto"/>
          <w:sz w:val="28"/>
          <w:szCs w:val="28"/>
        </w:rPr>
        <w:t>，二氧化硫最大排放浓度为24mg/m</w:t>
      </w:r>
      <w:r>
        <w:rPr>
          <w:rFonts w:eastAsia="仿宋"/>
          <w:b w:val="0"/>
          <w:bCs/>
          <w:color w:val="auto"/>
          <w:sz w:val="28"/>
          <w:szCs w:val="28"/>
          <w:vertAlign w:val="superscript"/>
        </w:rPr>
        <w:t>3</w:t>
      </w:r>
      <w:r>
        <w:rPr>
          <w:rFonts w:eastAsia="仿宋"/>
          <w:b w:val="0"/>
          <w:bCs/>
          <w:color w:val="auto"/>
          <w:sz w:val="28"/>
          <w:szCs w:val="28"/>
        </w:rPr>
        <w:t>，氮氧化物最大排放浓度为37mg/m</w:t>
      </w:r>
      <w:r>
        <w:rPr>
          <w:rFonts w:eastAsia="仿宋"/>
          <w:b w:val="0"/>
          <w:bCs/>
          <w:color w:val="auto"/>
          <w:sz w:val="28"/>
          <w:szCs w:val="28"/>
          <w:vertAlign w:val="superscript"/>
        </w:rPr>
        <w:t>3</w:t>
      </w:r>
      <w:r>
        <w:rPr>
          <w:rFonts w:eastAsia="仿宋"/>
          <w:b w:val="0"/>
          <w:bCs/>
          <w:color w:val="auto"/>
          <w:sz w:val="28"/>
          <w:szCs w:val="28"/>
        </w:rPr>
        <w:t>；</w:t>
      </w:r>
    </w:p>
    <w:p>
      <w:pPr>
        <w:pStyle w:val="14"/>
        <w:spacing w:line="360" w:lineRule="auto"/>
        <w:ind w:firstLine="560" w:firstLineChars="200"/>
        <w:jc w:val="both"/>
        <w:rPr>
          <w:rFonts w:eastAsia="仿宋"/>
          <w:color w:val="auto"/>
          <w:sz w:val="28"/>
          <w:szCs w:val="28"/>
        </w:rPr>
      </w:pPr>
      <w:r>
        <w:rPr>
          <w:rFonts w:eastAsia="仿宋"/>
          <w:b w:val="0"/>
          <w:bCs/>
          <w:color w:val="auto"/>
          <w:sz w:val="28"/>
          <w:szCs w:val="28"/>
        </w:rPr>
        <w:t>综上，喷雾干燥塔烟气、压砖工序废气，球磨工序废气，烧成系统烟气，成型</w:t>
      </w:r>
      <w:r>
        <w:rPr>
          <w:rFonts w:hint="eastAsia" w:eastAsia="仿宋"/>
          <w:b w:val="0"/>
          <w:bCs/>
          <w:color w:val="auto"/>
          <w:sz w:val="28"/>
          <w:szCs w:val="28"/>
        </w:rPr>
        <w:t>干燥</w:t>
      </w:r>
      <w:r>
        <w:rPr>
          <w:rFonts w:eastAsia="仿宋"/>
          <w:b w:val="0"/>
          <w:bCs/>
          <w:color w:val="auto"/>
          <w:sz w:val="28"/>
          <w:szCs w:val="28"/>
        </w:rPr>
        <w:t>系统烟气污染因子</w:t>
      </w:r>
      <w:r>
        <w:rPr>
          <w:rFonts w:hint="eastAsia" w:eastAsia="仿宋"/>
          <w:b w:val="0"/>
          <w:bCs/>
          <w:color w:val="auto"/>
          <w:sz w:val="28"/>
          <w:szCs w:val="28"/>
        </w:rPr>
        <w:t>验收</w:t>
      </w:r>
      <w:r>
        <w:rPr>
          <w:rFonts w:eastAsia="仿宋"/>
          <w:b w:val="0"/>
          <w:bCs/>
          <w:color w:val="auto"/>
          <w:sz w:val="28"/>
          <w:szCs w:val="28"/>
        </w:rPr>
        <w:t>监测结果均满足《陶瓷工业污染物排放标准》（GB25464-2010）表 5 标准及修改单标准要求。</w:t>
      </w:r>
    </w:p>
    <w:p>
      <w:pPr>
        <w:spacing w:line="360" w:lineRule="auto"/>
        <w:ind w:firstLine="560" w:firstLineChars="200"/>
        <w:rPr>
          <w:rFonts w:eastAsia="仿宋"/>
          <w:b/>
          <w:sz w:val="28"/>
          <w:szCs w:val="28"/>
        </w:rPr>
      </w:pPr>
      <w:r>
        <w:rPr>
          <w:rFonts w:eastAsia="仿宋"/>
          <w:b/>
          <w:sz w:val="28"/>
          <w:szCs w:val="28"/>
        </w:rPr>
        <w:t>无组织废气：</w:t>
      </w:r>
    </w:p>
    <w:p>
      <w:pPr>
        <w:spacing w:line="360" w:lineRule="auto"/>
        <w:ind w:firstLine="560" w:firstLineChars="200"/>
        <w:rPr>
          <w:rFonts w:eastAsia="仿宋"/>
          <w:bCs/>
          <w:sz w:val="28"/>
          <w:szCs w:val="28"/>
        </w:rPr>
      </w:pPr>
      <w:r>
        <w:rPr>
          <w:rFonts w:eastAsia="仿宋"/>
          <w:bCs/>
          <w:sz w:val="28"/>
          <w:szCs w:val="28"/>
        </w:rPr>
        <w:t>验收监测期间，厂界无组织废气颗粒物最大监测浓度为0.274mg/m</w:t>
      </w:r>
      <w:r>
        <w:rPr>
          <w:rFonts w:eastAsia="仿宋"/>
          <w:bCs/>
          <w:sz w:val="28"/>
          <w:szCs w:val="28"/>
          <w:vertAlign w:val="superscript"/>
        </w:rPr>
        <w:t>3</w:t>
      </w:r>
      <w:r>
        <w:rPr>
          <w:rFonts w:eastAsia="仿宋"/>
          <w:bCs/>
          <w:sz w:val="28"/>
          <w:szCs w:val="28"/>
        </w:rPr>
        <w:t>，监测结果满足《陶瓷工业污染物排放标准》（GB25464-2010）表 6 标准要求。</w:t>
      </w:r>
    </w:p>
    <w:p>
      <w:pPr>
        <w:spacing w:line="360" w:lineRule="auto"/>
        <w:ind w:firstLine="560" w:firstLineChars="200"/>
        <w:rPr>
          <w:rFonts w:eastAsia="仿宋"/>
          <w:bCs/>
          <w:sz w:val="28"/>
          <w:szCs w:val="28"/>
        </w:rPr>
      </w:pPr>
      <w:r>
        <w:rPr>
          <w:rFonts w:hint="eastAsia" w:eastAsia="仿宋"/>
          <w:bCs/>
          <w:sz w:val="28"/>
          <w:szCs w:val="28"/>
        </w:rPr>
        <w:t>3、</w:t>
      </w:r>
      <w:r>
        <w:rPr>
          <w:rFonts w:eastAsia="仿宋"/>
          <w:bCs/>
          <w:sz w:val="28"/>
          <w:szCs w:val="28"/>
        </w:rPr>
        <w:t>噪声验收监测结果</w:t>
      </w:r>
    </w:p>
    <w:p>
      <w:pPr>
        <w:spacing w:line="360" w:lineRule="auto"/>
        <w:ind w:firstLine="560" w:firstLineChars="200"/>
        <w:rPr>
          <w:rFonts w:eastAsia="仿宋"/>
          <w:bCs/>
          <w:sz w:val="28"/>
          <w:szCs w:val="28"/>
        </w:rPr>
      </w:pPr>
      <w:r>
        <w:rPr>
          <w:rFonts w:eastAsia="仿宋"/>
          <w:bCs/>
          <w:sz w:val="28"/>
          <w:szCs w:val="28"/>
        </w:rPr>
        <w:t>验收监测期间，厂界噪声昼间最大监测结果为54dB（A），夜间最大监测结果为44dB（A），满足《工业企业厂界环境噪声排放标准》（GB12348-2008）中 3 类区标准要求。</w:t>
      </w:r>
    </w:p>
    <w:p>
      <w:pPr>
        <w:spacing w:line="360" w:lineRule="auto"/>
        <w:ind w:firstLine="560" w:firstLineChars="200"/>
        <w:rPr>
          <w:rFonts w:eastAsia="仿宋"/>
          <w:sz w:val="28"/>
          <w:szCs w:val="28"/>
        </w:rPr>
      </w:pPr>
      <w:r>
        <w:rPr>
          <w:rFonts w:eastAsia="仿宋"/>
          <w:bCs/>
          <w:sz w:val="28"/>
          <w:szCs w:val="28"/>
        </w:rPr>
        <w:t>4、</w:t>
      </w:r>
      <w:r>
        <w:rPr>
          <w:rFonts w:eastAsia="仿宋"/>
          <w:sz w:val="28"/>
          <w:szCs w:val="28"/>
        </w:rPr>
        <w:t>总量控制结论</w:t>
      </w:r>
    </w:p>
    <w:p>
      <w:pPr>
        <w:adjustRightInd w:val="0"/>
        <w:snapToGrid w:val="0"/>
        <w:spacing w:line="360" w:lineRule="auto"/>
        <w:ind w:firstLine="560" w:firstLineChars="200"/>
        <w:jc w:val="left"/>
        <w:rPr>
          <w:rFonts w:eastAsia="仿宋"/>
          <w:bCs/>
          <w:sz w:val="28"/>
          <w:szCs w:val="28"/>
        </w:rPr>
      </w:pPr>
      <w:r>
        <w:rPr>
          <w:rFonts w:eastAsia="仿宋"/>
          <w:bCs/>
          <w:sz w:val="28"/>
          <w:szCs w:val="28"/>
        </w:rPr>
        <w:t>本项目废气颗粒物排放量为10.33t/a，二氧化硫排放量25.45t/a，</w:t>
      </w:r>
      <w:r>
        <w:rPr>
          <w:rFonts w:hint="eastAsia" w:eastAsia="仿宋"/>
          <w:bCs/>
          <w:sz w:val="28"/>
          <w:szCs w:val="28"/>
        </w:rPr>
        <w:t>氮氧化物</w:t>
      </w:r>
      <w:r>
        <w:rPr>
          <w:rFonts w:eastAsia="仿宋"/>
          <w:bCs/>
          <w:sz w:val="28"/>
          <w:szCs w:val="28"/>
        </w:rPr>
        <w:t>排放量为32.75t/a，满足本项目总量控制指标要求。</w:t>
      </w:r>
    </w:p>
    <w:p>
      <w:pPr>
        <w:adjustRightInd w:val="0"/>
        <w:snapToGrid w:val="0"/>
        <w:spacing w:line="360" w:lineRule="auto"/>
        <w:ind w:firstLine="560" w:firstLineChars="200"/>
        <w:jc w:val="left"/>
        <w:rPr>
          <w:rFonts w:eastAsia="仿宋"/>
          <w:b/>
          <w:bCs/>
          <w:sz w:val="28"/>
          <w:szCs w:val="28"/>
        </w:rPr>
      </w:pPr>
      <w:r>
        <w:rPr>
          <w:rFonts w:eastAsia="仿宋"/>
          <w:b/>
          <w:bCs/>
          <w:sz w:val="28"/>
          <w:szCs w:val="28"/>
        </w:rPr>
        <w:t>五、工程建设对环境的影响</w:t>
      </w:r>
    </w:p>
    <w:p>
      <w:pPr>
        <w:adjustRightInd w:val="0"/>
        <w:snapToGrid w:val="0"/>
        <w:spacing w:line="360" w:lineRule="auto"/>
        <w:ind w:firstLine="560" w:firstLineChars="200"/>
        <w:rPr>
          <w:rFonts w:eastAsia="仿宋"/>
          <w:sz w:val="28"/>
          <w:szCs w:val="28"/>
        </w:rPr>
      </w:pPr>
      <w:r>
        <w:rPr>
          <w:rFonts w:eastAsia="仿宋"/>
          <w:sz w:val="28"/>
          <w:szCs w:val="28"/>
        </w:rPr>
        <w:t>工程建设基本按照环评及批复建设，环保设施均已落实，本项目产生的废水、废气和噪声能够达标排放，固体废物均得到妥善处置。</w:t>
      </w:r>
    </w:p>
    <w:p>
      <w:pPr>
        <w:adjustRightInd w:val="0"/>
        <w:snapToGrid w:val="0"/>
        <w:spacing w:line="360" w:lineRule="auto"/>
        <w:ind w:firstLine="560" w:firstLineChars="200"/>
        <w:rPr>
          <w:rFonts w:eastAsia="仿宋"/>
          <w:b/>
          <w:bCs/>
          <w:sz w:val="28"/>
          <w:szCs w:val="28"/>
        </w:rPr>
      </w:pPr>
      <w:bookmarkStart w:id="2" w:name="_Hlk101536212"/>
      <w:r>
        <w:rPr>
          <w:rFonts w:eastAsia="仿宋"/>
          <w:b/>
          <w:bCs/>
          <w:sz w:val="28"/>
          <w:szCs w:val="28"/>
        </w:rPr>
        <w:t>六、环境管理检查结论</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1、本工程的固体废物全部得到妥善处置。</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2、建立和制定了环境管理制度和应急预案，并在当地环保局备案，备案编号为230223202118。</w:t>
      </w:r>
    </w:p>
    <w:p>
      <w:pPr>
        <w:pStyle w:val="8"/>
        <w:spacing w:line="360" w:lineRule="auto"/>
        <w:ind w:firstLine="560" w:firstLineChars="200"/>
        <w:rPr>
          <w:rFonts w:eastAsia="仿宋"/>
          <w:bCs/>
          <w:sz w:val="28"/>
          <w:szCs w:val="28"/>
        </w:rPr>
      </w:pPr>
      <w:r>
        <w:rPr>
          <w:rFonts w:eastAsia="仿宋"/>
          <w:bCs/>
          <w:sz w:val="28"/>
          <w:szCs w:val="28"/>
        </w:rPr>
        <w:t>3、本项目已按要求填报了排污许可证，排污许可证主码：91230223052895993W001X，有效日期：自2020.9.2-2023.9.1。</w:t>
      </w:r>
    </w:p>
    <w:bookmarkEnd w:id="2"/>
    <w:p>
      <w:pPr>
        <w:adjustRightInd w:val="0"/>
        <w:snapToGrid w:val="0"/>
        <w:spacing w:line="360" w:lineRule="auto"/>
        <w:ind w:firstLine="560" w:firstLineChars="200"/>
        <w:rPr>
          <w:rFonts w:eastAsia="仿宋"/>
          <w:b/>
          <w:bCs/>
          <w:sz w:val="28"/>
          <w:szCs w:val="28"/>
        </w:rPr>
      </w:pPr>
      <w:r>
        <w:rPr>
          <w:rFonts w:eastAsia="仿宋"/>
          <w:b/>
          <w:bCs/>
          <w:sz w:val="28"/>
          <w:szCs w:val="28"/>
        </w:rPr>
        <w:t>七、验收结论</w:t>
      </w:r>
    </w:p>
    <w:p>
      <w:pPr>
        <w:adjustRightInd w:val="0"/>
        <w:snapToGrid w:val="0"/>
        <w:spacing w:line="360" w:lineRule="auto"/>
        <w:ind w:firstLine="560" w:firstLineChars="200"/>
        <w:rPr>
          <w:sz w:val="28"/>
          <w:szCs w:val="28"/>
        </w:rPr>
      </w:pPr>
      <w:r>
        <w:rPr>
          <w:rFonts w:eastAsia="仿宋"/>
          <w:sz w:val="28"/>
          <w:szCs w:val="28"/>
        </w:rPr>
        <w:t>该工程实施过程中落实了环境影响评价文件及批复要求，配套建设了相应的环境保护设施，经验收监测及现场核查，各项环境保护设施运行效果良好可以满足相应的排放标准要求，废水、废气、噪声和固体废物污染防治设施验收合格。</w:t>
      </w:r>
    </w:p>
    <w:p>
      <w:pPr>
        <w:pStyle w:val="14"/>
        <w:spacing w:line="360" w:lineRule="auto"/>
        <w:ind w:firstLine="560" w:firstLineChars="200"/>
        <w:rPr>
          <w:rFonts w:eastAsia="仿宋"/>
          <w:bCs/>
          <w:color w:val="auto"/>
          <w:sz w:val="28"/>
          <w:szCs w:val="28"/>
        </w:rPr>
      </w:pPr>
      <w:r>
        <w:rPr>
          <w:rFonts w:hint="eastAsia" w:eastAsia="仿宋"/>
          <w:bCs/>
          <w:color w:val="auto"/>
          <w:sz w:val="28"/>
          <w:szCs w:val="28"/>
        </w:rPr>
        <w:t>八</w:t>
      </w:r>
      <w:r>
        <w:rPr>
          <w:rFonts w:eastAsia="仿宋"/>
          <w:bCs/>
          <w:color w:val="auto"/>
          <w:sz w:val="28"/>
          <w:szCs w:val="28"/>
        </w:rPr>
        <w:t>、后续要求</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1、进一步加强环保设施日常维护与运行管理，确保污染物稳定达标排放。</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2、严格按照突发环境事件应急预案的相关要求落实各项应急防控措施。</w:t>
      </w:r>
    </w:p>
    <w:p>
      <w:pPr>
        <w:pStyle w:val="14"/>
        <w:spacing w:line="360" w:lineRule="auto"/>
        <w:ind w:firstLine="560" w:firstLineChars="200"/>
        <w:rPr>
          <w:rFonts w:eastAsia="仿宋"/>
          <w:color w:val="auto"/>
          <w:sz w:val="28"/>
          <w:szCs w:val="28"/>
        </w:rPr>
      </w:pPr>
      <w:r>
        <w:rPr>
          <w:rFonts w:hint="eastAsia" w:eastAsia="仿宋"/>
          <w:bCs/>
          <w:color w:val="auto"/>
          <w:sz w:val="28"/>
          <w:szCs w:val="28"/>
        </w:rPr>
        <w:t>九</w:t>
      </w:r>
      <w:r>
        <w:rPr>
          <w:rFonts w:eastAsia="仿宋"/>
          <w:bCs/>
          <w:color w:val="auto"/>
          <w:sz w:val="28"/>
          <w:szCs w:val="28"/>
        </w:rPr>
        <w:t>、验收人员信息</w:t>
      </w:r>
    </w:p>
    <w:p>
      <w:pPr>
        <w:pStyle w:val="14"/>
        <w:spacing w:line="360" w:lineRule="auto"/>
        <w:ind w:firstLine="560" w:firstLineChars="200"/>
        <w:rPr>
          <w:rFonts w:eastAsia="仿宋"/>
          <w:b w:val="0"/>
          <w:bCs/>
          <w:color w:val="auto"/>
          <w:sz w:val="28"/>
          <w:szCs w:val="28"/>
        </w:rPr>
      </w:pPr>
      <w:r>
        <w:rPr>
          <w:rFonts w:eastAsia="仿宋"/>
          <w:b w:val="0"/>
          <w:bCs/>
          <w:color w:val="auto"/>
          <w:sz w:val="28"/>
          <w:szCs w:val="28"/>
        </w:rPr>
        <w:t>验收人员信息详见附件。</w:t>
      </w:r>
    </w:p>
    <w:p>
      <w:pPr>
        <w:pStyle w:val="14"/>
        <w:spacing w:line="540" w:lineRule="exact"/>
        <w:jc w:val="right"/>
        <w:rPr>
          <w:rFonts w:eastAsia="仿宋"/>
          <w:sz w:val="28"/>
          <w:szCs w:val="28"/>
        </w:rPr>
      </w:pPr>
    </w:p>
    <w:p>
      <w:pPr>
        <w:pStyle w:val="14"/>
        <w:spacing w:line="540" w:lineRule="exact"/>
        <w:jc w:val="right"/>
        <w:rPr>
          <w:rFonts w:eastAsia="仿宋"/>
          <w:b w:val="0"/>
          <w:bCs/>
          <w:color w:val="FF0000"/>
          <w:sz w:val="28"/>
          <w:szCs w:val="28"/>
        </w:rPr>
      </w:pPr>
      <w:r>
        <w:rPr>
          <w:rFonts w:hint="eastAsia" w:eastAsia="仿宋"/>
          <w:sz w:val="28"/>
          <w:szCs w:val="28"/>
        </w:rPr>
        <w:t xml:space="preserve">  </w:t>
      </w:r>
      <w:r>
        <w:rPr>
          <w:rFonts w:eastAsia="仿宋"/>
          <w:sz w:val="28"/>
          <w:szCs w:val="28"/>
        </w:rPr>
        <w:t xml:space="preserve">  </w:t>
      </w:r>
      <w:r>
        <w:rPr>
          <w:rFonts w:eastAsia="仿宋"/>
          <w:b w:val="0"/>
          <w:bCs/>
          <w:sz w:val="28"/>
          <w:szCs w:val="28"/>
        </w:rPr>
        <w:t>齐齐哈尔百佳居陶瓷有限公司</w:t>
      </w:r>
    </w:p>
    <w:p>
      <w:pPr>
        <w:pStyle w:val="14"/>
        <w:spacing w:line="540" w:lineRule="exact"/>
        <w:ind w:firstLine="560" w:firstLineChars="200"/>
        <w:jc w:val="right"/>
        <w:rPr>
          <w:rFonts w:eastAsia="仿宋"/>
          <w:b w:val="0"/>
          <w:bCs/>
          <w:color w:val="auto"/>
          <w:sz w:val="28"/>
          <w:szCs w:val="28"/>
        </w:rPr>
      </w:pPr>
      <w:r>
        <w:rPr>
          <w:rFonts w:hint="eastAsia" w:eastAsia="仿宋"/>
          <w:b w:val="0"/>
          <w:bCs/>
          <w:color w:val="0000FF"/>
          <w:sz w:val="28"/>
          <w:szCs w:val="28"/>
        </w:rPr>
        <w:t xml:space="preserve"> </w:t>
      </w:r>
      <w:r>
        <w:rPr>
          <w:rFonts w:eastAsia="仿宋"/>
          <w:b w:val="0"/>
          <w:bCs/>
          <w:color w:val="auto"/>
          <w:sz w:val="28"/>
          <w:szCs w:val="28"/>
        </w:rPr>
        <w:t>二零二</w:t>
      </w:r>
      <w:r>
        <w:rPr>
          <w:rFonts w:hint="eastAsia" w:eastAsia="仿宋"/>
          <w:b w:val="0"/>
          <w:bCs/>
          <w:color w:val="auto"/>
          <w:sz w:val="28"/>
          <w:szCs w:val="28"/>
        </w:rPr>
        <w:t>二</w:t>
      </w:r>
      <w:r>
        <w:rPr>
          <w:rFonts w:eastAsia="仿宋"/>
          <w:b w:val="0"/>
          <w:bCs/>
          <w:color w:val="auto"/>
          <w:sz w:val="28"/>
          <w:szCs w:val="28"/>
        </w:rPr>
        <w:t>年</w:t>
      </w:r>
      <w:r>
        <w:rPr>
          <w:rFonts w:hint="eastAsia" w:eastAsia="仿宋"/>
          <w:b w:val="0"/>
          <w:bCs/>
          <w:color w:val="auto"/>
          <w:sz w:val="28"/>
          <w:szCs w:val="28"/>
          <w:lang w:eastAsia="zh-CN"/>
        </w:rPr>
        <w:t>六</w:t>
      </w:r>
      <w:r>
        <w:rPr>
          <w:rFonts w:eastAsia="仿宋"/>
          <w:b w:val="0"/>
          <w:bCs/>
          <w:color w:val="auto"/>
          <w:sz w:val="28"/>
          <w:szCs w:val="28"/>
        </w:rPr>
        <w:t>月</w:t>
      </w:r>
      <w:r>
        <w:rPr>
          <w:rFonts w:hint="eastAsia" w:eastAsia="仿宋"/>
          <w:b w:val="0"/>
          <w:bCs/>
          <w:color w:val="auto"/>
          <w:sz w:val="28"/>
          <w:szCs w:val="28"/>
        </w:rPr>
        <w:t>十</w:t>
      </w:r>
      <w:r>
        <w:rPr>
          <w:rFonts w:hint="eastAsia" w:eastAsia="仿宋"/>
          <w:b w:val="0"/>
          <w:bCs/>
          <w:color w:val="auto"/>
          <w:sz w:val="28"/>
          <w:szCs w:val="28"/>
          <w:lang w:eastAsia="zh-CN"/>
        </w:rPr>
        <w:t>三</w:t>
      </w:r>
      <w:r>
        <w:rPr>
          <w:rFonts w:eastAsia="仿宋"/>
          <w:b w:val="0"/>
          <w:bCs/>
          <w:color w:val="auto"/>
          <w:sz w:val="28"/>
          <w:szCs w:val="28"/>
        </w:rPr>
        <w:t>日</w:t>
      </w:r>
    </w:p>
    <w:p>
      <w:pPr>
        <w:spacing w:line="360" w:lineRule="auto"/>
        <w:rPr>
          <w:rFonts w:eastAsia="仿宋"/>
          <w:bCs/>
          <w:color w:val="000000" w:themeColor="text1"/>
          <w:sz w:val="28"/>
          <w:szCs w:val="28"/>
          <w14:textFill>
            <w14:solidFill>
              <w14:schemeClr w14:val="tx1"/>
            </w14:solidFill>
          </w14:textFill>
        </w:rPr>
      </w:pPr>
    </w:p>
    <w:p>
      <w:pPr>
        <w:pStyle w:val="14"/>
        <w:spacing w:line="360" w:lineRule="auto"/>
        <w:sectPr>
          <w:headerReference r:id="rId3" w:type="default"/>
          <w:footerReference r:id="rId4" w:type="default"/>
          <w:pgSz w:w="11906" w:h="16838"/>
          <w:pgMar w:top="1440" w:right="1797" w:bottom="1440" w:left="1797" w:header="851" w:footer="992" w:gutter="0"/>
          <w:cols w:space="720" w:num="1"/>
          <w:docGrid w:type="linesAndChars" w:linePitch="312" w:charSpace="0"/>
        </w:sectPr>
      </w:pPr>
    </w:p>
    <w:p>
      <w:pPr>
        <w:snapToGrid w:val="0"/>
        <w:spacing w:after="156" w:afterLines="50"/>
        <w:rPr>
          <w:rFonts w:eastAsia="仿宋"/>
          <w:b/>
          <w:sz w:val="28"/>
          <w:szCs w:val="28"/>
        </w:rPr>
      </w:pPr>
      <w:r>
        <w:rPr>
          <w:rFonts w:eastAsia="仿宋"/>
          <w:b/>
          <w:sz w:val="32"/>
          <w:szCs w:val="32"/>
          <w:lang w:val="zh-CN"/>
        </w:rPr>
        <w:t>附件</w:t>
      </w:r>
    </w:p>
    <w:p>
      <w:pPr>
        <w:snapToGrid w:val="0"/>
        <w:spacing w:after="156" w:afterLines="50"/>
        <w:jc w:val="center"/>
        <w:rPr>
          <w:rFonts w:eastAsia="仿宋"/>
          <w:b/>
          <w:sz w:val="28"/>
          <w:szCs w:val="28"/>
        </w:rPr>
      </w:pPr>
      <w:r>
        <w:rPr>
          <w:rFonts w:eastAsia="仿宋"/>
          <w:b/>
          <w:sz w:val="28"/>
          <w:szCs w:val="28"/>
        </w:rPr>
        <w:t>齐齐哈尔百佳居陶瓷有限公司新建年产2000万平方米中高档内墙砖生产线项目</w:t>
      </w:r>
      <w:r>
        <w:rPr>
          <w:rFonts w:eastAsia="仿宋"/>
          <w:b/>
          <w:sz w:val="28"/>
          <w:szCs w:val="28"/>
          <w:lang w:val="zh-CN"/>
        </w:rPr>
        <w:t>验</w:t>
      </w:r>
      <w:r>
        <w:rPr>
          <w:rFonts w:eastAsia="仿宋"/>
          <w:b/>
          <w:sz w:val="28"/>
          <w:szCs w:val="28"/>
        </w:rPr>
        <w:t>收组名单</w:t>
      </w:r>
    </w:p>
    <w:tbl>
      <w:tblPr>
        <w:tblStyle w:val="10"/>
        <w:tblW w:w="148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2027"/>
        <w:gridCol w:w="4043"/>
        <w:gridCol w:w="1964"/>
        <w:gridCol w:w="2278"/>
        <w:gridCol w:w="309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47" w:type="dxa"/>
            <w:vAlign w:val="center"/>
          </w:tcPr>
          <w:p>
            <w:pPr>
              <w:jc w:val="center"/>
              <w:rPr>
                <w:sz w:val="24"/>
                <w:lang w:val="zh-CN"/>
              </w:rPr>
            </w:pPr>
            <w:r>
              <w:rPr>
                <w:rFonts w:hint="eastAsia"/>
                <w:sz w:val="24"/>
                <w:lang w:val="zh-CN"/>
              </w:rPr>
              <w:t>名称</w:t>
            </w:r>
          </w:p>
        </w:tc>
        <w:tc>
          <w:tcPr>
            <w:tcW w:w="2027" w:type="dxa"/>
            <w:vAlign w:val="center"/>
          </w:tcPr>
          <w:p>
            <w:pPr>
              <w:jc w:val="center"/>
              <w:rPr>
                <w:sz w:val="24"/>
                <w:lang w:val="zh-CN"/>
              </w:rPr>
            </w:pPr>
            <w:r>
              <w:rPr>
                <w:rFonts w:hint="eastAsia"/>
                <w:sz w:val="24"/>
                <w:lang w:val="zh-CN"/>
              </w:rPr>
              <w:t>姓  名</w:t>
            </w:r>
          </w:p>
        </w:tc>
        <w:tc>
          <w:tcPr>
            <w:tcW w:w="4043" w:type="dxa"/>
            <w:vAlign w:val="center"/>
          </w:tcPr>
          <w:p>
            <w:pPr>
              <w:jc w:val="center"/>
              <w:rPr>
                <w:sz w:val="24"/>
                <w:lang w:val="zh-CN"/>
              </w:rPr>
            </w:pPr>
            <w:r>
              <w:rPr>
                <w:rFonts w:hint="eastAsia"/>
                <w:sz w:val="24"/>
                <w:lang w:val="zh-CN"/>
              </w:rPr>
              <w:t>单      位</w:t>
            </w:r>
          </w:p>
        </w:tc>
        <w:tc>
          <w:tcPr>
            <w:tcW w:w="1964" w:type="dxa"/>
            <w:vAlign w:val="center"/>
          </w:tcPr>
          <w:p>
            <w:pPr>
              <w:jc w:val="center"/>
              <w:rPr>
                <w:sz w:val="24"/>
                <w:lang w:val="zh-CN"/>
              </w:rPr>
            </w:pPr>
            <w:r>
              <w:rPr>
                <w:rFonts w:hint="eastAsia"/>
                <w:sz w:val="24"/>
                <w:lang w:val="zh-CN"/>
              </w:rPr>
              <w:t>职务/职称</w:t>
            </w:r>
          </w:p>
        </w:tc>
        <w:tc>
          <w:tcPr>
            <w:tcW w:w="2278" w:type="dxa"/>
            <w:vAlign w:val="center"/>
          </w:tcPr>
          <w:p>
            <w:pPr>
              <w:jc w:val="center"/>
              <w:rPr>
                <w:sz w:val="24"/>
                <w:lang w:val="zh-CN"/>
              </w:rPr>
            </w:pPr>
            <w:r>
              <w:rPr>
                <w:rFonts w:hint="eastAsia"/>
                <w:sz w:val="24"/>
                <w:lang w:val="zh-CN"/>
              </w:rPr>
              <w:t>电话</w:t>
            </w:r>
          </w:p>
        </w:tc>
        <w:tc>
          <w:tcPr>
            <w:tcW w:w="3098" w:type="dxa"/>
            <w:vAlign w:val="center"/>
          </w:tcPr>
          <w:p>
            <w:pPr>
              <w:jc w:val="center"/>
              <w:rPr>
                <w:sz w:val="24"/>
                <w:lang w:val="zh-CN"/>
              </w:rPr>
            </w:pPr>
            <w:r>
              <w:rPr>
                <w:rFonts w:hint="eastAsia"/>
                <w:sz w:val="24"/>
                <w:lang w:val="zh-CN"/>
              </w:rPr>
              <w:t>身份证号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Align w:val="center"/>
          </w:tcPr>
          <w:p>
            <w:pPr>
              <w:jc w:val="center"/>
              <w:rPr>
                <w:sz w:val="24"/>
              </w:rPr>
            </w:pPr>
            <w:r>
              <w:rPr>
                <w:rFonts w:hint="eastAsia"/>
                <w:sz w:val="24"/>
              </w:rPr>
              <w:t>建设单位</w:t>
            </w: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Align w:val="center"/>
          </w:tcPr>
          <w:p>
            <w:pPr>
              <w:jc w:val="center"/>
              <w:rPr>
                <w:sz w:val="24"/>
              </w:rPr>
            </w:pPr>
            <w:r>
              <w:rPr>
                <w:rFonts w:hint="eastAsia"/>
                <w:sz w:val="24"/>
              </w:rPr>
              <w:t>检测单位</w:t>
            </w: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bookmarkStart w:id="3" w:name="_GoBack"/>
            <w:bookmarkEnd w:id="3"/>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Merge w:val="restart"/>
            <w:vAlign w:val="center"/>
          </w:tcPr>
          <w:p>
            <w:pPr>
              <w:jc w:val="center"/>
              <w:rPr>
                <w:sz w:val="24"/>
              </w:rPr>
            </w:pPr>
            <w:r>
              <w:rPr>
                <w:rFonts w:hint="eastAsia"/>
                <w:sz w:val="24"/>
              </w:rPr>
              <w:t>专家</w:t>
            </w: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Merge w:val="continue"/>
            <w:vAlign w:val="center"/>
          </w:tcPr>
          <w:p>
            <w:pPr>
              <w:jc w:val="center"/>
              <w:rPr>
                <w:sz w:val="24"/>
              </w:rPr>
            </w:pP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Align w:val="center"/>
          </w:tcPr>
          <w:p>
            <w:pPr>
              <w:jc w:val="center"/>
              <w:rPr>
                <w:sz w:val="24"/>
              </w:rPr>
            </w:pP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Align w:val="center"/>
          </w:tcPr>
          <w:p>
            <w:pPr>
              <w:jc w:val="center"/>
              <w:rPr>
                <w:sz w:val="24"/>
              </w:rPr>
            </w:pP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Align w:val="center"/>
          </w:tcPr>
          <w:p>
            <w:pPr>
              <w:jc w:val="center"/>
              <w:rPr>
                <w:sz w:val="24"/>
              </w:rPr>
            </w:pP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47" w:type="dxa"/>
            <w:vAlign w:val="center"/>
          </w:tcPr>
          <w:p>
            <w:pPr>
              <w:jc w:val="center"/>
              <w:rPr>
                <w:sz w:val="24"/>
              </w:rPr>
            </w:pPr>
          </w:p>
        </w:tc>
        <w:tc>
          <w:tcPr>
            <w:tcW w:w="2027" w:type="dxa"/>
            <w:vAlign w:val="center"/>
          </w:tcPr>
          <w:p>
            <w:pPr>
              <w:jc w:val="center"/>
              <w:rPr>
                <w:sz w:val="24"/>
              </w:rPr>
            </w:pPr>
          </w:p>
        </w:tc>
        <w:tc>
          <w:tcPr>
            <w:tcW w:w="4043" w:type="dxa"/>
            <w:vAlign w:val="center"/>
          </w:tcPr>
          <w:p>
            <w:pPr>
              <w:jc w:val="center"/>
              <w:rPr>
                <w:sz w:val="24"/>
              </w:rPr>
            </w:pPr>
          </w:p>
        </w:tc>
        <w:tc>
          <w:tcPr>
            <w:tcW w:w="1964" w:type="dxa"/>
            <w:vAlign w:val="center"/>
          </w:tcPr>
          <w:p>
            <w:pPr>
              <w:jc w:val="center"/>
              <w:rPr>
                <w:sz w:val="24"/>
              </w:rPr>
            </w:pPr>
          </w:p>
        </w:tc>
        <w:tc>
          <w:tcPr>
            <w:tcW w:w="2278" w:type="dxa"/>
            <w:vAlign w:val="center"/>
          </w:tcPr>
          <w:p>
            <w:pPr>
              <w:jc w:val="center"/>
              <w:rPr>
                <w:sz w:val="24"/>
              </w:rPr>
            </w:pPr>
          </w:p>
        </w:tc>
        <w:tc>
          <w:tcPr>
            <w:tcW w:w="3098" w:type="dxa"/>
            <w:vAlign w:val="center"/>
          </w:tcPr>
          <w:p>
            <w:pPr>
              <w:jc w:val="center"/>
              <w:rPr>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447" w:type="dxa"/>
            <w:vAlign w:val="center"/>
          </w:tcPr>
          <w:p/>
        </w:tc>
        <w:tc>
          <w:tcPr>
            <w:tcW w:w="2027" w:type="dxa"/>
            <w:vAlign w:val="center"/>
          </w:tcPr>
          <w:p/>
        </w:tc>
        <w:tc>
          <w:tcPr>
            <w:tcW w:w="4043" w:type="dxa"/>
            <w:vAlign w:val="center"/>
          </w:tcPr>
          <w:p/>
        </w:tc>
        <w:tc>
          <w:tcPr>
            <w:tcW w:w="1964" w:type="dxa"/>
            <w:vAlign w:val="center"/>
          </w:tcPr>
          <w:p/>
        </w:tc>
        <w:tc>
          <w:tcPr>
            <w:tcW w:w="2278" w:type="dxa"/>
            <w:vAlign w:val="center"/>
          </w:tcPr>
          <w:p/>
        </w:tc>
        <w:tc>
          <w:tcPr>
            <w:tcW w:w="3098" w:type="dxa"/>
            <w:vAlign w:val="center"/>
          </w:tcPr>
          <w:p/>
        </w:tc>
      </w:tr>
    </w:tbl>
    <w:p>
      <w:pPr>
        <w:pStyle w:val="16"/>
      </w:pPr>
    </w:p>
    <w:sectPr>
      <w:pgSz w:w="16838" w:h="11906" w:orient="landscape"/>
      <w:pgMar w:top="1797" w:right="1440" w:bottom="1797" w:left="1440"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4C321"/>
    <w:multiLevelType w:val="singleLevel"/>
    <w:tmpl w:val="AF04C321"/>
    <w:lvl w:ilvl="0" w:tentative="0">
      <w:start w:val="1"/>
      <w:numFmt w:val="chineseCounting"/>
      <w:suff w:val="nothing"/>
      <w:lvlText w:val="%1、"/>
      <w:lvlJc w:val="left"/>
      <w:rPr>
        <w:rFonts w:hint="eastAsia"/>
      </w:rPr>
    </w:lvl>
  </w:abstractNum>
  <w:abstractNum w:abstractNumId="1">
    <w:nsid w:val="D4244992"/>
    <w:multiLevelType w:val="singleLevel"/>
    <w:tmpl w:val="D4244992"/>
    <w:lvl w:ilvl="0" w:tentative="0">
      <w:start w:val="1"/>
      <w:numFmt w:val="decimal"/>
      <w:suff w:val="nothing"/>
      <w:lvlText w:val="%1、"/>
      <w:lvlJc w:val="left"/>
    </w:lvl>
  </w:abstractNum>
  <w:abstractNum w:abstractNumId="2">
    <w:nsid w:val="F75C67DE"/>
    <w:multiLevelType w:val="singleLevel"/>
    <w:tmpl w:val="F75C67DE"/>
    <w:lvl w:ilvl="0" w:tentative="0">
      <w:start w:val="4"/>
      <w:numFmt w:val="chineseCounting"/>
      <w:suff w:val="nothing"/>
      <w:lvlText w:val="（%1）"/>
      <w:lvlJc w:val="left"/>
      <w:rPr>
        <w:rFonts w:hint="eastAsia"/>
      </w:rPr>
    </w:lvl>
  </w:abstractNum>
  <w:abstractNum w:abstractNumId="3">
    <w:nsid w:val="25DF320B"/>
    <w:multiLevelType w:val="singleLevel"/>
    <w:tmpl w:val="25DF320B"/>
    <w:lvl w:ilvl="0" w:tentative="0">
      <w:start w:val="2"/>
      <w:numFmt w:val="chineseCounting"/>
      <w:suff w:val="nothing"/>
      <w:lvlText w:val="（%1）"/>
      <w:lvlJc w:val="left"/>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1YjA4MTk3MTY0ZGJmMTNlZTkwNDQ2ODg0NGNkMDYifQ=="/>
  </w:docVars>
  <w:rsids>
    <w:rsidRoot w:val="006F0804"/>
    <w:rsid w:val="000241B4"/>
    <w:rsid w:val="001F28B0"/>
    <w:rsid w:val="00256037"/>
    <w:rsid w:val="003122BD"/>
    <w:rsid w:val="003B12DA"/>
    <w:rsid w:val="004042C9"/>
    <w:rsid w:val="004045FA"/>
    <w:rsid w:val="004D35F4"/>
    <w:rsid w:val="0054373A"/>
    <w:rsid w:val="0061292F"/>
    <w:rsid w:val="006615A4"/>
    <w:rsid w:val="006F0804"/>
    <w:rsid w:val="00770128"/>
    <w:rsid w:val="008B6808"/>
    <w:rsid w:val="009C71CE"/>
    <w:rsid w:val="00A00369"/>
    <w:rsid w:val="00A07DF2"/>
    <w:rsid w:val="00B8234B"/>
    <w:rsid w:val="00CC107A"/>
    <w:rsid w:val="00D502DA"/>
    <w:rsid w:val="00D56977"/>
    <w:rsid w:val="00E7163B"/>
    <w:rsid w:val="00F0435D"/>
    <w:rsid w:val="00F8298A"/>
    <w:rsid w:val="00FB03EF"/>
    <w:rsid w:val="015D07C0"/>
    <w:rsid w:val="020978C4"/>
    <w:rsid w:val="033774DC"/>
    <w:rsid w:val="03A41F03"/>
    <w:rsid w:val="04130593"/>
    <w:rsid w:val="04C96C02"/>
    <w:rsid w:val="054F0285"/>
    <w:rsid w:val="057151C4"/>
    <w:rsid w:val="05F046C8"/>
    <w:rsid w:val="078444D3"/>
    <w:rsid w:val="082A3C66"/>
    <w:rsid w:val="0843649F"/>
    <w:rsid w:val="08FE09D5"/>
    <w:rsid w:val="0C4D560A"/>
    <w:rsid w:val="0C60462C"/>
    <w:rsid w:val="0E3648F2"/>
    <w:rsid w:val="0F4B5CD3"/>
    <w:rsid w:val="0FB37BE0"/>
    <w:rsid w:val="10EC0176"/>
    <w:rsid w:val="11287063"/>
    <w:rsid w:val="11774CDE"/>
    <w:rsid w:val="12A3708D"/>
    <w:rsid w:val="131C26DF"/>
    <w:rsid w:val="13900011"/>
    <w:rsid w:val="13FB0AF8"/>
    <w:rsid w:val="14BB2F50"/>
    <w:rsid w:val="15CA3A66"/>
    <w:rsid w:val="161475B2"/>
    <w:rsid w:val="168F42AE"/>
    <w:rsid w:val="171D5002"/>
    <w:rsid w:val="176F2672"/>
    <w:rsid w:val="18356556"/>
    <w:rsid w:val="18F04881"/>
    <w:rsid w:val="19C855D4"/>
    <w:rsid w:val="1A0535B6"/>
    <w:rsid w:val="1A090E4E"/>
    <w:rsid w:val="1B8A0383"/>
    <w:rsid w:val="1BDD1491"/>
    <w:rsid w:val="1C6C415B"/>
    <w:rsid w:val="1D391AAE"/>
    <w:rsid w:val="1DAE2EF3"/>
    <w:rsid w:val="1EAC2F61"/>
    <w:rsid w:val="1EEE2492"/>
    <w:rsid w:val="1F0D2DB5"/>
    <w:rsid w:val="203D69D5"/>
    <w:rsid w:val="20AD6CE2"/>
    <w:rsid w:val="20FD1804"/>
    <w:rsid w:val="20FE766F"/>
    <w:rsid w:val="23787E70"/>
    <w:rsid w:val="23CE4AF8"/>
    <w:rsid w:val="23FB7B53"/>
    <w:rsid w:val="24D74F96"/>
    <w:rsid w:val="25063D13"/>
    <w:rsid w:val="2580064A"/>
    <w:rsid w:val="265E6905"/>
    <w:rsid w:val="26EE7A8E"/>
    <w:rsid w:val="27C965F2"/>
    <w:rsid w:val="27EE0E63"/>
    <w:rsid w:val="2B8C7F85"/>
    <w:rsid w:val="2D474638"/>
    <w:rsid w:val="2EC735D8"/>
    <w:rsid w:val="2EFC6D22"/>
    <w:rsid w:val="2FD82362"/>
    <w:rsid w:val="30313332"/>
    <w:rsid w:val="325608BB"/>
    <w:rsid w:val="32EA0710"/>
    <w:rsid w:val="33DB29E5"/>
    <w:rsid w:val="340F5E1D"/>
    <w:rsid w:val="35501531"/>
    <w:rsid w:val="35555DE7"/>
    <w:rsid w:val="357A6DC9"/>
    <w:rsid w:val="35A43AAC"/>
    <w:rsid w:val="35A80E4D"/>
    <w:rsid w:val="35D2220C"/>
    <w:rsid w:val="362B7255"/>
    <w:rsid w:val="366F663E"/>
    <w:rsid w:val="368103C6"/>
    <w:rsid w:val="37165180"/>
    <w:rsid w:val="374F1687"/>
    <w:rsid w:val="37DC60AD"/>
    <w:rsid w:val="37FC33AF"/>
    <w:rsid w:val="38577B94"/>
    <w:rsid w:val="385A3581"/>
    <w:rsid w:val="38D007BC"/>
    <w:rsid w:val="39A97AA6"/>
    <w:rsid w:val="39B73AA3"/>
    <w:rsid w:val="39C76523"/>
    <w:rsid w:val="3A522FA1"/>
    <w:rsid w:val="3A6C6298"/>
    <w:rsid w:val="3CBB19EE"/>
    <w:rsid w:val="3CF97AD1"/>
    <w:rsid w:val="3D9578F6"/>
    <w:rsid w:val="3F750C18"/>
    <w:rsid w:val="3F7D11A5"/>
    <w:rsid w:val="3FB551E8"/>
    <w:rsid w:val="404B451B"/>
    <w:rsid w:val="44014927"/>
    <w:rsid w:val="444B581B"/>
    <w:rsid w:val="47E91206"/>
    <w:rsid w:val="47F22EF8"/>
    <w:rsid w:val="47F671CD"/>
    <w:rsid w:val="48E70608"/>
    <w:rsid w:val="4AAE29B0"/>
    <w:rsid w:val="4B756EA8"/>
    <w:rsid w:val="4B9C06FC"/>
    <w:rsid w:val="4DA966BF"/>
    <w:rsid w:val="52487A13"/>
    <w:rsid w:val="526366EF"/>
    <w:rsid w:val="5281599B"/>
    <w:rsid w:val="52C76038"/>
    <w:rsid w:val="52E60277"/>
    <w:rsid w:val="549A0FAC"/>
    <w:rsid w:val="55FB6226"/>
    <w:rsid w:val="560F7C04"/>
    <w:rsid w:val="56CF7A4C"/>
    <w:rsid w:val="574404CA"/>
    <w:rsid w:val="574B28A5"/>
    <w:rsid w:val="586D2D98"/>
    <w:rsid w:val="589D145E"/>
    <w:rsid w:val="596B1F7D"/>
    <w:rsid w:val="5B9F5874"/>
    <w:rsid w:val="5C4B6CAE"/>
    <w:rsid w:val="5F1C6208"/>
    <w:rsid w:val="5F9C3C83"/>
    <w:rsid w:val="5FA97FA7"/>
    <w:rsid w:val="603D33F0"/>
    <w:rsid w:val="620A6CAB"/>
    <w:rsid w:val="626D6480"/>
    <w:rsid w:val="63CD6B70"/>
    <w:rsid w:val="63D85473"/>
    <w:rsid w:val="64EF3E82"/>
    <w:rsid w:val="65E81773"/>
    <w:rsid w:val="667E7C8C"/>
    <w:rsid w:val="66BC4E8D"/>
    <w:rsid w:val="67A45E4A"/>
    <w:rsid w:val="67E43F5B"/>
    <w:rsid w:val="68191153"/>
    <w:rsid w:val="687124DF"/>
    <w:rsid w:val="694C28DB"/>
    <w:rsid w:val="6A2B03C7"/>
    <w:rsid w:val="6A2C1BA0"/>
    <w:rsid w:val="6AE72611"/>
    <w:rsid w:val="6B4B29C3"/>
    <w:rsid w:val="6BC75DF5"/>
    <w:rsid w:val="6CAE15BE"/>
    <w:rsid w:val="6E99643B"/>
    <w:rsid w:val="6F2E7996"/>
    <w:rsid w:val="6F661BEF"/>
    <w:rsid w:val="70443430"/>
    <w:rsid w:val="723F185B"/>
    <w:rsid w:val="731F657E"/>
    <w:rsid w:val="732A02A7"/>
    <w:rsid w:val="73867BA2"/>
    <w:rsid w:val="73F65152"/>
    <w:rsid w:val="7402090C"/>
    <w:rsid w:val="743D3F1F"/>
    <w:rsid w:val="756A41E9"/>
    <w:rsid w:val="75791DAE"/>
    <w:rsid w:val="76C533AF"/>
    <w:rsid w:val="76E07150"/>
    <w:rsid w:val="775032E1"/>
    <w:rsid w:val="786858A8"/>
    <w:rsid w:val="78C25121"/>
    <w:rsid w:val="7952458C"/>
    <w:rsid w:val="79C571C1"/>
    <w:rsid w:val="7A470639"/>
    <w:rsid w:val="7A624DCF"/>
    <w:rsid w:val="7BED031A"/>
    <w:rsid w:val="7BF5565A"/>
    <w:rsid w:val="7BFA56B9"/>
    <w:rsid w:val="7D661B28"/>
    <w:rsid w:val="7DB74212"/>
    <w:rsid w:val="7DF53511"/>
    <w:rsid w:val="7F2D70D2"/>
    <w:rsid w:val="7F7C217E"/>
    <w:rsid w:val="7F981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toc 2"/>
    <w:basedOn w:val="1"/>
    <w:next w:val="1"/>
    <w:qFormat/>
    <w:uiPriority w:val="0"/>
    <w:pPr>
      <w:ind w:left="210"/>
      <w:jc w:val="left"/>
    </w:pPr>
    <w:rPr>
      <w:smallCaps/>
      <w:sz w:val="20"/>
      <w:szCs w:val="20"/>
    </w:rPr>
  </w:style>
  <w:style w:type="paragraph" w:styleId="3">
    <w:name w:val="annotation text"/>
    <w:basedOn w:val="1"/>
    <w:qFormat/>
    <w:uiPriority w:val="0"/>
    <w:pPr>
      <w:jc w:val="left"/>
    </w:pPr>
  </w:style>
  <w:style w:type="paragraph" w:styleId="4">
    <w:name w:val="Body Text"/>
    <w:basedOn w:val="1"/>
    <w:next w:val="1"/>
    <w:qFormat/>
    <w:uiPriority w:val="0"/>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Message Header"/>
    <w:basedOn w:val="1"/>
    <w:semiHidden/>
    <w:qFormat/>
    <w:uiPriority w:val="0"/>
    <w:pPr>
      <w:widowControl/>
      <w:pBdr>
        <w:top w:val="single" w:color="auto" w:sz="6" w:space="1"/>
        <w:left w:val="single" w:color="auto" w:sz="6" w:space="1"/>
        <w:bottom w:val="single" w:color="auto" w:sz="6" w:space="1"/>
        <w:right w:val="single" w:color="auto" w:sz="6" w:space="1"/>
      </w:pBdr>
      <w:shd w:val="pct20" w:color="auto" w:fill="auto"/>
      <w:spacing w:line="520" w:lineRule="exact"/>
      <w:ind w:left="1080" w:leftChars="500" w:hanging="1080" w:hangingChars="500"/>
    </w:pPr>
    <w:rPr>
      <w:rFonts w:ascii="Arial" w:hAnsi="Arial" w:cs="Arial"/>
      <w:bCs/>
      <w:kern w:val="0"/>
      <w:sz w:val="24"/>
    </w:rPr>
  </w:style>
  <w:style w:type="paragraph" w:styleId="8">
    <w:name w:val="Body Text First Indent"/>
    <w:basedOn w:val="4"/>
    <w:unhideWhenUsed/>
    <w:qFormat/>
    <w:uiPriority w:val="0"/>
    <w:pPr>
      <w:ind w:firstLine="420" w:firstLineChars="1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rPr>
      <w:rFonts w:ascii="宋体" w:hAnsi="宋体" w:cs="宋体"/>
      <w:sz w:val="24"/>
      <w:szCs w:val="20"/>
    </w:rPr>
  </w:style>
  <w:style w:type="paragraph" w:customStyle="1" w:styleId="13">
    <w:name w:val="报告书正文"/>
    <w:basedOn w:val="1"/>
    <w:qFormat/>
    <w:uiPriority w:val="0"/>
    <w:pPr>
      <w:adjustRightInd w:val="0"/>
      <w:snapToGrid w:val="0"/>
      <w:spacing w:line="360" w:lineRule="auto"/>
      <w:ind w:firstLine="425"/>
      <w:textAlignment w:val="baseline"/>
    </w:pPr>
    <w:rPr>
      <w:rFonts w:ascii="Arial" w:hAnsi="Arial"/>
      <w:kern w:val="0"/>
      <w:sz w:val="24"/>
    </w:rPr>
  </w:style>
  <w:style w:type="paragraph" w:customStyle="1" w:styleId="14">
    <w:name w:val="Default"/>
    <w:basedOn w:val="15"/>
    <w:next w:val="1"/>
    <w:qFormat/>
    <w:uiPriority w:val="0"/>
    <w:pPr>
      <w:widowControl w:val="0"/>
      <w:autoSpaceDE w:val="0"/>
      <w:autoSpaceDN w:val="0"/>
      <w:adjustRightInd w:val="0"/>
    </w:pPr>
    <w:rPr>
      <w:rFonts w:eastAsia="宋体" w:cs="Times New Roman"/>
      <w:color w:val="000000"/>
      <w:sz w:val="24"/>
    </w:rPr>
  </w:style>
  <w:style w:type="paragraph" w:customStyle="1" w:styleId="15">
    <w:name w:val="标题 段落4级"/>
    <w:qFormat/>
    <w:uiPriority w:val="0"/>
    <w:pPr>
      <w:spacing w:line="500" w:lineRule="exact"/>
      <w:outlineLvl w:val="3"/>
    </w:pPr>
    <w:rPr>
      <w:rFonts w:ascii="Times New Roman" w:hAnsi="Times New Roman" w:eastAsia="仿宋_GB2312" w:cs="Calibri"/>
      <w:b/>
      <w:kern w:val="2"/>
      <w:sz w:val="28"/>
      <w:szCs w:val="24"/>
      <w:lang w:val="en-US" w:eastAsia="zh-CN" w:bidi="ar-SA"/>
    </w:rPr>
  </w:style>
  <w:style w:type="paragraph" w:customStyle="1" w:styleId="16">
    <w:name w:val="样式35"/>
    <w:basedOn w:val="1"/>
    <w:next w:val="17"/>
    <w:qFormat/>
    <w:uiPriority w:val="0"/>
    <w:pPr>
      <w:spacing w:line="312" w:lineRule="auto"/>
      <w:ind w:firstLine="567"/>
    </w:pPr>
    <w:rPr>
      <w:rFonts w:ascii="宋体"/>
      <w:sz w:val="28"/>
    </w:rPr>
  </w:style>
  <w:style w:type="paragraph" w:customStyle="1" w:styleId="17">
    <w:name w:val="font6"/>
    <w:basedOn w:val="1"/>
    <w:next w:val="2"/>
    <w:qFormat/>
    <w:uiPriority w:val="0"/>
    <w:pPr>
      <w:widowControl/>
      <w:spacing w:before="280" w:after="280"/>
    </w:pPr>
  </w:style>
  <w:style w:type="paragraph" w:customStyle="1" w:styleId="18">
    <w:name w:val="【正文】"/>
    <w:basedOn w:val="1"/>
    <w:next w:val="7"/>
    <w:qFormat/>
    <w:uiPriority w:val="0"/>
    <w:pPr>
      <w:spacing w:line="500" w:lineRule="exact"/>
    </w:pPr>
  </w:style>
  <w:style w:type="paragraph" w:customStyle="1" w:styleId="19">
    <w:name w:val="普通(网站)1"/>
    <w:basedOn w:val="1"/>
    <w:qFormat/>
    <w:uiPriority w:val="0"/>
    <w:pPr>
      <w:spacing w:before="100" w:beforeAutospacing="1" w:after="100" w:afterAutospacing="1"/>
    </w:pPr>
    <w:rPr>
      <w:rFonts w:ascii="宋体" w:hAnsi="宋体" w:cs="宋体"/>
      <w:sz w:val="24"/>
    </w:rPr>
  </w:style>
  <w:style w:type="paragraph" w:customStyle="1" w:styleId="20">
    <w:name w:val="【表中文字】"/>
    <w:basedOn w:val="1"/>
    <w:qFormat/>
    <w:uiPriority w:val="0"/>
    <w:pPr>
      <w:spacing w:line="380" w:lineRule="exact"/>
      <w:jc w:val="center"/>
    </w:pPr>
    <w:rPr>
      <w:rFonts w:ascii="宋体" w:hAnsi="宋体"/>
      <w:szCs w:val="20"/>
    </w:rPr>
  </w:style>
  <w:style w:type="paragraph" w:customStyle="1" w:styleId="21">
    <w:name w:val="正文00"/>
    <w:basedOn w:val="1"/>
    <w:qFormat/>
    <w:uiPriority w:val="0"/>
    <w:pPr>
      <w:spacing w:line="360" w:lineRule="auto"/>
      <w:ind w:firstLine="200" w:firstLineChars="200"/>
    </w:pPr>
    <w:rPr>
      <w:sz w:val="24"/>
    </w:rPr>
  </w:style>
  <w:style w:type="paragraph" w:styleId="22">
    <w:name w:val="List Paragraph"/>
    <w:basedOn w:val="1"/>
    <w:qFormat/>
    <w:uiPriority w:val="1"/>
    <w:pPr>
      <w:spacing w:before="43"/>
      <w:ind w:left="1544" w:hanging="602"/>
    </w:pPr>
    <w:rPr>
      <w:rFonts w:ascii="宋体" w:hAnsi="宋体" w:cs="宋体"/>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2876</Words>
  <Characters>3320</Characters>
  <Lines>24</Lines>
  <Paragraphs>6</Paragraphs>
  <TotalTime>25</TotalTime>
  <ScaleCrop>false</ScaleCrop>
  <LinksUpToDate>false</LinksUpToDate>
  <CharactersWithSpaces>3339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葵葵花</cp:lastModifiedBy>
  <cp:lastPrinted>2019-08-07T06:03:00Z</cp:lastPrinted>
  <dcterms:modified xsi:type="dcterms:W3CDTF">2022-06-13T07:28:52Z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9C1F5578CD484C39A9D2428A62773CE3</vt:lpwstr>
  </property>
</Properties>
</file>